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9BE0E">
      <w:pPr>
        <w:spacing w:line="360" w:lineRule="auto"/>
        <w:jc w:val="center"/>
        <w:rPr>
          <w:rFonts w:hint="eastAsia" w:ascii="仿宋" w:hAnsi="仿宋" w:eastAsia="仿宋" w:cs="仿宋"/>
          <w:b/>
          <w:color w:val="auto"/>
          <w:sz w:val="24"/>
          <w:highlight w:val="none"/>
        </w:rPr>
      </w:pPr>
    </w:p>
    <w:p w14:paraId="7F03BE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sz w:val="44"/>
          <w:szCs w:val="44"/>
          <w:highlight w:val="none"/>
        </w:rPr>
      </w:pPr>
      <w:bookmarkStart w:id="0" w:name="_Toc20779"/>
      <w:r>
        <w:rPr>
          <w:rFonts w:hint="eastAsia" w:ascii="仿宋" w:hAnsi="仿宋" w:eastAsia="仿宋" w:cs="仿宋"/>
          <w:color w:val="auto"/>
          <w:sz w:val="60"/>
          <w:szCs w:val="60"/>
          <w:highlight w:val="none"/>
        </w:rPr>
        <w:t>温州市公安局两防预测预警防控平台</w:t>
      </w:r>
      <w:bookmarkEnd w:id="0"/>
    </w:p>
    <w:p w14:paraId="7073FFB8">
      <w:pPr>
        <w:adjustRightInd/>
        <w:jc w:val="center"/>
        <w:rPr>
          <w:rFonts w:hint="eastAsia" w:ascii="仿宋" w:hAnsi="仿宋" w:eastAsia="仿宋" w:cs="仿宋"/>
          <w:color w:val="auto"/>
          <w:sz w:val="96"/>
          <w:szCs w:val="96"/>
          <w:highlight w:val="none"/>
        </w:rPr>
      </w:pPr>
    </w:p>
    <w:p w14:paraId="123128DB">
      <w:pPr>
        <w:adjustRightInd/>
        <w:jc w:val="center"/>
        <w:rPr>
          <w:rFonts w:hint="eastAsia" w:ascii="仿宋" w:hAnsi="仿宋" w:eastAsia="仿宋" w:cs="仿宋"/>
          <w:color w:val="auto"/>
          <w:sz w:val="56"/>
          <w:szCs w:val="56"/>
          <w:highlight w:val="none"/>
        </w:rPr>
      </w:pPr>
      <w:r>
        <w:rPr>
          <w:rFonts w:hint="eastAsia" w:ascii="仿宋" w:hAnsi="仿宋" w:eastAsia="仿宋" w:cs="仿宋"/>
          <w:color w:val="auto"/>
          <w:sz w:val="96"/>
          <w:szCs w:val="96"/>
          <w:highlight w:val="none"/>
        </w:rPr>
        <w:t>采购文件</w:t>
      </w:r>
      <w:r>
        <w:rPr>
          <w:rFonts w:hint="eastAsia" w:ascii="仿宋" w:hAnsi="仿宋" w:eastAsia="仿宋" w:cs="仿宋"/>
          <w:color w:val="auto"/>
          <w:sz w:val="56"/>
          <w:szCs w:val="56"/>
          <w:highlight w:val="none"/>
        </w:rPr>
        <w:t xml:space="preserve"> </w:t>
      </w:r>
    </w:p>
    <w:p w14:paraId="6CCD1AD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9710CD6">
      <w:pPr>
        <w:snapToGrid w:val="0"/>
        <w:spacing w:line="360" w:lineRule="auto"/>
        <w:jc w:val="center"/>
        <w:rPr>
          <w:rFonts w:hint="eastAsia" w:ascii="仿宋" w:hAnsi="仿宋" w:eastAsia="仿宋" w:cs="仿宋"/>
          <w:color w:val="auto"/>
          <w:sz w:val="30"/>
          <w:szCs w:val="30"/>
          <w:highlight w:val="none"/>
        </w:rPr>
      </w:pPr>
    </w:p>
    <w:p w14:paraId="6719BBE8">
      <w:pPr>
        <w:keepNext/>
        <w:keepLines/>
        <w:tabs>
          <w:tab w:val="left" w:pos="432"/>
        </w:tabs>
        <w:adjustRightInd/>
        <w:rPr>
          <w:rFonts w:hint="eastAsia" w:ascii="仿宋" w:eastAsia="仿宋" w:cs="仿宋"/>
          <w:color w:val="auto"/>
          <w:highlight w:val="none"/>
        </w:rPr>
      </w:pPr>
    </w:p>
    <w:p w14:paraId="2BE1F2F7">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采购方式：竞争性磋商</w:t>
      </w:r>
    </w:p>
    <w:p w14:paraId="094A2F42">
      <w:pPr>
        <w:snapToGrid w:val="0"/>
        <w:spacing w:line="360" w:lineRule="auto"/>
        <w:jc w:val="center"/>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eastAsia="zh-CN"/>
        </w:rPr>
        <w:t>WZLCZB（W）-2024-11484</w:t>
      </w:r>
    </w:p>
    <w:p w14:paraId="0E00E2B5">
      <w:pPr>
        <w:adjustRightInd/>
        <w:spacing w:line="360" w:lineRule="auto"/>
        <w:rPr>
          <w:rFonts w:hint="eastAsia" w:ascii="仿宋" w:hAnsi="仿宋" w:eastAsia="仿宋" w:cs="仿宋"/>
          <w:color w:val="auto"/>
          <w:sz w:val="28"/>
          <w:szCs w:val="20"/>
          <w:highlight w:val="none"/>
        </w:rPr>
      </w:pPr>
    </w:p>
    <w:p w14:paraId="3AF46781">
      <w:pPr>
        <w:spacing w:line="360" w:lineRule="auto"/>
        <w:rPr>
          <w:rFonts w:hint="eastAsia" w:ascii="仿宋" w:hAnsi="仿宋" w:eastAsia="仿宋" w:cs="仿宋"/>
          <w:b/>
          <w:color w:val="auto"/>
          <w:sz w:val="44"/>
          <w:szCs w:val="44"/>
          <w:highlight w:val="none"/>
        </w:rPr>
      </w:pPr>
    </w:p>
    <w:p w14:paraId="66F6E2CC">
      <w:pPr>
        <w:spacing w:line="360" w:lineRule="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B1EADD0">
      <w:pPr>
        <w:pStyle w:val="4"/>
        <w:outlineLvl w:val="9"/>
        <w:rPr>
          <w:rFonts w:hint="eastAsia"/>
          <w:color w:val="auto"/>
          <w:highlight w:val="none"/>
        </w:rPr>
      </w:pPr>
    </w:p>
    <w:p w14:paraId="32E87D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sz w:val="32"/>
          <w:szCs w:val="32"/>
          <w:highlight w:val="none"/>
        </w:rPr>
      </w:pPr>
      <w:bookmarkStart w:id="1" w:name="_Toc9404"/>
      <w:r>
        <w:rPr>
          <w:rFonts w:hint="eastAsia" w:ascii="仿宋" w:hAnsi="仿宋" w:eastAsia="仿宋" w:cs="仿宋"/>
          <w:color w:val="auto"/>
          <w:sz w:val="32"/>
          <w:szCs w:val="32"/>
          <w:highlight w:val="none"/>
        </w:rPr>
        <w:t>采   购  人：温州市公安局</w:t>
      </w:r>
      <w:bookmarkEnd w:id="1"/>
    </w:p>
    <w:p w14:paraId="7FA7141A">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：温州历程招标有限公司</w:t>
      </w:r>
    </w:p>
    <w:p w14:paraId="3D52E7E3">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p>
    <w:p w14:paraId="361EF001">
      <w:pPr>
        <w:spacing w:line="360" w:lineRule="auto"/>
        <w:jc w:val="center"/>
        <w:rPr>
          <w:rFonts w:hint="eastAsia" w:ascii="仿宋" w:hAnsi="仿宋" w:eastAsia="仿宋" w:cs="仿宋"/>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fmt="decimal" w:start="1"/>
          <w:cols w:space="720" w:num="1"/>
          <w:titlePg/>
          <w:docGrid w:linePitch="312" w:charSpace="0"/>
        </w:sectPr>
      </w:pPr>
      <w:bookmarkStart w:id="2" w:name="_Hlt67893495"/>
      <w:bookmarkEnd w:id="2"/>
    </w:p>
    <w:sdt>
      <w:sdtPr>
        <w:rPr>
          <w:rFonts w:ascii="宋体" w:hAnsi="宋体" w:eastAsia="宋体" w:cs="Times New Roman"/>
          <w:kern w:val="2"/>
          <w:sz w:val="21"/>
          <w:szCs w:val="24"/>
          <w:lang w:val="en-US" w:eastAsia="zh-CN" w:bidi="ar-SA"/>
        </w:rPr>
        <w:id w:val="147451921"/>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14:paraId="0FB0B3E7">
          <w:pPr>
            <w:spacing w:before="0" w:beforeLines="0" w:after="0" w:afterLines="0" w:line="240" w:lineRule="auto"/>
            <w:ind w:left="0" w:leftChars="0" w:right="0" w:rightChars="0" w:firstLine="0" w:firstLineChars="0"/>
            <w:jc w:val="center"/>
          </w:pPr>
          <w:bookmarkStart w:id="3" w:name="_Toc119963082"/>
          <w:bookmarkStart w:id="4" w:name="第二部分"/>
          <w:bookmarkStart w:id="5" w:name="_Toc91899870"/>
          <w:bookmarkStart w:id="6" w:name="_Toc91899871"/>
          <w:r>
            <w:rPr>
              <w:rFonts w:ascii="宋体" w:hAnsi="宋体" w:eastAsia="宋体"/>
              <w:b/>
              <w:bCs/>
              <w:sz w:val="40"/>
              <w:szCs w:val="48"/>
            </w:rPr>
            <w:t>目</w:t>
          </w:r>
          <w:r>
            <w:rPr>
              <w:rFonts w:hint="eastAsia" w:ascii="宋体" w:hAnsi="宋体"/>
              <w:b/>
              <w:bCs/>
              <w:sz w:val="40"/>
              <w:szCs w:val="48"/>
              <w:lang w:val="en-US" w:eastAsia="zh-CN"/>
            </w:rPr>
            <w:t xml:space="preserve">  </w:t>
          </w:r>
          <w:r>
            <w:rPr>
              <w:rFonts w:ascii="宋体" w:hAnsi="宋体" w:eastAsia="宋体"/>
              <w:b/>
              <w:bCs/>
              <w:sz w:val="40"/>
              <w:szCs w:val="48"/>
            </w:rPr>
            <w:t>录</w:t>
          </w:r>
        </w:p>
        <w:p w14:paraId="6626C366">
          <w:pPr>
            <w:pStyle w:val="28"/>
            <w:tabs>
              <w:tab w:val="right" w:leader="dot" w:pos="9746"/>
            </w:tabs>
            <w:rPr>
              <w:b/>
            </w:rPr>
          </w:pPr>
          <w:r>
            <w:rPr>
              <w:rFonts w:hint="eastAsia"/>
            </w:rPr>
            <w:fldChar w:fldCharType="begin"/>
          </w:r>
          <w:r>
            <w:rPr>
              <w:rFonts w:hint="eastAsia"/>
            </w:rPr>
            <w:instrText xml:space="preserve">TOC \o "1-2" \h \u </w:instrText>
          </w:r>
          <w:r>
            <w:rPr>
              <w:rFonts w:hint="eastAsia"/>
            </w:rPr>
            <w:fldChar w:fldCharType="separate"/>
          </w:r>
        </w:p>
        <w:p w14:paraId="68F9551F">
          <w:pPr>
            <w:pStyle w:val="28"/>
            <w:tabs>
              <w:tab w:val="right" w:leader="dot" w:pos="9746"/>
            </w:tabs>
            <w:spacing w:line="360" w:lineRule="auto"/>
            <w:rPr>
              <w:rFonts w:hint="eastAsia" w:ascii="仿宋" w:hAnsi="仿宋" w:eastAsia="仿宋" w:cs="仿宋"/>
              <w:b w:val="0"/>
              <w:bCs/>
              <w:sz w:val="28"/>
              <w:szCs w:val="28"/>
            </w:rPr>
          </w:pPr>
        </w:p>
        <w:p w14:paraId="18698B36">
          <w:pPr>
            <w:pStyle w:val="28"/>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_Toc22492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第一部分 采购公告</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_Toc22492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5460E85B">
          <w:pPr>
            <w:pStyle w:val="28"/>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_Toc4823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xml:space="preserve">第二部分 </w:t>
          </w:r>
          <w:r>
            <w:rPr>
              <w:rFonts w:hint="eastAsia" w:ascii="仿宋" w:hAnsi="仿宋" w:eastAsia="仿宋" w:cs="仿宋"/>
              <w:b w:val="0"/>
              <w:bCs/>
              <w:sz w:val="28"/>
              <w:szCs w:val="28"/>
              <w:highlight w:val="none"/>
            </w:rPr>
            <w:t>供应商须知</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_Toc4823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6</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57B8C91C">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_Toc11436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前附表</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_Toc11436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6</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0526B9F">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_Toc15189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一、总则</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_Toc15189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10</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3776BDC">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_Toc7567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二、采购文件的构成、澄清、修改</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_Toc7567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14</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0D241811">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_Toc9266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三、磋商响应</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_Toc9266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14</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59527251">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_Toc16519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四、响应文件开启、资格审查与信用信息查询</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_Toc16519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17</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132ABF99">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_Toc29243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五、评审</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_Toc29243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18</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0CBB479">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_Toc17079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六、评审结果确定</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_Toc17079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18</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58696CB">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_Toc29548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七、合同授予</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_Toc29548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19</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2D89E672">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_Toc16899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八、电子交易活动的中止</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_Toc16899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19</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0C1EB60C">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_Toc7815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九、验收</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_Toc7815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20</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E15985D">
          <w:pPr>
            <w:pStyle w:val="28"/>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_Toc12497 </w:instrText>
          </w:r>
          <w:r>
            <w:rPr>
              <w:rFonts w:hint="eastAsia" w:ascii="仿宋" w:hAnsi="仿宋" w:eastAsia="仿宋" w:cs="仿宋"/>
              <w:b w:val="0"/>
              <w:bCs/>
              <w:sz w:val="28"/>
              <w:szCs w:val="28"/>
            </w:rPr>
            <w:fldChar w:fldCharType="separate"/>
          </w:r>
          <w:r>
            <w:rPr>
              <w:rFonts w:hint="eastAsia" w:ascii="仿宋" w:hAnsi="仿宋" w:eastAsia="仿宋" w:cs="仿宋"/>
              <w:b w:val="0"/>
              <w:bCs/>
              <w:kern w:val="2"/>
              <w:sz w:val="28"/>
              <w:szCs w:val="28"/>
              <w:highlight w:val="none"/>
            </w:rPr>
            <w:t>第三部分 采购需求</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_Toc12497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21</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721C0ACD">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_Toc16479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44"/>
              <w:highlight w:val="none"/>
            </w:rPr>
            <w:t>一、建设目标</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_Toc16479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21</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2FBEBCFE">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_Toc17572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44"/>
              <w:highlight w:val="none"/>
            </w:rPr>
            <w:t>二、建设内容</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_Toc17572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21</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570FDC02">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_Toc19583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44"/>
            </w:rPr>
            <w:t xml:space="preserve">三、 </w:t>
          </w:r>
          <w:r>
            <w:rPr>
              <w:rFonts w:hint="eastAsia" w:ascii="仿宋" w:hAnsi="仿宋" w:eastAsia="仿宋" w:cs="仿宋"/>
              <w:b w:val="0"/>
              <w:bCs/>
              <w:sz w:val="28"/>
              <w:szCs w:val="44"/>
              <w:highlight w:val="none"/>
            </w:rPr>
            <w:t>软件需求</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_Toc19583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CAEBBFC">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_Toc11934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44"/>
            </w:rPr>
            <w:t xml:space="preserve">四、 </w:t>
          </w:r>
          <w:r>
            <w:rPr>
              <w:rFonts w:hint="eastAsia" w:ascii="仿宋" w:hAnsi="仿宋" w:eastAsia="仿宋" w:cs="仿宋"/>
              <w:b w:val="0"/>
              <w:bCs/>
              <w:sz w:val="28"/>
              <w:szCs w:val="44"/>
              <w:highlight w:val="none"/>
            </w:rPr>
            <w:t>硬件采购</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_Toc11934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5DF2BD0C">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_Toc13340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44"/>
            </w:rPr>
            <w:t xml:space="preserve">五、 </w:t>
          </w:r>
          <w:r>
            <w:rPr>
              <w:rFonts w:hint="eastAsia" w:ascii="仿宋" w:hAnsi="仿宋" w:eastAsia="仿宋" w:cs="仿宋"/>
              <w:b w:val="0"/>
              <w:bCs/>
              <w:sz w:val="28"/>
              <w:szCs w:val="44"/>
              <w:highlight w:val="none"/>
            </w:rPr>
            <w:t>集成要求</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_Toc13340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35</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9CCB193">
          <w:pPr>
            <w:pStyle w:val="29"/>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_Toc5440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44"/>
            </w:rPr>
            <w:t xml:space="preserve">六、 </w:t>
          </w:r>
          <w:r>
            <w:rPr>
              <w:rFonts w:hint="eastAsia" w:ascii="仿宋" w:hAnsi="仿宋" w:eastAsia="仿宋" w:cs="仿宋"/>
              <w:b w:val="0"/>
              <w:bCs/>
              <w:sz w:val="28"/>
              <w:szCs w:val="44"/>
              <w:highlight w:val="none"/>
            </w:rPr>
            <w:t>其他要求</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_Toc5440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36</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420033B5">
          <w:pPr>
            <w:pStyle w:val="28"/>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_Toc32107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56"/>
              <w:highlight w:val="none"/>
            </w:rPr>
            <w:t>第四部分 评审办法</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_Toc32107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38</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3C96AF92">
          <w:pPr>
            <w:pStyle w:val="28"/>
            <w:tabs>
              <w:tab w:val="right" w:leader="dot" w:pos="9746"/>
            </w:tabs>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_Toc31993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第五部分 拟签订的合同文本</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_Toc31993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48</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4E230EAE">
          <w:pPr>
            <w:pStyle w:val="28"/>
            <w:tabs>
              <w:tab w:val="right" w:leader="dot" w:pos="9746"/>
            </w:tabs>
            <w:spacing w:line="360" w:lineRule="auto"/>
            <w:rPr>
              <w:b/>
              <w:sz w:val="22"/>
              <w:szCs w:val="22"/>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HYPERLINK \l _Toc15892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highlight w:val="none"/>
            </w:rPr>
            <w:t>第六部分 应提交的有关格式范例</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_Toc15892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77</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14:paraId="4E8E7820">
          <w:pPr>
            <w:bidi w:val="0"/>
            <w:rPr>
              <w:rFonts w:hint="eastAsia" w:ascii="Times New Roman" w:hAnsi="Times New Roman" w:eastAsia="宋体" w:cs="Times New Roman"/>
              <w:b/>
              <w:kern w:val="2"/>
              <w:sz w:val="21"/>
              <w:szCs w:val="24"/>
              <w:lang w:val="en-US" w:eastAsia="zh-CN" w:bidi="ar-SA"/>
            </w:rPr>
          </w:pPr>
          <w:r>
            <w:rPr>
              <w:rFonts w:hint="eastAsia"/>
              <w:b/>
            </w:rPr>
            <w:fldChar w:fldCharType="end"/>
          </w:r>
        </w:p>
      </w:sdtContent>
    </w:sdt>
    <w:p w14:paraId="1B3524C2">
      <w:pPr>
        <w:rPr>
          <w:rStyle w:val="19"/>
          <w:rFonts w:hint="eastAsia" w:ascii="仿宋" w:eastAsia="仿宋" w:cs="仿宋"/>
          <w:color w:val="auto"/>
          <w:highlight w:val="none"/>
        </w:rPr>
      </w:pPr>
      <w:bookmarkStart w:id="7" w:name="_Toc22492"/>
      <w:r>
        <w:rPr>
          <w:rStyle w:val="19"/>
          <w:rFonts w:hint="eastAsia" w:ascii="仿宋" w:eastAsia="仿宋" w:cs="仿宋"/>
          <w:color w:val="auto"/>
          <w:highlight w:val="none"/>
        </w:rPr>
        <w:br w:type="page"/>
      </w:r>
    </w:p>
    <w:p w14:paraId="57A9BED0">
      <w:pPr>
        <w:pStyle w:val="11"/>
        <w:tabs>
          <w:tab w:val="right" w:leader="dot" w:pos="9746"/>
        </w:tabs>
        <w:spacing w:line="360" w:lineRule="auto"/>
        <w:jc w:val="center"/>
        <w:outlineLvl w:val="0"/>
        <w:rPr>
          <w:rFonts w:hint="eastAsia" w:ascii="仿宋" w:hAnsi="仿宋" w:eastAsia="仿宋" w:cs="仿宋"/>
          <w:b/>
          <w:color w:val="auto"/>
          <w:sz w:val="36"/>
          <w:szCs w:val="20"/>
          <w:highlight w:val="none"/>
        </w:rPr>
      </w:pPr>
      <w:r>
        <w:rPr>
          <w:rStyle w:val="19"/>
          <w:rFonts w:hint="eastAsia" w:ascii="仿宋" w:eastAsia="仿宋" w:cs="仿宋"/>
          <w:color w:val="auto"/>
          <w:highlight w:val="none"/>
        </w:rPr>
        <w:t>第一部分 采购公告</w:t>
      </w:r>
      <w:bookmarkEnd w:id="3"/>
      <w:bookmarkEnd w:id="7"/>
    </w:p>
    <w:p w14:paraId="6521CE72">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项目概况</w:t>
      </w:r>
    </w:p>
    <w:p w14:paraId="1373194D">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温州市公安局两防预测预警防控平台的潜在供应商应在政采云平台（</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HYPERLINK "https://www.zcygov.cn/）获取（下载）招标文件，并于2021年" </w:instrText>
      </w:r>
      <w:r>
        <w:rPr>
          <w:rFonts w:hint="eastAsia" w:ascii="仿宋" w:hAnsi="仿宋" w:eastAsia="仿宋" w:cs="仿宋"/>
          <w:color w:val="auto"/>
          <w:sz w:val="22"/>
          <w:szCs w:val="22"/>
          <w:highlight w:val="none"/>
        </w:rPr>
        <w:fldChar w:fldCharType="separate"/>
      </w:r>
      <w:r>
        <w:rPr>
          <w:rStyle w:val="18"/>
          <w:rFonts w:hint="eastAsia" w:ascii="仿宋" w:hAnsi="仿宋" w:eastAsia="仿宋" w:cs="仿宋"/>
          <w:snapToGrid/>
          <w:color w:val="auto"/>
          <w:kern w:val="2"/>
          <w:sz w:val="22"/>
          <w:szCs w:val="22"/>
          <w:highlight w:val="none"/>
        </w:rPr>
        <w:t>https://www.zcygov.cn/）获取（下载）采购文件，并于</w:t>
      </w:r>
      <w:r>
        <w:rPr>
          <w:rFonts w:hint="eastAsia" w:ascii="仿宋" w:hAnsi="仿宋" w:eastAsia="仿宋" w:cs="仿宋"/>
          <w:color w:val="auto"/>
          <w:sz w:val="22"/>
          <w:szCs w:val="22"/>
          <w:highlight w:val="none"/>
        </w:rPr>
        <w:t>2024年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18</w:t>
      </w:r>
      <w:r>
        <w:rPr>
          <w:rFonts w:hint="eastAsia" w:ascii="仿宋" w:hAnsi="仿宋" w:eastAsia="仿宋" w:cs="仿宋"/>
          <w:color w:val="auto"/>
          <w:sz w:val="22"/>
          <w:szCs w:val="22"/>
          <w:highlight w:val="none"/>
        </w:rPr>
        <w:t>日09点30分</w:t>
      </w:r>
      <w:r>
        <w:rPr>
          <w:rFonts w:hint="eastAsia" w:ascii="仿宋" w:hAnsi="仿宋" w:eastAsia="仿宋" w:cs="仿宋"/>
          <w:bCs/>
          <w:color w:val="auto"/>
          <w:sz w:val="22"/>
          <w:szCs w:val="22"/>
          <w:highlight w:val="none"/>
        </w:rPr>
        <w:t>00秒</w:t>
      </w:r>
      <w:r>
        <w:rPr>
          <w:rFonts w:hint="eastAsia" w:ascii="仿宋" w:hAnsi="仿宋" w:eastAsia="仿宋" w:cs="仿宋"/>
          <w:color w:val="auto"/>
          <w:sz w:val="22"/>
          <w:szCs w:val="22"/>
          <w:highlight w:val="none"/>
        </w:rPr>
        <w:fldChar w:fldCharType="end"/>
      </w:r>
      <w:r>
        <w:rPr>
          <w:rFonts w:hint="eastAsia" w:ascii="仿宋" w:hAnsi="仿宋" w:eastAsia="仿宋" w:cs="仿宋"/>
          <w:bCs/>
          <w:color w:val="auto"/>
          <w:sz w:val="22"/>
          <w:szCs w:val="22"/>
          <w:highlight w:val="none"/>
        </w:rPr>
        <w:t>（北京时间）前</w:t>
      </w:r>
      <w:r>
        <w:rPr>
          <w:rFonts w:hint="eastAsia" w:ascii="仿宋" w:hAnsi="仿宋" w:eastAsia="仿宋" w:cs="仿宋"/>
          <w:color w:val="auto"/>
          <w:sz w:val="22"/>
          <w:szCs w:val="22"/>
          <w:highlight w:val="none"/>
        </w:rPr>
        <w:t>递交（上传）响应文件。</w:t>
      </w:r>
    </w:p>
    <w:p w14:paraId="4DF6B4E2">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一、项目基本情况                                            </w:t>
      </w:r>
    </w:p>
    <w:p w14:paraId="16A985F4">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项目编号：</w:t>
      </w:r>
      <w:r>
        <w:rPr>
          <w:rFonts w:hint="eastAsia" w:ascii="仿宋" w:hAnsi="仿宋" w:eastAsia="仿宋" w:cs="仿宋"/>
          <w:bCs/>
          <w:color w:val="auto"/>
          <w:sz w:val="22"/>
          <w:szCs w:val="22"/>
          <w:highlight w:val="none"/>
          <w:lang w:eastAsia="zh-CN"/>
        </w:rPr>
        <w:t>WZLCZB（W）-2024-11484</w:t>
      </w:r>
      <w:r>
        <w:rPr>
          <w:rFonts w:hint="eastAsia" w:ascii="仿宋" w:hAnsi="仿宋" w:eastAsia="仿宋" w:cs="仿宋"/>
          <w:bCs/>
          <w:color w:val="auto"/>
          <w:sz w:val="22"/>
          <w:szCs w:val="22"/>
          <w:highlight w:val="none"/>
        </w:rPr>
        <w:t xml:space="preserve"> </w:t>
      </w:r>
      <w:r>
        <w:rPr>
          <w:rFonts w:hint="eastAsia" w:ascii="仿宋" w:hAnsi="仿宋" w:eastAsia="仿宋" w:cs="仿宋"/>
          <w:color w:val="auto"/>
          <w:sz w:val="22"/>
          <w:szCs w:val="22"/>
          <w:highlight w:val="none"/>
        </w:rPr>
        <w:t xml:space="preserve">  </w:t>
      </w:r>
    </w:p>
    <w:p w14:paraId="78A91FD7">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2"/>
          <w:szCs w:val="22"/>
          <w:highlight w:val="none"/>
        </w:rPr>
      </w:pPr>
      <w:bookmarkStart w:id="8" w:name="_Toc24632"/>
      <w:r>
        <w:rPr>
          <w:rFonts w:hint="eastAsia" w:ascii="仿宋" w:hAnsi="仿宋" w:eastAsia="仿宋" w:cs="仿宋"/>
          <w:b/>
          <w:color w:val="auto"/>
          <w:sz w:val="22"/>
          <w:szCs w:val="22"/>
          <w:highlight w:val="none"/>
        </w:rPr>
        <w:t>项目名称：</w:t>
      </w:r>
      <w:r>
        <w:rPr>
          <w:rFonts w:hint="eastAsia" w:ascii="仿宋" w:hAnsi="仿宋" w:eastAsia="仿宋" w:cs="仿宋"/>
          <w:color w:val="auto"/>
          <w:sz w:val="22"/>
          <w:szCs w:val="22"/>
          <w:highlight w:val="none"/>
        </w:rPr>
        <w:t>温州市公安局两防预测预警防控平台</w:t>
      </w:r>
      <w:bookmarkEnd w:id="8"/>
    </w:p>
    <w:p w14:paraId="1D5912DA">
      <w:pPr>
        <w:spacing w:line="360" w:lineRule="auto"/>
        <w:ind w:firstLine="48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采购方式：</w:t>
      </w:r>
      <w:r>
        <w:rPr>
          <w:rFonts w:hint="eastAsia" w:ascii="仿宋" w:hAnsi="仿宋" w:eastAsia="仿宋" w:cs="仿宋"/>
          <w:bCs/>
          <w:color w:val="auto"/>
          <w:sz w:val="22"/>
          <w:szCs w:val="22"/>
          <w:highlight w:val="none"/>
        </w:rPr>
        <w:t>竞争性磋商</w:t>
      </w:r>
    </w:p>
    <w:p w14:paraId="148C31F9">
      <w:pPr>
        <w:spacing w:line="360" w:lineRule="auto"/>
        <w:ind w:firstLine="480"/>
        <w:rPr>
          <w:rFonts w:ascii="仿宋" w:hAnsi="仿宋" w:eastAsia="仿宋" w:cs="仿宋"/>
          <w:bCs/>
          <w:color w:val="auto"/>
          <w:sz w:val="22"/>
          <w:szCs w:val="22"/>
          <w:highlight w:val="none"/>
        </w:rPr>
      </w:pPr>
      <w:r>
        <w:rPr>
          <w:rFonts w:hint="eastAsia" w:ascii="仿宋" w:hAnsi="仿宋" w:eastAsia="仿宋" w:cs="仿宋"/>
          <w:b/>
          <w:color w:val="auto"/>
          <w:sz w:val="22"/>
          <w:szCs w:val="22"/>
          <w:highlight w:val="none"/>
        </w:rPr>
        <w:t>预算金额（元）：</w:t>
      </w:r>
      <w:r>
        <w:rPr>
          <w:rFonts w:hint="eastAsia" w:ascii="仿宋" w:hAnsi="仿宋" w:eastAsia="仿宋" w:cs="仿宋"/>
          <w:bCs/>
          <w:color w:val="auto"/>
          <w:sz w:val="22"/>
          <w:szCs w:val="22"/>
          <w:highlight w:val="none"/>
        </w:rPr>
        <w:t>2568000</w:t>
      </w:r>
    </w:p>
    <w:p w14:paraId="60849B0C">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最高限价（元）：</w:t>
      </w:r>
      <w:r>
        <w:rPr>
          <w:rFonts w:hint="eastAsia" w:ascii="仿宋" w:hAnsi="仿宋" w:eastAsia="仿宋" w:cs="仿宋"/>
          <w:bCs/>
          <w:color w:val="auto"/>
          <w:sz w:val="22"/>
          <w:szCs w:val="22"/>
          <w:highlight w:val="none"/>
        </w:rPr>
        <w:t>2568000</w:t>
      </w:r>
      <w:r>
        <w:rPr>
          <w:rFonts w:hint="eastAsia" w:ascii="仿宋" w:hAnsi="仿宋" w:eastAsia="仿宋" w:cs="仿宋"/>
          <w:color w:val="auto"/>
          <w:sz w:val="22"/>
          <w:szCs w:val="22"/>
          <w:highlight w:val="none"/>
        </w:rPr>
        <w:t xml:space="preserve">            </w:t>
      </w:r>
    </w:p>
    <w:p w14:paraId="7A2C7F50">
      <w:pPr>
        <w:spacing w:line="360" w:lineRule="auto"/>
        <w:ind w:firstLine="480"/>
        <w:rPr>
          <w:rFonts w:hint="eastAsia" w:ascii="仿宋" w:hAnsi="仿宋" w:eastAsia="仿宋" w:cs="仿宋"/>
          <w:b/>
          <w:color w:val="auto"/>
          <w:sz w:val="22"/>
          <w:szCs w:val="22"/>
          <w:highlight w:val="none"/>
        </w:rPr>
      </w:pPr>
    </w:p>
    <w:p w14:paraId="3699646F">
      <w:pPr>
        <w:spacing w:line="360" w:lineRule="auto"/>
        <w:ind w:firstLine="48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采购需求：</w:t>
      </w:r>
      <w:bookmarkStart w:id="9" w:name="_Toc26996"/>
      <w:bookmarkStart w:id="10" w:name="_Toc142"/>
      <w:bookmarkStart w:id="11" w:name="_Toc28404"/>
    </w:p>
    <w:p w14:paraId="280B2302">
      <w:pPr>
        <w:spacing w:line="360" w:lineRule="auto"/>
        <w:ind w:firstLine="48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数量：</w:t>
      </w:r>
      <w:r>
        <w:rPr>
          <w:rFonts w:hint="eastAsia" w:ascii="仿宋" w:hAnsi="仿宋" w:eastAsia="仿宋" w:cs="仿宋"/>
          <w:color w:val="auto"/>
          <w:sz w:val="22"/>
          <w:szCs w:val="22"/>
          <w:highlight w:val="none"/>
        </w:rPr>
        <w:t xml:space="preserve"> 1</w:t>
      </w:r>
      <w:r>
        <w:rPr>
          <w:rFonts w:hint="eastAsia" w:ascii="仿宋" w:hAnsi="仿宋" w:eastAsia="仿宋" w:cs="仿宋"/>
          <w:b/>
          <w:bCs/>
          <w:color w:val="auto"/>
          <w:sz w:val="22"/>
          <w:szCs w:val="22"/>
          <w:highlight w:val="none"/>
        </w:rPr>
        <w:t xml:space="preserve">                   </w:t>
      </w:r>
    </w:p>
    <w:p w14:paraId="09576FF1">
      <w:pPr>
        <w:spacing w:line="360" w:lineRule="auto"/>
        <w:ind w:firstLine="480"/>
        <w:rPr>
          <w:rFonts w:hint="eastAsia" w:ascii="仿宋" w:hAnsi="仿宋" w:eastAsia="仿宋" w:cs="仿宋"/>
          <w:bCs/>
          <w:color w:val="auto"/>
          <w:sz w:val="22"/>
          <w:szCs w:val="22"/>
          <w:highlight w:val="none"/>
        </w:rPr>
      </w:pPr>
      <w:r>
        <w:rPr>
          <w:rFonts w:hint="eastAsia" w:ascii="仿宋" w:hAnsi="仿宋" w:eastAsia="仿宋" w:cs="仿宋"/>
          <w:b/>
          <w:bCs/>
          <w:color w:val="auto"/>
          <w:sz w:val="22"/>
          <w:szCs w:val="22"/>
          <w:highlight w:val="none"/>
        </w:rPr>
        <w:t>预算金额（元）：</w:t>
      </w:r>
      <w:r>
        <w:rPr>
          <w:rFonts w:hint="eastAsia" w:ascii="仿宋" w:hAnsi="仿宋" w:eastAsia="仿宋" w:cs="仿宋"/>
          <w:bCs/>
          <w:color w:val="auto"/>
          <w:sz w:val="22"/>
          <w:szCs w:val="22"/>
          <w:highlight w:val="none"/>
        </w:rPr>
        <w:t>2568000</w:t>
      </w:r>
    </w:p>
    <w:p w14:paraId="44190D8B">
      <w:pPr>
        <w:spacing w:line="360" w:lineRule="auto"/>
        <w:ind w:firstLine="48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单位：</w:t>
      </w:r>
      <w:r>
        <w:rPr>
          <w:rFonts w:hint="eastAsia" w:ascii="仿宋" w:hAnsi="仿宋" w:eastAsia="仿宋" w:cs="仿宋"/>
          <w:bCs/>
          <w:color w:val="auto"/>
          <w:sz w:val="22"/>
          <w:szCs w:val="22"/>
          <w:highlight w:val="none"/>
        </w:rPr>
        <w:t xml:space="preserve">项 </w:t>
      </w:r>
      <w:r>
        <w:rPr>
          <w:rFonts w:hint="eastAsia" w:ascii="仿宋" w:hAnsi="仿宋" w:eastAsia="仿宋" w:cs="仿宋"/>
          <w:b/>
          <w:bCs/>
          <w:color w:val="auto"/>
          <w:sz w:val="22"/>
          <w:szCs w:val="22"/>
          <w:highlight w:val="none"/>
        </w:rPr>
        <w:t xml:space="preserve">          </w:t>
      </w:r>
    </w:p>
    <w:p w14:paraId="088BF0CE">
      <w:pPr>
        <w:spacing w:line="360" w:lineRule="auto"/>
        <w:ind w:firstLine="48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简要规格描述：</w:t>
      </w:r>
      <w:r>
        <w:rPr>
          <w:rFonts w:hint="eastAsia" w:ascii="仿宋" w:hAnsi="仿宋" w:eastAsia="仿宋" w:cs="仿宋"/>
          <w:color w:val="auto"/>
          <w:sz w:val="22"/>
          <w:szCs w:val="22"/>
          <w:highlight w:val="none"/>
        </w:rPr>
        <w:t>具体详见采购文件第三部分采购需求</w:t>
      </w:r>
      <w:r>
        <w:rPr>
          <w:rFonts w:hint="eastAsia" w:ascii="仿宋" w:hAnsi="仿宋" w:eastAsia="仿宋" w:cs="仿宋"/>
          <w:b/>
          <w:bCs/>
          <w:color w:val="auto"/>
          <w:sz w:val="22"/>
          <w:szCs w:val="22"/>
          <w:highlight w:val="none"/>
        </w:rPr>
        <w:t xml:space="preserve">           </w:t>
      </w:r>
    </w:p>
    <w:p w14:paraId="07911651">
      <w:pPr>
        <w:spacing w:line="360" w:lineRule="auto"/>
        <w:ind w:firstLine="48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备注：</w:t>
      </w:r>
    </w:p>
    <w:p w14:paraId="5C47CF04">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合同履约期限：</w:t>
      </w:r>
      <w:bookmarkEnd w:id="9"/>
      <w:bookmarkEnd w:id="10"/>
      <w:r>
        <w:rPr>
          <w:rFonts w:hint="eastAsia" w:ascii="仿宋" w:hAnsi="仿宋" w:eastAsia="仿宋" w:cs="仿宋"/>
          <w:bCs/>
          <w:color w:val="auto"/>
          <w:sz w:val="22"/>
          <w:szCs w:val="22"/>
          <w:highlight w:val="none"/>
        </w:rPr>
        <w:t>标项 1，具体详见采购文件第三部分采购需求</w:t>
      </w:r>
      <w:bookmarkEnd w:id="11"/>
      <w:r>
        <w:rPr>
          <w:rFonts w:hint="eastAsia" w:ascii="仿宋" w:hAnsi="仿宋" w:eastAsia="仿宋" w:cs="仿宋"/>
          <w:color w:val="auto"/>
          <w:sz w:val="22"/>
          <w:szCs w:val="22"/>
          <w:highlight w:val="none"/>
        </w:rPr>
        <w:t xml:space="preserve"> </w:t>
      </w:r>
    </w:p>
    <w:p w14:paraId="5175D095">
      <w:pPr>
        <w:spacing w:line="360" w:lineRule="auto"/>
        <w:ind w:firstLine="48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本项目</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b/>
          <w:color w:val="auto"/>
          <w:sz w:val="22"/>
          <w:szCs w:val="22"/>
          <w:highlight w:val="none"/>
        </w:rPr>
        <w:t>接受联合体响应</w:t>
      </w:r>
      <w:r>
        <w:rPr>
          <w:rFonts w:hint="eastAsia" w:ascii="仿宋" w:hAnsi="仿宋" w:eastAsia="仿宋" w:cs="仿宋"/>
          <w:color w:val="auto"/>
          <w:kern w:val="0"/>
          <w:sz w:val="22"/>
          <w:szCs w:val="22"/>
          <w:highlight w:val="none"/>
        </w:rPr>
        <w:t>。</w:t>
      </w:r>
    </w:p>
    <w:p w14:paraId="44A42CDF">
      <w:pPr>
        <w:spacing w:line="360" w:lineRule="auto"/>
        <w:outlineLvl w:val="1"/>
        <w:rPr>
          <w:rFonts w:hint="eastAsia" w:ascii="仿宋" w:hAnsi="仿宋" w:eastAsia="仿宋" w:cs="仿宋"/>
          <w:b/>
          <w:color w:val="auto"/>
          <w:sz w:val="22"/>
          <w:szCs w:val="22"/>
          <w:highlight w:val="none"/>
        </w:rPr>
      </w:pPr>
      <w:bookmarkStart w:id="12" w:name="_Toc8285"/>
      <w:r>
        <w:rPr>
          <w:rFonts w:hint="eastAsia" w:ascii="仿宋" w:hAnsi="仿宋" w:eastAsia="仿宋" w:cs="仿宋"/>
          <w:b/>
          <w:color w:val="auto"/>
          <w:sz w:val="22"/>
          <w:szCs w:val="22"/>
          <w:highlight w:val="none"/>
        </w:rPr>
        <w:t>二、申请人的资格要求：</w:t>
      </w:r>
      <w:bookmarkEnd w:id="12"/>
    </w:p>
    <w:p w14:paraId="323F8A5B">
      <w:pPr>
        <w:spacing w:line="360" w:lineRule="auto"/>
        <w:ind w:firstLine="480"/>
        <w:rPr>
          <w:rFonts w:hint="eastAsia"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1FAA088">
      <w:pPr>
        <w:spacing w:line="360" w:lineRule="auto"/>
        <w:ind w:firstLine="480"/>
        <w:rPr>
          <w:rFonts w:hint="eastAsia"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2.落实政府采购政策需满足的资格要求：标项1：供应商为中小企业；</w:t>
      </w:r>
    </w:p>
    <w:p w14:paraId="637735AB">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snapToGrid w:val="0"/>
          <w:color w:val="auto"/>
          <w:kern w:val="28"/>
          <w:sz w:val="22"/>
          <w:szCs w:val="22"/>
          <w:highlight w:val="none"/>
        </w:rPr>
        <w:t>3.本</w:t>
      </w:r>
      <w:r>
        <w:rPr>
          <w:rFonts w:hint="eastAsia" w:ascii="仿宋" w:hAnsi="仿宋" w:eastAsia="仿宋" w:cs="仿宋"/>
          <w:color w:val="auto"/>
          <w:sz w:val="22"/>
          <w:szCs w:val="22"/>
          <w:highlight w:val="none"/>
        </w:rPr>
        <w:t>项目的特定资格要求：无。</w:t>
      </w:r>
    </w:p>
    <w:p w14:paraId="29E97D14">
      <w:pPr>
        <w:spacing w:line="360" w:lineRule="auto"/>
        <w:outlineLvl w:val="1"/>
        <w:rPr>
          <w:rFonts w:hint="eastAsia" w:ascii="仿宋" w:hAnsi="仿宋" w:eastAsia="仿宋" w:cs="仿宋"/>
          <w:b/>
          <w:color w:val="auto"/>
          <w:sz w:val="22"/>
          <w:szCs w:val="22"/>
          <w:highlight w:val="none"/>
        </w:rPr>
      </w:pPr>
      <w:bookmarkStart w:id="13" w:name="_Toc22771"/>
      <w:r>
        <w:rPr>
          <w:rFonts w:hint="eastAsia" w:ascii="仿宋" w:hAnsi="仿宋" w:eastAsia="仿宋" w:cs="仿宋"/>
          <w:b/>
          <w:color w:val="auto"/>
          <w:sz w:val="22"/>
          <w:szCs w:val="22"/>
          <w:highlight w:val="none"/>
        </w:rPr>
        <w:t>三、获取采购文件</w:t>
      </w:r>
      <w:bookmarkEnd w:id="13"/>
      <w:r>
        <w:rPr>
          <w:rFonts w:hint="eastAsia" w:ascii="仿宋" w:hAnsi="仿宋" w:eastAsia="仿宋" w:cs="仿宋"/>
          <w:b/>
          <w:color w:val="auto"/>
          <w:sz w:val="22"/>
          <w:szCs w:val="22"/>
          <w:highlight w:val="none"/>
        </w:rPr>
        <w:t xml:space="preserve"> </w:t>
      </w:r>
    </w:p>
    <w:p w14:paraId="4624D711">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时间：</w:t>
      </w:r>
      <w:r>
        <w:rPr>
          <w:rFonts w:hint="eastAsia" w:ascii="仿宋" w:hAnsi="仿宋" w:eastAsia="仿宋" w:cs="仿宋"/>
          <w:color w:val="auto"/>
          <w:sz w:val="22"/>
          <w:szCs w:val="22"/>
          <w:highlight w:val="none"/>
          <w:lang w:val="en-US" w:eastAsia="zh-CN"/>
        </w:rPr>
        <w:t>2024年11月6日</w:t>
      </w:r>
      <w:r>
        <w:rPr>
          <w:rFonts w:hint="eastAsia" w:ascii="仿宋" w:hAnsi="仿宋" w:eastAsia="仿宋" w:cs="仿宋"/>
          <w:color w:val="auto"/>
          <w:sz w:val="22"/>
          <w:szCs w:val="22"/>
          <w:highlight w:val="none"/>
        </w:rPr>
        <w:t>至2024年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18</w:t>
      </w:r>
      <w:r>
        <w:rPr>
          <w:rFonts w:hint="eastAsia" w:ascii="仿宋" w:hAnsi="仿宋" w:eastAsia="仿宋" w:cs="仿宋"/>
          <w:color w:val="auto"/>
          <w:sz w:val="22"/>
          <w:szCs w:val="22"/>
          <w:highlight w:val="none"/>
        </w:rPr>
        <w:t>日，每天上午00:00至12:00 ，下午12:00至23:59（北京时间，线上获取法定节假日均可，线下获取文件法定节假日除外）</w:t>
      </w:r>
    </w:p>
    <w:p w14:paraId="16F3D395">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地点（网址）：</w:t>
      </w:r>
      <w:r>
        <w:rPr>
          <w:rFonts w:hint="eastAsia" w:ascii="仿宋" w:hAnsi="仿宋" w:eastAsia="仿宋" w:cs="仿宋"/>
          <w:color w:val="auto"/>
          <w:sz w:val="22"/>
          <w:szCs w:val="22"/>
          <w:highlight w:val="none"/>
        </w:rPr>
        <w:t xml:space="preserve">政采云平台（https://www.zcygov.cn/） </w:t>
      </w:r>
    </w:p>
    <w:p w14:paraId="71E41CBF">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方式：</w:t>
      </w:r>
      <w:r>
        <w:rPr>
          <w:rFonts w:hint="eastAsia" w:ascii="仿宋" w:hAnsi="仿宋" w:eastAsia="仿宋" w:cs="仿宋"/>
          <w:color w:val="auto"/>
          <w:sz w:val="22"/>
          <w:szCs w:val="22"/>
          <w:highlight w:val="none"/>
        </w:rPr>
        <w:t xml:space="preserve">供应商登录政采云平台https://www.zcygov.cn/在线申请获取采购文件（进入“项目采购”应用，在获取采购文件菜单中选择项目，申请获取采购文件）。 </w:t>
      </w:r>
    </w:p>
    <w:p w14:paraId="236C785A">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售价（元）：</w:t>
      </w:r>
      <w:r>
        <w:rPr>
          <w:rFonts w:hint="eastAsia" w:ascii="仿宋" w:hAnsi="仿宋" w:eastAsia="仿宋" w:cs="仿宋"/>
          <w:color w:val="auto"/>
          <w:sz w:val="22"/>
          <w:szCs w:val="22"/>
          <w:highlight w:val="none"/>
        </w:rPr>
        <w:t xml:space="preserve">0 </w:t>
      </w:r>
      <w:r>
        <w:rPr>
          <w:rFonts w:hint="eastAsia" w:ascii="仿宋" w:hAnsi="仿宋" w:eastAsia="仿宋" w:cs="仿宋"/>
          <w:color w:val="auto"/>
          <w:sz w:val="22"/>
          <w:szCs w:val="22"/>
          <w:highlight w:val="none"/>
        </w:rPr>
        <w:tab/>
      </w:r>
    </w:p>
    <w:p w14:paraId="0FFAD502">
      <w:pPr>
        <w:spacing w:line="360" w:lineRule="auto"/>
        <w:outlineLvl w:val="1"/>
        <w:rPr>
          <w:rFonts w:hint="eastAsia" w:ascii="仿宋" w:hAnsi="仿宋" w:eastAsia="仿宋" w:cs="仿宋"/>
          <w:b/>
          <w:color w:val="auto"/>
          <w:sz w:val="22"/>
          <w:szCs w:val="22"/>
          <w:highlight w:val="none"/>
        </w:rPr>
      </w:pPr>
      <w:bookmarkStart w:id="14" w:name="_Toc30229"/>
      <w:r>
        <w:rPr>
          <w:rFonts w:hint="eastAsia" w:ascii="仿宋" w:hAnsi="仿宋" w:eastAsia="仿宋" w:cs="仿宋"/>
          <w:b/>
          <w:color w:val="auto"/>
          <w:sz w:val="22"/>
          <w:szCs w:val="22"/>
          <w:highlight w:val="none"/>
        </w:rPr>
        <w:t>四、提交响应文件截止时间、开启时间和地点</w:t>
      </w:r>
      <w:bookmarkEnd w:id="14"/>
    </w:p>
    <w:p w14:paraId="19BE3567">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提交响应文件截止时间：</w:t>
      </w:r>
      <w:r>
        <w:rPr>
          <w:rFonts w:hint="eastAsia" w:ascii="仿宋" w:hAnsi="仿宋" w:eastAsia="仿宋" w:cs="仿宋"/>
          <w:color w:val="auto"/>
          <w:sz w:val="22"/>
          <w:szCs w:val="22"/>
          <w:highlight w:val="none"/>
        </w:rPr>
        <w:t>2024年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18</w:t>
      </w:r>
      <w:r>
        <w:rPr>
          <w:rFonts w:hint="eastAsia" w:ascii="仿宋" w:hAnsi="仿宋" w:eastAsia="仿宋" w:cs="仿宋"/>
          <w:color w:val="auto"/>
          <w:sz w:val="22"/>
          <w:szCs w:val="22"/>
          <w:highlight w:val="none"/>
        </w:rPr>
        <w:t>日09点30分</w:t>
      </w:r>
      <w:r>
        <w:rPr>
          <w:rFonts w:hint="eastAsia" w:ascii="仿宋" w:hAnsi="仿宋" w:eastAsia="仿宋" w:cs="仿宋"/>
          <w:bCs/>
          <w:color w:val="auto"/>
          <w:sz w:val="22"/>
          <w:szCs w:val="22"/>
          <w:highlight w:val="none"/>
        </w:rPr>
        <w:t>00秒</w:t>
      </w:r>
      <w:r>
        <w:rPr>
          <w:rFonts w:hint="eastAsia" w:ascii="仿宋" w:hAnsi="仿宋" w:eastAsia="仿宋" w:cs="仿宋"/>
          <w:color w:val="auto"/>
          <w:sz w:val="22"/>
          <w:szCs w:val="22"/>
          <w:highlight w:val="none"/>
        </w:rPr>
        <w:t>（北京时间）</w:t>
      </w:r>
    </w:p>
    <w:p w14:paraId="33671622">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响应地点（网址）：</w:t>
      </w:r>
      <w:r>
        <w:rPr>
          <w:rFonts w:hint="eastAsia" w:ascii="仿宋" w:hAnsi="仿宋" w:eastAsia="仿宋" w:cs="仿宋"/>
          <w:color w:val="auto"/>
          <w:sz w:val="22"/>
          <w:szCs w:val="22"/>
          <w:highlight w:val="none"/>
        </w:rPr>
        <w:t xml:space="preserve">温州市鹿城区勤民路鹿城壹号18幢803室（政采云https://www.zcygov.cn/） </w:t>
      </w:r>
    </w:p>
    <w:p w14:paraId="520DFF14">
      <w:pPr>
        <w:spacing w:line="360" w:lineRule="auto"/>
        <w:ind w:firstLine="442" w:firstLineChars="200"/>
        <w:rPr>
          <w:rFonts w:hint="eastAsia" w:ascii="仿宋" w:hAnsi="仿宋" w:eastAsia="仿宋" w:cs="仿宋"/>
          <w:bCs/>
          <w:color w:val="auto"/>
          <w:sz w:val="22"/>
          <w:szCs w:val="22"/>
          <w:highlight w:val="none"/>
        </w:rPr>
      </w:pPr>
      <w:r>
        <w:rPr>
          <w:rFonts w:hint="eastAsia" w:ascii="仿宋" w:hAnsi="仿宋" w:eastAsia="仿宋" w:cs="仿宋"/>
          <w:b/>
          <w:color w:val="auto"/>
          <w:sz w:val="22"/>
          <w:szCs w:val="22"/>
          <w:highlight w:val="none"/>
        </w:rPr>
        <w:t>开启时间：</w:t>
      </w:r>
      <w:r>
        <w:rPr>
          <w:rFonts w:hint="eastAsia" w:ascii="仿宋" w:hAnsi="仿宋" w:eastAsia="仿宋" w:cs="仿宋"/>
          <w:color w:val="auto"/>
          <w:sz w:val="22"/>
          <w:szCs w:val="22"/>
          <w:highlight w:val="none"/>
        </w:rPr>
        <w:t>2024年</w:t>
      </w:r>
      <w:r>
        <w:rPr>
          <w:rFonts w:hint="eastAsia" w:ascii="仿宋" w:hAnsi="仿宋" w:eastAsia="仿宋" w:cs="仿宋"/>
          <w:color w:val="auto"/>
          <w:sz w:val="22"/>
          <w:szCs w:val="22"/>
          <w:highlight w:val="none"/>
          <w:lang w:val="en-US" w:eastAsia="zh-CN"/>
        </w:rPr>
        <w:t>11</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18</w:t>
      </w:r>
      <w:r>
        <w:rPr>
          <w:rFonts w:hint="eastAsia" w:ascii="仿宋" w:hAnsi="仿宋" w:eastAsia="仿宋" w:cs="仿宋"/>
          <w:color w:val="auto"/>
          <w:sz w:val="22"/>
          <w:szCs w:val="22"/>
          <w:highlight w:val="none"/>
        </w:rPr>
        <w:t>日09点30分</w:t>
      </w:r>
      <w:r>
        <w:rPr>
          <w:rFonts w:hint="eastAsia" w:ascii="仿宋" w:hAnsi="仿宋" w:eastAsia="仿宋" w:cs="仿宋"/>
          <w:bCs/>
          <w:color w:val="auto"/>
          <w:sz w:val="22"/>
          <w:szCs w:val="22"/>
          <w:highlight w:val="none"/>
        </w:rPr>
        <w:t>00秒</w:t>
      </w:r>
    </w:p>
    <w:p w14:paraId="6730B292">
      <w:pPr>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地点（网址）：</w:t>
      </w:r>
      <w:r>
        <w:rPr>
          <w:rFonts w:hint="eastAsia" w:ascii="仿宋" w:hAnsi="仿宋" w:eastAsia="仿宋" w:cs="仿宋"/>
          <w:color w:val="auto"/>
          <w:sz w:val="22"/>
          <w:szCs w:val="22"/>
          <w:highlight w:val="none"/>
        </w:rPr>
        <w:t>温州市鹿城区勤民路鹿城壹号18幢803室（政采云https://www.zcygov.cn/）</w:t>
      </w:r>
    </w:p>
    <w:p w14:paraId="77EDD474">
      <w:pPr>
        <w:spacing w:line="360" w:lineRule="auto"/>
        <w:outlineLvl w:val="1"/>
        <w:rPr>
          <w:rFonts w:hint="eastAsia" w:ascii="仿宋" w:hAnsi="仿宋" w:eastAsia="仿宋" w:cs="仿宋"/>
          <w:color w:val="auto"/>
          <w:sz w:val="22"/>
          <w:szCs w:val="22"/>
          <w:highlight w:val="none"/>
        </w:rPr>
      </w:pPr>
      <w:bookmarkStart w:id="15" w:name="_Toc29743"/>
      <w:r>
        <w:rPr>
          <w:rFonts w:hint="eastAsia" w:ascii="仿宋" w:hAnsi="仿宋" w:eastAsia="仿宋" w:cs="仿宋"/>
          <w:b/>
          <w:color w:val="auto"/>
          <w:sz w:val="22"/>
          <w:szCs w:val="22"/>
          <w:highlight w:val="none"/>
        </w:rPr>
        <w:t>五、公告期限</w:t>
      </w:r>
      <w:bookmarkEnd w:id="15"/>
      <w:r>
        <w:rPr>
          <w:rFonts w:hint="eastAsia" w:ascii="仿宋" w:hAnsi="仿宋" w:eastAsia="仿宋" w:cs="仿宋"/>
          <w:b/>
          <w:color w:val="auto"/>
          <w:sz w:val="22"/>
          <w:szCs w:val="22"/>
          <w:highlight w:val="none"/>
        </w:rPr>
        <w:t xml:space="preserve"> </w:t>
      </w:r>
    </w:p>
    <w:p w14:paraId="712FB0D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自本公告发布之日起3个工作日。</w:t>
      </w:r>
    </w:p>
    <w:p w14:paraId="3FF6366C">
      <w:pPr>
        <w:spacing w:line="360" w:lineRule="auto"/>
        <w:outlineLvl w:val="1"/>
        <w:rPr>
          <w:rFonts w:hint="eastAsia" w:ascii="仿宋" w:hAnsi="仿宋" w:eastAsia="仿宋" w:cs="仿宋"/>
          <w:b/>
          <w:color w:val="auto"/>
          <w:sz w:val="22"/>
          <w:szCs w:val="22"/>
          <w:highlight w:val="none"/>
        </w:rPr>
      </w:pPr>
      <w:bookmarkStart w:id="16" w:name="_Toc15055"/>
      <w:r>
        <w:rPr>
          <w:rFonts w:hint="eastAsia" w:ascii="仿宋" w:hAnsi="仿宋" w:eastAsia="仿宋" w:cs="仿宋"/>
          <w:b/>
          <w:color w:val="auto"/>
          <w:sz w:val="22"/>
          <w:szCs w:val="22"/>
          <w:highlight w:val="none"/>
        </w:rPr>
        <w:t>六、其他补充事宜</w:t>
      </w:r>
      <w:bookmarkEnd w:id="16"/>
    </w:p>
    <w:p w14:paraId="097F20E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E5130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3630B98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投标文件的传输递交：磋商供应商在投标截止时间前将加密的投标文件上传至政府采购云平台； ⑥投标文件的解密：磋商供应商按照平台提示和采购文件的规定在半小时内完成在线解密；⑦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w:t>
      </w:r>
    </w:p>
    <w:p w14:paraId="3719CFA8">
      <w:pPr>
        <w:spacing w:line="360" w:lineRule="auto"/>
        <w:outlineLvl w:val="1"/>
        <w:rPr>
          <w:rFonts w:hint="eastAsia" w:ascii="仿宋" w:hAnsi="仿宋" w:eastAsia="仿宋" w:cs="仿宋"/>
          <w:b/>
          <w:color w:val="auto"/>
          <w:sz w:val="22"/>
          <w:szCs w:val="22"/>
          <w:highlight w:val="none"/>
        </w:rPr>
      </w:pPr>
      <w:bookmarkStart w:id="17" w:name="_Toc8157"/>
      <w:r>
        <w:rPr>
          <w:rFonts w:hint="eastAsia" w:ascii="仿宋" w:hAnsi="仿宋" w:eastAsia="仿宋" w:cs="仿宋"/>
          <w:b/>
          <w:color w:val="auto"/>
          <w:sz w:val="22"/>
          <w:szCs w:val="22"/>
          <w:highlight w:val="none"/>
        </w:rPr>
        <w:t>七、对本次采购提出询问、质疑、投诉，请按以下方式联系</w:t>
      </w:r>
      <w:bookmarkEnd w:id="17"/>
    </w:p>
    <w:p w14:paraId="021030A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1.采购人信息</w:t>
      </w:r>
    </w:p>
    <w:p w14:paraId="34E5C3A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名    称：温州市公安局</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513E4A24">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地    址：温州市惠民路公安科技大楼</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7577C428">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    真：/</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6BFD4398">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项目联系人（询问）：陈先生</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249E4A4B">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项目联系方式（询问）：0577-89980308</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1E798822">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质疑联系人：陈先生</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2633A185">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质疑联系方式：0577-89980308</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55EF0319">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2.采购代理机构信息            </w:t>
      </w:r>
    </w:p>
    <w:p w14:paraId="755CB83E">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名    称：温州历程招标有限公司   </w:t>
      </w:r>
    </w:p>
    <w:p w14:paraId="65E53AF9">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址：温州市鹿城区勤民路鹿城壹号18幢803室</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61C4414B">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    真：0577-89887255</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1E2C54E2">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项目联系人（询问）：温碧霞</w:t>
      </w:r>
      <w:bookmarkStart w:id="591" w:name="_GoBack"/>
      <w:bookmarkEnd w:id="591"/>
      <w:r>
        <w:rPr>
          <w:rFonts w:hint="eastAsia" w:ascii="仿宋" w:hAnsi="仿宋" w:eastAsia="仿宋" w:cs="仿宋"/>
          <w:color w:val="auto"/>
          <w:sz w:val="22"/>
          <w:szCs w:val="22"/>
          <w:highlight w:val="none"/>
        </w:rPr>
        <w:t xml:space="preserve">、郑永强                  </w:t>
      </w:r>
    </w:p>
    <w:p w14:paraId="25EB08C6">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项目联系方式（询问）：0577-89887322、13757727199</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446D27FE">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质疑联系人：肖忠文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4221055B">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质疑联系方式：13757727199     </w:t>
      </w:r>
    </w:p>
    <w:p w14:paraId="5BE9F7D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3.同级政府采购监督管理部门</w:t>
      </w:r>
    </w:p>
    <w:p w14:paraId="067ABCA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    称：温州市财政局政府采购监管处 </w:t>
      </w:r>
    </w:p>
    <w:p w14:paraId="3C970F1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址：温州市鹿城区绣山路299号 </w:t>
      </w:r>
    </w:p>
    <w:p w14:paraId="5FD8732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    真：/ </w:t>
      </w:r>
    </w:p>
    <w:p w14:paraId="187081C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联系人 ：项先生、蔡女士</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02D1581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监督投诉电话：0577-88532725、88521948</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t xml:space="preserve">                         </w:t>
      </w:r>
    </w:p>
    <w:p w14:paraId="61773DC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w:t>
      </w:r>
    </w:p>
    <w:p w14:paraId="3122D64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CA问题联系电话（人工）：汇信CA 400-888-4636；天谷CA 400-087-8198。</w:t>
      </w:r>
    </w:p>
    <w:p w14:paraId="013A5B4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14:paraId="48063A91">
      <w:pPr>
        <w:numPr>
          <w:ilvl w:val="0"/>
          <w:numId w:val="1"/>
        </w:numPr>
        <w:adjustRightInd/>
        <w:spacing w:line="360" w:lineRule="auto"/>
        <w:jc w:val="center"/>
        <w:outlineLvl w:val="0"/>
        <w:rPr>
          <w:rStyle w:val="19"/>
          <w:rFonts w:hint="eastAsia" w:ascii="仿宋" w:eastAsia="仿宋" w:cs="仿宋"/>
          <w:color w:val="auto"/>
          <w:highlight w:val="none"/>
        </w:rPr>
      </w:pPr>
      <w:r>
        <w:rPr>
          <w:rFonts w:hint="eastAsia" w:ascii="仿宋" w:hAnsi="仿宋" w:eastAsia="仿宋" w:cs="仿宋"/>
          <w:b/>
          <w:color w:val="auto"/>
          <w:sz w:val="36"/>
          <w:szCs w:val="20"/>
          <w:highlight w:val="none"/>
        </w:rPr>
        <w:br w:type="page"/>
      </w:r>
      <w:bookmarkEnd w:id="4"/>
      <w:r>
        <w:rPr>
          <w:rFonts w:hint="eastAsia" w:ascii="仿宋" w:hAnsi="仿宋" w:eastAsia="仿宋" w:cs="仿宋"/>
          <w:b/>
          <w:color w:val="auto"/>
          <w:sz w:val="36"/>
          <w:szCs w:val="20"/>
          <w:highlight w:val="none"/>
        </w:rPr>
        <w:t xml:space="preserve"> </w:t>
      </w:r>
      <w:bookmarkStart w:id="18" w:name="_Toc1879858288"/>
      <w:bookmarkStart w:id="19" w:name="_Toc4823"/>
      <w:r>
        <w:rPr>
          <w:rStyle w:val="19"/>
          <w:rFonts w:hint="eastAsia" w:ascii="仿宋" w:eastAsia="仿宋" w:cs="仿宋"/>
          <w:color w:val="auto"/>
          <w:highlight w:val="none"/>
        </w:rPr>
        <w:t>供应商须知</w:t>
      </w:r>
      <w:bookmarkEnd w:id="5"/>
      <w:bookmarkEnd w:id="18"/>
      <w:bookmarkEnd w:id="19"/>
    </w:p>
    <w:p w14:paraId="62BDFD5F">
      <w:pPr>
        <w:adjustRightInd/>
        <w:spacing w:line="360" w:lineRule="auto"/>
        <w:jc w:val="center"/>
        <w:outlineLvl w:val="1"/>
        <w:rPr>
          <w:rStyle w:val="19"/>
          <w:rFonts w:hint="eastAsia" w:ascii="仿宋" w:eastAsia="仿宋" w:cs="仿宋"/>
          <w:color w:val="auto"/>
          <w:highlight w:val="none"/>
        </w:rPr>
      </w:pPr>
      <w:bookmarkStart w:id="20" w:name="_Toc998831752"/>
      <w:bookmarkStart w:id="21" w:name="_Toc11436"/>
      <w:r>
        <w:rPr>
          <w:rStyle w:val="19"/>
          <w:rFonts w:hint="eastAsia" w:ascii="仿宋" w:eastAsia="仿宋" w:cs="仿宋"/>
          <w:color w:val="auto"/>
          <w:highlight w:val="none"/>
        </w:rPr>
        <w:t>前附表</w:t>
      </w:r>
      <w:bookmarkEnd w:id="20"/>
      <w:bookmarkEnd w:id="21"/>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7"/>
        <w:gridCol w:w="2340"/>
        <w:gridCol w:w="6514"/>
      </w:tblGrid>
      <w:tr w14:paraId="2DC12A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947" w:type="dxa"/>
            <w:noWrap w:val="0"/>
            <w:vAlign w:val="center"/>
          </w:tcPr>
          <w:p w14:paraId="17A69B2B">
            <w:pPr>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2340" w:type="dxa"/>
            <w:noWrap w:val="0"/>
            <w:vAlign w:val="center"/>
          </w:tcPr>
          <w:p w14:paraId="7B9F59B5">
            <w:pPr>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   目</w:t>
            </w:r>
          </w:p>
        </w:tc>
        <w:tc>
          <w:tcPr>
            <w:tcW w:w="6514" w:type="dxa"/>
            <w:noWrap w:val="0"/>
            <w:vAlign w:val="center"/>
          </w:tcPr>
          <w:p w14:paraId="6DED05EB">
            <w:pPr>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内       容</w:t>
            </w:r>
          </w:p>
        </w:tc>
      </w:tr>
      <w:tr w14:paraId="4BC6C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47" w:type="dxa"/>
            <w:noWrap w:val="0"/>
            <w:vAlign w:val="center"/>
          </w:tcPr>
          <w:p w14:paraId="134DFAE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340" w:type="dxa"/>
            <w:noWrap w:val="0"/>
            <w:vAlign w:val="center"/>
          </w:tcPr>
          <w:p w14:paraId="4F93D60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6514" w:type="dxa"/>
            <w:noWrap w:val="0"/>
            <w:vAlign w:val="center"/>
          </w:tcPr>
          <w:p w14:paraId="6CDF0074">
            <w:pPr>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详见第一部分“采购公告”</w:t>
            </w:r>
          </w:p>
        </w:tc>
      </w:tr>
      <w:tr w14:paraId="2C512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947" w:type="dxa"/>
            <w:noWrap w:val="0"/>
            <w:vAlign w:val="center"/>
          </w:tcPr>
          <w:p w14:paraId="3DFBB05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340" w:type="dxa"/>
            <w:noWrap w:val="0"/>
            <w:vAlign w:val="center"/>
          </w:tcPr>
          <w:p w14:paraId="333A287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合同履行地点</w:t>
            </w:r>
          </w:p>
        </w:tc>
        <w:tc>
          <w:tcPr>
            <w:tcW w:w="6514" w:type="dxa"/>
            <w:noWrap w:val="0"/>
            <w:vAlign w:val="center"/>
          </w:tcPr>
          <w:p w14:paraId="3DD5CEBC">
            <w:pPr>
              <w:rPr>
                <w:rFonts w:hint="eastAsia" w:ascii="仿宋" w:hAnsi="仿宋" w:eastAsia="仿宋" w:cs="仿宋"/>
                <w:color w:val="auto"/>
                <w:sz w:val="22"/>
                <w:szCs w:val="22"/>
                <w:highlight w:val="none"/>
              </w:rPr>
            </w:pPr>
            <w:r>
              <w:rPr>
                <w:rFonts w:hint="eastAsia" w:ascii="仿宋" w:hAnsi="仿宋" w:eastAsia="仿宋" w:cs="仿宋"/>
                <w:bCs/>
                <w:color w:val="auto"/>
                <w:kern w:val="0"/>
                <w:sz w:val="22"/>
                <w:szCs w:val="22"/>
                <w:highlight w:val="none"/>
              </w:rPr>
              <w:t>详见第一部分“采购公告”</w:t>
            </w:r>
          </w:p>
        </w:tc>
      </w:tr>
      <w:tr w14:paraId="267DD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947" w:type="dxa"/>
            <w:noWrap w:val="0"/>
            <w:vAlign w:val="center"/>
          </w:tcPr>
          <w:p w14:paraId="010DA57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340" w:type="dxa"/>
            <w:noWrap w:val="0"/>
            <w:vAlign w:val="center"/>
          </w:tcPr>
          <w:p w14:paraId="7E9017C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项目编号</w:t>
            </w:r>
          </w:p>
        </w:tc>
        <w:tc>
          <w:tcPr>
            <w:tcW w:w="6514" w:type="dxa"/>
            <w:noWrap w:val="0"/>
            <w:vAlign w:val="center"/>
          </w:tcPr>
          <w:p w14:paraId="6991A61E">
            <w:pPr>
              <w:rPr>
                <w:rFonts w:hint="eastAsia" w:ascii="仿宋" w:hAnsi="仿宋" w:eastAsia="仿宋" w:cs="仿宋"/>
                <w:color w:val="auto"/>
                <w:sz w:val="22"/>
                <w:szCs w:val="22"/>
                <w:highlight w:val="none"/>
              </w:rPr>
            </w:pPr>
            <w:r>
              <w:rPr>
                <w:rFonts w:hint="eastAsia" w:ascii="仿宋" w:hAnsi="仿宋" w:eastAsia="仿宋" w:cs="仿宋"/>
                <w:bCs/>
                <w:color w:val="auto"/>
                <w:kern w:val="0"/>
                <w:sz w:val="22"/>
                <w:szCs w:val="22"/>
                <w:highlight w:val="none"/>
              </w:rPr>
              <w:t>详见第一部分“采购公告”</w:t>
            </w:r>
          </w:p>
        </w:tc>
      </w:tr>
      <w:tr w14:paraId="5D69B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47" w:type="dxa"/>
            <w:noWrap w:val="0"/>
            <w:vAlign w:val="center"/>
          </w:tcPr>
          <w:p w14:paraId="293C517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340" w:type="dxa"/>
            <w:noWrap w:val="0"/>
            <w:vAlign w:val="center"/>
          </w:tcPr>
          <w:p w14:paraId="0B15096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采购方式</w:t>
            </w:r>
          </w:p>
        </w:tc>
        <w:tc>
          <w:tcPr>
            <w:tcW w:w="6514" w:type="dxa"/>
            <w:noWrap w:val="0"/>
            <w:vAlign w:val="center"/>
          </w:tcPr>
          <w:p w14:paraId="50C74D28">
            <w:pP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竞争性磋商</w:t>
            </w:r>
          </w:p>
        </w:tc>
      </w:tr>
      <w:tr w14:paraId="630C5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947" w:type="dxa"/>
            <w:noWrap w:val="0"/>
            <w:vAlign w:val="center"/>
          </w:tcPr>
          <w:p w14:paraId="4DC218F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2340" w:type="dxa"/>
            <w:noWrap w:val="0"/>
            <w:vAlign w:val="center"/>
          </w:tcPr>
          <w:p w14:paraId="1CE9399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采购需求</w:t>
            </w:r>
          </w:p>
        </w:tc>
        <w:tc>
          <w:tcPr>
            <w:tcW w:w="6514" w:type="dxa"/>
            <w:noWrap w:val="0"/>
            <w:vAlign w:val="center"/>
          </w:tcPr>
          <w:p w14:paraId="2761D71B">
            <w:pP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详见第一部分“采购公告”</w:t>
            </w:r>
          </w:p>
        </w:tc>
      </w:tr>
      <w:tr w14:paraId="62376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947" w:type="dxa"/>
            <w:noWrap w:val="0"/>
            <w:vAlign w:val="center"/>
          </w:tcPr>
          <w:p w14:paraId="07BD169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2340" w:type="dxa"/>
            <w:noWrap w:val="0"/>
            <w:vAlign w:val="center"/>
          </w:tcPr>
          <w:p w14:paraId="145DF09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合同履约期限</w:t>
            </w:r>
          </w:p>
        </w:tc>
        <w:tc>
          <w:tcPr>
            <w:tcW w:w="6514" w:type="dxa"/>
            <w:noWrap w:val="0"/>
            <w:vAlign w:val="center"/>
          </w:tcPr>
          <w:p w14:paraId="5C7B69BE">
            <w:pPr>
              <w:rPr>
                <w:rFonts w:hint="eastAsia" w:ascii="仿宋" w:hAnsi="仿宋" w:eastAsia="仿宋" w:cs="仿宋"/>
                <w:color w:val="auto"/>
                <w:kern w:val="0"/>
                <w:sz w:val="22"/>
                <w:szCs w:val="22"/>
                <w:highlight w:val="none"/>
              </w:rPr>
            </w:pPr>
            <w:r>
              <w:rPr>
                <w:rFonts w:hint="eastAsia" w:ascii="仿宋" w:hAnsi="仿宋" w:eastAsia="仿宋" w:cs="仿宋"/>
                <w:bCs/>
                <w:color w:val="auto"/>
                <w:kern w:val="0"/>
                <w:sz w:val="22"/>
                <w:szCs w:val="22"/>
                <w:highlight w:val="none"/>
              </w:rPr>
              <w:t>详见第一部分“采购公告”</w:t>
            </w:r>
          </w:p>
        </w:tc>
      </w:tr>
      <w:tr w14:paraId="75753D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947" w:type="dxa"/>
            <w:noWrap w:val="0"/>
            <w:vAlign w:val="center"/>
          </w:tcPr>
          <w:p w14:paraId="1157E8E1">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2340" w:type="dxa"/>
            <w:noWrap w:val="0"/>
            <w:vAlign w:val="center"/>
          </w:tcPr>
          <w:p w14:paraId="7EFFEB3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资金来源</w:t>
            </w:r>
          </w:p>
        </w:tc>
        <w:tc>
          <w:tcPr>
            <w:tcW w:w="6514" w:type="dxa"/>
            <w:noWrap w:val="0"/>
            <w:vAlign w:val="center"/>
          </w:tcPr>
          <w:p w14:paraId="78FB0CC2">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财政资金</w:t>
            </w:r>
          </w:p>
        </w:tc>
      </w:tr>
      <w:tr w14:paraId="56AC7C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47" w:type="dxa"/>
            <w:noWrap w:val="0"/>
            <w:vAlign w:val="center"/>
          </w:tcPr>
          <w:p w14:paraId="0AB8A77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2340" w:type="dxa"/>
            <w:noWrap w:val="0"/>
            <w:vAlign w:val="center"/>
          </w:tcPr>
          <w:p w14:paraId="6D7544C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磋商保证金</w:t>
            </w:r>
          </w:p>
        </w:tc>
        <w:tc>
          <w:tcPr>
            <w:tcW w:w="6514" w:type="dxa"/>
            <w:noWrap w:val="0"/>
            <w:vAlign w:val="center"/>
          </w:tcPr>
          <w:p w14:paraId="0D8B3D3D">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本项目不需缴纳磋商保证金。</w:t>
            </w:r>
          </w:p>
        </w:tc>
      </w:tr>
      <w:tr w14:paraId="20B5F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947" w:type="dxa"/>
            <w:noWrap w:val="0"/>
            <w:vAlign w:val="center"/>
          </w:tcPr>
          <w:p w14:paraId="429F8E8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w:t>
            </w:r>
          </w:p>
        </w:tc>
        <w:tc>
          <w:tcPr>
            <w:tcW w:w="2340" w:type="dxa"/>
            <w:noWrap w:val="0"/>
            <w:vAlign w:val="center"/>
          </w:tcPr>
          <w:p w14:paraId="35D7EBD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履约保证金</w:t>
            </w:r>
          </w:p>
        </w:tc>
        <w:tc>
          <w:tcPr>
            <w:tcW w:w="6514" w:type="dxa"/>
            <w:noWrap w:val="0"/>
            <w:vAlign w:val="center"/>
          </w:tcPr>
          <w:p w14:paraId="63E38C37">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本项目不需缴履约保证金。</w:t>
            </w:r>
          </w:p>
        </w:tc>
      </w:tr>
      <w:tr w14:paraId="43779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947" w:type="dxa"/>
            <w:noWrap w:val="0"/>
            <w:vAlign w:val="center"/>
          </w:tcPr>
          <w:p w14:paraId="2AB56BD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2340" w:type="dxa"/>
            <w:noWrap w:val="0"/>
            <w:vAlign w:val="center"/>
          </w:tcPr>
          <w:p w14:paraId="414C5766">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u w:val="single"/>
              </w:rPr>
              <w:t>▲最高限价</w:t>
            </w:r>
          </w:p>
        </w:tc>
        <w:tc>
          <w:tcPr>
            <w:tcW w:w="6514" w:type="dxa"/>
            <w:noWrap w:val="0"/>
            <w:vAlign w:val="center"/>
          </w:tcPr>
          <w:p w14:paraId="4612586E">
            <w:pP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详见第一部分“采购公告”</w:t>
            </w:r>
          </w:p>
        </w:tc>
      </w:tr>
      <w:tr w14:paraId="59200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47" w:type="dxa"/>
            <w:noWrap w:val="0"/>
            <w:vAlign w:val="center"/>
          </w:tcPr>
          <w:p w14:paraId="2E8017C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w:t>
            </w:r>
          </w:p>
        </w:tc>
        <w:tc>
          <w:tcPr>
            <w:tcW w:w="2340" w:type="dxa"/>
            <w:noWrap w:val="0"/>
            <w:vAlign w:val="center"/>
          </w:tcPr>
          <w:p w14:paraId="14812713">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响应文件开启前答疑会或现场踏勘</w:t>
            </w:r>
          </w:p>
        </w:tc>
        <w:tc>
          <w:tcPr>
            <w:tcW w:w="6514" w:type="dxa"/>
            <w:noWrap w:val="0"/>
            <w:vAlign w:val="center"/>
          </w:tcPr>
          <w:p w14:paraId="75FE9F5D">
            <w:pP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kern w:val="0"/>
                <w:sz w:val="22"/>
                <w:szCs w:val="22"/>
                <w:highlight w:val="none"/>
              </w:rPr>
              <w:t xml:space="preserve"> 不组织。</w:t>
            </w:r>
          </w:p>
        </w:tc>
      </w:tr>
      <w:tr w14:paraId="2659C9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947" w:type="dxa"/>
            <w:noWrap w:val="0"/>
            <w:vAlign w:val="center"/>
          </w:tcPr>
          <w:p w14:paraId="2E7BE70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w:t>
            </w:r>
          </w:p>
        </w:tc>
        <w:tc>
          <w:tcPr>
            <w:tcW w:w="2340" w:type="dxa"/>
            <w:noWrap w:val="0"/>
            <w:vAlign w:val="center"/>
          </w:tcPr>
          <w:p w14:paraId="3F07E3BA">
            <w:pPr>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分包与转包</w:t>
            </w:r>
          </w:p>
        </w:tc>
        <w:tc>
          <w:tcPr>
            <w:tcW w:w="6514" w:type="dxa"/>
            <w:noWrap w:val="0"/>
            <w:vAlign w:val="center"/>
          </w:tcPr>
          <w:p w14:paraId="754E2C9C">
            <w:pP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（1）分包：</w:t>
            </w:r>
          </w:p>
          <w:p w14:paraId="4A2504A6">
            <w:pP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sym w:font="Wingdings" w:char="00A8"/>
            </w:r>
            <w:r>
              <w:rPr>
                <w:rFonts w:hint="eastAsia" w:ascii="仿宋" w:hAnsi="仿宋" w:eastAsia="仿宋" w:cs="仿宋"/>
                <w:bCs/>
                <w:color w:val="auto"/>
                <w:kern w:val="0"/>
                <w:sz w:val="22"/>
                <w:szCs w:val="22"/>
                <w:highlight w:val="none"/>
              </w:rPr>
              <w:t xml:space="preserve"> 同意将非主体、非关键性的</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bCs/>
                <w:color w:val="auto"/>
                <w:kern w:val="0"/>
                <w:sz w:val="22"/>
                <w:szCs w:val="22"/>
                <w:highlight w:val="none"/>
              </w:rPr>
              <w:t>工作分包。</w:t>
            </w:r>
          </w:p>
          <w:p w14:paraId="7997824D">
            <w:pP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sym w:font="Wingdings" w:char="00FE"/>
            </w:r>
            <w:r>
              <w:rPr>
                <w:rFonts w:hint="eastAsia" w:ascii="仿宋" w:hAnsi="仿宋" w:eastAsia="仿宋" w:cs="仿宋"/>
                <w:bCs/>
                <w:color w:val="auto"/>
                <w:kern w:val="0"/>
                <w:sz w:val="22"/>
                <w:szCs w:val="22"/>
                <w:highlight w:val="none"/>
              </w:rPr>
              <w:t xml:space="preserve"> 不同意分包。</w:t>
            </w:r>
          </w:p>
          <w:p w14:paraId="538AB896">
            <w:pPr>
              <w:numPr>
                <w:ilvl w:val="0"/>
                <w:numId w:val="2"/>
              </w:numPr>
              <w:rPr>
                <w:rFonts w:hint="eastAsia" w:ascii="仿宋" w:hAnsi="仿宋" w:eastAsia="仿宋" w:cs="仿宋"/>
                <w:color w:val="auto"/>
                <w:sz w:val="22"/>
                <w:szCs w:val="22"/>
                <w:highlight w:val="none"/>
              </w:rPr>
            </w:pPr>
            <w:r>
              <w:rPr>
                <w:rFonts w:hint="eastAsia" w:ascii="仿宋" w:hAnsi="仿宋" w:eastAsia="仿宋" w:cs="仿宋"/>
                <w:bCs/>
                <w:color w:val="auto"/>
                <w:kern w:val="0"/>
                <w:sz w:val="22"/>
                <w:szCs w:val="22"/>
                <w:highlight w:val="none"/>
              </w:rPr>
              <w:t>转包：本项目不允许转包。</w:t>
            </w:r>
          </w:p>
        </w:tc>
      </w:tr>
      <w:tr w14:paraId="6258E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47" w:type="dxa"/>
            <w:noWrap w:val="0"/>
            <w:vAlign w:val="center"/>
          </w:tcPr>
          <w:p w14:paraId="2DE6A32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w:t>
            </w:r>
          </w:p>
        </w:tc>
        <w:tc>
          <w:tcPr>
            <w:tcW w:w="2340" w:type="dxa"/>
            <w:noWrap w:val="0"/>
            <w:vAlign w:val="center"/>
          </w:tcPr>
          <w:p w14:paraId="3CA2B547">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项目属性与核心产品</w:t>
            </w:r>
          </w:p>
        </w:tc>
        <w:tc>
          <w:tcPr>
            <w:tcW w:w="6514" w:type="dxa"/>
            <w:noWrap w:val="0"/>
            <w:vAlign w:val="center"/>
          </w:tcPr>
          <w:p w14:paraId="7917C21E">
            <w:pP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sym w:font="Wingdings" w:char="00A8"/>
            </w:r>
            <w:r>
              <w:rPr>
                <w:rFonts w:hint="eastAsia" w:ascii="仿宋" w:hAnsi="仿宋" w:eastAsia="仿宋" w:cs="仿宋"/>
                <w:color w:val="auto"/>
                <w:kern w:val="0"/>
                <w:sz w:val="22"/>
                <w:szCs w:val="22"/>
                <w:highlight w:val="none"/>
              </w:rPr>
              <w:t>货物类，单一产品或核心产品为：</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w:t>
            </w:r>
          </w:p>
          <w:p w14:paraId="1D43DDD8">
            <w:pP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kern w:val="0"/>
                <w:sz w:val="22"/>
                <w:szCs w:val="22"/>
                <w:highlight w:val="none"/>
              </w:rPr>
              <w:t>服务类。</w:t>
            </w:r>
          </w:p>
        </w:tc>
      </w:tr>
      <w:tr w14:paraId="68FC9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947" w:type="dxa"/>
            <w:noWrap w:val="0"/>
            <w:vAlign w:val="center"/>
          </w:tcPr>
          <w:p w14:paraId="7C3DBC4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w:t>
            </w:r>
          </w:p>
        </w:tc>
        <w:tc>
          <w:tcPr>
            <w:tcW w:w="2340" w:type="dxa"/>
            <w:noWrap w:val="0"/>
            <w:vAlign w:val="center"/>
          </w:tcPr>
          <w:p w14:paraId="4583B154">
            <w:pPr>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是否允许采购进口产品</w:t>
            </w:r>
          </w:p>
        </w:tc>
        <w:tc>
          <w:tcPr>
            <w:tcW w:w="6514" w:type="dxa"/>
            <w:noWrap w:val="0"/>
            <w:vAlign w:val="center"/>
          </w:tcPr>
          <w:p w14:paraId="768DEC74">
            <w:pP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sym w:font="Wingdings" w:char="00FE"/>
            </w:r>
            <w:r>
              <w:rPr>
                <w:rFonts w:hint="eastAsia" w:ascii="仿宋" w:hAnsi="仿宋" w:eastAsia="仿宋" w:cs="仿宋"/>
                <w:bCs/>
                <w:color w:val="auto"/>
                <w:kern w:val="0"/>
                <w:sz w:val="22"/>
                <w:szCs w:val="22"/>
                <w:highlight w:val="none"/>
              </w:rPr>
              <w:t>本项目不允许采购进口产品。</w:t>
            </w:r>
          </w:p>
        </w:tc>
      </w:tr>
      <w:tr w14:paraId="307D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947" w:type="dxa"/>
            <w:noWrap w:val="0"/>
            <w:vAlign w:val="center"/>
          </w:tcPr>
          <w:p w14:paraId="6F0E5EC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w:t>
            </w:r>
          </w:p>
        </w:tc>
        <w:tc>
          <w:tcPr>
            <w:tcW w:w="2340" w:type="dxa"/>
            <w:noWrap w:val="0"/>
            <w:vAlign w:val="center"/>
          </w:tcPr>
          <w:p w14:paraId="40C7180E">
            <w:pPr>
              <w:jc w:val="center"/>
              <w:rPr>
                <w:rFonts w:hint="eastAsia" w:ascii="仿宋" w:hAnsi="仿宋" w:eastAsia="仿宋" w:cs="仿宋"/>
                <w:bCs/>
                <w:snapToGrid w:val="0"/>
                <w:color w:val="auto"/>
                <w:kern w:val="0"/>
                <w:sz w:val="22"/>
                <w:szCs w:val="22"/>
                <w:highlight w:val="none"/>
              </w:rPr>
            </w:pPr>
            <w:r>
              <w:rPr>
                <w:rFonts w:hint="eastAsia" w:ascii="仿宋" w:hAnsi="仿宋" w:eastAsia="仿宋" w:cs="仿宋"/>
                <w:bCs/>
                <w:color w:val="auto"/>
                <w:sz w:val="22"/>
                <w:szCs w:val="22"/>
                <w:highlight w:val="none"/>
              </w:rPr>
              <w:t>样品提供</w:t>
            </w:r>
          </w:p>
        </w:tc>
        <w:tc>
          <w:tcPr>
            <w:tcW w:w="6514" w:type="dxa"/>
            <w:noWrap w:val="0"/>
            <w:vAlign w:val="center"/>
          </w:tcPr>
          <w:p w14:paraId="2C245F0A">
            <w:pPr>
              <w:rPr>
                <w:rFonts w:hint="eastAsia" w:ascii="仿宋" w:hAnsi="仿宋" w:eastAsia="仿宋" w:cs="仿宋"/>
                <w:snapToGrid w:val="0"/>
                <w:color w:val="auto"/>
                <w:kern w:val="0"/>
                <w:sz w:val="22"/>
                <w:szCs w:val="22"/>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sz w:val="22"/>
                <w:szCs w:val="22"/>
                <w:highlight w:val="none"/>
              </w:rPr>
              <w:t>不要求提供。</w:t>
            </w:r>
          </w:p>
        </w:tc>
      </w:tr>
      <w:tr w14:paraId="795CA0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947" w:type="dxa"/>
            <w:noWrap w:val="0"/>
            <w:vAlign w:val="center"/>
          </w:tcPr>
          <w:p w14:paraId="1E39646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w:t>
            </w:r>
          </w:p>
        </w:tc>
        <w:tc>
          <w:tcPr>
            <w:tcW w:w="2340" w:type="dxa"/>
            <w:noWrap w:val="0"/>
            <w:vAlign w:val="center"/>
          </w:tcPr>
          <w:p w14:paraId="1C3A92D5">
            <w:pPr>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方案讲解演示</w:t>
            </w:r>
          </w:p>
        </w:tc>
        <w:tc>
          <w:tcPr>
            <w:tcW w:w="6514" w:type="dxa"/>
            <w:noWrap w:val="0"/>
            <w:vAlign w:val="center"/>
          </w:tcPr>
          <w:p w14:paraId="59C5F8B3">
            <w:pP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sz w:val="22"/>
                <w:szCs w:val="22"/>
                <w:highlight w:val="none"/>
              </w:rPr>
              <w:t>不组织。</w:t>
            </w:r>
          </w:p>
          <w:p w14:paraId="504ED00C">
            <w:pP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sym w:font="Wingdings" w:char="00A8"/>
            </w:r>
            <w:r>
              <w:rPr>
                <w:rFonts w:hint="eastAsia" w:ascii="仿宋" w:hAnsi="仿宋" w:eastAsia="仿宋" w:cs="仿宋"/>
                <w:color w:val="auto"/>
                <w:kern w:val="0"/>
                <w:sz w:val="22"/>
                <w:szCs w:val="22"/>
                <w:highlight w:val="none"/>
              </w:rPr>
              <w:t xml:space="preserve"> 组织。</w:t>
            </w:r>
          </w:p>
          <w:p w14:paraId="6EFE05E1">
            <w:pPr>
              <w:ind w:firstLine="220" w:firstLineChars="1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在评审时安排每个供应商进行方案讲解演示。每个供应商时间不超过15分钟，讲解次序以响应文件开启时间解密时间先后次序为准，讲解演示人员不超过2人。讲解演示结束后按要求解答磋商小组提问。</w:t>
            </w:r>
          </w:p>
          <w:p w14:paraId="0958080A">
            <w:pPr>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5A049C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7" w:type="dxa"/>
            <w:noWrap w:val="0"/>
            <w:vAlign w:val="center"/>
          </w:tcPr>
          <w:p w14:paraId="55F8943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w:t>
            </w:r>
          </w:p>
        </w:tc>
        <w:tc>
          <w:tcPr>
            <w:tcW w:w="2340" w:type="dxa"/>
            <w:noWrap w:val="0"/>
            <w:vAlign w:val="center"/>
          </w:tcPr>
          <w:p w14:paraId="4817EC7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响应文件的编制</w:t>
            </w:r>
          </w:p>
        </w:tc>
        <w:tc>
          <w:tcPr>
            <w:tcW w:w="6514" w:type="dxa"/>
            <w:noWrap w:val="0"/>
            <w:vAlign w:val="center"/>
          </w:tcPr>
          <w:p w14:paraId="5C86B83D">
            <w:pPr>
              <w:rPr>
                <w:rFonts w:hint="eastAsia" w:ascii="仿宋" w:hAnsi="仿宋" w:eastAsia="仿宋" w:cs="仿宋"/>
                <w:color w:val="auto"/>
                <w:sz w:val="22"/>
                <w:szCs w:val="22"/>
                <w:highlight w:val="none"/>
              </w:rPr>
            </w:pPr>
            <w:r>
              <w:rPr>
                <w:rFonts w:hint="eastAsia" w:ascii="仿宋" w:hAnsi="仿宋" w:eastAsia="仿宋" w:cs="仿宋"/>
                <w:bCs/>
                <w:color w:val="auto"/>
                <w:kern w:val="0"/>
                <w:sz w:val="22"/>
                <w:szCs w:val="22"/>
                <w:highlight w:val="none"/>
              </w:rPr>
              <w:t>详见第二部分“</w:t>
            </w:r>
            <w:r>
              <w:rPr>
                <w:rFonts w:hint="eastAsia" w:ascii="仿宋" w:hAnsi="仿宋" w:eastAsia="仿宋" w:cs="仿宋"/>
                <w:color w:val="auto"/>
                <w:sz w:val="22"/>
                <w:szCs w:val="22"/>
                <w:highlight w:val="none"/>
                <w:lang w:val="zh-CN"/>
              </w:rPr>
              <w:t>供应商须知</w:t>
            </w:r>
            <w:r>
              <w:rPr>
                <w:rFonts w:hint="eastAsia" w:ascii="仿宋" w:hAnsi="仿宋" w:eastAsia="仿宋" w:cs="仿宋"/>
                <w:bCs/>
                <w:color w:val="auto"/>
                <w:kern w:val="0"/>
                <w:sz w:val="22"/>
                <w:szCs w:val="22"/>
                <w:highlight w:val="none"/>
              </w:rPr>
              <w:t>”</w:t>
            </w:r>
            <w:r>
              <w:rPr>
                <w:rFonts w:hint="eastAsia" w:ascii="仿宋" w:hAnsi="仿宋" w:eastAsia="仿宋" w:cs="仿宋"/>
                <w:color w:val="auto"/>
                <w:sz w:val="22"/>
                <w:szCs w:val="22"/>
                <w:highlight w:val="none"/>
                <w:lang w:val="zh-CN"/>
              </w:rPr>
              <w:t>第</w:t>
            </w:r>
            <w:r>
              <w:rPr>
                <w:rFonts w:hint="eastAsia" w:ascii="仿宋" w:hAnsi="仿宋" w:eastAsia="仿宋" w:cs="仿宋"/>
                <w:color w:val="auto"/>
                <w:sz w:val="22"/>
                <w:szCs w:val="22"/>
                <w:highlight w:val="none"/>
              </w:rPr>
              <w:t>12</w:t>
            </w:r>
            <w:r>
              <w:rPr>
                <w:rFonts w:hint="eastAsia" w:ascii="仿宋" w:hAnsi="仿宋" w:eastAsia="仿宋" w:cs="仿宋"/>
                <w:color w:val="auto"/>
                <w:sz w:val="22"/>
                <w:szCs w:val="22"/>
                <w:highlight w:val="none"/>
                <w:lang w:val="zh-CN"/>
              </w:rPr>
              <w:t>款</w:t>
            </w:r>
          </w:p>
        </w:tc>
      </w:tr>
      <w:tr w14:paraId="4F09E4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7" w:type="dxa"/>
            <w:noWrap w:val="0"/>
            <w:vAlign w:val="center"/>
          </w:tcPr>
          <w:p w14:paraId="64CE2FD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w:t>
            </w:r>
          </w:p>
        </w:tc>
        <w:tc>
          <w:tcPr>
            <w:tcW w:w="2340" w:type="dxa"/>
            <w:noWrap w:val="0"/>
            <w:vAlign w:val="center"/>
          </w:tcPr>
          <w:p w14:paraId="0C40EF0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响应文件的形式</w:t>
            </w:r>
          </w:p>
        </w:tc>
        <w:tc>
          <w:tcPr>
            <w:tcW w:w="6514" w:type="dxa"/>
            <w:noWrap w:val="0"/>
            <w:vAlign w:val="center"/>
          </w:tcPr>
          <w:p w14:paraId="12330CF4">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电子响应文件（包括“电子加密响应文件”和“备份响应文件”，在响应文件编制完成后同时生成）；</w:t>
            </w:r>
          </w:p>
          <w:p w14:paraId="10D6982E">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（1）“电子加密响应文件”是指通过“政采云电子交易客户端”完成响应文件编制后生成并加密的数据电文形式的响应文件。</w:t>
            </w:r>
          </w:p>
          <w:p w14:paraId="0F2F6CA7">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39BE10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47" w:type="dxa"/>
            <w:noWrap w:val="0"/>
            <w:vAlign w:val="center"/>
          </w:tcPr>
          <w:p w14:paraId="018A77B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w:t>
            </w:r>
          </w:p>
        </w:tc>
        <w:tc>
          <w:tcPr>
            <w:tcW w:w="2340" w:type="dxa"/>
            <w:noWrap w:val="0"/>
            <w:vAlign w:val="center"/>
          </w:tcPr>
          <w:p w14:paraId="24B8DD2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响应文件的传输递交</w:t>
            </w:r>
          </w:p>
        </w:tc>
        <w:tc>
          <w:tcPr>
            <w:tcW w:w="6514" w:type="dxa"/>
            <w:noWrap w:val="0"/>
            <w:vAlign w:val="center"/>
          </w:tcPr>
          <w:p w14:paraId="74987DC1">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详见第二部分“供应商须知”第15款</w:t>
            </w:r>
          </w:p>
          <w:p w14:paraId="7596B2BF">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注：上传、递交过程中如有疑问，可咨询“政采云”客服热线：95763</w:t>
            </w:r>
          </w:p>
        </w:tc>
      </w:tr>
      <w:tr w14:paraId="56419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947" w:type="dxa"/>
            <w:noWrap w:val="0"/>
            <w:vAlign w:val="center"/>
          </w:tcPr>
          <w:p w14:paraId="21CD531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2340" w:type="dxa"/>
            <w:noWrap w:val="0"/>
            <w:vAlign w:val="center"/>
          </w:tcPr>
          <w:p w14:paraId="43A8D9C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提交响应文件截止时间、开启时间和地点</w:t>
            </w:r>
          </w:p>
        </w:tc>
        <w:tc>
          <w:tcPr>
            <w:tcW w:w="6514" w:type="dxa"/>
            <w:noWrap w:val="0"/>
            <w:vAlign w:val="center"/>
          </w:tcPr>
          <w:p w14:paraId="00C9B5FA">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详见第一部分“采购公告”</w:t>
            </w:r>
          </w:p>
        </w:tc>
      </w:tr>
      <w:tr w14:paraId="4E18DF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47" w:type="dxa"/>
            <w:noWrap w:val="0"/>
            <w:vAlign w:val="center"/>
          </w:tcPr>
          <w:p w14:paraId="2285C29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w:t>
            </w:r>
          </w:p>
        </w:tc>
        <w:tc>
          <w:tcPr>
            <w:tcW w:w="2340" w:type="dxa"/>
            <w:noWrap w:val="0"/>
            <w:vAlign w:val="center"/>
          </w:tcPr>
          <w:p w14:paraId="1CC1546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磋商小组的组建</w:t>
            </w:r>
          </w:p>
        </w:tc>
        <w:tc>
          <w:tcPr>
            <w:tcW w:w="6514" w:type="dxa"/>
            <w:noWrap w:val="0"/>
            <w:vAlign w:val="center"/>
          </w:tcPr>
          <w:p w14:paraId="66349415">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磋商小组由采购人代表和评审专家组成，成员人数应当为 3 人以上单数，其中评审专家不得少于成员总数的三分之二。</w:t>
            </w:r>
          </w:p>
        </w:tc>
      </w:tr>
      <w:tr w14:paraId="1FAF4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947" w:type="dxa"/>
            <w:noWrap w:val="0"/>
            <w:vAlign w:val="center"/>
          </w:tcPr>
          <w:p w14:paraId="75D4641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p>
        </w:tc>
        <w:tc>
          <w:tcPr>
            <w:tcW w:w="2340" w:type="dxa"/>
            <w:noWrap w:val="0"/>
            <w:vAlign w:val="center"/>
          </w:tcPr>
          <w:p w14:paraId="21C0121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评审办法</w:t>
            </w:r>
          </w:p>
        </w:tc>
        <w:tc>
          <w:tcPr>
            <w:tcW w:w="6514" w:type="dxa"/>
            <w:noWrap w:val="0"/>
            <w:vAlign w:val="center"/>
          </w:tcPr>
          <w:p w14:paraId="3C5A9222">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详见第四部分“评审办法前附表”</w:t>
            </w:r>
          </w:p>
        </w:tc>
      </w:tr>
      <w:tr w14:paraId="0069F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47" w:type="dxa"/>
            <w:noWrap w:val="0"/>
            <w:vAlign w:val="center"/>
          </w:tcPr>
          <w:p w14:paraId="4C923DE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w:t>
            </w:r>
          </w:p>
        </w:tc>
        <w:tc>
          <w:tcPr>
            <w:tcW w:w="2340" w:type="dxa"/>
            <w:noWrap w:val="0"/>
            <w:vAlign w:val="center"/>
          </w:tcPr>
          <w:p w14:paraId="3BF402D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成交结果公告</w:t>
            </w:r>
          </w:p>
        </w:tc>
        <w:tc>
          <w:tcPr>
            <w:tcW w:w="6514" w:type="dxa"/>
            <w:noWrap w:val="0"/>
            <w:vAlign w:val="center"/>
          </w:tcPr>
          <w:p w14:paraId="726EF8FC">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结果经采购人确认后2个工作日内，采购代理机构将对外发布成交公告和成交通知书。采购代理机构按相关政府采购规定将成交结果发布在政府采购网上进行公示，公示期为1个工作日。采购人、采购代理机构及磋商小组对未成交的供应商不作落标原因解释。</w:t>
            </w:r>
          </w:p>
        </w:tc>
      </w:tr>
      <w:tr w14:paraId="17F24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947" w:type="dxa"/>
            <w:noWrap w:val="0"/>
            <w:vAlign w:val="center"/>
          </w:tcPr>
          <w:p w14:paraId="3456A6F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w:t>
            </w:r>
          </w:p>
        </w:tc>
        <w:tc>
          <w:tcPr>
            <w:tcW w:w="2340" w:type="dxa"/>
            <w:noWrap w:val="0"/>
            <w:vAlign w:val="center"/>
          </w:tcPr>
          <w:p w14:paraId="7680288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合同签订时间</w:t>
            </w:r>
          </w:p>
        </w:tc>
        <w:tc>
          <w:tcPr>
            <w:tcW w:w="6514" w:type="dxa"/>
            <w:noWrap w:val="0"/>
            <w:vAlign w:val="center"/>
          </w:tcPr>
          <w:p w14:paraId="67C0A232">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成交通知书发出后30日内。</w:t>
            </w:r>
          </w:p>
        </w:tc>
      </w:tr>
      <w:tr w14:paraId="36A02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947" w:type="dxa"/>
            <w:noWrap w:val="0"/>
            <w:vAlign w:val="center"/>
          </w:tcPr>
          <w:p w14:paraId="458FFA20">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w:t>
            </w:r>
          </w:p>
        </w:tc>
        <w:tc>
          <w:tcPr>
            <w:tcW w:w="2340" w:type="dxa"/>
            <w:noWrap w:val="0"/>
            <w:vAlign w:val="center"/>
          </w:tcPr>
          <w:p w14:paraId="4DE5483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磋商有效期</w:t>
            </w:r>
          </w:p>
        </w:tc>
        <w:tc>
          <w:tcPr>
            <w:tcW w:w="6514" w:type="dxa"/>
            <w:noWrap w:val="0"/>
            <w:vAlign w:val="center"/>
          </w:tcPr>
          <w:p w14:paraId="041CA2BB">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磋商有效期为从提交响应文件的截止之日起</w:t>
            </w:r>
            <w:r>
              <w:rPr>
                <w:rFonts w:hint="eastAsia" w:ascii="仿宋" w:hAnsi="仿宋" w:eastAsia="仿宋" w:cs="仿宋"/>
                <w:color w:val="auto"/>
                <w:sz w:val="22"/>
                <w:szCs w:val="22"/>
                <w:highlight w:val="none"/>
                <w:u w:val="single"/>
              </w:rPr>
              <w:t xml:space="preserve"> 120 </w:t>
            </w:r>
            <w:r>
              <w:rPr>
                <w:rFonts w:hint="eastAsia" w:ascii="仿宋" w:hAnsi="仿宋" w:eastAsia="仿宋" w:cs="仿宋"/>
                <w:color w:val="auto"/>
                <w:sz w:val="22"/>
                <w:szCs w:val="22"/>
                <w:highlight w:val="none"/>
              </w:rPr>
              <w:t>天</w:t>
            </w:r>
          </w:p>
        </w:tc>
      </w:tr>
      <w:tr w14:paraId="7D1C3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947" w:type="dxa"/>
            <w:noWrap w:val="0"/>
            <w:vAlign w:val="center"/>
          </w:tcPr>
          <w:p w14:paraId="55E291C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w:t>
            </w:r>
          </w:p>
        </w:tc>
        <w:tc>
          <w:tcPr>
            <w:tcW w:w="2340" w:type="dxa"/>
            <w:noWrap w:val="0"/>
            <w:vAlign w:val="center"/>
          </w:tcPr>
          <w:p w14:paraId="204DF21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w:t>
            </w:r>
          </w:p>
        </w:tc>
        <w:tc>
          <w:tcPr>
            <w:tcW w:w="6514" w:type="dxa"/>
            <w:noWrap w:val="0"/>
            <w:vAlign w:val="center"/>
          </w:tcPr>
          <w:p w14:paraId="16B77FA5">
            <w:pP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14:paraId="727D0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947" w:type="dxa"/>
            <w:noWrap w:val="0"/>
            <w:vAlign w:val="center"/>
          </w:tcPr>
          <w:p w14:paraId="301B8B3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w:t>
            </w:r>
          </w:p>
        </w:tc>
        <w:tc>
          <w:tcPr>
            <w:tcW w:w="2340" w:type="dxa"/>
            <w:noWrap w:val="0"/>
            <w:vAlign w:val="center"/>
          </w:tcPr>
          <w:p w14:paraId="2B7AF21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投诉</w:t>
            </w:r>
          </w:p>
        </w:tc>
        <w:tc>
          <w:tcPr>
            <w:tcW w:w="6514" w:type="dxa"/>
            <w:noWrap w:val="0"/>
            <w:vAlign w:val="center"/>
          </w:tcPr>
          <w:p w14:paraId="3D8CD063">
            <w:pP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根据《政府采购质疑和投诉办法》第十七条的规定，质疑供应商对采购人、采购代理机构的答复不满意，或者采购人、采购代理机构未在规定时间内作出答复的，可以在答复期满后 15 个工作日内向本级财政部门提起投诉。</w:t>
            </w:r>
          </w:p>
        </w:tc>
      </w:tr>
      <w:tr w14:paraId="0DA1B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947" w:type="dxa"/>
            <w:noWrap w:val="0"/>
            <w:vAlign w:val="center"/>
          </w:tcPr>
          <w:p w14:paraId="25BF01A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w:t>
            </w:r>
          </w:p>
        </w:tc>
        <w:tc>
          <w:tcPr>
            <w:tcW w:w="2340" w:type="dxa"/>
            <w:noWrap w:val="0"/>
            <w:vAlign w:val="center"/>
          </w:tcPr>
          <w:p w14:paraId="75B912CF">
            <w:pPr>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sz w:val="22"/>
                <w:szCs w:val="22"/>
                <w:highlight w:val="none"/>
                <w:u w:val="thick"/>
              </w:rPr>
              <w:t>▲符合性审查、无效标条款</w:t>
            </w:r>
          </w:p>
        </w:tc>
        <w:tc>
          <w:tcPr>
            <w:tcW w:w="6514" w:type="dxa"/>
            <w:noWrap w:val="0"/>
            <w:vAlign w:val="center"/>
          </w:tcPr>
          <w:p w14:paraId="7448804D">
            <w:pPr>
              <w:pStyle w:val="20"/>
              <w:snapToGrid/>
              <w:spacing w:line="240" w:lineRule="auto"/>
              <w:ind w:firstLine="0"/>
              <w:rPr>
                <w:rFonts w:hint="eastAsia" w:ascii="仿宋" w:hAnsi="仿宋" w:eastAsia="仿宋" w:cs="仿宋"/>
                <w:bCs/>
                <w:snapToGrid w:val="0"/>
                <w:color w:val="auto"/>
                <w:sz w:val="22"/>
                <w:szCs w:val="22"/>
                <w:highlight w:val="none"/>
              </w:rPr>
            </w:pPr>
            <w:r>
              <w:rPr>
                <w:rFonts w:hint="eastAsia" w:ascii="仿宋" w:hAnsi="仿宋" w:eastAsia="仿宋" w:cs="仿宋"/>
                <w:bCs/>
                <w:snapToGrid w:val="0"/>
                <w:color w:val="auto"/>
                <w:sz w:val="22"/>
                <w:szCs w:val="22"/>
                <w:highlight w:val="none"/>
              </w:rPr>
              <w:t>详见采购文件“第四部分 评标办法”2.2款</w:t>
            </w:r>
          </w:p>
        </w:tc>
      </w:tr>
      <w:tr w14:paraId="21672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47" w:type="dxa"/>
            <w:noWrap w:val="0"/>
            <w:vAlign w:val="center"/>
          </w:tcPr>
          <w:p w14:paraId="215E6CA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w:t>
            </w:r>
          </w:p>
        </w:tc>
        <w:tc>
          <w:tcPr>
            <w:tcW w:w="2340" w:type="dxa"/>
            <w:noWrap w:val="0"/>
            <w:vAlign w:val="center"/>
          </w:tcPr>
          <w:p w14:paraId="0053D927">
            <w:pPr>
              <w:jc w:val="center"/>
              <w:rPr>
                <w:rFonts w:hint="eastAsia" w:ascii="仿宋" w:hAnsi="仿宋" w:eastAsia="仿宋" w:cs="仿宋"/>
                <w:b/>
                <w:bCs/>
                <w:color w:val="auto"/>
                <w:kern w:val="0"/>
                <w:sz w:val="22"/>
                <w:szCs w:val="22"/>
                <w:highlight w:val="none"/>
              </w:rPr>
            </w:pPr>
            <w:r>
              <w:rPr>
                <w:rFonts w:hint="eastAsia" w:ascii="仿宋" w:hAnsi="仿宋" w:eastAsia="仿宋" w:cs="仿宋"/>
                <w:color w:val="auto"/>
                <w:sz w:val="22"/>
                <w:szCs w:val="22"/>
                <w:highlight w:val="none"/>
              </w:rPr>
              <w:t>供应商信用信息查询</w:t>
            </w:r>
          </w:p>
        </w:tc>
        <w:tc>
          <w:tcPr>
            <w:tcW w:w="6514" w:type="dxa"/>
            <w:noWrap w:val="0"/>
            <w:vAlign w:val="center"/>
          </w:tcPr>
          <w:p w14:paraId="69347F0E">
            <w:pP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根据《关于在政府采购活动中查询及使用信用记录有关问题的通知》财库[2016]125号的规定：</w:t>
            </w:r>
          </w:p>
          <w:p w14:paraId="5A892D0F">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1）采购人或采购代理机构将对本项目供应商的信用信息进行查询。</w:t>
            </w:r>
          </w:p>
          <w:p w14:paraId="379D77EC">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2）查询渠道为信用中国网站（www.creditchina.gov.cn）、中国政府采购网（www.ccgp.gov.cn）。</w:t>
            </w:r>
          </w:p>
          <w:p w14:paraId="6DA06E46">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3）信用信息截止时点为从本项目响应截止日往前追溯三年，期间被列入失信被执行人名单、重大税收违法案件当事人名单、政府采购严重违法失信行为记录名单等供应商信用信息均将用于本项目。</w:t>
            </w:r>
          </w:p>
          <w:p w14:paraId="56DF6205">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4）信用信息查询记录和证据以网页截图等方式留存。</w:t>
            </w:r>
          </w:p>
          <w:p w14:paraId="6CE9F0B0">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5）信用信息将作为评审和确定成交供应商的依据。</w:t>
            </w:r>
          </w:p>
          <w:p w14:paraId="6580B969">
            <w:pPr>
              <w:pStyle w:val="20"/>
              <w:snapToGrid/>
              <w:spacing w:line="240" w:lineRule="auto"/>
              <w:ind w:firstLine="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6）联合体成员存在不良信用记录的，视同联合体存在不良信用记录。</w:t>
            </w:r>
          </w:p>
        </w:tc>
      </w:tr>
      <w:tr w14:paraId="4F1935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947" w:type="dxa"/>
            <w:noWrap w:val="0"/>
            <w:vAlign w:val="center"/>
          </w:tcPr>
          <w:p w14:paraId="08A09963">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w:t>
            </w:r>
          </w:p>
        </w:tc>
        <w:tc>
          <w:tcPr>
            <w:tcW w:w="2340" w:type="dxa"/>
            <w:noWrap w:val="0"/>
            <w:vAlign w:val="center"/>
          </w:tcPr>
          <w:p w14:paraId="0D7710E2">
            <w:pPr>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本项目扶持中小企业（监狱企业、残疾人福利性单位）有关政策</w:t>
            </w:r>
          </w:p>
        </w:tc>
        <w:tc>
          <w:tcPr>
            <w:tcW w:w="6514" w:type="dxa"/>
            <w:noWrap w:val="0"/>
            <w:vAlign w:val="center"/>
          </w:tcPr>
          <w:p w14:paraId="1F6E04A4">
            <w:pP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1、扶持中小企业（监狱企业、残疾人福利性单位）： </w:t>
            </w:r>
          </w:p>
          <w:p w14:paraId="413F1B6B">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（1）根据工信部等部委发布的《关于印发中小企业划型标准规定的通知》（工信部联企业〔2011〕300号），本项目属于</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农、林、牧、渔业，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工业（包括采矿业，制造业，电力、热力、燃气及水生产和供应业），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建筑业，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批发业，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零售业，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交通运输业（不含铁路运输业），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仓储业，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邮政业，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住宿业，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餐饮业，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信息传输业（包括电信、互联网和相关服务），</w:t>
            </w:r>
            <w:r>
              <w:rPr>
                <w:rFonts w:hint="eastAsia" w:ascii="仿宋" w:hAnsi="仿宋" w:eastAsia="仿宋" w:cs="仿宋"/>
                <w:color w:val="auto"/>
                <w:sz w:val="22"/>
                <w:szCs w:val="22"/>
                <w:highlight w:val="none"/>
                <w:u w:val="single"/>
              </w:rPr>
              <w:sym w:font="Wingdings" w:char="00FE"/>
            </w:r>
            <w:r>
              <w:rPr>
                <w:rFonts w:hint="eastAsia" w:ascii="仿宋" w:hAnsi="仿宋" w:eastAsia="仿宋" w:cs="仿宋"/>
                <w:color w:val="auto"/>
                <w:sz w:val="22"/>
                <w:szCs w:val="22"/>
                <w:highlight w:val="none"/>
                <w:u w:val="single"/>
              </w:rPr>
              <w:t>软件和信息技术服务业，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房地产开发经营，</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物业管理，</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租赁和商务服务业，</w:t>
            </w:r>
            <w:r>
              <w:rPr>
                <w:rFonts w:hint="eastAsia" w:ascii="仿宋" w:hAnsi="仿宋" w:eastAsia="仿宋" w:cs="仿宋"/>
                <w:color w:val="auto"/>
                <w:sz w:val="22"/>
                <w:szCs w:val="22"/>
                <w:highlight w:val="none"/>
                <w:u w:val="single"/>
              </w:rPr>
              <w:sym w:font="Wingdings" w:char="00A8"/>
            </w:r>
            <w:r>
              <w:rPr>
                <w:rFonts w:hint="eastAsia" w:ascii="仿宋" w:hAnsi="仿宋" w:eastAsia="仿宋" w:cs="仿宋"/>
                <w:color w:val="auto"/>
                <w:sz w:val="22"/>
                <w:szCs w:val="22"/>
                <w:highlight w:val="none"/>
                <w:u w:val="single"/>
              </w:rPr>
              <w:t xml:space="preserve">其他未列明行业（包括科学研究和技术服务业，水利、环境和公共设施管理业，居民服务、修理和其他服务业，社会工作，文化、体育和娱乐业等） </w:t>
            </w:r>
            <w:r>
              <w:rPr>
                <w:rFonts w:hint="eastAsia" w:ascii="仿宋" w:hAnsi="仿宋" w:eastAsia="仿宋" w:cs="仿宋"/>
                <w:color w:val="auto"/>
                <w:sz w:val="22"/>
                <w:szCs w:val="22"/>
                <w:highlight w:val="none"/>
              </w:rPr>
              <w:t xml:space="preserve"> 行业。</w:t>
            </w:r>
          </w:p>
          <w:p w14:paraId="786B05A4">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2、根据财政部发布的《政府采购促进中小企业发展管理办法》财库（2020）46号的相关规定：</w:t>
            </w:r>
          </w:p>
          <w:p w14:paraId="04EBBF88">
            <w:pPr>
              <w:ind w:firstLine="110" w:firstLineChars="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2.1.是否为预留份额项目：</w:t>
            </w:r>
          </w:p>
          <w:p w14:paraId="32AE6D1E">
            <w:pPr>
              <w:ind w:firstLine="221" w:firstLineChars="1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sym w:font="Wingdings" w:char="00FE"/>
            </w:r>
            <w:r>
              <w:rPr>
                <w:rFonts w:hint="eastAsia" w:ascii="仿宋" w:hAnsi="仿宋" w:eastAsia="仿宋" w:cs="仿宋"/>
                <w:b/>
                <w:bCs/>
                <w:color w:val="auto"/>
                <w:sz w:val="22"/>
                <w:szCs w:val="22"/>
                <w:highlight w:val="none"/>
              </w:rPr>
              <w:t>本项目为预留份额项目，专门面向中小企业采购。</w:t>
            </w:r>
          </w:p>
          <w:p w14:paraId="1A43C923">
            <w:pPr>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2.2组成联合体或者接受分包的小微企业与联合体内其他企业、分包企业之间存在直接控 股、管理关系的，不享受价格扣除优惠政策。</w:t>
            </w:r>
          </w:p>
          <w:p w14:paraId="3F7F9CA4">
            <w:pPr>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2.3价格扣除比例或者价格分加分比例对小型企业和微型企业同等对待，不作区分。</w:t>
            </w:r>
          </w:p>
          <w:p w14:paraId="132613C5">
            <w:pPr>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F672220">
            <w:pPr>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2.5接受分包的项目，享受扶持政策获得政府采购合同的，小微企业不得将合同分包给大中型企业，中型企业不得将合同分包给大型企业。</w:t>
            </w:r>
          </w:p>
          <w:p w14:paraId="3434FDB0">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72D8CA61">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37212A88">
            <w:pPr>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(注：未提供以上材料的，均不给予价格扣除，以上优惠政策只享受一次）。</w:t>
            </w:r>
          </w:p>
        </w:tc>
      </w:tr>
      <w:tr w14:paraId="68D48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947" w:type="dxa"/>
            <w:noWrap w:val="0"/>
            <w:vAlign w:val="center"/>
          </w:tcPr>
          <w:p w14:paraId="4A74DF5E">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w:t>
            </w:r>
          </w:p>
        </w:tc>
        <w:tc>
          <w:tcPr>
            <w:tcW w:w="2340" w:type="dxa"/>
            <w:noWrap w:val="0"/>
            <w:vAlign w:val="center"/>
          </w:tcPr>
          <w:p w14:paraId="43080561">
            <w:pPr>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sz w:val="22"/>
                <w:szCs w:val="22"/>
                <w:highlight w:val="none"/>
              </w:rPr>
              <w:t>节能产品、环境标志产品</w:t>
            </w:r>
          </w:p>
        </w:tc>
        <w:tc>
          <w:tcPr>
            <w:tcW w:w="6514" w:type="dxa"/>
            <w:noWrap w:val="0"/>
            <w:vAlign w:val="center"/>
          </w:tcPr>
          <w:p w14:paraId="14C1152E">
            <w:pPr>
              <w:pStyle w:val="6"/>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97D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8" w:hRule="atLeast"/>
          <w:jc w:val="center"/>
        </w:trPr>
        <w:tc>
          <w:tcPr>
            <w:tcW w:w="947" w:type="dxa"/>
            <w:noWrap w:val="0"/>
            <w:vAlign w:val="center"/>
          </w:tcPr>
          <w:p w14:paraId="02DF09D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w:t>
            </w:r>
          </w:p>
        </w:tc>
        <w:tc>
          <w:tcPr>
            <w:tcW w:w="2340" w:type="dxa"/>
            <w:noWrap w:val="0"/>
            <w:vAlign w:val="center"/>
          </w:tcPr>
          <w:p w14:paraId="2D48674E">
            <w:pPr>
              <w:jc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磋商报价其他要求</w:t>
            </w:r>
          </w:p>
        </w:tc>
        <w:tc>
          <w:tcPr>
            <w:tcW w:w="6514" w:type="dxa"/>
            <w:noWrap w:val="0"/>
            <w:vAlign w:val="center"/>
          </w:tcPr>
          <w:p w14:paraId="4712DEBF">
            <w:pPr>
              <w:snapToGrid w:val="0"/>
              <w:rPr>
                <w:rFonts w:hint="eastAsia" w:ascii="仿宋" w:hAnsi="仿宋" w:eastAsia="仿宋" w:cs="仿宋"/>
                <w:snapToGrid w:val="0"/>
                <w:color w:val="auto"/>
                <w:sz w:val="22"/>
                <w:szCs w:val="22"/>
                <w:highlight w:val="none"/>
                <w:lang w:val="zh-CN"/>
              </w:rPr>
            </w:pPr>
            <w:r>
              <w:rPr>
                <w:rFonts w:hint="eastAsia" w:ascii="仿宋" w:hAnsi="仿宋" w:eastAsia="仿宋" w:cs="仿宋"/>
                <w:snapToGrid w:val="0"/>
                <w:color w:val="auto"/>
                <w:sz w:val="22"/>
                <w:szCs w:val="22"/>
                <w:highlight w:val="none"/>
                <w:lang w:val="zh-CN"/>
              </w:rPr>
              <w:t>磋商报价包含的内容：</w:t>
            </w:r>
          </w:p>
          <w:p w14:paraId="062E0247">
            <w:pPr>
              <w:snapToGrid w:val="0"/>
              <w:rPr>
                <w:rFonts w:hint="eastAsia" w:ascii="仿宋" w:hAnsi="仿宋" w:eastAsia="仿宋" w:cs="仿宋"/>
                <w:snapToGrid w:val="0"/>
                <w:color w:val="auto"/>
                <w:sz w:val="22"/>
                <w:szCs w:val="22"/>
                <w:highlight w:val="none"/>
                <w:lang w:val="zh-CN"/>
              </w:rPr>
            </w:pPr>
            <w:r>
              <w:rPr>
                <w:rFonts w:hint="eastAsia" w:ascii="仿宋" w:hAnsi="仿宋" w:eastAsia="仿宋" w:cs="仿宋"/>
                <w:snapToGrid w:val="0"/>
                <w:color w:val="auto"/>
                <w:sz w:val="22"/>
                <w:szCs w:val="22"/>
                <w:highlight w:val="none"/>
                <w:lang w:val="zh-CN"/>
              </w:rPr>
              <w:sym w:font="Wingdings" w:char="F0FE"/>
            </w:r>
            <w:r>
              <w:rPr>
                <w:rFonts w:hint="eastAsia" w:ascii="仿宋" w:hAnsi="仿宋" w:eastAsia="仿宋" w:cs="仿宋"/>
                <w:snapToGrid w:val="0"/>
                <w:color w:val="auto"/>
                <w:sz w:val="22"/>
                <w:szCs w:val="22"/>
                <w:highlight w:val="none"/>
                <w:lang w:val="zh-CN"/>
              </w:rPr>
              <w:t xml:space="preserve">采购代理服务费，收费标准：本次招标，招标代理费按照《招标代理服务收费管理暂行办法》(计价格[2002]1980号) </w:t>
            </w:r>
            <w:r>
              <w:rPr>
                <w:rFonts w:hint="eastAsia" w:ascii="仿宋" w:hAnsi="仿宋" w:eastAsia="仿宋" w:cs="仿宋"/>
                <w:snapToGrid w:val="0"/>
                <w:color w:val="auto"/>
                <w:sz w:val="22"/>
                <w:szCs w:val="22"/>
                <w:highlight w:val="none"/>
              </w:rPr>
              <w:t>服务</w:t>
            </w:r>
            <w:r>
              <w:rPr>
                <w:rFonts w:hint="eastAsia" w:ascii="仿宋" w:hAnsi="仿宋" w:eastAsia="仿宋" w:cs="仿宋"/>
                <w:snapToGrid w:val="0"/>
                <w:color w:val="auto"/>
                <w:sz w:val="22"/>
                <w:szCs w:val="22"/>
                <w:highlight w:val="none"/>
                <w:lang w:val="zh-CN"/>
              </w:rPr>
              <w:t>类标准下浮30%计算，由中标人在领取中标（成交）通知书之前将代理服务费用支付给招标代理机构；</w:t>
            </w:r>
          </w:p>
          <w:p w14:paraId="414B00BB">
            <w:pPr>
              <w:snapToGrid w:val="0"/>
              <w:rPr>
                <w:rFonts w:hint="eastAsia" w:ascii="仿宋" w:hAnsi="仿宋" w:eastAsia="仿宋" w:cs="仿宋"/>
                <w:snapToGrid w:val="0"/>
                <w:color w:val="auto"/>
                <w:sz w:val="22"/>
                <w:szCs w:val="22"/>
                <w:highlight w:val="none"/>
                <w:lang w:val="zh-CN"/>
              </w:rPr>
            </w:pPr>
            <w:r>
              <w:rPr>
                <w:rFonts w:hint="eastAsia" w:ascii="仿宋" w:hAnsi="仿宋" w:eastAsia="仿宋" w:cs="仿宋"/>
                <w:snapToGrid w:val="0"/>
                <w:color w:val="auto"/>
                <w:sz w:val="22"/>
                <w:szCs w:val="22"/>
                <w:highlight w:val="none"/>
                <w:lang w:val="zh-CN"/>
              </w:rPr>
              <w:sym w:font="Wingdings" w:char="F0FE"/>
            </w:r>
            <w:r>
              <w:rPr>
                <w:rFonts w:hint="eastAsia" w:ascii="仿宋" w:hAnsi="仿宋" w:eastAsia="仿宋" w:cs="仿宋"/>
                <w:snapToGrid w:val="0"/>
                <w:color w:val="auto"/>
                <w:sz w:val="22"/>
                <w:szCs w:val="22"/>
                <w:highlight w:val="none"/>
              </w:rPr>
              <w:t>政府采购</w:t>
            </w:r>
            <w:r>
              <w:rPr>
                <w:rFonts w:hint="eastAsia" w:ascii="仿宋" w:hAnsi="仿宋" w:eastAsia="仿宋" w:cs="仿宋"/>
                <w:snapToGrid w:val="0"/>
                <w:color w:val="auto"/>
                <w:sz w:val="22"/>
                <w:szCs w:val="22"/>
                <w:highlight w:val="none"/>
                <w:lang w:val="zh-CN"/>
              </w:rPr>
              <w:t>履约验收费用（包含第三方检测及评审费用）；</w:t>
            </w:r>
          </w:p>
          <w:p w14:paraId="19C4A9FA">
            <w:pPr>
              <w:snapToGrid w:val="0"/>
              <w:rPr>
                <w:rFonts w:hint="eastAsia" w:ascii="仿宋" w:hAnsi="仿宋" w:eastAsia="仿宋" w:cs="仿宋"/>
                <w:snapToGrid w:val="0"/>
                <w:color w:val="auto"/>
                <w:sz w:val="22"/>
                <w:szCs w:val="22"/>
                <w:highlight w:val="none"/>
              </w:rPr>
            </w:pPr>
            <w:r>
              <w:rPr>
                <w:rFonts w:hint="eastAsia" w:ascii="仿宋" w:hAnsi="仿宋" w:eastAsia="仿宋" w:cs="仿宋"/>
                <w:i/>
                <w:iCs/>
                <w:snapToGrid w:val="0"/>
                <w:color w:val="auto"/>
                <w:sz w:val="22"/>
                <w:szCs w:val="22"/>
                <w:highlight w:val="none"/>
                <w:lang w:val="zh-CN"/>
              </w:rPr>
              <w:sym w:font="Wingdings" w:char="00A8"/>
            </w:r>
            <w:r>
              <w:rPr>
                <w:rFonts w:hint="eastAsia" w:ascii="仿宋" w:hAnsi="仿宋" w:eastAsia="仿宋" w:cs="仿宋"/>
                <w:i/>
                <w:iCs/>
                <w:snapToGrid w:val="0"/>
                <w:color w:val="auto"/>
                <w:sz w:val="22"/>
                <w:szCs w:val="22"/>
                <w:highlight w:val="none"/>
                <w:u w:val="single"/>
                <w:lang w:val="zh-CN"/>
              </w:rPr>
              <w:t xml:space="preserve"> </w:t>
            </w:r>
            <w:r>
              <w:rPr>
                <w:rFonts w:hint="eastAsia" w:ascii="仿宋" w:hAnsi="仿宋" w:eastAsia="仿宋" w:cs="仿宋"/>
                <w:i/>
                <w:iCs/>
                <w:snapToGrid w:val="0"/>
                <w:color w:val="auto"/>
                <w:sz w:val="22"/>
                <w:szCs w:val="22"/>
                <w:highlight w:val="none"/>
                <w:u w:val="single"/>
              </w:rPr>
              <w:t xml:space="preserve">其他：  </w:t>
            </w:r>
            <w:r>
              <w:rPr>
                <w:rFonts w:hint="eastAsia" w:ascii="仿宋" w:hAnsi="仿宋" w:eastAsia="仿宋" w:cs="仿宋"/>
                <w:i/>
                <w:iCs/>
                <w:snapToGrid w:val="0"/>
                <w:color w:val="auto"/>
                <w:sz w:val="22"/>
                <w:szCs w:val="22"/>
                <w:highlight w:val="none"/>
                <w:u w:val="single"/>
                <w:lang w:val="zh-CN"/>
              </w:rPr>
              <w:t xml:space="preserve">              </w:t>
            </w:r>
            <w:r>
              <w:rPr>
                <w:rFonts w:hint="eastAsia" w:ascii="仿宋" w:hAnsi="仿宋" w:eastAsia="仿宋" w:cs="仿宋"/>
                <w:i/>
                <w:iCs/>
                <w:snapToGrid w:val="0"/>
                <w:color w:val="auto"/>
                <w:sz w:val="22"/>
                <w:szCs w:val="22"/>
                <w:highlight w:val="none"/>
                <w:lang w:val="zh-CN"/>
              </w:rPr>
              <w:t>；</w:t>
            </w:r>
          </w:p>
        </w:tc>
      </w:tr>
      <w:tr w14:paraId="05D41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3" w:hRule="atLeast"/>
          <w:jc w:val="center"/>
        </w:trPr>
        <w:tc>
          <w:tcPr>
            <w:tcW w:w="947" w:type="dxa"/>
            <w:noWrap w:val="0"/>
            <w:vAlign w:val="center"/>
          </w:tcPr>
          <w:p w14:paraId="3B17D97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w:t>
            </w:r>
          </w:p>
        </w:tc>
        <w:tc>
          <w:tcPr>
            <w:tcW w:w="2340" w:type="dxa"/>
            <w:noWrap w:val="0"/>
            <w:vAlign w:val="center"/>
          </w:tcPr>
          <w:p w14:paraId="5D77026F">
            <w:pPr>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特别说明</w:t>
            </w:r>
          </w:p>
        </w:tc>
        <w:tc>
          <w:tcPr>
            <w:tcW w:w="6514" w:type="dxa"/>
            <w:noWrap w:val="0"/>
            <w:vAlign w:val="center"/>
          </w:tcPr>
          <w:p w14:paraId="61EF2697">
            <w:pP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1）如果发现本采购文件中存在含糊不清、相互矛盾、多种含义以及歧视性不公正条款或违法违规等内容时，请供应商在获取采购文件后，答疑截止时间前按要求书面提出，逾期视同自动放弃疑问提出的权利或采购人不作答复。</w:t>
            </w:r>
          </w:p>
          <w:p w14:paraId="2D3497F8">
            <w:pPr>
              <w:rPr>
                <w:rFonts w:hint="eastAsia" w:ascii="仿宋" w:hAnsi="仿宋" w:eastAsia="仿宋" w:cs="仿宋"/>
                <w:b/>
                <w:bCs/>
                <w:color w:val="auto"/>
                <w:sz w:val="22"/>
                <w:szCs w:val="22"/>
                <w:highlight w:val="none"/>
              </w:rPr>
            </w:pPr>
            <w:r>
              <w:rPr>
                <w:rFonts w:hint="eastAsia" w:ascii="仿宋" w:hAnsi="仿宋" w:eastAsia="仿宋" w:cs="仿宋"/>
                <w:snapToGrid w:val="0"/>
                <w:color w:val="auto"/>
                <w:kern w:val="0"/>
                <w:sz w:val="22"/>
                <w:szCs w:val="22"/>
                <w:highlight w:val="none"/>
              </w:rPr>
              <w:t>（2）该项目成交公示期间，供应商不得通过非正当途径、更不得通过非正当手段获取法律法规规定磋商小组（包括其他相关人员）应当保密的相关内容。</w:t>
            </w:r>
          </w:p>
        </w:tc>
      </w:tr>
      <w:tr w14:paraId="1CF06A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47" w:type="dxa"/>
            <w:noWrap w:val="0"/>
            <w:vAlign w:val="center"/>
          </w:tcPr>
          <w:p w14:paraId="49B8EA59">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w:t>
            </w:r>
          </w:p>
        </w:tc>
        <w:tc>
          <w:tcPr>
            <w:tcW w:w="2340" w:type="dxa"/>
            <w:noWrap w:val="0"/>
            <w:vAlign w:val="center"/>
          </w:tcPr>
          <w:p w14:paraId="7C3B05C5">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项目需要增加的其他约定</w:t>
            </w:r>
          </w:p>
        </w:tc>
        <w:tc>
          <w:tcPr>
            <w:tcW w:w="6514" w:type="dxa"/>
            <w:noWrap w:val="0"/>
            <w:vAlign w:val="center"/>
          </w:tcPr>
          <w:p w14:paraId="725F4074">
            <w:pPr>
              <w:rPr>
                <w:rFonts w:hint="eastAsia" w:ascii="仿宋" w:hAnsi="仿宋" w:eastAsia="仿宋" w:cs="仿宋"/>
                <w:snapToGrid w:val="0"/>
                <w:color w:val="auto"/>
                <w:kern w:val="0"/>
                <w:sz w:val="22"/>
                <w:szCs w:val="22"/>
                <w:highlight w:val="none"/>
              </w:rPr>
            </w:pPr>
          </w:p>
        </w:tc>
      </w:tr>
    </w:tbl>
    <w:p w14:paraId="3B1FE7BD">
      <w:pPr>
        <w:adjustRightInd/>
        <w:spacing w:line="360" w:lineRule="auto"/>
        <w:jc w:val="center"/>
        <w:outlineLvl w:val="1"/>
        <w:rPr>
          <w:rStyle w:val="19"/>
          <w:rFonts w:hint="eastAsia" w:ascii="仿宋" w:eastAsia="仿宋" w:cs="仿宋"/>
          <w:color w:val="auto"/>
          <w:highlight w:val="none"/>
        </w:rPr>
      </w:pPr>
      <w:r>
        <w:rPr>
          <w:rStyle w:val="19"/>
          <w:rFonts w:hint="eastAsia" w:ascii="仿宋" w:eastAsia="仿宋" w:cs="仿宋"/>
          <w:color w:val="auto"/>
          <w:highlight w:val="none"/>
        </w:rPr>
        <w:br w:type="page"/>
      </w:r>
      <w:bookmarkEnd w:id="6"/>
      <w:bookmarkStart w:id="22" w:name="_Toc15189"/>
      <w:bookmarkStart w:id="23" w:name="_Toc485587265"/>
      <w:bookmarkStart w:id="24" w:name="第三部分"/>
      <w:bookmarkStart w:id="25" w:name="_Toc164416483"/>
      <w:r>
        <w:rPr>
          <w:rStyle w:val="19"/>
          <w:rFonts w:hint="eastAsia" w:ascii="仿宋" w:eastAsia="仿宋" w:cs="仿宋"/>
          <w:color w:val="auto"/>
          <w:highlight w:val="none"/>
        </w:rPr>
        <w:t>一、总则</w:t>
      </w:r>
      <w:bookmarkEnd w:id="22"/>
      <w:bookmarkEnd w:id="23"/>
    </w:p>
    <w:p w14:paraId="21CDF853">
      <w:pPr>
        <w:tabs>
          <w:tab w:val="left" w:pos="540"/>
          <w:tab w:val="left" w:pos="900"/>
        </w:tabs>
        <w:snapToGrid w:val="0"/>
        <w:spacing w:line="360" w:lineRule="auto"/>
        <w:ind w:firstLine="440" w:firstLineChars="200"/>
        <w:rPr>
          <w:rFonts w:hint="eastAsia" w:ascii="仿宋" w:hAnsi="仿宋" w:eastAsia="仿宋" w:cs="仿宋"/>
          <w:color w:val="auto"/>
          <w:sz w:val="22"/>
          <w:szCs w:val="22"/>
          <w:highlight w:val="none"/>
        </w:rPr>
      </w:pPr>
      <w:bookmarkStart w:id="26" w:name="_Toc29857"/>
      <w:bookmarkStart w:id="27" w:name="_Toc5882"/>
      <w:r>
        <w:rPr>
          <w:rFonts w:hint="eastAsia" w:ascii="仿宋" w:hAnsi="仿宋" w:eastAsia="仿宋" w:cs="仿宋"/>
          <w:color w:val="auto"/>
          <w:sz w:val="22"/>
          <w:szCs w:val="22"/>
          <w:highlight w:val="none"/>
        </w:rPr>
        <w:t>本项目采购是按照《中华人民共和国政府采购法》、《政府采购竞争性磋商采购方式管理暂行办法》（财库〔2014〕214 号）、《浙江省政府采购项目电子交易管理暂行办法》（浙财采监〔2019〕10号）等法律及有关法规组织和实施的。</w:t>
      </w:r>
    </w:p>
    <w:p w14:paraId="76F3BBCA">
      <w:pPr>
        <w:snapToGrid w:val="0"/>
        <w:spacing w:line="360" w:lineRule="auto"/>
        <w:ind w:firstLine="331" w:firstLineChars="150"/>
        <w:jc w:val="left"/>
        <w:rPr>
          <w:rFonts w:hint="eastAsia" w:ascii="仿宋" w:hAnsi="仿宋" w:eastAsia="仿宋" w:cs="仿宋"/>
          <w:b/>
          <w:color w:val="auto"/>
          <w:sz w:val="22"/>
          <w:szCs w:val="22"/>
          <w:highlight w:val="none"/>
        </w:rPr>
      </w:pPr>
      <w:bookmarkStart w:id="28" w:name="_Toc27055"/>
      <w:r>
        <w:rPr>
          <w:rFonts w:hint="eastAsia" w:ascii="仿宋" w:hAnsi="仿宋" w:eastAsia="仿宋" w:cs="仿宋"/>
          <w:b/>
          <w:color w:val="auto"/>
          <w:sz w:val="22"/>
          <w:szCs w:val="22"/>
          <w:highlight w:val="none"/>
        </w:rPr>
        <w:t>1. 适用范围</w:t>
      </w:r>
      <w:bookmarkEnd w:id="26"/>
      <w:bookmarkEnd w:id="27"/>
      <w:bookmarkEnd w:id="28"/>
    </w:p>
    <w:p w14:paraId="18426A8C">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本采购文件适用于该项目的组织采购、磋商响应、响应文件开启、资格审查及信用信息查询、评审、评审结果确定、合同、验收等行为（法律、法规另有规定的，从其规定）。</w:t>
      </w:r>
    </w:p>
    <w:p w14:paraId="614237E8">
      <w:pPr>
        <w:adjustRightInd/>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 xml:space="preserve">   </w:t>
      </w:r>
      <w:bookmarkStart w:id="29" w:name="_Toc19066"/>
      <w:bookmarkStart w:id="30" w:name="_Toc31546"/>
      <w:bookmarkStart w:id="31" w:name="_Toc3235"/>
      <w:r>
        <w:rPr>
          <w:rFonts w:hint="eastAsia" w:ascii="仿宋" w:hAnsi="仿宋" w:eastAsia="仿宋" w:cs="仿宋"/>
          <w:b/>
          <w:color w:val="auto"/>
          <w:sz w:val="22"/>
          <w:szCs w:val="22"/>
          <w:highlight w:val="none"/>
        </w:rPr>
        <w:t>2.定义</w:t>
      </w:r>
      <w:bookmarkEnd w:id="29"/>
      <w:bookmarkEnd w:id="30"/>
      <w:bookmarkEnd w:id="31"/>
    </w:p>
    <w:p w14:paraId="1452CB5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 “采购人”系指采购公告中载明的本项目的采购人。</w:t>
      </w:r>
    </w:p>
    <w:p w14:paraId="1BF090C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 “采购代理机构”系指采购公告中载明的本项目的采购代理机构。</w:t>
      </w:r>
    </w:p>
    <w:p w14:paraId="39B3E92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 “供应商”系指是指响应采购、参加磋商响应竞争的法人、其他组织或者自然人。</w:t>
      </w:r>
    </w:p>
    <w:p w14:paraId="2BF99F5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 “负责人”系指法人企业的法定负责人，或其他组织为法律、行政法规规定代表单位行使职权的主要负责人，或自然人本人。</w:t>
      </w:r>
    </w:p>
    <w:p w14:paraId="5C530EE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磋商响应时须提供《业务专用章使用说明函》（附件4）。</w:t>
      </w:r>
    </w:p>
    <w:p w14:paraId="74A3C95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2.6“电子交易平台”是指本项目政府采购活动所依托的政府采购云平台（https://www.zcygov.cn/）。</w:t>
      </w:r>
    </w:p>
    <w:p w14:paraId="5DC7E4D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 “▲”系指实质性要求条款，“★”系关键技术参数及要求，“</w:t>
      </w:r>
      <w:r>
        <w:rPr>
          <w:rFonts w:hint="eastAsia" w:ascii="仿宋" w:hAnsi="仿宋" w:eastAsia="仿宋" w:cs="仿宋"/>
          <w:color w:val="auto"/>
          <w:sz w:val="22"/>
          <w:szCs w:val="22"/>
          <w:highlight w:val="none"/>
        </w:rPr>
        <w:sym w:font="Wingdings" w:char="00FE"/>
      </w:r>
      <w:r>
        <w:rPr>
          <w:rFonts w:hint="eastAsia" w:ascii="仿宋" w:hAnsi="仿宋" w:eastAsia="仿宋" w:cs="仿宋"/>
          <w:color w:val="auto"/>
          <w:sz w:val="22"/>
          <w:szCs w:val="22"/>
          <w:highlight w:val="none"/>
        </w:rPr>
        <w:t>” 系指适用本项目的要求，“</w:t>
      </w:r>
      <w:r>
        <w:rPr>
          <w:rFonts w:hint="eastAsia" w:ascii="仿宋" w:hAnsi="仿宋" w:eastAsia="仿宋" w:cs="仿宋"/>
          <w:color w:val="auto"/>
          <w:sz w:val="22"/>
          <w:szCs w:val="22"/>
          <w:highlight w:val="none"/>
        </w:rPr>
        <w:sym w:font="Wingdings" w:char="00A8"/>
      </w:r>
      <w:r>
        <w:rPr>
          <w:rFonts w:hint="eastAsia" w:ascii="仿宋" w:hAnsi="仿宋" w:eastAsia="仿宋" w:cs="仿宋"/>
          <w:color w:val="auto"/>
          <w:sz w:val="22"/>
          <w:szCs w:val="22"/>
          <w:highlight w:val="none"/>
        </w:rPr>
        <w:t>” 系指不适用本项目的要求。</w:t>
      </w:r>
    </w:p>
    <w:p w14:paraId="46578E12">
      <w:pPr>
        <w:spacing w:line="360" w:lineRule="auto"/>
        <w:ind w:firstLine="221" w:firstLineChars="1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3.合格供应商要求</w:t>
      </w:r>
    </w:p>
    <w:p w14:paraId="4F197483">
      <w:pPr>
        <w:tabs>
          <w:tab w:val="left" w:pos="540"/>
          <w:tab w:val="left" w:pos="900"/>
        </w:tabs>
        <w:snapToGrid w:val="0"/>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3.1合格的供应商应满足采购文件第一部分“采购公告”对申请人的资格要求。</w:t>
      </w:r>
    </w:p>
    <w:p w14:paraId="05E4B84B">
      <w:pPr>
        <w:snapToGrid w:val="0"/>
        <w:spacing w:line="360" w:lineRule="auto"/>
        <w:ind w:firstLine="464" w:firstLineChars="200"/>
        <w:rPr>
          <w:rFonts w:hint="eastAsia" w:ascii="仿宋" w:hAnsi="仿宋" w:eastAsia="仿宋" w:cs="仿宋"/>
          <w:bCs/>
          <w:color w:val="auto"/>
          <w:spacing w:val="6"/>
          <w:sz w:val="22"/>
          <w:szCs w:val="22"/>
          <w:highlight w:val="none"/>
        </w:rPr>
      </w:pPr>
      <w:r>
        <w:rPr>
          <w:rFonts w:hint="eastAsia" w:ascii="仿宋" w:hAnsi="仿宋" w:eastAsia="仿宋" w:cs="仿宋"/>
          <w:bCs/>
          <w:color w:val="auto"/>
          <w:spacing w:val="6"/>
          <w:sz w:val="22"/>
          <w:szCs w:val="22"/>
          <w:highlight w:val="none"/>
        </w:rPr>
        <w:t>3.2</w:t>
      </w:r>
      <w:r>
        <w:rPr>
          <w:rFonts w:hint="eastAsia" w:ascii="仿宋" w:hAnsi="仿宋" w:eastAsia="仿宋" w:cs="仿宋"/>
          <w:b/>
          <w:color w:val="auto"/>
          <w:kern w:val="0"/>
          <w:sz w:val="22"/>
          <w:szCs w:val="22"/>
          <w:highlight w:val="none"/>
          <w:u w:val="single"/>
        </w:rPr>
        <w:t>▲</w:t>
      </w:r>
      <w:r>
        <w:rPr>
          <w:rFonts w:hint="eastAsia" w:ascii="仿宋" w:hAnsi="仿宋" w:eastAsia="仿宋" w:cs="仿宋"/>
          <w:b/>
          <w:bCs/>
          <w:color w:val="auto"/>
          <w:spacing w:val="6"/>
          <w:sz w:val="22"/>
          <w:szCs w:val="22"/>
          <w:highlight w:val="none"/>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 w:hAnsi="仿宋" w:eastAsia="仿宋" w:cs="仿宋"/>
          <w:bCs/>
          <w:color w:val="auto"/>
          <w:spacing w:val="6"/>
          <w:sz w:val="22"/>
          <w:szCs w:val="22"/>
          <w:highlight w:val="none"/>
        </w:rPr>
        <w:t>。</w:t>
      </w:r>
    </w:p>
    <w:p w14:paraId="0DDBC207">
      <w:pPr>
        <w:tabs>
          <w:tab w:val="left" w:pos="540"/>
          <w:tab w:val="left" w:pos="900"/>
        </w:tabs>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供应商可授权供应商代表以供应商名义参加本次采购活动（包括响应文件的签署、澄清、说明、补正、递交、撤回、修改等以及签订合同和处理有关事宜）。如果供应商代表不是法定代表人(负责人)，须持有《法定代表人(负责人)授权书》。</w:t>
      </w:r>
    </w:p>
    <w:p w14:paraId="3069066F">
      <w:pPr>
        <w:snapToGrid w:val="0"/>
        <w:spacing w:line="360" w:lineRule="auto"/>
        <w:ind w:firstLine="464" w:firstLineChars="200"/>
        <w:rPr>
          <w:rFonts w:hint="eastAsia" w:ascii="仿宋" w:hAnsi="仿宋" w:eastAsia="仿宋" w:cs="仿宋"/>
          <w:bCs/>
          <w:color w:val="auto"/>
          <w:spacing w:val="6"/>
          <w:sz w:val="22"/>
          <w:szCs w:val="22"/>
          <w:highlight w:val="none"/>
        </w:rPr>
      </w:pPr>
      <w:r>
        <w:rPr>
          <w:rFonts w:hint="eastAsia" w:ascii="仿宋" w:hAnsi="仿宋" w:eastAsia="仿宋" w:cs="仿宋"/>
          <w:bCs/>
          <w:color w:val="auto"/>
          <w:spacing w:val="6"/>
          <w:sz w:val="22"/>
          <w:szCs w:val="22"/>
          <w:highlight w:val="none"/>
        </w:rPr>
        <w:t>3.4采用最低评标价法的</w:t>
      </w:r>
      <w:r>
        <w:rPr>
          <w:rFonts w:hint="eastAsia" w:ascii="仿宋" w:hAnsi="仿宋" w:eastAsia="仿宋" w:cs="仿宋"/>
          <w:color w:val="auto"/>
          <w:sz w:val="22"/>
          <w:szCs w:val="22"/>
          <w:highlight w:val="none"/>
        </w:rPr>
        <w:t>货物类</w:t>
      </w:r>
      <w:r>
        <w:rPr>
          <w:rFonts w:hint="eastAsia" w:ascii="仿宋" w:hAnsi="仿宋" w:eastAsia="仿宋" w:cs="仿宋"/>
          <w:bCs/>
          <w:color w:val="auto"/>
          <w:spacing w:val="6"/>
          <w:sz w:val="22"/>
          <w:szCs w:val="22"/>
          <w:highlight w:val="none"/>
        </w:rPr>
        <w:t>采购项目，提供相同品牌产品的不同供应商参加同一合同项下磋商响应的，以其中通过资格审查、符合性审查且报价最低的参加评审；报价相同的，由采购人或者采购人委托磋商小组按照采购文件规定的方式确定一个参加评审的供应商，采购文件未规定的采取随机抽取方式确定，其他响应无效。</w:t>
      </w:r>
    </w:p>
    <w:p w14:paraId="1A4ED3C0">
      <w:pPr>
        <w:snapToGrid w:val="0"/>
        <w:spacing w:line="360" w:lineRule="auto"/>
        <w:ind w:firstLine="464" w:firstLineChars="200"/>
        <w:rPr>
          <w:rFonts w:hint="eastAsia" w:ascii="仿宋" w:hAnsi="仿宋" w:eastAsia="仿宋" w:cs="仿宋"/>
          <w:bCs/>
          <w:color w:val="auto"/>
          <w:spacing w:val="6"/>
          <w:sz w:val="22"/>
          <w:szCs w:val="22"/>
          <w:highlight w:val="none"/>
        </w:rPr>
      </w:pPr>
      <w:r>
        <w:rPr>
          <w:rFonts w:hint="eastAsia" w:ascii="仿宋" w:hAnsi="仿宋" w:eastAsia="仿宋" w:cs="仿宋"/>
          <w:bCs/>
          <w:color w:val="auto"/>
          <w:spacing w:val="6"/>
          <w:sz w:val="22"/>
          <w:szCs w:val="22"/>
          <w:highlight w:val="none"/>
        </w:rPr>
        <w:t>使用综合评分法的</w:t>
      </w:r>
      <w:r>
        <w:rPr>
          <w:rFonts w:hint="eastAsia" w:ascii="仿宋" w:hAnsi="仿宋" w:eastAsia="仿宋" w:cs="仿宋"/>
          <w:color w:val="auto"/>
          <w:sz w:val="22"/>
          <w:szCs w:val="22"/>
          <w:highlight w:val="none"/>
        </w:rPr>
        <w:t>货物类</w:t>
      </w:r>
      <w:r>
        <w:rPr>
          <w:rFonts w:hint="eastAsia" w:ascii="仿宋" w:hAnsi="仿宋" w:eastAsia="仿宋" w:cs="仿宋"/>
          <w:bCs/>
          <w:color w:val="auto"/>
          <w:spacing w:val="6"/>
          <w:sz w:val="22"/>
          <w:szCs w:val="22"/>
          <w:highlight w:val="none"/>
        </w:rPr>
        <w:t>采购项目，提供相同品牌产品且通过资格审查、符合性审查的不同供应商参加同一合同项下响应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B3231EF">
      <w:pPr>
        <w:snapToGrid w:val="0"/>
        <w:spacing w:line="360" w:lineRule="auto"/>
        <w:ind w:firstLine="464" w:firstLineChars="200"/>
        <w:rPr>
          <w:rFonts w:hint="eastAsia" w:ascii="仿宋" w:hAnsi="仿宋" w:eastAsia="仿宋" w:cs="仿宋"/>
          <w:bCs/>
          <w:color w:val="auto"/>
          <w:spacing w:val="6"/>
          <w:sz w:val="22"/>
          <w:szCs w:val="22"/>
          <w:highlight w:val="none"/>
        </w:rPr>
      </w:pPr>
      <w:r>
        <w:rPr>
          <w:rFonts w:hint="eastAsia" w:ascii="仿宋" w:hAnsi="仿宋" w:eastAsia="仿宋" w:cs="仿宋"/>
          <w:bCs/>
          <w:color w:val="auto"/>
          <w:spacing w:val="6"/>
          <w:sz w:val="22"/>
          <w:szCs w:val="22"/>
          <w:highlight w:val="none"/>
        </w:rPr>
        <w:t>非单一产品采购项目，多家供应商提供的核心产品（见</w:t>
      </w:r>
      <w:r>
        <w:rPr>
          <w:rFonts w:hint="eastAsia" w:ascii="仿宋" w:hAnsi="仿宋" w:eastAsia="仿宋" w:cs="仿宋"/>
          <w:color w:val="auto"/>
          <w:sz w:val="22"/>
          <w:szCs w:val="22"/>
          <w:highlight w:val="none"/>
        </w:rPr>
        <w:t>供应商须知前附表</w:t>
      </w:r>
      <w:r>
        <w:rPr>
          <w:rFonts w:hint="eastAsia" w:ascii="仿宋" w:hAnsi="仿宋" w:eastAsia="仿宋" w:cs="仿宋"/>
          <w:bCs/>
          <w:color w:val="auto"/>
          <w:spacing w:val="6"/>
          <w:sz w:val="22"/>
          <w:szCs w:val="22"/>
          <w:highlight w:val="none"/>
        </w:rPr>
        <w:t>）品牌相同的，按前两款规定处理。</w:t>
      </w:r>
    </w:p>
    <w:p w14:paraId="57D227F7">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3.5货物类是否允许采购进口产品、是否要求节能/环境标志产品等情况见供应商须知前附表。</w:t>
      </w:r>
    </w:p>
    <w:p w14:paraId="0790A63F">
      <w:pPr>
        <w:spacing w:line="360" w:lineRule="auto"/>
        <w:ind w:firstLine="221" w:firstLineChars="1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4、采购项目需要落实的政府采购政策</w:t>
      </w:r>
    </w:p>
    <w:p w14:paraId="741EF97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140576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 支持绿色发展</w:t>
      </w:r>
    </w:p>
    <w:p w14:paraId="1FCFB43F">
      <w:pPr>
        <w:spacing w:line="360" w:lineRule="auto"/>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color w:val="auto"/>
          <w:sz w:val="22"/>
          <w:szCs w:val="22"/>
          <w:highlight w:val="none"/>
          <w:u w:val="single"/>
        </w:rPr>
        <w:t>▲</w:t>
      </w:r>
      <w:r>
        <w:rPr>
          <w:rFonts w:hint="eastAsia" w:ascii="仿宋" w:hAnsi="仿宋" w:eastAsia="仿宋" w:cs="仿宋"/>
          <w:b/>
          <w:color w:val="auto"/>
          <w:sz w:val="22"/>
          <w:szCs w:val="22"/>
          <w:highlight w:val="none"/>
          <w:u w:val="single"/>
        </w:rPr>
        <w:t>采购人拟采购的产品属于政府强制采购的节能产品品目清单范围的，供应商未按采购文件要求提供国家确定的认证机构出具的、处于有效期之内的节能产品认证证书的，响应无效。</w:t>
      </w:r>
    </w:p>
    <w:p w14:paraId="08BAE32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31FD73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4.3支持中小企业发展</w:t>
      </w:r>
    </w:p>
    <w:p w14:paraId="5C2655F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2386A92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符合中小企业划分标准的个体工商户，在政府采购活动中视同中小企业。</w:t>
      </w:r>
    </w:p>
    <w:p w14:paraId="185EACCC">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bCs/>
          <w:color w:val="auto"/>
          <w:sz w:val="22"/>
          <w:szCs w:val="22"/>
          <w:highlight w:val="none"/>
        </w:rPr>
        <w:t>4.3.2</w:t>
      </w:r>
      <w:r>
        <w:rPr>
          <w:rFonts w:hint="eastAsia" w:ascii="仿宋" w:hAnsi="仿宋" w:eastAsia="仿宋" w:cs="仿宋"/>
          <w:color w:val="auto"/>
          <w:kern w:val="0"/>
          <w:sz w:val="22"/>
          <w:szCs w:val="22"/>
          <w:highlight w:val="none"/>
        </w:rPr>
        <w:t>在政府采购活动中，供应商提供的货物、工程或者服务符合下列情形的，享受中小企业扶持政策：</w:t>
      </w:r>
    </w:p>
    <w:p w14:paraId="16E6B988">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4.3.2.1在货物采购项目中，货物由中小企业制造，即货物由中小企业生产且使用该中小企业商号或者注册商标；</w:t>
      </w:r>
    </w:p>
    <w:p w14:paraId="44C7E4E8">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4.3.2.2在工程采购项目中，工程由中小企业承建，即工程施工单位为中小企业；</w:t>
      </w:r>
    </w:p>
    <w:p w14:paraId="236761AB">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4.3.2.3在服务采购项目中，服务由中小企业承接，即提供服务的人员为中小企业依照《中华人民共和国劳动合同法》订立劳动合同的从业人员。</w:t>
      </w:r>
    </w:p>
    <w:p w14:paraId="684694B4">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在货物采购项目中，供应商提供的货物既有中小企业制造货物，也有大型企业制造货物的，不享受中小企业扶持政策。</w:t>
      </w:r>
    </w:p>
    <w:p w14:paraId="5D6F8CB4">
      <w:pPr>
        <w:widowControl/>
        <w:spacing w:line="36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以联合体形式参加政府采购活动，联合体各方均为中小企业的，联合体视同中小企业。其中，联合体各方均为小微企业的，联合体视同小微企业。</w:t>
      </w:r>
    </w:p>
    <w:p w14:paraId="4AD55B4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4.3.3对于未预留份额专门面向中小企业的政府采购货物或服务项目，以及预留份额政府采购货物或服务项目中的非预留部分标项，对小型和微型企业的投标报价给予20%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56C6E9C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4.3.4符合《关于促进残疾人就业政府采购政策的通知》（财库〔2017〕141号）规定的条件并提供《残疾人福利性单位声明函》（附件1）的残疾人福利性单位视同小型、微型企业；</w:t>
      </w:r>
    </w:p>
    <w:p w14:paraId="2EC7A67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90350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C70C11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4.3.7中小企业享受扶持政策获得政府采购合同的，小微企业不得将合同分包给大中型企业，中型企业不得将合同分包给大型企业。</w:t>
      </w:r>
    </w:p>
    <w:p w14:paraId="3BE44AB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629F58B0">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snapToGrid w:val="0"/>
          <w:color w:val="auto"/>
          <w:kern w:val="28"/>
          <w:sz w:val="22"/>
          <w:szCs w:val="22"/>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7E876FA">
      <w:pPr>
        <w:spacing w:line="360" w:lineRule="auto"/>
        <w:ind w:firstLine="221" w:firstLineChars="1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5. 询问、质疑、投诉</w:t>
      </w:r>
    </w:p>
    <w:p w14:paraId="122FC3D1">
      <w:pPr>
        <w:autoSpaceDE w:val="0"/>
        <w:autoSpaceDN w:val="0"/>
        <w:spacing w:line="360" w:lineRule="auto"/>
        <w:ind w:firstLine="220" w:firstLineChars="100"/>
        <w:jc w:val="left"/>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.1供应商询问</w:t>
      </w:r>
    </w:p>
    <w:p w14:paraId="4F5369CD">
      <w:pPr>
        <w:autoSpaceDE w:val="0"/>
        <w:autoSpaceDN w:val="0"/>
        <w:spacing w:line="360" w:lineRule="auto"/>
        <w:ind w:firstLine="440" w:firstLineChars="200"/>
        <w:jc w:val="left"/>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6856E">
      <w:pPr>
        <w:autoSpaceDE w:val="0"/>
        <w:autoSpaceDN w:val="0"/>
        <w:spacing w:line="360" w:lineRule="auto"/>
        <w:ind w:firstLine="220" w:firstLineChars="100"/>
        <w:jc w:val="left"/>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.2供应商质疑</w:t>
      </w:r>
    </w:p>
    <w:p w14:paraId="104395E5">
      <w:pPr>
        <w:pStyle w:val="8"/>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w:t>
      </w:r>
      <w:r>
        <w:rPr>
          <w:rFonts w:hint="eastAsia" w:ascii="仿宋" w:hAnsi="仿宋" w:eastAsia="仿宋" w:cs="仿宋"/>
          <w:color w:val="auto"/>
          <w:sz w:val="22"/>
          <w:szCs w:val="22"/>
          <w:highlight w:val="none"/>
        </w:rPr>
        <w:t>.1提出质疑的供应商应当是参与所质疑项目采购活动的供应商。潜在供应商已依法获取其可质疑的采购文件的，可以对该文件提出质疑。</w:t>
      </w:r>
    </w:p>
    <w:p w14:paraId="666DA113">
      <w:pPr>
        <w:pStyle w:val="8"/>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w:t>
      </w:r>
      <w:r>
        <w:rPr>
          <w:rFonts w:hint="eastAsia" w:ascii="仿宋" w:hAnsi="仿宋" w:eastAsia="仿宋" w:cs="仿宋"/>
          <w:color w:val="auto"/>
          <w:sz w:val="22"/>
          <w:szCs w:val="22"/>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D706E8B">
      <w:pPr>
        <w:pStyle w:val="5"/>
        <w:spacing w:line="360" w:lineRule="auto"/>
        <w:ind w:firstLine="440" w:firstLineChars="200"/>
        <w:rPr>
          <w:rFonts w:hint="eastAsia" w:ascii="仿宋" w:hAnsi="仿宋" w:eastAsia="仿宋" w:cs="仿宋"/>
          <w:snapToGrid/>
          <w:color w:val="auto"/>
          <w:kern w:val="2"/>
          <w:sz w:val="22"/>
          <w:szCs w:val="22"/>
          <w:highlight w:val="none"/>
        </w:rPr>
      </w:pPr>
      <w:r>
        <w:rPr>
          <w:rFonts w:hint="eastAsia" w:ascii="仿宋" w:hAnsi="仿宋" w:eastAsia="仿宋" w:cs="仿宋"/>
          <w:snapToGrid/>
          <w:color w:val="auto"/>
          <w:kern w:val="2"/>
          <w:sz w:val="22"/>
          <w:szCs w:val="22"/>
          <w:highlight w:val="none"/>
        </w:rPr>
        <w:t>5.2.2.1质疑提交形式：以</w:t>
      </w:r>
      <w:r>
        <w:rPr>
          <w:rFonts w:hint="eastAsia" w:ascii="仿宋" w:hAnsi="仿宋" w:eastAsia="仿宋" w:cs="仿宋"/>
          <w:color w:val="auto"/>
          <w:sz w:val="22"/>
          <w:szCs w:val="22"/>
          <w:highlight w:val="none"/>
        </w:rPr>
        <w:t>书面形式</w:t>
      </w:r>
      <w:r>
        <w:rPr>
          <w:rFonts w:hint="eastAsia" w:ascii="仿宋" w:hAnsi="仿宋" w:eastAsia="仿宋" w:cs="仿宋"/>
          <w:snapToGrid/>
          <w:color w:val="auto"/>
          <w:kern w:val="2"/>
          <w:sz w:val="22"/>
          <w:szCs w:val="22"/>
          <w:highlight w:val="none"/>
        </w:rPr>
        <w:t>向采购公告中载明的质疑联系人提交</w:t>
      </w:r>
      <w:r>
        <w:rPr>
          <w:rFonts w:hint="eastAsia" w:ascii="仿宋" w:hAnsi="仿宋" w:eastAsia="仿宋" w:cs="仿宋"/>
          <w:color w:val="auto"/>
          <w:sz w:val="22"/>
          <w:szCs w:val="22"/>
          <w:highlight w:val="none"/>
        </w:rPr>
        <w:t>或登录政采云平台（https://www.zcygov.cn/）通过“询问质疑投诉”栏向采购机构内设的质疑联系人提交并上传书面质疑材料。</w:t>
      </w:r>
    </w:p>
    <w:p w14:paraId="78745D26">
      <w:pPr>
        <w:pStyle w:val="5"/>
        <w:spacing w:line="360" w:lineRule="auto"/>
        <w:ind w:firstLine="440" w:firstLineChars="200"/>
        <w:rPr>
          <w:rFonts w:hint="eastAsia" w:ascii="仿宋" w:hAnsi="仿宋" w:eastAsia="仿宋" w:cs="仿宋"/>
          <w:snapToGrid/>
          <w:color w:val="auto"/>
          <w:kern w:val="2"/>
          <w:sz w:val="22"/>
          <w:szCs w:val="22"/>
          <w:highlight w:val="none"/>
        </w:rPr>
      </w:pPr>
      <w:r>
        <w:rPr>
          <w:rFonts w:hint="eastAsia" w:ascii="仿宋" w:hAnsi="仿宋" w:eastAsia="仿宋" w:cs="仿宋"/>
          <w:color w:val="auto"/>
          <w:sz w:val="22"/>
          <w:szCs w:val="22"/>
          <w:highlight w:val="none"/>
        </w:rPr>
        <w:t>5.2.2.2</w:t>
      </w:r>
      <w:r>
        <w:rPr>
          <w:rFonts w:hint="eastAsia" w:ascii="仿宋" w:hAnsi="仿宋" w:eastAsia="仿宋" w:cs="仿宋"/>
          <w:snapToGrid/>
          <w:color w:val="auto"/>
          <w:kern w:val="2"/>
          <w:sz w:val="22"/>
          <w:szCs w:val="22"/>
          <w:highlight w:val="none"/>
        </w:rPr>
        <w:t>对采购文件提出质疑的，质疑期限为供应商获得采购文件之日或者采购文件公告期限届满之日起计算。</w:t>
      </w:r>
    </w:p>
    <w:p w14:paraId="6B6BC044">
      <w:pPr>
        <w:pStyle w:val="8"/>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5.2.2.3对采购过程提出质疑的，质疑期限为各采购程序环节结束之日起计算。对同一采购程序环节的质疑，供应商须一次性提出。</w:t>
      </w:r>
    </w:p>
    <w:p w14:paraId="00768BF8">
      <w:pPr>
        <w:pStyle w:val="8"/>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5.2.2.4对采购结果提出质疑的，质疑期限自采购结果公告期限届满之日起计算。</w:t>
      </w:r>
    </w:p>
    <w:p w14:paraId="247528FE">
      <w:pPr>
        <w:pStyle w:val="8"/>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.2.3</w:t>
      </w:r>
      <w:r>
        <w:rPr>
          <w:rFonts w:hint="eastAsia" w:ascii="仿宋" w:hAnsi="仿宋" w:eastAsia="仿宋" w:cs="仿宋"/>
          <w:color w:val="auto"/>
          <w:sz w:val="22"/>
          <w:szCs w:val="22"/>
          <w:highlight w:val="none"/>
        </w:rPr>
        <w:t>供应商提出质疑应当提交质疑函和必要的证明材料。质疑函应当包括下列内容：</w:t>
      </w:r>
    </w:p>
    <w:p w14:paraId="6A81BD06">
      <w:pPr>
        <w:pStyle w:val="8"/>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.2.3.1供应商的姓名或者名称、地址、邮编、联系人及联系电话；</w:t>
      </w:r>
    </w:p>
    <w:p w14:paraId="758A6317">
      <w:pPr>
        <w:pStyle w:val="8"/>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.2.3.2质疑项目的名称、编号；</w:t>
      </w:r>
    </w:p>
    <w:p w14:paraId="3E896E2A">
      <w:pPr>
        <w:pStyle w:val="8"/>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.2.3.3具体、明确的质疑事项和与质疑事项相关的请求；</w:t>
      </w:r>
    </w:p>
    <w:p w14:paraId="201ED780">
      <w:pPr>
        <w:pStyle w:val="8"/>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.2.3.4事实依据；</w:t>
      </w:r>
    </w:p>
    <w:p w14:paraId="4264383C">
      <w:pPr>
        <w:pStyle w:val="8"/>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rPr>
        <w:t>5</w:t>
      </w:r>
      <w:r>
        <w:rPr>
          <w:rFonts w:hint="eastAsia" w:ascii="仿宋" w:hAnsi="仿宋" w:eastAsia="仿宋" w:cs="仿宋"/>
          <w:color w:val="auto"/>
          <w:kern w:val="0"/>
          <w:sz w:val="22"/>
          <w:szCs w:val="22"/>
          <w:highlight w:val="none"/>
          <w:lang w:val="zh-CN"/>
        </w:rPr>
        <w:t>.2.3.5必要的法律依据；</w:t>
      </w:r>
    </w:p>
    <w:p w14:paraId="02E94CD0">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zh-CN"/>
        </w:rPr>
        <w:t>.2.3.6提出质疑的日期。</w:t>
      </w:r>
    </w:p>
    <w:p w14:paraId="234F0B5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供应商为自然人的，应当由本人签字；供应商为法人或者其他组织的，应当由法定代表人、主要负责人，或者其授权代表签字或者盖章，并加盖公章。</w:t>
      </w:r>
    </w:p>
    <w:p w14:paraId="5D1F3B8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质疑函范本及制作说明详见附件2。</w:t>
      </w:r>
    </w:p>
    <w:p w14:paraId="40856C0C">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7D85F8F">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zh-CN"/>
        </w:rPr>
        <w:t>.2.5询问或者质疑事项可能影响采购结果的，采购人应当暂停签订合同，已经签订合同的，应当中止履行合同。</w:t>
      </w:r>
    </w:p>
    <w:p w14:paraId="7EF736DD">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zh-CN"/>
        </w:rPr>
        <w:t>.3供应商投诉</w:t>
      </w:r>
    </w:p>
    <w:p w14:paraId="60E2E998">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71792817">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5.3.2供应商投诉的事项不得超出已质疑事项的范围，基于质疑答复内容提出的投诉事项除外。</w:t>
      </w:r>
    </w:p>
    <w:p w14:paraId="4B5B5527">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5.3.3供应商投诉应当有明确的请求和必要的证明材料。</w:t>
      </w:r>
    </w:p>
    <w:p w14:paraId="76437C15">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5.3.5 以联合体形式参加政府采购活动的，其投诉应当由组成联合体的所有供应商共同提出。</w:t>
      </w:r>
    </w:p>
    <w:p w14:paraId="13588E97">
      <w:pPr>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投诉书范本及制作说明详见附件3。</w:t>
      </w:r>
    </w:p>
    <w:p w14:paraId="7D39C4C8">
      <w:pPr>
        <w:adjustRightInd/>
        <w:spacing w:line="360" w:lineRule="auto"/>
        <w:jc w:val="center"/>
        <w:outlineLvl w:val="1"/>
        <w:rPr>
          <w:rFonts w:hint="eastAsia" w:ascii="仿宋" w:hAnsi="仿宋" w:eastAsia="仿宋" w:cs="仿宋"/>
          <w:b/>
          <w:color w:val="auto"/>
          <w:sz w:val="32"/>
          <w:szCs w:val="20"/>
          <w:highlight w:val="none"/>
        </w:rPr>
      </w:pPr>
      <w:bookmarkStart w:id="32" w:name="_Toc7567"/>
      <w:bookmarkStart w:id="33" w:name="_Toc827304255"/>
      <w:r>
        <w:rPr>
          <w:rStyle w:val="19"/>
          <w:rFonts w:hint="eastAsia" w:ascii="仿宋" w:eastAsia="仿宋" w:cs="仿宋"/>
          <w:color w:val="auto"/>
          <w:highlight w:val="none"/>
        </w:rPr>
        <w:t>二、采购文件的构成、澄清、修改</w:t>
      </w:r>
      <w:bookmarkEnd w:id="32"/>
      <w:bookmarkEnd w:id="33"/>
    </w:p>
    <w:p w14:paraId="0C0F4656">
      <w:pPr>
        <w:spacing w:line="360" w:lineRule="auto"/>
        <w:ind w:firstLine="221" w:firstLineChars="1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6．采购文件的构成</w:t>
      </w:r>
    </w:p>
    <w:p w14:paraId="4B02D6C8">
      <w:pPr>
        <w:pStyle w:val="8"/>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 采购文件包括下列文件及附件：</w:t>
      </w:r>
    </w:p>
    <w:p w14:paraId="57F3CA3E">
      <w:pPr>
        <w:pStyle w:val="8"/>
        <w:tabs>
          <w:tab w:val="left" w:pos="84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6.1.1采购公告；</w:t>
      </w:r>
    </w:p>
    <w:p w14:paraId="7B5D33A1">
      <w:pPr>
        <w:pStyle w:val="8"/>
        <w:tabs>
          <w:tab w:val="left" w:pos="84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6.1.2供应商须知；</w:t>
      </w:r>
    </w:p>
    <w:p w14:paraId="67FF8018">
      <w:pPr>
        <w:pStyle w:val="8"/>
        <w:tabs>
          <w:tab w:val="left" w:pos="84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6.1.3采购需求；</w:t>
      </w:r>
    </w:p>
    <w:p w14:paraId="07184CC6">
      <w:pPr>
        <w:pStyle w:val="8"/>
        <w:tabs>
          <w:tab w:val="left" w:pos="84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6.1.4评审办法；</w:t>
      </w:r>
    </w:p>
    <w:p w14:paraId="74A537E6">
      <w:pPr>
        <w:pStyle w:val="8"/>
        <w:tabs>
          <w:tab w:val="left" w:pos="84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6.1.5拟签订的合同文本；</w:t>
      </w:r>
    </w:p>
    <w:p w14:paraId="0F21AD49">
      <w:pPr>
        <w:pStyle w:val="8"/>
        <w:tabs>
          <w:tab w:val="left" w:pos="84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0"/>
          <w:highlight w:val="none"/>
        </w:rPr>
        <w:t>6.1.6</w:t>
      </w:r>
      <w:r>
        <w:rPr>
          <w:rFonts w:hint="eastAsia" w:ascii="仿宋" w:hAnsi="仿宋" w:eastAsia="仿宋" w:cs="仿宋"/>
          <w:color w:val="auto"/>
          <w:sz w:val="22"/>
          <w:szCs w:val="22"/>
          <w:highlight w:val="none"/>
        </w:rPr>
        <w:t>应提交的有关格式范例。</w:t>
      </w:r>
    </w:p>
    <w:p w14:paraId="3713B7B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5.2与本项目有关的</w:t>
      </w:r>
      <w:r>
        <w:rPr>
          <w:rFonts w:hint="eastAsia" w:ascii="仿宋" w:hAnsi="仿宋" w:eastAsia="仿宋" w:cs="仿宋"/>
          <w:bCs/>
          <w:color w:val="auto"/>
          <w:sz w:val="22"/>
          <w:szCs w:val="22"/>
          <w:highlight w:val="none"/>
        </w:rPr>
        <w:t>澄清或者修改的内容为采购文件的组成部分</w:t>
      </w:r>
      <w:r>
        <w:rPr>
          <w:rFonts w:hint="eastAsia" w:ascii="仿宋" w:hAnsi="仿宋" w:eastAsia="仿宋" w:cs="仿宋"/>
          <w:color w:val="auto"/>
          <w:sz w:val="22"/>
          <w:szCs w:val="22"/>
          <w:highlight w:val="none"/>
        </w:rPr>
        <w:t>。</w:t>
      </w:r>
    </w:p>
    <w:p w14:paraId="0D5C5AA6">
      <w:pPr>
        <w:pStyle w:val="8"/>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7. 采购文件的澄清、修改</w:t>
      </w:r>
    </w:p>
    <w:p w14:paraId="41AE7819">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7.1已获取采购文件的潜在供应商，若有问题需要澄清，应于响应截止时间前，以书面形式向采购代理机构提出。</w:t>
      </w:r>
    </w:p>
    <w:p w14:paraId="3AB00B5D">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7.2 采购代理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14:paraId="58302F75">
      <w:pPr>
        <w:pStyle w:val="6"/>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982CF0D">
      <w:pPr>
        <w:pStyle w:val="2"/>
        <w:jc w:val="center"/>
        <w:rPr>
          <w:rFonts w:hint="eastAsia" w:ascii="仿宋" w:eastAsia="仿宋" w:cs="仿宋"/>
          <w:color w:val="auto"/>
          <w:highlight w:val="none"/>
        </w:rPr>
      </w:pPr>
      <w:bookmarkStart w:id="34" w:name="_Toc9266"/>
      <w:bookmarkStart w:id="35" w:name="_Toc1693483107"/>
      <w:r>
        <w:rPr>
          <w:rFonts w:hint="eastAsia" w:ascii="仿宋" w:eastAsia="仿宋" w:cs="仿宋"/>
          <w:color w:val="auto"/>
          <w:highlight w:val="none"/>
        </w:rPr>
        <w:t>三、磋商响应</w:t>
      </w:r>
      <w:bookmarkEnd w:id="34"/>
      <w:bookmarkEnd w:id="35"/>
    </w:p>
    <w:p w14:paraId="6A7EDFF0">
      <w:pPr>
        <w:pStyle w:val="8"/>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8. 采购文件的获取</w:t>
      </w:r>
    </w:p>
    <w:p w14:paraId="1630DC23">
      <w:pPr>
        <w:spacing w:line="360" w:lineRule="auto"/>
        <w:ind w:firstLine="440" w:firstLineChars="200"/>
        <w:rPr>
          <w:rFonts w:hint="eastAsia"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详见采购公告中获取采购文件的时间期限、地点、方式及采购文件售价。</w:t>
      </w:r>
    </w:p>
    <w:p w14:paraId="2BD2967C">
      <w:pPr>
        <w:pStyle w:val="8"/>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9.响应文件开启前答疑会或现场考察</w:t>
      </w:r>
    </w:p>
    <w:p w14:paraId="25F21C1B">
      <w:pPr>
        <w:pStyle w:val="8"/>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采购人组织潜在供应商现场考察或者召开响应文件开启前答疑会的，潜在供应商按第二部分供应商须知前附表的规定参加现场考察或者响应文件开启前答疑会。</w:t>
      </w:r>
    </w:p>
    <w:p w14:paraId="17EF8A08">
      <w:pPr>
        <w:pStyle w:val="8"/>
        <w:spacing w:line="360" w:lineRule="auto"/>
        <w:rPr>
          <w:rFonts w:hint="eastAsia" w:ascii="仿宋" w:hAnsi="仿宋" w:eastAsia="仿宋" w:cs="仿宋"/>
          <w:b/>
          <w:color w:val="auto"/>
          <w:sz w:val="20"/>
          <w:szCs w:val="22"/>
          <w:highlight w:val="none"/>
        </w:rPr>
      </w:pPr>
      <w:r>
        <w:rPr>
          <w:rFonts w:hint="eastAsia" w:ascii="仿宋" w:hAnsi="仿宋" w:eastAsia="仿宋" w:cs="仿宋"/>
          <w:b/>
          <w:color w:val="auto"/>
          <w:kern w:val="28"/>
          <w:sz w:val="22"/>
          <w:szCs w:val="22"/>
          <w:highlight w:val="none"/>
        </w:rPr>
        <w:t>10.磋商保证金</w:t>
      </w:r>
    </w:p>
    <w:p w14:paraId="78048802">
      <w:pPr>
        <w:pStyle w:val="5"/>
        <w:spacing w:line="360" w:lineRule="auto"/>
        <w:ind w:firstLine="431" w:firstLineChars="196"/>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本项目不需缴纳磋商保证金。</w:t>
      </w:r>
    </w:p>
    <w:p w14:paraId="3302C935">
      <w:pPr>
        <w:pStyle w:val="8"/>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11. 响应文件的语言</w:t>
      </w:r>
    </w:p>
    <w:p w14:paraId="1A979EDB">
      <w:pPr>
        <w:autoSpaceDE w:val="0"/>
        <w:autoSpaceDN w:val="0"/>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响应文件及供应商与采购有关的来往通知、函件和文件均应使用中文。</w:t>
      </w:r>
    </w:p>
    <w:p w14:paraId="408D099C">
      <w:pPr>
        <w:pStyle w:val="8"/>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12. 响应文件的组成</w:t>
      </w:r>
    </w:p>
    <w:p w14:paraId="199DEC0F">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w:t>
      </w:r>
      <w:r>
        <w:rPr>
          <w:rFonts w:hint="eastAsia" w:ascii="仿宋" w:hAnsi="仿宋" w:eastAsia="仿宋" w:cs="仿宋"/>
          <w:b/>
          <w:color w:val="auto"/>
          <w:sz w:val="22"/>
          <w:szCs w:val="22"/>
          <w:highlight w:val="none"/>
        </w:rPr>
        <w:t>资格文件</w:t>
      </w:r>
      <w:r>
        <w:rPr>
          <w:rFonts w:hint="eastAsia" w:ascii="仿宋" w:hAnsi="仿宋" w:eastAsia="仿宋" w:cs="仿宋"/>
          <w:color w:val="auto"/>
          <w:sz w:val="22"/>
          <w:szCs w:val="22"/>
          <w:highlight w:val="none"/>
        </w:rPr>
        <w:t>：</w:t>
      </w:r>
    </w:p>
    <w:p w14:paraId="47079CE9">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szCs w:val="18"/>
          <w:highlight w:val="none"/>
        </w:rPr>
        <w:t>12.1.1提供符合参加政府采购活动应当具备的一般条件的承诺函及有效的企业营业执照（或事业法人登记证书或其它工商等登记证明材料，自然人提供身份证)复制件（如为联合体，则联合体各方均应提供）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color w:val="auto"/>
          <w:sz w:val="22"/>
          <w:highlight w:val="none"/>
        </w:rPr>
        <w:t>（五选一）：</w:t>
      </w:r>
    </w:p>
    <w:p w14:paraId="114A7B1B">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①如供应商是企业（包括合伙企业），提供在工商部门注册的有效“企业法人营业执照”或“营业执照”；</w:t>
      </w:r>
    </w:p>
    <w:p w14:paraId="00981963">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②如供应商是事业单位，提供有效的“事业单位法人证书”；</w:t>
      </w:r>
    </w:p>
    <w:p w14:paraId="6EEA07DD">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③如供应商是非企业专业服务机构的，提供执业许可证等证明文件；</w:t>
      </w:r>
    </w:p>
    <w:p w14:paraId="04370B4B">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④如供应商是个体工商户，提供有效的“个体工商户营业执照”；</w:t>
      </w:r>
    </w:p>
    <w:p w14:paraId="26A6E290">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⑤如供应商是自然人，提供有效的自然人身份证明（居民身份证正反面或公安机关出具的临时居民身份证正反面或港澳台胞证或护照）。</w:t>
      </w:r>
    </w:p>
    <w:p w14:paraId="6A6C1301">
      <w:pPr>
        <w:pStyle w:val="20"/>
        <w:spacing w:line="360" w:lineRule="auto"/>
        <w:ind w:firstLine="420"/>
        <w:rPr>
          <w:rFonts w:hint="eastAsia" w:ascii="仿宋" w:hAnsi="仿宋" w:eastAsia="仿宋" w:cs="仿宋"/>
          <w:color w:val="auto"/>
          <w:sz w:val="22"/>
          <w:highlight w:val="none"/>
        </w:rPr>
      </w:pPr>
      <w:r>
        <w:rPr>
          <w:rFonts w:hint="eastAsia" w:ascii="仿宋" w:hAnsi="仿宋" w:eastAsia="仿宋" w:cs="仿宋"/>
          <w:color w:val="auto"/>
          <w:sz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2C6D65A8">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12.1.2落实政府采购政策需满足的资格要求</w:t>
      </w:r>
      <w:r>
        <w:rPr>
          <w:rFonts w:hint="eastAsia" w:ascii="仿宋" w:hAnsi="仿宋" w:eastAsia="仿宋" w:cs="仿宋"/>
          <w:color w:val="auto"/>
          <w:sz w:val="22"/>
          <w:szCs w:val="22"/>
          <w:highlight w:val="none"/>
          <w:lang w:val="zh-CN"/>
        </w:rPr>
        <w:t>证明材料（</w:t>
      </w:r>
      <w:r>
        <w:rPr>
          <w:rFonts w:hint="eastAsia" w:ascii="仿宋" w:hAnsi="仿宋" w:eastAsia="仿宋" w:cs="仿宋"/>
          <w:color w:val="auto"/>
          <w:sz w:val="22"/>
          <w:szCs w:val="22"/>
          <w:highlight w:val="none"/>
        </w:rPr>
        <w:t>如有</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w:t>
      </w:r>
    </w:p>
    <w:p w14:paraId="069DF8C0">
      <w:pPr>
        <w:snapToGrid w:val="0"/>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12.1.3本项目的特定资格</w:t>
      </w:r>
      <w:r>
        <w:rPr>
          <w:rFonts w:hint="eastAsia" w:ascii="仿宋" w:hAnsi="仿宋" w:eastAsia="仿宋" w:cs="仿宋"/>
          <w:color w:val="auto"/>
          <w:sz w:val="22"/>
          <w:szCs w:val="22"/>
          <w:highlight w:val="none"/>
          <w:lang w:val="zh-CN"/>
        </w:rPr>
        <w:t>证明材料（</w:t>
      </w:r>
      <w:r>
        <w:rPr>
          <w:rFonts w:hint="eastAsia" w:ascii="仿宋" w:hAnsi="仿宋" w:eastAsia="仿宋" w:cs="仿宋"/>
          <w:color w:val="auto"/>
          <w:sz w:val="22"/>
          <w:szCs w:val="22"/>
          <w:highlight w:val="none"/>
        </w:rPr>
        <w:t>如有</w:t>
      </w:r>
      <w:r>
        <w:rPr>
          <w:rFonts w:hint="eastAsia" w:ascii="仿宋" w:hAnsi="仿宋" w:eastAsia="仿宋" w:cs="仿宋"/>
          <w:color w:val="auto"/>
          <w:sz w:val="22"/>
          <w:szCs w:val="22"/>
          <w:highlight w:val="none"/>
          <w:lang w:val="zh-CN"/>
        </w:rPr>
        <w:t>）。</w:t>
      </w:r>
    </w:p>
    <w:p w14:paraId="11F2E455">
      <w:pPr>
        <w:snapToGrid w:val="0"/>
        <w:spacing w:line="360" w:lineRule="auto"/>
        <w:ind w:firstLine="440" w:firstLineChars="200"/>
        <w:rPr>
          <w:rFonts w:hint="eastAsia" w:ascii="仿宋" w:hAnsi="仿宋" w:eastAsia="仿宋" w:cs="仿宋"/>
          <w:color w:val="auto"/>
          <w:sz w:val="20"/>
          <w:szCs w:val="22"/>
          <w:highlight w:val="none"/>
          <w:lang w:val="zh-CN"/>
        </w:rPr>
      </w:pPr>
      <w:r>
        <w:rPr>
          <w:rFonts w:hint="eastAsia" w:ascii="仿宋" w:hAnsi="仿宋" w:eastAsia="仿宋" w:cs="仿宋"/>
          <w:color w:val="auto"/>
          <w:sz w:val="22"/>
          <w:szCs w:val="22"/>
          <w:highlight w:val="none"/>
        </w:rPr>
        <w:t>12.1.4政府采购活动现场确认声明书。</w:t>
      </w:r>
    </w:p>
    <w:p w14:paraId="7220127E">
      <w:pPr>
        <w:snapToGrid w:val="0"/>
        <w:spacing w:line="360" w:lineRule="auto"/>
        <w:ind w:firstLine="442" w:firstLineChars="20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val="zh-CN"/>
        </w:rPr>
        <w:t>1</w:t>
      </w:r>
      <w:r>
        <w:rPr>
          <w:rFonts w:hint="eastAsia" w:ascii="仿宋" w:hAnsi="仿宋" w:eastAsia="仿宋" w:cs="仿宋"/>
          <w:b/>
          <w:bCs/>
          <w:color w:val="auto"/>
          <w:sz w:val="22"/>
          <w:szCs w:val="22"/>
          <w:highlight w:val="none"/>
        </w:rPr>
        <w:t>2</w:t>
      </w:r>
      <w:r>
        <w:rPr>
          <w:rFonts w:hint="eastAsia" w:ascii="仿宋" w:hAnsi="仿宋" w:eastAsia="仿宋" w:cs="仿宋"/>
          <w:b/>
          <w:bCs/>
          <w:color w:val="auto"/>
          <w:sz w:val="22"/>
          <w:szCs w:val="22"/>
          <w:highlight w:val="none"/>
          <w:lang w:val="zh-CN"/>
        </w:rPr>
        <w:t>.</w:t>
      </w:r>
      <w:r>
        <w:rPr>
          <w:rFonts w:hint="eastAsia" w:ascii="仿宋" w:hAnsi="仿宋" w:eastAsia="仿宋" w:cs="仿宋"/>
          <w:b/>
          <w:bCs/>
          <w:color w:val="auto"/>
          <w:sz w:val="22"/>
          <w:szCs w:val="22"/>
          <w:highlight w:val="none"/>
        </w:rPr>
        <w:t>2</w:t>
      </w:r>
      <w:r>
        <w:rPr>
          <w:rFonts w:hint="eastAsia" w:ascii="仿宋" w:hAnsi="仿宋" w:eastAsia="仿宋" w:cs="仿宋"/>
          <w:b/>
          <w:bCs/>
          <w:color w:val="auto"/>
          <w:sz w:val="22"/>
          <w:szCs w:val="22"/>
          <w:highlight w:val="none"/>
          <w:lang w:val="zh-CN"/>
        </w:rPr>
        <w:t xml:space="preserve">  </w:t>
      </w:r>
      <w:r>
        <w:rPr>
          <w:rFonts w:hint="eastAsia" w:ascii="仿宋" w:hAnsi="仿宋" w:eastAsia="仿宋" w:cs="仿宋"/>
          <w:b/>
          <w:bCs/>
          <w:color w:val="auto"/>
          <w:sz w:val="22"/>
          <w:szCs w:val="22"/>
          <w:highlight w:val="none"/>
        </w:rPr>
        <w:t>商务技术</w:t>
      </w:r>
      <w:r>
        <w:rPr>
          <w:rFonts w:hint="eastAsia" w:ascii="仿宋" w:hAnsi="仿宋" w:eastAsia="仿宋" w:cs="仿宋"/>
          <w:b/>
          <w:bCs/>
          <w:color w:val="auto"/>
          <w:sz w:val="22"/>
          <w:szCs w:val="22"/>
          <w:highlight w:val="none"/>
          <w:lang w:val="zh-CN"/>
        </w:rPr>
        <w:t>文件：</w:t>
      </w:r>
    </w:p>
    <w:p w14:paraId="3B66C5F1">
      <w:pPr>
        <w:tabs>
          <w:tab w:val="left" w:pos="942"/>
        </w:tabs>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12.2.1报价声明函；</w:t>
      </w:r>
      <w:r>
        <w:rPr>
          <w:rFonts w:hint="eastAsia" w:ascii="仿宋" w:hAnsi="仿宋" w:eastAsia="仿宋" w:cs="仿宋"/>
          <w:color w:val="auto"/>
          <w:sz w:val="22"/>
          <w:szCs w:val="22"/>
          <w:highlight w:val="none"/>
          <w:lang w:val="zh-CN"/>
        </w:rPr>
        <w:t xml:space="preserve"> </w:t>
      </w:r>
    </w:p>
    <w:p w14:paraId="14B0528B">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12.2.2授权委托书或法定代表人（单位负责人、自然人本人）身份证明；</w:t>
      </w:r>
    </w:p>
    <w:p w14:paraId="1A87FB5E">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12.2.3评审标准相应的商务技术资料；</w:t>
      </w:r>
    </w:p>
    <w:p w14:paraId="5F53CF48">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12.2.4商务技术偏离表；</w:t>
      </w:r>
    </w:p>
    <w:p w14:paraId="35B683A0">
      <w:pPr>
        <w:snapToGrid w:val="0"/>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1</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zh-CN"/>
        </w:rPr>
        <w:t>供应商认为需要提供的其他材料。</w:t>
      </w:r>
    </w:p>
    <w:p w14:paraId="7787726C">
      <w:pPr>
        <w:snapToGrid w:val="0"/>
        <w:spacing w:line="360" w:lineRule="auto"/>
        <w:ind w:firstLine="440" w:firstLineChars="200"/>
        <w:rPr>
          <w:rFonts w:hint="eastAsia" w:ascii="仿宋" w:hAnsi="仿宋" w:eastAsia="仿宋" w:cs="仿宋"/>
          <w:color w:val="auto"/>
          <w:sz w:val="22"/>
          <w:szCs w:val="22"/>
          <w:highlight w:val="none"/>
          <w:u w:val="single"/>
          <w:lang w:val="zh-CN"/>
        </w:rPr>
      </w:pPr>
      <w:r>
        <w:rPr>
          <w:rFonts w:hint="eastAsia" w:ascii="仿宋" w:hAnsi="仿宋" w:eastAsia="仿宋" w:cs="仿宋"/>
          <w:color w:val="auto"/>
          <w:kern w:val="0"/>
          <w:sz w:val="22"/>
          <w:szCs w:val="22"/>
          <w:highlight w:val="none"/>
          <w:lang w:val="zh-CN"/>
        </w:rPr>
        <w:t>12.3</w:t>
      </w:r>
      <w:r>
        <w:rPr>
          <w:rFonts w:hint="eastAsia" w:ascii="仿宋" w:hAnsi="仿宋" w:eastAsia="仿宋" w:cs="仿宋"/>
          <w:b/>
          <w:color w:val="auto"/>
          <w:sz w:val="22"/>
          <w:szCs w:val="22"/>
          <w:highlight w:val="none"/>
        </w:rPr>
        <w:t>报价文件：</w:t>
      </w:r>
      <w:r>
        <w:rPr>
          <w:rFonts w:hint="eastAsia" w:ascii="仿宋" w:hAnsi="仿宋" w:eastAsia="仿宋" w:cs="仿宋"/>
          <w:color w:val="auto"/>
          <w:sz w:val="22"/>
          <w:szCs w:val="22"/>
          <w:highlight w:val="none"/>
        </w:rPr>
        <w:t xml:space="preserve"> </w:t>
      </w:r>
    </w:p>
    <w:p w14:paraId="37D46DB5">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12.3.1报价一览表；</w:t>
      </w:r>
    </w:p>
    <w:p w14:paraId="6042D441">
      <w:pPr>
        <w:snapToGrid w:val="0"/>
        <w:spacing w:line="360" w:lineRule="auto"/>
        <w:ind w:firstLine="440" w:firstLineChars="200"/>
        <w:rPr>
          <w:rFonts w:hint="eastAsia" w:ascii="仿宋" w:hAnsi="仿宋" w:eastAsia="仿宋" w:cs="仿宋"/>
          <w:color w:val="auto"/>
          <w:sz w:val="20"/>
          <w:szCs w:val="22"/>
          <w:highlight w:val="none"/>
        </w:rPr>
      </w:pPr>
      <w:r>
        <w:rPr>
          <w:rFonts w:hint="eastAsia" w:ascii="仿宋" w:hAnsi="仿宋" w:eastAsia="仿宋" w:cs="仿宋"/>
          <w:color w:val="auto"/>
          <w:sz w:val="22"/>
          <w:szCs w:val="22"/>
          <w:highlight w:val="none"/>
        </w:rPr>
        <w:t>12.3.2分项报价表；</w:t>
      </w:r>
    </w:p>
    <w:p w14:paraId="6F05E24C">
      <w:pPr>
        <w:spacing w:line="360" w:lineRule="auto"/>
        <w:ind w:firstLine="442" w:firstLineChars="2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响应文件含有采购人不能接受的附加条件的，响应无效；</w:t>
      </w:r>
    </w:p>
    <w:p w14:paraId="6BC65692">
      <w:pPr>
        <w:spacing w:line="360" w:lineRule="auto"/>
        <w:ind w:firstLine="442" w:firstLineChars="200"/>
        <w:rPr>
          <w:rFonts w:hint="eastAsia" w:ascii="仿宋" w:hAnsi="仿宋" w:eastAsia="仿宋" w:cs="仿宋"/>
          <w:b/>
          <w:color w:val="auto"/>
          <w:sz w:val="22"/>
          <w:szCs w:val="20"/>
          <w:highlight w:val="none"/>
        </w:rPr>
      </w:pPr>
      <w:r>
        <w:rPr>
          <w:rFonts w:hint="eastAsia" w:ascii="仿宋" w:hAnsi="仿宋" w:eastAsia="仿宋" w:cs="仿宋"/>
          <w:b/>
          <w:color w:val="auto"/>
          <w:sz w:val="22"/>
          <w:szCs w:val="22"/>
          <w:highlight w:val="none"/>
        </w:rPr>
        <w:t xml:space="preserve">供应商提供虚假材料响应的，响应无效。 </w:t>
      </w:r>
    </w:p>
    <w:p w14:paraId="1E8429D8">
      <w:pPr>
        <w:pStyle w:val="21"/>
        <w:snapToGrid w:val="0"/>
        <w:spacing w:before="0"/>
        <w:ind w:firstLine="0" w:firstLineChars="0"/>
        <w:rPr>
          <w:rFonts w:hint="eastAsia" w:ascii="仿宋" w:hAnsi="仿宋" w:eastAsia="仿宋" w:cs="仿宋"/>
          <w:b/>
          <w:color w:val="auto"/>
          <w:sz w:val="22"/>
          <w:szCs w:val="22"/>
          <w:highlight w:val="none"/>
        </w:rPr>
      </w:pPr>
      <w:bookmarkStart w:id="36" w:name="_Toc19035"/>
      <w:bookmarkStart w:id="37" w:name="_Toc23416"/>
      <w:bookmarkStart w:id="38" w:name="_Toc6297"/>
      <w:r>
        <w:rPr>
          <w:rFonts w:hint="eastAsia" w:ascii="仿宋" w:hAnsi="仿宋" w:eastAsia="仿宋" w:cs="仿宋"/>
          <w:b/>
          <w:color w:val="auto"/>
          <w:sz w:val="22"/>
          <w:szCs w:val="22"/>
          <w:highlight w:val="none"/>
        </w:rPr>
        <w:t>13</w:t>
      </w:r>
      <w:r>
        <w:rPr>
          <w:rFonts w:hint="eastAsia" w:ascii="仿宋" w:hAnsi="仿宋" w:eastAsia="仿宋" w:cs="仿宋"/>
          <w:b/>
          <w:color w:val="auto"/>
          <w:kern w:val="0"/>
          <w:sz w:val="22"/>
          <w:szCs w:val="22"/>
          <w:highlight w:val="none"/>
          <w:lang w:val="zh-CN"/>
        </w:rPr>
        <w:t xml:space="preserve">. </w:t>
      </w:r>
      <w:r>
        <w:rPr>
          <w:rFonts w:hint="eastAsia" w:ascii="仿宋" w:hAnsi="仿宋" w:eastAsia="仿宋" w:cs="仿宋"/>
          <w:b/>
          <w:color w:val="auto"/>
          <w:sz w:val="22"/>
          <w:szCs w:val="22"/>
          <w:highlight w:val="none"/>
        </w:rPr>
        <w:t>响应文件的编制</w:t>
      </w:r>
      <w:bookmarkEnd w:id="36"/>
      <w:bookmarkEnd w:id="37"/>
      <w:bookmarkEnd w:id="38"/>
    </w:p>
    <w:p w14:paraId="7DFB3034">
      <w:pPr>
        <w:spacing w:line="360" w:lineRule="auto"/>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lang w:val="zh-CN"/>
        </w:rPr>
        <w:t>.1响应文件分为资格文件、商务技术文件、报价文件三部分。各供应商在编制响应文件时请按照采购文件第六部分规定的格式进行，混乱的编排导致响应文件被误读或磋商小组查找不到有效文件是供应商的风险。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6AD7D37">
      <w:pPr>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lang w:val="zh-CN"/>
        </w:rPr>
        <w:t>.2供应商进行电子投标应安装客户端软件—“政采云电子交易客户端”，并按照采购文件和电子交易平台的要求编制并加密响应文件。供应商未按规定加密的响应文件，电子交易平台将拒收并提示。</w:t>
      </w:r>
    </w:p>
    <w:p w14:paraId="005C1A2C">
      <w:pPr>
        <w:spacing w:line="360" w:lineRule="auto"/>
        <w:ind w:firstLine="440" w:firstLineChars="200"/>
        <w:rPr>
          <w:rFonts w:hint="eastAsia" w:ascii="仿宋" w:hAnsi="仿宋" w:eastAsia="仿宋" w:cs="仿宋"/>
          <w:color w:val="auto"/>
          <w:kern w:val="0"/>
          <w:sz w:val="22"/>
          <w:szCs w:val="22"/>
          <w:highlight w:val="none"/>
          <w:lang w:val="zh-CN"/>
        </w:rPr>
      </w:pPr>
      <w:r>
        <w:rPr>
          <w:rFonts w:hint="eastAsia" w:ascii="仿宋" w:hAnsi="仿宋" w:eastAsia="仿宋" w:cs="仿宋"/>
          <w:color w:val="auto"/>
          <w:kern w:val="0"/>
          <w:sz w:val="22"/>
          <w:szCs w:val="22"/>
          <w:highlight w:val="none"/>
          <w:lang w:val="zh-CN"/>
        </w:rPr>
        <w:t>1</w:t>
      </w:r>
      <w:r>
        <w:rPr>
          <w:rFonts w:hint="eastAsia" w:ascii="仿宋" w:hAnsi="仿宋" w:eastAsia="仿宋" w:cs="仿宋"/>
          <w:color w:val="auto"/>
          <w:kern w:val="0"/>
          <w:sz w:val="22"/>
          <w:szCs w:val="22"/>
          <w:highlight w:val="none"/>
        </w:rPr>
        <w:t>3</w:t>
      </w:r>
      <w:r>
        <w:rPr>
          <w:rFonts w:hint="eastAsia" w:ascii="仿宋" w:hAnsi="仿宋" w:eastAsia="仿宋" w:cs="仿宋"/>
          <w:color w:val="auto"/>
          <w:kern w:val="0"/>
          <w:sz w:val="22"/>
          <w:szCs w:val="22"/>
          <w:highlight w:val="none"/>
          <w:lang w:val="zh-CN"/>
        </w:rPr>
        <w:t>.3使用“政采云电子交易客户端”需要提前申领CA数字证书，申领流程请自行前往“浙江政府采购网-下载专区-电子交易客户端-CA驱动和申领流程”进行查阅。</w:t>
      </w:r>
    </w:p>
    <w:p w14:paraId="6B0443FE">
      <w:pPr>
        <w:pStyle w:val="21"/>
        <w:snapToGrid w:val="0"/>
        <w:spacing w:before="0"/>
        <w:ind w:firstLine="442"/>
        <w:rPr>
          <w:rFonts w:hint="eastAsia" w:ascii="仿宋" w:hAnsi="仿宋" w:eastAsia="仿宋" w:cs="仿宋"/>
          <w:b/>
          <w:bCs/>
          <w:color w:val="auto"/>
          <w:sz w:val="22"/>
          <w:szCs w:val="18"/>
          <w:highlight w:val="none"/>
          <w:u w:val="single"/>
        </w:rPr>
      </w:pPr>
      <w:bookmarkStart w:id="39" w:name="_Toc1765"/>
      <w:r>
        <w:rPr>
          <w:rFonts w:hint="eastAsia" w:ascii="仿宋" w:hAnsi="仿宋" w:eastAsia="仿宋" w:cs="仿宋"/>
          <w:b/>
          <w:color w:val="auto"/>
          <w:sz w:val="22"/>
          <w:szCs w:val="22"/>
          <w:highlight w:val="none"/>
        </w:rPr>
        <w:t>14</w:t>
      </w:r>
      <w:bookmarkEnd w:id="39"/>
      <w:r>
        <w:rPr>
          <w:rFonts w:hint="eastAsia" w:ascii="仿宋" w:hAnsi="仿宋" w:eastAsia="仿宋" w:cs="仿宋"/>
          <w:b/>
          <w:color w:val="auto"/>
          <w:sz w:val="22"/>
          <w:szCs w:val="22"/>
          <w:highlight w:val="none"/>
        </w:rPr>
        <w:t>磋商报价</w:t>
      </w:r>
    </w:p>
    <w:p w14:paraId="2376BCAC">
      <w:pPr>
        <w:pStyle w:val="21"/>
        <w:snapToGrid w:val="0"/>
        <w:spacing w:before="0"/>
        <w:ind w:firstLine="442"/>
        <w:rPr>
          <w:rFonts w:hint="eastAsia" w:ascii="仿宋" w:hAnsi="仿宋" w:eastAsia="仿宋" w:cs="仿宋"/>
          <w:b/>
          <w:bCs/>
          <w:color w:val="auto"/>
          <w:sz w:val="22"/>
          <w:szCs w:val="18"/>
          <w:highlight w:val="none"/>
        </w:rPr>
      </w:pPr>
      <w:r>
        <w:rPr>
          <w:rFonts w:hint="eastAsia" w:ascii="仿宋" w:hAnsi="仿宋" w:eastAsia="仿宋" w:cs="仿宋"/>
          <w:b/>
          <w:bCs/>
          <w:color w:val="auto"/>
          <w:sz w:val="22"/>
          <w:szCs w:val="18"/>
          <w:highlight w:val="none"/>
        </w:rPr>
        <w:t>14.</w:t>
      </w:r>
      <w:r>
        <w:rPr>
          <w:rFonts w:hint="eastAsia" w:ascii="仿宋" w:hAnsi="仿宋" w:eastAsia="仿宋" w:cs="仿宋"/>
          <w:b/>
          <w:bCs/>
          <w:color w:val="auto"/>
          <w:sz w:val="22"/>
          <w:szCs w:val="18"/>
          <w:highlight w:val="none"/>
          <w:lang w:val="zh-CN"/>
        </w:rPr>
        <w:t>1 ▲</w:t>
      </w:r>
      <w:r>
        <w:rPr>
          <w:rFonts w:hint="eastAsia" w:ascii="仿宋" w:hAnsi="仿宋" w:eastAsia="仿宋" w:cs="仿宋"/>
          <w:b/>
          <w:bCs/>
          <w:color w:val="auto"/>
          <w:sz w:val="22"/>
          <w:szCs w:val="18"/>
          <w:highlight w:val="none"/>
        </w:rPr>
        <w:t xml:space="preserve">磋商报价形式： </w:t>
      </w:r>
      <w:r>
        <w:rPr>
          <w:rFonts w:hint="eastAsia" w:ascii="仿宋" w:hAnsi="仿宋" w:eastAsia="仿宋" w:cs="仿宋"/>
          <w:color w:val="auto"/>
          <w:sz w:val="22"/>
          <w:szCs w:val="18"/>
          <w:highlight w:val="none"/>
        </w:rPr>
        <w:sym w:font="Wingdings" w:char="00FE"/>
      </w:r>
      <w:r>
        <w:rPr>
          <w:rFonts w:hint="eastAsia" w:ascii="仿宋" w:hAnsi="仿宋" w:eastAsia="仿宋" w:cs="仿宋"/>
          <w:b/>
          <w:bCs/>
          <w:color w:val="auto"/>
          <w:sz w:val="22"/>
          <w:szCs w:val="18"/>
          <w:highlight w:val="none"/>
        </w:rPr>
        <w:t>人民币总价报价</w:t>
      </w:r>
      <w:r>
        <w:rPr>
          <w:rFonts w:hint="eastAsia" w:ascii="仿宋" w:hAnsi="仿宋" w:eastAsia="仿宋" w:cs="仿宋"/>
          <w:color w:val="auto"/>
          <w:sz w:val="22"/>
          <w:szCs w:val="18"/>
          <w:highlight w:val="none"/>
        </w:rPr>
        <w:sym w:font="Wingdings" w:char="00A8"/>
      </w:r>
      <w:r>
        <w:rPr>
          <w:rFonts w:hint="eastAsia" w:ascii="仿宋" w:hAnsi="仿宋" w:eastAsia="仿宋" w:cs="仿宋"/>
          <w:b/>
          <w:bCs/>
          <w:color w:val="auto"/>
          <w:sz w:val="22"/>
          <w:szCs w:val="18"/>
          <w:highlight w:val="none"/>
        </w:rPr>
        <w:t>人民币单价报价</w:t>
      </w:r>
      <w:r>
        <w:rPr>
          <w:rFonts w:hint="eastAsia" w:ascii="仿宋" w:hAnsi="仿宋" w:eastAsia="仿宋" w:cs="仿宋"/>
          <w:color w:val="auto"/>
          <w:sz w:val="22"/>
          <w:szCs w:val="18"/>
          <w:highlight w:val="none"/>
        </w:rPr>
        <w:sym w:font="Wingdings" w:char="00A8"/>
      </w:r>
      <w:r>
        <w:rPr>
          <w:rFonts w:hint="eastAsia" w:ascii="仿宋" w:hAnsi="仿宋" w:eastAsia="仿宋" w:cs="仿宋"/>
          <w:b/>
          <w:bCs/>
          <w:color w:val="auto"/>
          <w:sz w:val="22"/>
          <w:szCs w:val="18"/>
          <w:highlight w:val="none"/>
        </w:rPr>
        <w:t>折扣率报价</w:t>
      </w:r>
      <w:r>
        <w:rPr>
          <w:rFonts w:hint="eastAsia" w:ascii="仿宋" w:hAnsi="仿宋" w:eastAsia="仿宋" w:cs="仿宋"/>
          <w:color w:val="auto"/>
          <w:sz w:val="22"/>
          <w:szCs w:val="18"/>
          <w:highlight w:val="none"/>
        </w:rPr>
        <w:sym w:font="Wingdings" w:char="00A8"/>
      </w:r>
      <w:r>
        <w:rPr>
          <w:rFonts w:hint="eastAsia" w:ascii="仿宋" w:hAnsi="仿宋" w:eastAsia="仿宋" w:cs="仿宋"/>
          <w:b/>
          <w:bCs/>
          <w:color w:val="auto"/>
          <w:sz w:val="22"/>
          <w:szCs w:val="18"/>
          <w:highlight w:val="none"/>
        </w:rPr>
        <w:t xml:space="preserve"> 其他形式报价：       </w:t>
      </w:r>
    </w:p>
    <w:p w14:paraId="7640514D">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14.2 </w:t>
      </w:r>
      <w:r>
        <w:rPr>
          <w:rFonts w:hint="eastAsia" w:ascii="仿宋" w:hAnsi="仿宋" w:eastAsia="仿宋" w:cs="仿宋"/>
          <w:color w:val="auto"/>
          <w:sz w:val="22"/>
          <w:szCs w:val="18"/>
          <w:highlight w:val="none"/>
        </w:rPr>
        <w:sym w:font="Wingdings" w:char="00FE"/>
      </w:r>
      <w:r>
        <w:rPr>
          <w:rFonts w:hint="eastAsia" w:ascii="仿宋" w:hAnsi="仿宋" w:eastAsia="仿宋" w:cs="仿宋"/>
          <w:color w:val="auto"/>
          <w:sz w:val="22"/>
          <w:szCs w:val="18"/>
          <w:highlight w:val="none"/>
        </w:rPr>
        <w:t>人民币总价报价：</w:t>
      </w:r>
      <w:r>
        <w:rPr>
          <w:rFonts w:hint="eastAsia" w:ascii="仿宋" w:hAnsi="仿宋" w:eastAsia="仿宋" w:cs="仿宋"/>
          <w:color w:val="auto"/>
          <w:sz w:val="22"/>
          <w:szCs w:val="18"/>
          <w:highlight w:val="none"/>
          <w:lang w:val="zh-CN"/>
        </w:rPr>
        <w:t>有关本项目实施所需的所有费用（含税费）均计入报价。</w:t>
      </w:r>
      <w:r>
        <w:rPr>
          <w:rFonts w:hint="eastAsia" w:ascii="仿宋" w:hAnsi="仿宋" w:eastAsia="仿宋" w:cs="仿宋"/>
          <w:color w:val="auto"/>
          <w:sz w:val="22"/>
          <w:szCs w:val="18"/>
          <w:highlight w:val="none"/>
        </w:rPr>
        <w:t>报价一览表是报价的唯一载体</w:t>
      </w:r>
      <w:r>
        <w:rPr>
          <w:rFonts w:hint="eastAsia" w:ascii="仿宋" w:hAnsi="仿宋" w:eastAsia="仿宋" w:cs="仿宋"/>
          <w:color w:val="auto"/>
          <w:sz w:val="22"/>
          <w:szCs w:val="18"/>
          <w:highlight w:val="none"/>
          <w:lang w:val="zh-CN"/>
        </w:rPr>
        <w:t>。响应文件中价格全部采用人民币报价。采购文件未列明，而供应商认为必需的费用也需列入报价。</w:t>
      </w:r>
    </w:p>
    <w:p w14:paraId="5E73E22B">
      <w:pPr>
        <w:pStyle w:val="21"/>
        <w:snapToGrid w:val="0"/>
        <w:spacing w:before="0"/>
        <w:ind w:firstLine="440"/>
        <w:rPr>
          <w:rFonts w:hint="eastAsia" w:ascii="仿宋" w:hAnsi="仿宋" w:eastAsia="仿宋" w:cs="仿宋"/>
          <w:b/>
          <w:bCs/>
          <w:color w:val="auto"/>
          <w:sz w:val="22"/>
          <w:szCs w:val="18"/>
          <w:highlight w:val="none"/>
          <w:lang w:val="zh-CN"/>
        </w:rPr>
      </w:pPr>
      <w:r>
        <w:rPr>
          <w:rFonts w:hint="eastAsia" w:ascii="仿宋" w:hAnsi="仿宋" w:eastAsia="仿宋" w:cs="仿宋"/>
          <w:color w:val="auto"/>
          <w:sz w:val="22"/>
          <w:szCs w:val="18"/>
          <w:highlight w:val="none"/>
        </w:rPr>
        <w:t>14.3</w:t>
      </w:r>
      <w:r>
        <w:rPr>
          <w:rFonts w:hint="eastAsia" w:ascii="仿宋" w:hAnsi="仿宋" w:eastAsia="仿宋" w:cs="仿宋"/>
          <w:b/>
          <w:bCs/>
          <w:color w:val="auto"/>
          <w:sz w:val="22"/>
          <w:szCs w:val="18"/>
          <w:highlight w:val="none"/>
          <w:u w:val="single"/>
        </w:rPr>
        <w:t>▲所响应项只允许有一个报价，不接受有选择报价的响应文件。</w:t>
      </w:r>
    </w:p>
    <w:p w14:paraId="4FABEFC9">
      <w:pPr>
        <w:snapToGrid w:val="0"/>
        <w:spacing w:line="360" w:lineRule="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15.响应文件的签署、盖章</w:t>
      </w:r>
    </w:p>
    <w:p w14:paraId="60005775">
      <w:pPr>
        <w:pStyle w:val="21"/>
        <w:snapToGrid w:val="0"/>
        <w:spacing w:before="0"/>
        <w:ind w:firstLine="440"/>
        <w:rPr>
          <w:rFonts w:hint="eastAsia" w:ascii="仿宋" w:hAnsi="仿宋" w:eastAsia="仿宋" w:cs="仿宋"/>
          <w:b/>
          <w:color w:val="auto"/>
          <w:sz w:val="22"/>
          <w:szCs w:val="18"/>
          <w:highlight w:val="none"/>
        </w:rPr>
      </w:pPr>
      <w:r>
        <w:rPr>
          <w:rFonts w:hint="eastAsia" w:ascii="仿宋" w:hAnsi="仿宋" w:eastAsia="仿宋" w:cs="仿宋"/>
          <w:color w:val="auto"/>
          <w:sz w:val="22"/>
          <w:szCs w:val="22"/>
          <w:highlight w:val="none"/>
        </w:rPr>
        <w:t>15.1响应文件按照采购文件第六部分格式要</w:t>
      </w:r>
      <w:r>
        <w:rPr>
          <w:rFonts w:hint="eastAsia" w:ascii="仿宋" w:hAnsi="仿宋" w:eastAsia="仿宋" w:cs="仿宋"/>
          <w:color w:val="auto"/>
          <w:sz w:val="22"/>
          <w:szCs w:val="18"/>
          <w:highlight w:val="none"/>
        </w:rPr>
        <w:t>求进行签署、盖章。</w:t>
      </w:r>
      <w:r>
        <w:rPr>
          <w:rFonts w:hint="eastAsia" w:ascii="仿宋" w:hAnsi="仿宋" w:eastAsia="仿宋" w:cs="仿宋"/>
          <w:b/>
          <w:color w:val="auto"/>
          <w:sz w:val="22"/>
          <w:szCs w:val="18"/>
          <w:highlight w:val="none"/>
          <w:u w:val="single"/>
        </w:rPr>
        <w:t>▲供应商的响应文件未按照采购文件要求签署、盖章的，其响应无效</w:t>
      </w:r>
      <w:r>
        <w:rPr>
          <w:rFonts w:hint="eastAsia" w:ascii="仿宋" w:hAnsi="仿宋" w:eastAsia="仿宋" w:cs="仿宋"/>
          <w:color w:val="auto"/>
          <w:sz w:val="22"/>
          <w:szCs w:val="22"/>
          <w:highlight w:val="none"/>
          <w:u w:val="single"/>
        </w:rPr>
        <w:t>。</w:t>
      </w:r>
    </w:p>
    <w:p w14:paraId="06AE800A">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15.2为确保网上操作合法、有效和安全，供应商应当在响应截止时间前完成在“政府采购云平台”的身份认证，确保在电子投标过程中能够对相关数据电文进行加密和使用电子签名。</w:t>
      </w:r>
    </w:p>
    <w:p w14:paraId="77D3F0B1">
      <w:pPr>
        <w:pStyle w:val="21"/>
        <w:snapToGrid w:val="0"/>
        <w:spacing w:before="0"/>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18"/>
          <w:highlight w:val="none"/>
        </w:rPr>
        <w:t>15.3采购文件对响应文件签署、盖章的要求适用于电子签名。</w:t>
      </w:r>
    </w:p>
    <w:p w14:paraId="4B042F42">
      <w:pPr>
        <w:pStyle w:val="21"/>
        <w:spacing w:before="0"/>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16. 响应文件的提交、补充、修改、撤回</w:t>
      </w:r>
    </w:p>
    <w:p w14:paraId="40A93B92">
      <w:pPr>
        <w:pStyle w:val="21"/>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16.1 供应商应当在响应截止时间</w:t>
      </w:r>
      <w:r>
        <w:rPr>
          <w:rFonts w:hint="eastAsia" w:ascii="仿宋" w:hAnsi="仿宋" w:eastAsia="仿宋" w:cs="仿宋"/>
          <w:color w:val="auto"/>
          <w:sz w:val="22"/>
          <w:szCs w:val="18"/>
          <w:highlight w:val="none"/>
        </w:rPr>
        <w:t>前将加密的响应文件上传至政府采购云平台，</w:t>
      </w:r>
      <w:r>
        <w:rPr>
          <w:rFonts w:hint="eastAsia" w:ascii="仿宋" w:hAnsi="仿宋" w:eastAsia="仿宋" w:cs="仿宋"/>
          <w:color w:val="auto"/>
          <w:sz w:val="22"/>
          <w:szCs w:val="22"/>
          <w:highlight w:val="none"/>
        </w:rPr>
        <w:t>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016457C">
      <w:pPr>
        <w:pStyle w:val="21"/>
        <w:spacing w:before="0"/>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16.2电子交易平台收到响应文件，将妥善保存并即时向供应商发出确认回执通知。在响应截止时间前，除供应商补充、修改或者撤回响应文件外，任何单位和个人不得解密或提取响应文件。</w:t>
      </w:r>
    </w:p>
    <w:p w14:paraId="671BD21F">
      <w:pPr>
        <w:pStyle w:val="21"/>
        <w:spacing w:before="0"/>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16.3采购人、采购代理机构可以视情况延长响应文件提交的截止时间。在上述情况下，采购代理机构与供应商以前在响应截止期方面的全部权利、责任和义务，将适用于延长至新的响应截止期。</w:t>
      </w:r>
    </w:p>
    <w:p w14:paraId="083B3D14">
      <w:pPr>
        <w:pStyle w:val="21"/>
        <w:spacing w:before="0"/>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16.4备份响应文件</w:t>
      </w:r>
    </w:p>
    <w:p w14:paraId="11A408A0">
      <w:pPr>
        <w:pStyle w:val="8"/>
        <w:spacing w:line="360" w:lineRule="auto"/>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16.4</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zh-CN"/>
        </w:rPr>
        <w:t>备份响应文件是指与“电子加密响应文件”同时生成的数据电文形式的电子文件（备份标书），其他方式编制的备份响应文件视为无效备份响应文件。</w:t>
      </w:r>
    </w:p>
    <w:p w14:paraId="1CD07A9D">
      <w:pPr>
        <w:pStyle w:val="8"/>
        <w:spacing w:line="360" w:lineRule="auto"/>
        <w:ind w:firstLine="330" w:firstLineChars="150"/>
        <w:rPr>
          <w:rFonts w:hint="eastAsia" w:ascii="仿宋" w:hAnsi="仿宋" w:eastAsia="仿宋" w:cs="仿宋"/>
          <w:color w:val="auto"/>
          <w:sz w:val="22"/>
          <w:szCs w:val="22"/>
          <w:highlight w:val="none"/>
        </w:rPr>
      </w:pPr>
      <w:r>
        <w:rPr>
          <w:rFonts w:hint="eastAsia" w:ascii="仿宋" w:hAnsi="仿宋" w:eastAsia="仿宋" w:cs="仿宋"/>
          <w:bCs/>
          <w:color w:val="auto"/>
          <w:kern w:val="0"/>
          <w:sz w:val="22"/>
          <w:szCs w:val="22"/>
          <w:highlight w:val="none"/>
        </w:rPr>
        <w:t>为确保采购项目顺利实施，避免因政采云上电子响应文件解密失败导致供应商响应无效，</w:t>
      </w:r>
      <w:r>
        <w:rPr>
          <w:rFonts w:hint="eastAsia" w:ascii="仿宋" w:hAnsi="仿宋" w:eastAsia="仿宋" w:cs="仿宋"/>
          <w:color w:val="auto"/>
          <w:sz w:val="22"/>
          <w:szCs w:val="22"/>
          <w:highlight w:val="none"/>
        </w:rPr>
        <w:t>供应商在电子交易平台传输递交响应文件后，还可以在响应截止时间前提交电文文档形式的备份响应文件，备份响应文件提交形式：</w:t>
      </w:r>
    </w:p>
    <w:p w14:paraId="56659303">
      <w:pPr>
        <w:pStyle w:val="8"/>
        <w:spacing w:line="360" w:lineRule="auto"/>
        <w:ind w:firstLine="330" w:firstLineChars="150"/>
        <w:rPr>
          <w:rFonts w:hint="eastAsia" w:ascii="仿宋" w:hAnsi="仿宋" w:eastAsia="仿宋" w:cs="仿宋"/>
          <w:color w:val="auto"/>
          <w:sz w:val="22"/>
          <w:szCs w:val="22"/>
          <w:highlight w:val="none"/>
        </w:rPr>
      </w:pPr>
      <w:r>
        <w:rPr>
          <w:rFonts w:hint="eastAsia" w:ascii="仿宋" w:hAnsi="仿宋" w:eastAsia="仿宋" w:cs="仿宋"/>
          <w:color w:val="auto"/>
          <w:sz w:val="22"/>
          <w:szCs w:val="20"/>
          <w:highlight w:val="none"/>
        </w:rPr>
        <w:sym w:font="Wingdings" w:char="00FE"/>
      </w:r>
      <w:r>
        <w:rPr>
          <w:rFonts w:hint="eastAsia" w:ascii="仿宋" w:hAnsi="仿宋" w:eastAsia="仿宋" w:cs="仿宋"/>
          <w:bCs/>
          <w:color w:val="auto"/>
          <w:kern w:val="0"/>
          <w:sz w:val="22"/>
          <w:szCs w:val="22"/>
          <w:highlight w:val="none"/>
        </w:rPr>
        <w:t>以邮寄形式（建议顺丰快递）将备份响应文件存入并储存在U盘中，备份在响应截止时间前递交，并需采购代理机构确认是否收到，</w:t>
      </w:r>
      <w:r>
        <w:rPr>
          <w:rFonts w:hint="eastAsia" w:ascii="仿宋" w:hAnsi="仿宋" w:eastAsia="仿宋" w:cs="仿宋"/>
          <w:bCs/>
          <w:color w:val="auto"/>
          <w:kern w:val="0"/>
          <w:sz w:val="22"/>
          <w:szCs w:val="22"/>
          <w:highlight w:val="none"/>
          <w:u w:val="single"/>
        </w:rPr>
        <w:t>邮寄地址、收件人及联系电话：温州市鹿城区勤民路鹿城壹号18幢803室；联系人：王先生；联系电话：13757727199。</w:t>
      </w:r>
      <w:r>
        <w:rPr>
          <w:rFonts w:hint="eastAsia" w:ascii="仿宋" w:hAnsi="仿宋" w:eastAsia="仿宋" w:cs="仿宋"/>
          <w:color w:val="auto"/>
          <w:sz w:val="22"/>
          <w:szCs w:val="22"/>
          <w:highlight w:val="none"/>
        </w:rPr>
        <w:t>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auto"/>
          <w:sz w:val="22"/>
          <w:szCs w:val="22"/>
          <w:highlight w:val="none"/>
        </w:rPr>
        <w:t>不符合上述制作、存储、密封规定的备份响应文件将被视为无效或者被拒绝接收。</w:t>
      </w:r>
    </w:p>
    <w:p w14:paraId="48812D6E">
      <w:pPr>
        <w:pStyle w:val="8"/>
        <w:spacing w:line="360" w:lineRule="auto"/>
        <w:ind w:firstLine="330" w:firstLineChars="15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解密CA必须是上传并制作电子响应文件CA锁，</w:t>
      </w:r>
      <w:r>
        <w:rPr>
          <w:rFonts w:hint="eastAsia" w:ascii="仿宋" w:hAnsi="仿宋" w:eastAsia="仿宋" w:cs="仿宋"/>
          <w:b/>
          <w:color w:val="auto"/>
          <w:sz w:val="22"/>
          <w:szCs w:val="22"/>
          <w:highlight w:val="none"/>
        </w:rPr>
        <w:t>但采购人、采购代理机构不强制或变相强制供应商提交备份响应文件。</w:t>
      </w:r>
    </w:p>
    <w:p w14:paraId="04CE7D69">
      <w:pPr>
        <w:pStyle w:val="8"/>
        <w:spacing w:line="360" w:lineRule="auto"/>
        <w:ind w:firstLine="437" w:firstLineChars="199"/>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16.4</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2</w:t>
      </w:r>
      <w:r>
        <w:rPr>
          <w:rFonts w:hint="eastAsia" w:ascii="仿宋" w:hAnsi="仿宋" w:eastAsia="仿宋" w:cs="仿宋"/>
          <w:b/>
          <w:color w:val="auto"/>
          <w:sz w:val="22"/>
          <w:szCs w:val="22"/>
          <w:highlight w:val="none"/>
        </w:rPr>
        <w:t>供应商仅提交备份响应文件，没有在电子交易平台传输递交响应文件的，响应无效。</w:t>
      </w:r>
    </w:p>
    <w:p w14:paraId="3A8FDE30">
      <w:pPr>
        <w:pStyle w:val="21"/>
        <w:spacing w:before="0"/>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17.磋商有效期</w:t>
      </w:r>
    </w:p>
    <w:p w14:paraId="0E682909">
      <w:pPr>
        <w:spacing w:line="360" w:lineRule="auto"/>
        <w:ind w:firstLine="440" w:firstLineChars="200"/>
        <w:rPr>
          <w:rFonts w:hint="eastAsia" w:ascii="仿宋" w:hAnsi="仿宋" w:eastAsia="仿宋" w:cs="仿宋"/>
          <w:b/>
          <w:color w:val="auto"/>
          <w:sz w:val="22"/>
          <w:szCs w:val="20"/>
          <w:highlight w:val="none"/>
        </w:rPr>
      </w:pPr>
      <w:r>
        <w:rPr>
          <w:rFonts w:hint="eastAsia" w:ascii="仿宋" w:hAnsi="仿宋" w:eastAsia="仿宋" w:cs="仿宋"/>
          <w:color w:val="auto"/>
          <w:sz w:val="22"/>
          <w:szCs w:val="18"/>
          <w:highlight w:val="none"/>
        </w:rPr>
        <w:t>17.1磋商有效期详见响应须知前附表。</w:t>
      </w:r>
      <w:r>
        <w:rPr>
          <w:rFonts w:hint="eastAsia" w:ascii="仿宋" w:hAnsi="仿宋" w:eastAsia="仿宋" w:cs="仿宋"/>
          <w:color w:val="auto"/>
          <w:sz w:val="22"/>
          <w:szCs w:val="18"/>
          <w:highlight w:val="none"/>
          <w:u w:val="single"/>
        </w:rPr>
        <w:t>▲</w:t>
      </w:r>
      <w:r>
        <w:rPr>
          <w:rFonts w:hint="eastAsia" w:ascii="仿宋" w:hAnsi="仿宋" w:eastAsia="仿宋" w:cs="仿宋"/>
          <w:b/>
          <w:color w:val="auto"/>
          <w:sz w:val="22"/>
          <w:szCs w:val="18"/>
          <w:highlight w:val="none"/>
          <w:u w:val="single"/>
        </w:rPr>
        <w:t>供应商的响应文件中承</w:t>
      </w:r>
      <w:r>
        <w:rPr>
          <w:rFonts w:hint="eastAsia" w:ascii="仿宋" w:hAnsi="仿宋" w:eastAsia="仿宋" w:cs="仿宋"/>
          <w:b/>
          <w:color w:val="auto"/>
          <w:sz w:val="22"/>
          <w:szCs w:val="20"/>
          <w:highlight w:val="none"/>
          <w:u w:val="single"/>
        </w:rPr>
        <w:t>诺的磋商有效期少于采购文件中载明的磋商有效期的，响应无效。</w:t>
      </w:r>
    </w:p>
    <w:p w14:paraId="6DD04A28">
      <w:pPr>
        <w:pStyle w:val="21"/>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17.2响应文件合格投递后，自响应截止日期起，在磋商有效期内有效。</w:t>
      </w:r>
    </w:p>
    <w:p w14:paraId="11E39F54">
      <w:pPr>
        <w:pStyle w:val="21"/>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17.3在原定磋商有效期满之前，如果出现特殊情况，采购代理机构可以以书面形式通知供应商延长磋商有效期。供应商同意延长的，不得要求或被允许修改其响应文件，供应商拒绝延长的，其响应无效。</w:t>
      </w:r>
    </w:p>
    <w:p w14:paraId="71E14CB8">
      <w:pPr>
        <w:pStyle w:val="21"/>
        <w:spacing w:before="0"/>
        <w:ind w:firstLine="1063" w:firstLineChars="331"/>
        <w:rPr>
          <w:rFonts w:hint="eastAsia" w:ascii="仿宋" w:hAnsi="仿宋" w:eastAsia="仿宋" w:cs="仿宋"/>
          <w:b/>
          <w:color w:val="auto"/>
          <w:sz w:val="32"/>
          <w:highlight w:val="none"/>
        </w:rPr>
      </w:pPr>
    </w:p>
    <w:p w14:paraId="3EF5753D">
      <w:pPr>
        <w:pStyle w:val="2"/>
        <w:jc w:val="center"/>
        <w:rPr>
          <w:rStyle w:val="19"/>
          <w:rFonts w:hint="eastAsia" w:ascii="仿宋" w:eastAsia="仿宋" w:cs="仿宋"/>
          <w:b/>
          <w:bCs/>
          <w:color w:val="auto"/>
          <w:highlight w:val="none"/>
        </w:rPr>
      </w:pPr>
      <w:bookmarkStart w:id="40" w:name="_Toc16519"/>
      <w:bookmarkStart w:id="41" w:name="_Toc1769805658"/>
      <w:r>
        <w:rPr>
          <w:rStyle w:val="19"/>
          <w:rFonts w:hint="eastAsia" w:ascii="仿宋" w:eastAsia="仿宋" w:cs="仿宋"/>
          <w:b/>
          <w:bCs/>
          <w:color w:val="auto"/>
          <w:highlight w:val="none"/>
        </w:rPr>
        <w:t>四、响应文件开启、资格审查与信用信息查询</w:t>
      </w:r>
      <w:bookmarkEnd w:id="40"/>
      <w:bookmarkEnd w:id="41"/>
    </w:p>
    <w:p w14:paraId="531D5B80">
      <w:pPr>
        <w:pStyle w:val="22"/>
        <w:spacing w:before="0" w:line="360" w:lineRule="auto"/>
        <w:ind w:left="0" w:firstLine="221" w:firstLineChars="100"/>
        <w:contextualSpacing/>
        <w:rPr>
          <w:rFonts w:hint="eastAsia" w:ascii="仿宋" w:hAnsi="仿宋" w:eastAsia="仿宋" w:cs="仿宋"/>
          <w:color w:val="auto"/>
          <w:sz w:val="22"/>
          <w:szCs w:val="18"/>
          <w:highlight w:val="none"/>
        </w:rPr>
      </w:pPr>
      <w:r>
        <w:rPr>
          <w:rFonts w:hint="eastAsia" w:ascii="仿宋" w:hAnsi="仿宋" w:eastAsia="仿宋" w:cs="仿宋"/>
          <w:b/>
          <w:color w:val="auto"/>
          <w:sz w:val="22"/>
          <w:szCs w:val="22"/>
          <w:highlight w:val="none"/>
        </w:rPr>
        <w:t>18.响应文件开启</w:t>
      </w:r>
      <w:r>
        <w:rPr>
          <w:rFonts w:hint="eastAsia" w:ascii="仿宋" w:hAnsi="仿宋" w:eastAsia="仿宋" w:cs="仿宋"/>
          <w:color w:val="auto"/>
          <w:sz w:val="22"/>
          <w:szCs w:val="18"/>
          <w:highlight w:val="none"/>
        </w:rPr>
        <w:t xml:space="preserve"> </w:t>
      </w:r>
    </w:p>
    <w:p w14:paraId="631F3AC9">
      <w:pPr>
        <w:pStyle w:val="22"/>
        <w:spacing w:before="0" w:line="360" w:lineRule="auto"/>
        <w:ind w:left="0" w:firstLine="440" w:firstLineChars="200"/>
        <w:contextualSpacing/>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18.1采购代理机构按照采购文件规定的时间通过电子交易平台组织响应文件开启，所有供应商均应当准时在线参加。供应商不足3家的，不得开标。</w:t>
      </w:r>
    </w:p>
    <w:p w14:paraId="203F32F2">
      <w:pPr>
        <w:pStyle w:val="22"/>
        <w:spacing w:before="0" w:line="360" w:lineRule="auto"/>
        <w:ind w:left="0" w:firstLine="220" w:firstLineChars="100"/>
        <w:contextualSpacing/>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18.2响应文件开启时，电子交易平台按响应文件自动提取所有响应文件。采购代理机构依托电子交易平台发起开始解密指令，供应商按照平台提示和采购文件的规定在半小时内完成在线解密。</w:t>
      </w:r>
    </w:p>
    <w:p w14:paraId="19B57613">
      <w:pPr>
        <w:pStyle w:val="22"/>
        <w:spacing w:before="0" w:line="360" w:lineRule="auto"/>
        <w:ind w:left="0" w:firstLine="220" w:firstLineChars="100"/>
        <w:contextualSpacing/>
        <w:rPr>
          <w:rFonts w:hint="eastAsia" w:ascii="仿宋" w:hAnsi="仿宋" w:eastAsia="仿宋" w:cs="仿宋"/>
          <w:b/>
          <w:color w:val="auto"/>
          <w:sz w:val="22"/>
          <w:szCs w:val="18"/>
          <w:highlight w:val="none"/>
        </w:rPr>
      </w:pPr>
      <w:r>
        <w:rPr>
          <w:rFonts w:hint="eastAsia" w:ascii="仿宋" w:hAnsi="仿宋" w:eastAsia="仿宋" w:cs="仿宋"/>
          <w:color w:val="auto"/>
          <w:sz w:val="22"/>
          <w:szCs w:val="18"/>
          <w:highlight w:val="none"/>
        </w:rPr>
        <w:t>　18.3</w:t>
      </w:r>
      <w:r>
        <w:rPr>
          <w:rFonts w:hint="eastAsia" w:ascii="仿宋" w:hAnsi="仿宋" w:eastAsia="仿宋" w:cs="仿宋"/>
          <w:b/>
          <w:color w:val="auto"/>
          <w:sz w:val="22"/>
          <w:szCs w:val="18"/>
          <w:highlight w:val="none"/>
        </w:rPr>
        <w:t>响应文件未按时解密，供应商提供了备份响应文件的，以备份响应文件作为依据，否则视为响应文件撤回。响应文件已按时解密的，备份响应文件自动失效。</w:t>
      </w:r>
    </w:p>
    <w:p w14:paraId="372BC70F">
      <w:pPr>
        <w:pStyle w:val="22"/>
        <w:spacing w:before="0" w:line="360" w:lineRule="auto"/>
        <w:ind w:left="0" w:firstLine="221" w:firstLineChars="100"/>
        <w:contextualSpacing/>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19、资格审查</w:t>
      </w:r>
    </w:p>
    <w:p w14:paraId="15402DA0">
      <w:pPr>
        <w:pStyle w:val="21"/>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19.1响应文件开启后，采购人或采购代理机构将依法对供应商的资格进行审查。</w:t>
      </w:r>
    </w:p>
    <w:p w14:paraId="35B86D55">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19.2</w:t>
      </w:r>
      <w:r>
        <w:rPr>
          <w:rFonts w:hint="eastAsia" w:ascii="仿宋" w:hAnsi="仿宋" w:eastAsia="仿宋" w:cs="仿宋"/>
          <w:color w:val="auto"/>
          <w:sz w:val="22"/>
          <w:szCs w:val="22"/>
          <w:highlight w:val="none"/>
        </w:rPr>
        <w:t>采购人或采购代理机构依据法律法规和采购文件的规定，对供应商的基本资格条件、特定资格条件等进行审查。</w:t>
      </w:r>
    </w:p>
    <w:p w14:paraId="5F2684C4">
      <w:pPr>
        <w:pStyle w:val="21"/>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22"/>
          <w:highlight w:val="none"/>
        </w:rPr>
        <w:t>19.3供应商未按照采购文件要求提供与</w:t>
      </w:r>
      <w:r>
        <w:rPr>
          <w:rFonts w:hint="eastAsia" w:ascii="仿宋" w:hAnsi="仿宋" w:eastAsia="仿宋" w:cs="仿宋"/>
          <w:color w:val="auto"/>
          <w:sz w:val="22"/>
          <w:szCs w:val="18"/>
          <w:highlight w:val="none"/>
        </w:rPr>
        <w:t>基本资格条件、特定资格条件相应的</w:t>
      </w:r>
      <w:r>
        <w:rPr>
          <w:rFonts w:hint="eastAsia" w:ascii="仿宋" w:hAnsi="仿宋" w:eastAsia="仿宋" w:cs="仿宋"/>
          <w:color w:val="auto"/>
          <w:kern w:val="0"/>
          <w:sz w:val="22"/>
          <w:szCs w:val="22"/>
          <w:highlight w:val="none"/>
        </w:rPr>
        <w:t>有效资格证明材料的，视为</w:t>
      </w:r>
      <w:r>
        <w:rPr>
          <w:rFonts w:hint="eastAsia" w:ascii="仿宋" w:hAnsi="仿宋" w:eastAsia="仿宋" w:cs="仿宋"/>
          <w:color w:val="auto"/>
          <w:sz w:val="22"/>
          <w:szCs w:val="18"/>
          <w:highlight w:val="none"/>
        </w:rPr>
        <w:t>供应商不具备采购文件中规定的资格要求，其响应无效。</w:t>
      </w:r>
    </w:p>
    <w:p w14:paraId="04A09A10">
      <w:pPr>
        <w:pStyle w:val="21"/>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22"/>
          <w:highlight w:val="none"/>
        </w:rPr>
        <w:t>19.</w:t>
      </w:r>
      <w:r>
        <w:rPr>
          <w:rFonts w:hint="eastAsia" w:ascii="仿宋" w:hAnsi="仿宋" w:eastAsia="仿宋" w:cs="仿宋"/>
          <w:color w:val="auto"/>
          <w:sz w:val="22"/>
          <w:szCs w:val="18"/>
          <w:highlight w:val="none"/>
        </w:rPr>
        <w:t>4对未通过资格审查的供应商，采购人或采购代理机构告知其未通过的原因。</w:t>
      </w:r>
    </w:p>
    <w:p w14:paraId="243A1A77">
      <w:pPr>
        <w:pStyle w:val="21"/>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22"/>
          <w:highlight w:val="none"/>
        </w:rPr>
        <w:t>19.</w:t>
      </w:r>
      <w:r>
        <w:rPr>
          <w:rFonts w:hint="eastAsia" w:ascii="仿宋" w:hAnsi="仿宋" w:eastAsia="仿宋" w:cs="仿宋"/>
          <w:color w:val="auto"/>
          <w:sz w:val="22"/>
          <w:szCs w:val="18"/>
          <w:highlight w:val="none"/>
        </w:rPr>
        <w:t>5合格供应商不足3家的，不再评标。</w:t>
      </w:r>
    </w:p>
    <w:p w14:paraId="799863D0">
      <w:pPr>
        <w:pStyle w:val="21"/>
        <w:spacing w:before="0"/>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20、信用信息查询</w:t>
      </w:r>
    </w:p>
    <w:p w14:paraId="1B85B5EC">
      <w:pPr>
        <w:pStyle w:val="21"/>
        <w:spacing w:before="0"/>
        <w:ind w:firstLine="495" w:firstLineChars="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20.1信用信息查询渠道及截止时间：采购代理机构将通过“信用中国”网站(www.creditchina.gov.cn)、中国政府采购网(www.ccgp.gov.cn)渠道查询供应商响应截止时间当天的信用记录。</w:t>
      </w:r>
    </w:p>
    <w:p w14:paraId="2BDCD2BB">
      <w:pPr>
        <w:pStyle w:val="21"/>
        <w:spacing w:before="0"/>
        <w:ind w:firstLine="495" w:firstLineChars="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20.2信用信息查询记录和证据留存的具体方式：现场查询的供应商的信用记录、查询结果经确认后将与采购文件一起存档。</w:t>
      </w:r>
    </w:p>
    <w:p w14:paraId="3BC38AEB">
      <w:pPr>
        <w:pStyle w:val="21"/>
        <w:spacing w:before="0"/>
        <w:ind w:firstLine="495" w:firstLineChars="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20.3信用信息的使用规则：经查询列入失信被执行人名单、重大税收违法案件当事人名单、政府采购严重违法失信行为记录名单的供应商将被拒绝参与政府采购活动。</w:t>
      </w:r>
    </w:p>
    <w:p w14:paraId="19B292AE">
      <w:pPr>
        <w:pStyle w:val="21"/>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kern w:val="0"/>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2"/>
          <w:szCs w:val="18"/>
          <w:highlight w:val="none"/>
        </w:rPr>
        <w:t>。</w:t>
      </w:r>
    </w:p>
    <w:p w14:paraId="67211F1E">
      <w:pPr>
        <w:pStyle w:val="21"/>
        <w:spacing w:before="0"/>
        <w:ind w:firstLine="0" w:firstLineChars="0"/>
        <w:rPr>
          <w:rFonts w:hint="eastAsia" w:ascii="仿宋" w:hAnsi="仿宋" w:eastAsia="仿宋" w:cs="仿宋"/>
          <w:color w:val="auto"/>
          <w:kern w:val="0"/>
          <w:szCs w:val="24"/>
          <w:highlight w:val="none"/>
        </w:rPr>
      </w:pPr>
    </w:p>
    <w:p w14:paraId="3F2B0D09">
      <w:pPr>
        <w:pStyle w:val="2"/>
        <w:jc w:val="center"/>
        <w:rPr>
          <w:rStyle w:val="19"/>
          <w:rFonts w:hint="eastAsia" w:ascii="仿宋" w:eastAsia="仿宋" w:cs="仿宋"/>
          <w:b/>
          <w:bCs/>
          <w:color w:val="auto"/>
          <w:highlight w:val="none"/>
        </w:rPr>
      </w:pPr>
      <w:bookmarkStart w:id="42" w:name="_Toc327699409"/>
      <w:bookmarkStart w:id="43" w:name="_Toc29243"/>
      <w:r>
        <w:rPr>
          <w:rStyle w:val="19"/>
          <w:rFonts w:hint="eastAsia" w:ascii="仿宋" w:eastAsia="仿宋" w:cs="仿宋"/>
          <w:b/>
          <w:bCs/>
          <w:color w:val="auto"/>
          <w:highlight w:val="none"/>
        </w:rPr>
        <w:t>五、评审</w:t>
      </w:r>
      <w:bookmarkEnd w:id="42"/>
      <w:bookmarkEnd w:id="43"/>
    </w:p>
    <w:p w14:paraId="20997BD8">
      <w:pPr>
        <w:spacing w:line="360" w:lineRule="auto"/>
        <w:rPr>
          <w:rFonts w:hint="eastAsia" w:ascii="仿宋" w:hAnsi="仿宋" w:eastAsia="仿宋" w:cs="仿宋"/>
          <w:bCs/>
          <w:color w:val="auto"/>
          <w:sz w:val="22"/>
          <w:szCs w:val="22"/>
          <w:highlight w:val="none"/>
        </w:rPr>
      </w:pPr>
      <w:bookmarkStart w:id="44" w:name="_Toc91899903"/>
      <w:r>
        <w:rPr>
          <w:rFonts w:hint="eastAsia" w:ascii="仿宋" w:hAnsi="仿宋" w:eastAsia="仿宋" w:cs="仿宋"/>
          <w:bCs/>
          <w:color w:val="auto"/>
          <w:sz w:val="22"/>
          <w:szCs w:val="22"/>
          <w:highlight w:val="none"/>
        </w:rPr>
        <w:t>21.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p>
    <w:p w14:paraId="6EDA1DF5">
      <w:p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评审过程的保密性。响应文件开启后直至向成交供应商授予合同时止，凡与招标有关的资料均不得向供应商及与本次采购无关人员透露。如果供应商在评审过程中试图向招标采购单位和磋商小组成员施加影响，或扰乱响应文件开启和评审秩序，其磋商响应将被拒绝。</w:t>
      </w:r>
    </w:p>
    <w:p w14:paraId="3342EC2E">
      <w:pPr>
        <w:spacing w:line="360" w:lineRule="auto"/>
        <w:ind w:firstLine="440" w:firstLineChars="200"/>
        <w:rPr>
          <w:rFonts w:hint="eastAsia" w:ascii="仿宋" w:hAnsi="仿宋" w:eastAsia="仿宋" w:cs="仿宋"/>
          <w:b/>
          <w:color w:val="auto"/>
          <w:sz w:val="24"/>
          <w:highlight w:val="none"/>
        </w:rPr>
      </w:pPr>
      <w:r>
        <w:rPr>
          <w:rFonts w:hint="eastAsia" w:ascii="仿宋" w:hAnsi="仿宋" w:eastAsia="仿宋" w:cs="仿宋"/>
          <w:bCs/>
          <w:color w:val="auto"/>
          <w:sz w:val="22"/>
          <w:szCs w:val="22"/>
          <w:highlight w:val="none"/>
        </w:rPr>
        <w:t>详见采购文件第四部分评审办法。</w:t>
      </w:r>
    </w:p>
    <w:p w14:paraId="68A9DABF">
      <w:pPr>
        <w:pStyle w:val="2"/>
        <w:jc w:val="center"/>
        <w:rPr>
          <w:rStyle w:val="19"/>
          <w:rFonts w:hint="eastAsia" w:ascii="仿宋" w:eastAsia="仿宋" w:cs="仿宋"/>
          <w:b/>
          <w:bCs/>
          <w:color w:val="auto"/>
          <w:highlight w:val="none"/>
        </w:rPr>
      </w:pPr>
      <w:bookmarkStart w:id="45" w:name="_Toc17079"/>
      <w:bookmarkStart w:id="46" w:name="_Toc1495896155"/>
      <w:r>
        <w:rPr>
          <w:rStyle w:val="19"/>
          <w:rFonts w:hint="eastAsia" w:ascii="仿宋" w:eastAsia="仿宋" w:cs="仿宋"/>
          <w:b/>
          <w:bCs/>
          <w:color w:val="auto"/>
          <w:highlight w:val="none"/>
        </w:rPr>
        <w:t>六、评审结果确定</w:t>
      </w:r>
      <w:bookmarkEnd w:id="45"/>
      <w:bookmarkEnd w:id="46"/>
    </w:p>
    <w:p w14:paraId="4B4914E8">
      <w:pPr>
        <w:pStyle w:val="7"/>
        <w:spacing w:line="360" w:lineRule="auto"/>
        <w:ind w:left="440" w:hanging="440" w:hangingChars="199"/>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22. 确定成交供应商</w:t>
      </w:r>
    </w:p>
    <w:p w14:paraId="3FF5B543">
      <w:pPr>
        <w:pStyle w:val="21"/>
        <w:snapToGrid w:val="0"/>
        <w:spacing w:before="0"/>
        <w:ind w:firstLine="44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采购人将自收到评审报告之日起5个工作日内通过电子交易平台在评审报告推荐的成交候选人中按顺序确定成交供应商。</w:t>
      </w:r>
    </w:p>
    <w:p w14:paraId="30BAB04C">
      <w:pPr>
        <w:pStyle w:val="21"/>
        <w:snapToGrid w:val="0"/>
        <w:spacing w:before="0"/>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23. 成交通知与成交结果公告</w:t>
      </w:r>
    </w:p>
    <w:p w14:paraId="59B929CB">
      <w:pPr>
        <w:widowControl/>
        <w:shd w:val="clear" w:color="auto" w:fill="FFFFFF"/>
        <w:spacing w:line="360" w:lineRule="auto"/>
        <w:ind w:firstLine="48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23.1自成交供应商确定之日起2个工作日内，采购代理机构通过电子交易平台向成交供应商发出成交通知书，同时编制发布采购结果公告。采购代理机构也可以以纸质形式进行成交通知。</w:t>
      </w:r>
    </w:p>
    <w:p w14:paraId="74C2758C">
      <w:pPr>
        <w:widowControl/>
        <w:shd w:val="clear" w:color="auto" w:fill="FFFFFF"/>
        <w:spacing w:line="360" w:lineRule="auto"/>
        <w:ind w:firstLine="48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23.2成交结果公告内容包括采购人及其委托的采购代理机构的名称、地址、联系方式，项目名称和项目编号，成交供应商名称、地址和成交金额，主要成交标的的名称、规格型号、数量、单价、服务要求，开启记录、未成交情况说明、成交公告期限以及评审专家名单、评分汇总及明细。</w:t>
      </w:r>
    </w:p>
    <w:p w14:paraId="08A7DC7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23.3公告期限为1个工作日。</w:t>
      </w:r>
    </w:p>
    <w:p w14:paraId="1A88F994">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1F7420C">
      <w:pPr>
        <w:pStyle w:val="2"/>
        <w:jc w:val="center"/>
        <w:rPr>
          <w:rStyle w:val="19"/>
          <w:rFonts w:hint="eastAsia" w:ascii="仿宋" w:eastAsia="仿宋" w:cs="仿宋"/>
          <w:b/>
          <w:bCs/>
          <w:color w:val="auto"/>
          <w:highlight w:val="none"/>
        </w:rPr>
      </w:pPr>
      <w:bookmarkStart w:id="47" w:name="_Toc29548"/>
      <w:bookmarkStart w:id="48" w:name="_Toc935621656"/>
      <w:r>
        <w:rPr>
          <w:rStyle w:val="19"/>
          <w:rFonts w:hint="eastAsia" w:ascii="仿宋" w:eastAsia="仿宋" w:cs="仿宋"/>
          <w:b/>
          <w:bCs/>
          <w:color w:val="auto"/>
          <w:highlight w:val="none"/>
        </w:rPr>
        <w:t>七、合同授予</w:t>
      </w:r>
      <w:bookmarkEnd w:id="47"/>
      <w:bookmarkEnd w:id="48"/>
    </w:p>
    <w:p w14:paraId="5F4C8A24">
      <w:pPr>
        <w:pStyle w:val="7"/>
        <w:spacing w:line="360" w:lineRule="auto"/>
        <w:ind w:left="438" w:hanging="437" w:hangingChars="19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24. 合同主要条款详见第五部分拟签订的合同文本。</w:t>
      </w:r>
    </w:p>
    <w:p w14:paraId="3187EC81">
      <w:pPr>
        <w:pStyle w:val="7"/>
        <w:spacing w:line="360" w:lineRule="auto"/>
        <w:ind w:left="438" w:hanging="437" w:hangingChars="19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25. 合同的签订</w:t>
      </w:r>
    </w:p>
    <w:p w14:paraId="7A9D981D">
      <w:pPr>
        <w:widowControl/>
        <w:shd w:val="clear" w:color="auto" w:fill="FFFFFF"/>
        <w:spacing w:line="360" w:lineRule="auto"/>
        <w:ind w:firstLine="480"/>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25.1</w:t>
      </w:r>
      <w:r>
        <w:rPr>
          <w:rFonts w:hint="eastAsia" w:ascii="仿宋" w:hAnsi="仿宋" w:eastAsia="仿宋" w:cs="仿宋"/>
          <w:color w:val="auto"/>
          <w:kern w:val="0"/>
          <w:sz w:val="22"/>
          <w:szCs w:val="22"/>
          <w:highlight w:val="none"/>
        </w:rPr>
        <w:t xml:space="preserve"> 采购人与成交供应商应当通过电子交易平台在成交通知书发出之日起三十日内，按照采购文件确定的事项签订政府采购合同，并在合同签订之日起2个工作日内依法发布合同公告。</w:t>
      </w:r>
    </w:p>
    <w:p w14:paraId="1213B7D9">
      <w:pPr>
        <w:pStyle w:val="21"/>
        <w:snapToGrid w:val="0"/>
        <w:spacing w:before="0"/>
        <w:ind w:firstLine="440"/>
        <w:rPr>
          <w:rFonts w:hint="eastAsia" w:ascii="仿宋" w:hAnsi="仿宋" w:eastAsia="仿宋" w:cs="仿宋"/>
          <w:color w:val="auto"/>
          <w:kern w:val="0"/>
          <w:sz w:val="22"/>
          <w:szCs w:val="18"/>
          <w:highlight w:val="none"/>
        </w:rPr>
      </w:pPr>
      <w:r>
        <w:rPr>
          <w:rFonts w:hint="eastAsia" w:ascii="仿宋" w:hAnsi="仿宋" w:eastAsia="仿宋" w:cs="仿宋"/>
          <w:color w:val="auto"/>
          <w:kern w:val="0"/>
          <w:sz w:val="22"/>
          <w:szCs w:val="18"/>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671715F">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25.3如签订合同并生效后，供应商无故拒绝或延期，除按照合同条款处理外，列入不良行为记录一次，并给予通报。</w:t>
      </w:r>
    </w:p>
    <w:p w14:paraId="02235744">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25.4成交供应商拒绝与采购人签订合同的，采购人可以按照评审报告推荐的中标或者成交候选人名单排序，确定下一候选人为成交供应商，也可以重新开展政府采购活动。</w:t>
      </w:r>
    </w:p>
    <w:p w14:paraId="02A8FF04">
      <w:pPr>
        <w:pStyle w:val="21"/>
        <w:snapToGrid w:val="0"/>
        <w:spacing w:before="0" w:after="12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25.5采购合同由采购人与成交供应商根据采购文件、响应文件等内容通过政府采购电子交易平台在线签订，自动备案。</w:t>
      </w:r>
    </w:p>
    <w:p w14:paraId="37A77330">
      <w:pPr>
        <w:keepNext/>
        <w:keepLines/>
        <w:tabs>
          <w:tab w:val="left" w:pos="432"/>
        </w:tabs>
        <w:adjustRightInd/>
        <w:ind w:left="431" w:hanging="431"/>
        <w:jc w:val="center"/>
        <w:rPr>
          <w:rStyle w:val="19"/>
          <w:rFonts w:hint="eastAsia" w:ascii="仿宋" w:eastAsia="仿宋" w:cs="仿宋"/>
          <w:color w:val="auto"/>
          <w:highlight w:val="none"/>
        </w:rPr>
      </w:pPr>
    </w:p>
    <w:p w14:paraId="7B8AA676">
      <w:pPr>
        <w:pStyle w:val="2"/>
        <w:jc w:val="center"/>
        <w:rPr>
          <w:rStyle w:val="19"/>
          <w:rFonts w:hint="eastAsia" w:ascii="仿宋" w:eastAsia="仿宋" w:cs="仿宋"/>
          <w:b/>
          <w:bCs/>
          <w:color w:val="auto"/>
          <w:highlight w:val="none"/>
        </w:rPr>
      </w:pPr>
      <w:bookmarkStart w:id="49" w:name="_Toc16899"/>
      <w:bookmarkStart w:id="50" w:name="_Toc1117909058"/>
      <w:r>
        <w:rPr>
          <w:rStyle w:val="19"/>
          <w:rFonts w:hint="eastAsia" w:ascii="仿宋" w:eastAsia="仿宋" w:cs="仿宋"/>
          <w:b/>
          <w:bCs/>
          <w:color w:val="auto"/>
          <w:highlight w:val="none"/>
        </w:rPr>
        <w:t>八、电子交易活动的中止</w:t>
      </w:r>
      <w:bookmarkEnd w:id="49"/>
      <w:bookmarkEnd w:id="50"/>
    </w:p>
    <w:p w14:paraId="31F93AE6">
      <w:pPr>
        <w:pStyle w:val="21"/>
        <w:snapToGrid w:val="0"/>
        <w:spacing w:before="0"/>
        <w:ind w:firstLine="0" w:firstLineChars="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w:t>
      </w:r>
      <w:r>
        <w:rPr>
          <w:rFonts w:hint="eastAsia" w:ascii="仿宋" w:hAnsi="仿宋" w:eastAsia="仿宋" w:cs="仿宋"/>
          <w:b/>
          <w:color w:val="auto"/>
          <w:sz w:val="22"/>
          <w:szCs w:val="22"/>
          <w:highlight w:val="none"/>
        </w:rPr>
        <w:t>7. 电子交易活动的中止。</w:t>
      </w:r>
      <w:r>
        <w:rPr>
          <w:rFonts w:hint="eastAsia" w:ascii="仿宋" w:hAnsi="仿宋" w:eastAsia="仿宋" w:cs="仿宋"/>
          <w:color w:val="auto"/>
          <w:sz w:val="22"/>
          <w:szCs w:val="18"/>
          <w:highlight w:val="none"/>
        </w:rPr>
        <w:t>采购过程中出现以下情形，导致电子交易平台无法正常运行，或者无法保证电子交易的公平、公正和安全时，采购代理机构可中止电子交易活动：</w:t>
      </w:r>
    </w:p>
    <w:p w14:paraId="3A9EF30D">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27.1电子交易平台发生故障而无法登录访问的； </w:t>
      </w:r>
    </w:p>
    <w:p w14:paraId="567DA7B5">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27.2电子交易平台应用或数据库出现错误，不能进行正常操作的；</w:t>
      </w:r>
    </w:p>
    <w:p w14:paraId="37BB9DB1">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27.3电子交易平台发现严重安全漏洞，有潜在泄密危险的；</w:t>
      </w:r>
    </w:p>
    <w:p w14:paraId="6CED73AF">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27.4病毒发作导致不能进行正常操作的； </w:t>
      </w:r>
    </w:p>
    <w:p w14:paraId="3F5CFE4A">
      <w:pPr>
        <w:pStyle w:val="21"/>
        <w:snapToGrid w:val="0"/>
        <w:spacing w:before="0"/>
        <w:ind w:firstLine="44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27.5其他无法保证电子交易的公平、公正和安全的情况。</w:t>
      </w:r>
    </w:p>
    <w:p w14:paraId="6FAFC1D9">
      <w:pPr>
        <w:pStyle w:val="21"/>
        <w:snapToGrid w:val="0"/>
        <w:spacing w:before="0"/>
        <w:ind w:firstLine="0" w:firstLineChars="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B5CB2D1">
      <w:pPr>
        <w:pStyle w:val="2"/>
        <w:jc w:val="center"/>
        <w:rPr>
          <w:rStyle w:val="19"/>
          <w:rFonts w:hint="eastAsia" w:ascii="仿宋" w:eastAsia="仿宋" w:cs="仿宋"/>
          <w:b/>
          <w:bCs/>
          <w:color w:val="auto"/>
          <w:highlight w:val="none"/>
        </w:rPr>
      </w:pPr>
      <w:bookmarkStart w:id="51" w:name="_Toc363110203"/>
      <w:bookmarkStart w:id="52" w:name="_Toc7815"/>
      <w:r>
        <w:rPr>
          <w:rStyle w:val="19"/>
          <w:rFonts w:hint="eastAsia" w:ascii="仿宋" w:eastAsia="仿宋" w:cs="仿宋"/>
          <w:b/>
          <w:bCs/>
          <w:color w:val="auto"/>
          <w:highlight w:val="none"/>
        </w:rPr>
        <w:t>九、验收</w:t>
      </w:r>
      <w:bookmarkEnd w:id="51"/>
      <w:bookmarkEnd w:id="52"/>
    </w:p>
    <w:p w14:paraId="08ACB3F4">
      <w:pPr>
        <w:pStyle w:val="7"/>
        <w:spacing w:line="360" w:lineRule="auto"/>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29.验收</w:t>
      </w:r>
    </w:p>
    <w:p w14:paraId="7AAD5A87">
      <w:pPr>
        <w:tabs>
          <w:tab w:val="left" w:pos="0"/>
        </w:tabs>
        <w:spacing w:line="360" w:lineRule="auto"/>
        <w:ind w:firstLine="48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858D21">
      <w:pPr>
        <w:tabs>
          <w:tab w:val="left" w:pos="0"/>
        </w:tabs>
        <w:spacing w:line="360" w:lineRule="auto"/>
        <w:ind w:firstLine="48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29.2采购人可以邀请参加本项目的其他供应商或者第三方机构参与验收。参与验收的供应商或者第三方机构的意见作为验收书的参考资料一并存档。</w:t>
      </w:r>
    </w:p>
    <w:p w14:paraId="55938E40">
      <w:pPr>
        <w:tabs>
          <w:tab w:val="left" w:pos="0"/>
        </w:tabs>
        <w:spacing w:line="360" w:lineRule="auto"/>
        <w:ind w:firstLine="48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8BC4754">
      <w:pPr>
        <w:tabs>
          <w:tab w:val="left" w:pos="0"/>
        </w:tabs>
        <w:spacing w:line="360" w:lineRule="auto"/>
        <w:ind w:firstLine="48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4"/>
    <w:p w14:paraId="1CEE04DE">
      <w:pPr>
        <w:tabs>
          <w:tab w:val="left" w:pos="0"/>
        </w:tabs>
        <w:spacing w:line="360" w:lineRule="auto"/>
        <w:ind w:firstLine="480"/>
        <w:rPr>
          <w:rFonts w:hint="eastAsia" w:ascii="仿宋" w:hAnsi="仿宋" w:eastAsia="仿宋" w:cs="仿宋"/>
          <w:color w:val="auto"/>
          <w:kern w:val="0"/>
          <w:sz w:val="22"/>
          <w:szCs w:val="22"/>
          <w:highlight w:val="none"/>
        </w:rPr>
      </w:pPr>
      <w:bookmarkStart w:id="53" w:name="_Hlt75236290"/>
      <w:bookmarkEnd w:id="53"/>
      <w:bookmarkStart w:id="54" w:name="_Hlt68403820"/>
      <w:bookmarkEnd w:id="54"/>
      <w:bookmarkStart w:id="55" w:name="_Hlt74730295"/>
      <w:bookmarkEnd w:id="55"/>
      <w:bookmarkStart w:id="56" w:name="_Hlt68072998"/>
      <w:bookmarkEnd w:id="56"/>
      <w:bookmarkStart w:id="57" w:name="_Hlt75236101"/>
      <w:bookmarkEnd w:id="57"/>
      <w:bookmarkStart w:id="58" w:name="_Hlt68057669"/>
      <w:bookmarkEnd w:id="58"/>
      <w:bookmarkStart w:id="59" w:name="_Hlt75236011"/>
      <w:bookmarkEnd w:id="59"/>
      <w:bookmarkStart w:id="60" w:name="_Hlt74729768"/>
      <w:bookmarkEnd w:id="60"/>
      <w:bookmarkStart w:id="61" w:name="_Hlt74707468"/>
      <w:bookmarkEnd w:id="61"/>
      <w:bookmarkStart w:id="62" w:name="_Hlt68073093"/>
      <w:bookmarkEnd w:id="62"/>
      <w:bookmarkStart w:id="63" w:name="_Hlt74714665"/>
      <w:bookmarkEnd w:id="63"/>
      <w:bookmarkStart w:id="64" w:name="_Hlt68072990"/>
      <w:bookmarkEnd w:id="64"/>
      <w:r>
        <w:rPr>
          <w:rFonts w:hint="eastAsia" w:ascii="仿宋" w:hAnsi="仿宋" w:eastAsia="仿宋" w:cs="仿宋"/>
          <w:color w:val="auto"/>
          <w:kern w:val="0"/>
          <w:sz w:val="22"/>
          <w:szCs w:val="22"/>
          <w:highlight w:val="none"/>
        </w:rPr>
        <w:t>29.5履约验收费用由供应商承担，因供应商原因造成验收不通过的，再次验收的费用仍由供应商承担。</w:t>
      </w:r>
    </w:p>
    <w:p w14:paraId="3C0C72A7">
      <w:pPr>
        <w:pStyle w:val="2"/>
        <w:outlineLvl w:val="9"/>
        <w:rPr>
          <w:rFonts w:hint="eastAsia" w:ascii="仿宋" w:eastAsia="仿宋" w:cs="仿宋"/>
          <w:color w:val="auto"/>
          <w:sz w:val="28"/>
          <w:szCs w:val="28"/>
          <w:highlight w:val="none"/>
        </w:rPr>
        <w:sectPr>
          <w:footerReference r:id="rId9" w:type="default"/>
          <w:pgSz w:w="11906" w:h="16838"/>
          <w:pgMar w:top="1440" w:right="1080" w:bottom="1440" w:left="1080" w:header="851" w:footer="850" w:gutter="0"/>
          <w:pgNumType w:fmt="decimal"/>
          <w:cols w:space="720" w:num="1"/>
          <w:docGrid w:linePitch="312" w:charSpace="0"/>
        </w:sectPr>
      </w:pPr>
    </w:p>
    <w:bookmarkEnd w:id="24"/>
    <w:bookmarkEnd w:id="25"/>
    <w:p w14:paraId="5740079B">
      <w:pPr>
        <w:pStyle w:val="3"/>
        <w:adjustRightInd/>
        <w:spacing w:line="240" w:lineRule="auto"/>
        <w:ind w:left="431" w:hanging="431"/>
        <w:jc w:val="center"/>
        <w:rPr>
          <w:rStyle w:val="19"/>
          <w:rFonts w:hint="eastAsia" w:ascii="仿宋" w:eastAsia="仿宋" w:cs="仿宋"/>
          <w:b/>
          <w:bCs/>
          <w:color w:val="auto"/>
          <w:kern w:val="2"/>
          <w:highlight w:val="none"/>
        </w:rPr>
      </w:pPr>
      <w:bookmarkStart w:id="65" w:name="_Toc1792140694"/>
      <w:bookmarkStart w:id="66" w:name="_Toc12497"/>
      <w:bookmarkStart w:id="67" w:name="第四部分"/>
      <w:r>
        <w:rPr>
          <w:rStyle w:val="19"/>
          <w:rFonts w:hint="eastAsia" w:ascii="仿宋" w:eastAsia="仿宋" w:cs="仿宋"/>
          <w:b/>
          <w:bCs/>
          <w:color w:val="auto"/>
          <w:kern w:val="2"/>
          <w:highlight w:val="none"/>
        </w:rPr>
        <w:t>第三部分 采购需求</w:t>
      </w:r>
      <w:bookmarkEnd w:id="65"/>
      <w:bookmarkEnd w:id="66"/>
    </w:p>
    <w:p w14:paraId="2AC6A745">
      <w:pPr>
        <w:snapToGrid w:val="0"/>
        <w:spacing w:line="360" w:lineRule="auto"/>
        <w:outlineLvl w:val="1"/>
        <w:rPr>
          <w:rFonts w:hint="eastAsia" w:ascii="仿宋" w:hAnsi="仿宋" w:eastAsia="仿宋" w:cs="仿宋"/>
          <w:b/>
          <w:bCs/>
          <w:color w:val="auto"/>
          <w:sz w:val="22"/>
          <w:szCs w:val="28"/>
          <w:highlight w:val="none"/>
        </w:rPr>
      </w:pPr>
      <w:bookmarkStart w:id="68" w:name="_Toc2050494883"/>
      <w:bookmarkStart w:id="69" w:name="_Toc592882865"/>
      <w:bookmarkStart w:id="70" w:name="_Toc16479"/>
      <w:bookmarkStart w:id="71" w:name="_Toc12481"/>
      <w:r>
        <w:rPr>
          <w:rFonts w:hint="eastAsia" w:ascii="仿宋" w:hAnsi="仿宋" w:eastAsia="仿宋" w:cs="仿宋"/>
          <w:b/>
          <w:bCs/>
          <w:color w:val="auto"/>
          <w:sz w:val="22"/>
          <w:szCs w:val="28"/>
          <w:highlight w:val="none"/>
        </w:rPr>
        <w:t>一、建设目标</w:t>
      </w:r>
      <w:bookmarkEnd w:id="68"/>
      <w:bookmarkEnd w:id="69"/>
      <w:bookmarkEnd w:id="70"/>
      <w:bookmarkEnd w:id="71"/>
    </w:p>
    <w:p w14:paraId="6C491658">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以浙江公安“科技兴警”战略为引导，深入挖掘前沿技术与现代警务有机衔接，引入具备自然语言理解、组合推理能力、学习认知智能的垂直领域AI大模型，接入全市110接处警数据，从源头上对警情中包含的</w:t>
      </w:r>
      <w:r>
        <w:rPr>
          <w:rFonts w:hint="eastAsia" w:ascii="仿宋" w:hAnsi="仿宋" w:eastAsia="仿宋" w:cs="仿宋"/>
          <w:color w:val="auto"/>
          <w:sz w:val="22"/>
          <w:szCs w:val="28"/>
          <w:highlight w:val="none"/>
          <w:lang w:eastAsia="zh-CN"/>
        </w:rPr>
        <w:t>GRJD</w:t>
      </w:r>
      <w:r>
        <w:rPr>
          <w:rFonts w:hint="eastAsia" w:ascii="仿宋" w:hAnsi="仿宋" w:eastAsia="仿宋" w:cs="仿宋"/>
          <w:color w:val="auto"/>
          <w:sz w:val="22"/>
          <w:szCs w:val="28"/>
          <w:highlight w:val="none"/>
        </w:rPr>
        <w:t>行为和矛盾纠纷事件进行梳理分类，并基于对警情内容的理解和预期发展的推理输出线索预警。从公安机关提供的各类数据中治理得出特定背景、特定行业的特定人员，实时监测其异动行为，解决该类事件“突发性强，预测预警难”的业务痛点。在理念、模式、系统、功能和机制建设方面为</w:t>
      </w:r>
      <w:r>
        <w:rPr>
          <w:rFonts w:hint="eastAsia" w:ascii="仿宋" w:hAnsi="仿宋" w:eastAsia="仿宋" w:cs="仿宋"/>
          <w:color w:val="auto"/>
          <w:sz w:val="22"/>
          <w:szCs w:val="28"/>
          <w:highlight w:val="none"/>
          <w:lang w:eastAsia="zh-CN"/>
        </w:rPr>
        <w:t>GRJD</w:t>
      </w:r>
      <w:r>
        <w:rPr>
          <w:rFonts w:hint="eastAsia" w:ascii="仿宋" w:hAnsi="仿宋" w:eastAsia="仿宋" w:cs="仿宋"/>
          <w:color w:val="auto"/>
          <w:sz w:val="22"/>
          <w:szCs w:val="28"/>
          <w:highlight w:val="none"/>
        </w:rPr>
        <w:t>案事件防范提供了创新思路，为人员、事件的风险度评估等风险隐患防控提供手段和经验，通过构建极端风险事件发现预警、预测、预防体系，切实做到防患未然，有效维护社会安全稳定。</w:t>
      </w:r>
    </w:p>
    <w:p w14:paraId="623DBC04">
      <w:pPr>
        <w:snapToGrid w:val="0"/>
        <w:spacing w:line="360" w:lineRule="auto"/>
        <w:outlineLvl w:val="1"/>
        <w:rPr>
          <w:rFonts w:hint="eastAsia" w:ascii="仿宋" w:hAnsi="仿宋" w:eastAsia="仿宋" w:cs="仿宋"/>
          <w:b/>
          <w:bCs/>
          <w:color w:val="auto"/>
          <w:sz w:val="22"/>
          <w:szCs w:val="28"/>
          <w:highlight w:val="none"/>
        </w:rPr>
      </w:pPr>
      <w:bookmarkStart w:id="72" w:name="_Toc1481942885"/>
      <w:bookmarkStart w:id="73" w:name="_Toc1997415172"/>
      <w:bookmarkStart w:id="74" w:name="_Toc17572"/>
      <w:r>
        <w:rPr>
          <w:rFonts w:hint="eastAsia" w:ascii="仿宋" w:hAnsi="仿宋" w:eastAsia="仿宋" w:cs="仿宋"/>
          <w:b/>
          <w:bCs/>
          <w:color w:val="auto"/>
          <w:sz w:val="22"/>
          <w:szCs w:val="28"/>
          <w:highlight w:val="none"/>
        </w:rPr>
        <w:t>二、建设内容</w:t>
      </w:r>
      <w:bookmarkEnd w:id="72"/>
      <w:bookmarkEnd w:id="73"/>
      <w:bookmarkEnd w:id="74"/>
    </w:p>
    <w:p w14:paraId="369B5CC1">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75" w:name="_Toc1092425900"/>
      <w:r>
        <w:rPr>
          <w:rFonts w:hint="eastAsia" w:ascii="仿宋" w:hAnsi="仿宋" w:eastAsia="仿宋" w:cs="仿宋"/>
          <w:b/>
          <w:color w:val="auto"/>
          <w:sz w:val="22"/>
          <w:szCs w:val="22"/>
          <w:highlight w:val="none"/>
        </w:rPr>
        <w:t>（一）两防警情线索分析挖掘应用</w:t>
      </w:r>
      <w:bookmarkEnd w:id="75"/>
    </w:p>
    <w:p w14:paraId="3C651662">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（1）大模型警情分类及线索推荐</w:t>
      </w:r>
    </w:p>
    <w:p w14:paraId="526C4C8C">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引入前沿大模型技术，通过搭建公安行业垂直领域大模型，能够理解警务知识，具备智能分析、智能推理等能力，将原始警情进行筛选分类，识别纠纷类型和当事双方关系，并对高危风险进行线索推荐。</w:t>
      </w:r>
    </w:p>
    <w:p w14:paraId="512CDAF0">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（2）久拖未决风险专题分析</w:t>
      </w:r>
    </w:p>
    <w:p w14:paraId="489F19AA">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久拖未决的矛盾纠纷具有进一步发展的明显倾向，综合当事人姓名、证件号码、联系方式等信息，在历史警情中筛选是否存在同类型的警情数据，从而发现并输出久拖未决的矛盾纠纷。</w:t>
      </w:r>
    </w:p>
    <w:p w14:paraId="47D7BDE0">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（3）身份背景分析及警情提级应用</w:t>
      </w:r>
    </w:p>
    <w:p w14:paraId="1118D26C">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综合各类外部数据的支撑，分析判断人员在健康状况、家庭状况、经济状况、从事职业、前科劣迹、精神状况等标签属性，这些标签属性可以让大模型的线索推理更具可解释性。为用户提供“特定警情类型+特定双方关系+特定身份背景”的场景应用组合逻辑，用于特定场景下的风险识别。</w:t>
      </w:r>
    </w:p>
    <w:p w14:paraId="3E177F7E">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（3）预谋实施风险专题分析</w:t>
      </w:r>
    </w:p>
    <w:p w14:paraId="5D4BF4A2">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通过交通出行、</w:t>
      </w:r>
      <w:r>
        <w:rPr>
          <w:rFonts w:hint="eastAsia" w:ascii="仿宋_GB2312" w:hAnsi="宋体" w:eastAsia="仿宋_GB2312" w:cs="仿宋_GB2312"/>
          <w:color w:val="auto"/>
          <w:kern w:val="0"/>
          <w:sz w:val="22"/>
          <w:szCs w:val="22"/>
          <w:highlight w:val="none"/>
          <w:lang w:bidi="ar"/>
        </w:rPr>
        <w:t>活动落脚</w:t>
      </w:r>
      <w:r>
        <w:rPr>
          <w:rFonts w:hint="eastAsia" w:ascii="仿宋" w:hAnsi="仿宋" w:eastAsia="仿宋" w:cs="仿宋"/>
          <w:color w:val="auto"/>
          <w:sz w:val="22"/>
          <w:szCs w:val="28"/>
          <w:highlight w:val="none"/>
        </w:rPr>
        <w:t>等数据支撑，感知两防风险警情当事人疑似预谋实施行为等异常情况，在</w:t>
      </w:r>
      <w:r>
        <w:rPr>
          <w:rFonts w:hint="eastAsia" w:ascii="仿宋" w:hAnsi="仿宋" w:eastAsia="仿宋" w:cs="仿宋"/>
          <w:color w:val="auto"/>
          <w:sz w:val="22"/>
          <w:szCs w:val="28"/>
          <w:highlight w:val="none"/>
          <w:lang w:eastAsia="zh-CN"/>
        </w:rPr>
        <w:t>GRJD</w:t>
      </w:r>
      <w:r>
        <w:rPr>
          <w:rFonts w:hint="eastAsia" w:ascii="仿宋" w:hAnsi="仿宋" w:eastAsia="仿宋" w:cs="仿宋"/>
          <w:color w:val="auto"/>
          <w:sz w:val="22"/>
          <w:szCs w:val="28"/>
          <w:highlight w:val="none"/>
        </w:rPr>
        <w:t>和恶性事件发案前进行及时处置和化解。</w:t>
      </w:r>
    </w:p>
    <w:p w14:paraId="7B057D38">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76" w:name="_Toc1564403097"/>
      <w:r>
        <w:rPr>
          <w:rFonts w:hint="eastAsia" w:ascii="仿宋" w:hAnsi="仿宋" w:eastAsia="仿宋" w:cs="仿宋"/>
          <w:b/>
          <w:color w:val="auto"/>
          <w:sz w:val="22"/>
          <w:szCs w:val="22"/>
          <w:highlight w:val="none"/>
        </w:rPr>
        <w:t>（二）两防管控基础治理应用</w:t>
      </w:r>
      <w:bookmarkEnd w:id="76"/>
    </w:p>
    <w:p w14:paraId="49CC79B7">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（1）事件库</w:t>
      </w:r>
    </w:p>
    <w:p w14:paraId="25888C77">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围绕事件化解管控过程配套完成支持其高效化解处置的配套功能：针对事件的自动智能标签标注、定级审核、研判分析、包案小组与预案管理、事件关联的人与事管理、对于人员的异常预警管理、事件完整的详情展示、化解管理记录、事后回访记录、可以将对事件复盘的内容进行记录管理、化解过程中重要节点与进度的短信提醒功能。</w:t>
      </w:r>
    </w:p>
    <w:p w14:paraId="1981315B">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（2）人员库</w:t>
      </w:r>
    </w:p>
    <w:p w14:paraId="26A09DE4">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通过外部数据对接和本系统人工维护的方式，汇聚两防关注的各类风险人员，以及从其他各个渠道汇聚的两防特定群体，对人员进行统一的底库管理。</w:t>
      </w:r>
    </w:p>
    <w:p w14:paraId="49EE748A">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（3）事件库</w:t>
      </w:r>
    </w:p>
    <w:p w14:paraId="3875B6E9">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针对派出所上报的“两防”管控事件进行风险认定，对“两防”事件进行研判反馈，同时记录事件当下的状态。</w:t>
      </w:r>
    </w:p>
    <w:p w14:paraId="1346C9C2">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（4）预警中心</w:t>
      </w:r>
    </w:p>
    <w:p w14:paraId="10F72A92">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结合外部数据、服务能力支撑，实现人员的异动感知和动态管理。</w:t>
      </w:r>
    </w:p>
    <w:p w14:paraId="1250FD81">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（5）民转</w:t>
      </w:r>
      <w:r>
        <w:rPr>
          <w:rFonts w:hint="eastAsia" w:ascii="仿宋" w:hAnsi="仿宋" w:eastAsia="仿宋" w:cs="仿宋"/>
          <w:color w:val="auto"/>
          <w:sz w:val="22"/>
          <w:szCs w:val="28"/>
          <w:highlight w:val="none"/>
          <w:lang w:eastAsia="zh-CN"/>
        </w:rPr>
        <w:t>刑</w:t>
      </w:r>
      <w:r>
        <w:rPr>
          <w:rFonts w:hint="eastAsia" w:ascii="仿宋" w:hAnsi="仿宋" w:eastAsia="仿宋" w:cs="仿宋"/>
          <w:color w:val="auto"/>
          <w:sz w:val="22"/>
          <w:szCs w:val="28"/>
          <w:highlight w:val="none"/>
        </w:rPr>
        <w:t>命案管理</w:t>
      </w:r>
    </w:p>
    <w:p w14:paraId="04F35A90">
      <w:pPr>
        <w:snapToGrid w:val="0"/>
        <w:spacing w:line="360" w:lineRule="auto"/>
        <w:ind w:firstLine="440" w:firstLineChars="200"/>
        <w:rPr>
          <w:rFonts w:ascii="仿宋" w:hAnsi="仿宋" w:eastAsia="仿宋" w:cs="仿宋"/>
          <w:color w:val="auto"/>
          <w:sz w:val="22"/>
          <w:szCs w:val="28"/>
          <w:highlight w:val="none"/>
        </w:rPr>
      </w:pPr>
      <w:r>
        <w:rPr>
          <w:rFonts w:ascii="仿宋" w:hAnsi="仿宋" w:eastAsia="仿宋" w:cs="仿宋"/>
          <w:color w:val="auto"/>
          <w:sz w:val="22"/>
          <w:szCs w:val="28"/>
          <w:highlight w:val="none"/>
        </w:rPr>
        <w:t>提供民</w:t>
      </w:r>
      <w:r>
        <w:rPr>
          <w:rFonts w:hint="eastAsia" w:ascii="仿宋" w:hAnsi="仿宋" w:eastAsia="仿宋" w:cs="仿宋"/>
          <w:color w:val="auto"/>
          <w:sz w:val="22"/>
          <w:szCs w:val="28"/>
          <w:highlight w:val="none"/>
        </w:rPr>
        <w:t>转</w:t>
      </w:r>
      <w:r>
        <w:rPr>
          <w:rFonts w:ascii="仿宋" w:hAnsi="仿宋" w:eastAsia="仿宋" w:cs="仿宋"/>
          <w:color w:val="auto"/>
          <w:sz w:val="22"/>
          <w:szCs w:val="28"/>
          <w:highlight w:val="none"/>
        </w:rPr>
        <w:t>刑命案信息，并提供新增、编辑、删除及详情操作，支持隐藏/显示设置。</w:t>
      </w:r>
    </w:p>
    <w:p w14:paraId="3AF8EFA4">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（6）统计分析</w:t>
      </w:r>
    </w:p>
    <w:p w14:paraId="533CCF32">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建设两防态势统计分析、民转</w:t>
      </w:r>
      <w:r>
        <w:rPr>
          <w:rFonts w:hint="eastAsia" w:ascii="仿宋" w:hAnsi="仿宋" w:eastAsia="仿宋" w:cs="仿宋"/>
          <w:color w:val="auto"/>
          <w:sz w:val="22"/>
          <w:szCs w:val="28"/>
          <w:highlight w:val="none"/>
          <w:lang w:eastAsia="zh-CN"/>
        </w:rPr>
        <w:t>刑</w:t>
      </w:r>
      <w:r>
        <w:rPr>
          <w:rFonts w:hint="eastAsia" w:ascii="仿宋" w:hAnsi="仿宋" w:eastAsia="仿宋" w:cs="仿宋"/>
          <w:color w:val="auto"/>
          <w:sz w:val="22"/>
          <w:szCs w:val="28"/>
          <w:highlight w:val="none"/>
        </w:rPr>
        <w:t>风险统计分析、人员管控统计分析，用于体现两防总体业务，民转</w:t>
      </w:r>
      <w:r>
        <w:rPr>
          <w:rFonts w:hint="eastAsia" w:ascii="仿宋" w:hAnsi="仿宋" w:eastAsia="仿宋" w:cs="仿宋"/>
          <w:color w:val="auto"/>
          <w:sz w:val="22"/>
          <w:szCs w:val="28"/>
          <w:highlight w:val="none"/>
          <w:lang w:eastAsia="zh-CN"/>
        </w:rPr>
        <w:t>刑</w:t>
      </w:r>
      <w:r>
        <w:rPr>
          <w:rFonts w:hint="eastAsia" w:ascii="仿宋" w:hAnsi="仿宋" w:eastAsia="仿宋" w:cs="仿宋"/>
          <w:color w:val="auto"/>
          <w:sz w:val="22"/>
          <w:szCs w:val="28"/>
          <w:highlight w:val="none"/>
        </w:rPr>
        <w:t>防范业务、两防风险人员管控业务的基本情况和运行态势。</w:t>
      </w:r>
    </w:p>
    <w:p w14:paraId="08F11229">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（7）指令闭环处置</w:t>
      </w:r>
    </w:p>
    <w:p w14:paraId="785EE40C">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提供相对灵活的任务手动创建以及任务周期性配置生成的功能，不同组织机构的用户可以对任务审批、签收、流转、反馈等操作。</w:t>
      </w:r>
    </w:p>
    <w:p w14:paraId="2C8425C4">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（8）业务统计</w:t>
      </w:r>
    </w:p>
    <w:p w14:paraId="776A5E41">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支持从管控事件、风险人员、指令处置、排班情况等维度，对系统业务信息进行统计，便于用户掌握相关基数/底数，了解系统运行情况。</w:t>
      </w:r>
    </w:p>
    <w:p w14:paraId="4B23E62D">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（9）其他功能</w:t>
      </w:r>
    </w:p>
    <w:p w14:paraId="67085F08">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包括机构配置、排班配置、帮助中心、消息通知、日志管理、系统管理等参数配置、运维管理相关的功能。</w:t>
      </w:r>
    </w:p>
    <w:p w14:paraId="02F2B16E">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77" w:name="_Toc1280561058"/>
      <w:r>
        <w:rPr>
          <w:rFonts w:hint="eastAsia" w:ascii="仿宋" w:hAnsi="仿宋" w:eastAsia="仿宋" w:cs="仿宋"/>
          <w:b/>
          <w:color w:val="auto"/>
          <w:sz w:val="22"/>
          <w:szCs w:val="22"/>
          <w:highlight w:val="none"/>
        </w:rPr>
        <w:t>（三）两防基础治理警务通应用</w:t>
      </w:r>
      <w:bookmarkEnd w:id="77"/>
    </w:p>
    <w:p w14:paraId="28A60585">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（1）任务处置反馈</w:t>
      </w:r>
    </w:p>
    <w:p w14:paraId="03474A50">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面向基层派出所民警提供任务查看、任务签收、任务转发、处置结果反馈等相关功能，完成两防业务的闭环处置。</w:t>
      </w:r>
    </w:p>
    <w:p w14:paraId="764CEC39">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（2）业务辅助</w:t>
      </w:r>
    </w:p>
    <w:p w14:paraId="66E83AD2">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提供消息通知、待办提醒等业务辅助配套功能，让民警能够及时接收新增任务的提醒，随时查看当前待办的处置任务。</w:t>
      </w:r>
    </w:p>
    <w:p w14:paraId="2F1B6E82">
      <w:pPr>
        <w:numPr>
          <w:ilvl w:val="0"/>
          <w:numId w:val="3"/>
        </w:numPr>
        <w:snapToGrid w:val="0"/>
        <w:spacing w:line="360" w:lineRule="auto"/>
        <w:outlineLvl w:val="1"/>
        <w:rPr>
          <w:rFonts w:hint="eastAsia" w:ascii="仿宋" w:hAnsi="仿宋" w:eastAsia="仿宋" w:cs="仿宋"/>
          <w:b/>
          <w:bCs/>
          <w:color w:val="auto"/>
          <w:sz w:val="22"/>
          <w:szCs w:val="28"/>
          <w:highlight w:val="none"/>
        </w:rPr>
      </w:pPr>
      <w:bookmarkStart w:id="78" w:name="_Toc308591572"/>
      <w:bookmarkStart w:id="79" w:name="_Toc19583"/>
      <w:r>
        <w:rPr>
          <w:rFonts w:hint="eastAsia" w:ascii="仿宋" w:hAnsi="仿宋" w:eastAsia="仿宋" w:cs="仿宋"/>
          <w:b/>
          <w:bCs/>
          <w:color w:val="auto"/>
          <w:sz w:val="22"/>
          <w:szCs w:val="28"/>
          <w:highlight w:val="none"/>
        </w:rPr>
        <w:t>软件需求</w:t>
      </w:r>
      <w:bookmarkEnd w:id="78"/>
      <w:bookmarkEnd w:id="79"/>
    </w:p>
    <w:p w14:paraId="312401A6">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80" w:name="_Toc325543099"/>
      <w:r>
        <w:rPr>
          <w:rFonts w:hint="eastAsia" w:ascii="仿宋" w:hAnsi="仿宋" w:eastAsia="仿宋" w:cs="仿宋"/>
          <w:b/>
          <w:color w:val="auto"/>
          <w:sz w:val="22"/>
          <w:szCs w:val="22"/>
          <w:highlight w:val="none"/>
        </w:rPr>
        <w:t>（一）系统功能清单</w:t>
      </w:r>
      <w:bookmarkEnd w:id="80"/>
    </w:p>
    <w:tbl>
      <w:tblPr>
        <w:tblStyle w:val="15"/>
        <w:tblW w:w="9932" w:type="dxa"/>
        <w:tblInd w:w="88" w:type="dxa"/>
        <w:shd w:val="clear" w:color="auto" w:fill="auto"/>
        <w:tblLayout w:type="fixed"/>
        <w:tblCellMar>
          <w:top w:w="0" w:type="dxa"/>
          <w:left w:w="108" w:type="dxa"/>
          <w:bottom w:w="0" w:type="dxa"/>
          <w:right w:w="108" w:type="dxa"/>
        </w:tblCellMar>
      </w:tblPr>
      <w:tblGrid>
        <w:gridCol w:w="601"/>
        <w:gridCol w:w="721"/>
        <w:gridCol w:w="848"/>
        <w:gridCol w:w="1152"/>
        <w:gridCol w:w="6610"/>
      </w:tblGrid>
      <w:tr w14:paraId="4193837E">
        <w:tblPrEx>
          <w:tblCellMar>
            <w:top w:w="0" w:type="dxa"/>
            <w:left w:w="108" w:type="dxa"/>
            <w:bottom w:w="0" w:type="dxa"/>
            <w:right w:w="108" w:type="dxa"/>
          </w:tblCellMar>
        </w:tblPrEx>
        <w:trPr>
          <w:trHeight w:val="399"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0DED">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序号</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76C5">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功能模块</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A53">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子模块</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D101">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二级模块</w:t>
            </w:r>
          </w:p>
        </w:tc>
        <w:tc>
          <w:tcPr>
            <w:tcW w:w="66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09E3">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bidi="ar"/>
              </w:rPr>
              <w:t>功能描述</w:t>
            </w:r>
          </w:p>
        </w:tc>
      </w:tr>
      <w:tr w14:paraId="79F1B5DE">
        <w:tblPrEx>
          <w:tblCellMar>
            <w:top w:w="0" w:type="dxa"/>
            <w:left w:w="108" w:type="dxa"/>
            <w:bottom w:w="0" w:type="dxa"/>
            <w:right w:w="108" w:type="dxa"/>
          </w:tblCellMar>
        </w:tblPrEx>
        <w:trPr>
          <w:trHeight w:val="39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6EF4">
            <w:pPr>
              <w:jc w:val="center"/>
              <w:rPr>
                <w:rFonts w:hint="eastAsia" w:ascii="仿宋" w:hAnsi="仿宋" w:eastAsia="仿宋" w:cs="仿宋"/>
                <w:b/>
                <w:bCs/>
                <w:color w:val="auto"/>
                <w:sz w:val="18"/>
                <w:szCs w:val="18"/>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0278">
            <w:pPr>
              <w:jc w:val="center"/>
              <w:rPr>
                <w:rFonts w:hint="eastAsia" w:ascii="仿宋" w:hAnsi="仿宋" w:eastAsia="仿宋" w:cs="仿宋"/>
                <w:b/>
                <w:bCs/>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A14F">
            <w:pPr>
              <w:jc w:val="center"/>
              <w:rPr>
                <w:rFonts w:hint="eastAsia" w:ascii="仿宋" w:hAnsi="仿宋" w:eastAsia="仿宋" w:cs="仿宋"/>
                <w:b/>
                <w:bCs/>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10EB">
            <w:pPr>
              <w:jc w:val="center"/>
              <w:rPr>
                <w:rFonts w:hint="eastAsia" w:ascii="仿宋" w:hAnsi="仿宋" w:eastAsia="仿宋" w:cs="仿宋"/>
                <w:b/>
                <w:bCs/>
                <w:color w:val="auto"/>
                <w:sz w:val="18"/>
                <w:szCs w:val="18"/>
                <w:highlight w:val="none"/>
              </w:rPr>
            </w:pPr>
          </w:p>
        </w:tc>
        <w:tc>
          <w:tcPr>
            <w:tcW w:w="66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345A">
            <w:pPr>
              <w:jc w:val="left"/>
              <w:rPr>
                <w:rFonts w:hint="eastAsia" w:ascii="仿宋" w:hAnsi="仿宋" w:eastAsia="仿宋" w:cs="仿宋"/>
                <w:b/>
                <w:bCs/>
                <w:color w:val="auto"/>
                <w:sz w:val="18"/>
                <w:szCs w:val="18"/>
                <w:highlight w:val="none"/>
              </w:rPr>
            </w:pPr>
          </w:p>
        </w:tc>
      </w:tr>
      <w:tr w14:paraId="16D80B20">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5AC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721" w:type="dxa"/>
            <w:vMerge w:val="restart"/>
            <w:tcBorders>
              <w:top w:val="nil"/>
              <w:left w:val="single" w:color="000000" w:sz="4" w:space="0"/>
              <w:right w:val="single" w:color="000000" w:sz="4" w:space="0"/>
            </w:tcBorders>
            <w:shd w:val="clear" w:color="auto" w:fill="auto"/>
            <w:noWrap w:val="0"/>
            <w:vAlign w:val="center"/>
          </w:tcPr>
          <w:p w14:paraId="5D4BFE27">
            <w:pPr>
              <w:jc w:val="center"/>
              <w:rPr>
                <w:rFonts w:hint="eastAsia" w:ascii="仿宋" w:hAnsi="仿宋" w:eastAsia="仿宋_GB2312" w:cs="仿宋"/>
                <w:color w:val="auto"/>
                <w:sz w:val="18"/>
                <w:szCs w:val="18"/>
                <w:highlight w:val="none"/>
                <w:lang w:eastAsia="zh-CN"/>
              </w:rPr>
            </w:pPr>
            <w:r>
              <w:rPr>
                <w:rFonts w:ascii="仿宋_GB2312" w:hAnsi="宋体" w:eastAsia="仿宋_GB2312" w:cs="仿宋_GB2312"/>
                <w:color w:val="auto"/>
                <w:kern w:val="0"/>
                <w:sz w:val="22"/>
                <w:szCs w:val="22"/>
                <w:highlight w:val="none"/>
                <w:lang w:bidi="ar"/>
              </w:rPr>
              <w:t>两防警情线索分析挖掘应</w:t>
            </w:r>
            <w:r>
              <w:rPr>
                <w:rFonts w:hint="eastAsia" w:ascii="仿宋_GB2312" w:hAnsi="宋体" w:eastAsia="仿宋_GB2312" w:cs="仿宋_GB2312"/>
                <w:color w:val="auto"/>
                <w:kern w:val="0"/>
                <w:sz w:val="22"/>
                <w:szCs w:val="22"/>
                <w:highlight w:val="none"/>
                <w:lang w:eastAsia="zh-CN" w:bidi="ar"/>
              </w:rPr>
              <w:t>用</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484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原始警情分类推荐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C77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原始警情分类推荐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5A1104">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对接大模型警情筛选、警情分类、线索推荐服务接口，将每日增量警情数据传入大模型进行分析，筛选出与</w:t>
            </w:r>
            <w:r>
              <w:rPr>
                <w:rFonts w:hint="eastAsia" w:ascii="仿宋" w:hAnsi="仿宋" w:eastAsia="仿宋" w:cs="仿宋"/>
                <w:color w:val="auto"/>
                <w:kern w:val="0"/>
                <w:sz w:val="18"/>
                <w:szCs w:val="18"/>
                <w:highlight w:val="none"/>
                <w:lang w:eastAsia="zh-CN" w:bidi="ar"/>
              </w:rPr>
              <w:t>GRJD</w:t>
            </w:r>
            <w:r>
              <w:rPr>
                <w:rFonts w:hint="eastAsia" w:ascii="仿宋" w:hAnsi="仿宋" w:eastAsia="仿宋" w:cs="仿宋"/>
                <w:color w:val="auto"/>
                <w:kern w:val="0"/>
                <w:sz w:val="18"/>
                <w:szCs w:val="18"/>
                <w:highlight w:val="none"/>
                <w:lang w:bidi="ar"/>
              </w:rPr>
              <w:t>或矛盾纠纷相关的警情，提取警情中当事双方的关系和矛盾纠纷类型，并在此基础上推荐出具有发案倾向的高危线索。对于未被推荐的但属于</w:t>
            </w:r>
            <w:r>
              <w:rPr>
                <w:rFonts w:hint="eastAsia" w:ascii="仿宋" w:hAnsi="仿宋" w:eastAsia="仿宋" w:cs="仿宋"/>
                <w:color w:val="auto"/>
                <w:kern w:val="0"/>
                <w:sz w:val="18"/>
                <w:szCs w:val="18"/>
                <w:highlight w:val="none"/>
                <w:lang w:eastAsia="zh-CN" w:bidi="ar"/>
              </w:rPr>
              <w:t>GRJD</w:t>
            </w:r>
            <w:r>
              <w:rPr>
                <w:rFonts w:hint="eastAsia" w:ascii="仿宋" w:hAnsi="仿宋" w:eastAsia="仿宋" w:cs="仿宋"/>
                <w:color w:val="auto"/>
                <w:kern w:val="0"/>
                <w:sz w:val="18"/>
                <w:szCs w:val="18"/>
                <w:highlight w:val="none"/>
                <w:lang w:bidi="ar"/>
              </w:rPr>
              <w:t>或矛盾纠纷相关的警情，可以进一步关联外部数据，或者人工分析研判，从而升级成为有效线索</w:t>
            </w:r>
            <w:r>
              <w:rPr>
                <w:rFonts w:hint="eastAsia" w:ascii="仿宋" w:hAnsi="仿宋" w:eastAsia="仿宋" w:cs="仿宋"/>
                <w:color w:val="auto"/>
                <w:kern w:val="0"/>
                <w:sz w:val="18"/>
                <w:szCs w:val="18"/>
                <w:highlight w:val="none"/>
                <w:lang w:eastAsia="zh-CN" w:bidi="ar"/>
              </w:rPr>
              <w:t>。</w:t>
            </w:r>
          </w:p>
        </w:tc>
      </w:tr>
      <w:tr w14:paraId="195706F5">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7FC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721" w:type="dxa"/>
            <w:vMerge w:val="continue"/>
            <w:tcBorders>
              <w:left w:val="single" w:color="000000" w:sz="4" w:space="0"/>
              <w:right w:val="single" w:color="000000" w:sz="4" w:space="0"/>
            </w:tcBorders>
            <w:shd w:val="clear" w:color="auto" w:fill="auto"/>
            <w:noWrap w:val="0"/>
            <w:vAlign w:val="center"/>
          </w:tcPr>
          <w:p w14:paraId="3480F8D9">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3B8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久拖未决风险专题分析</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0A4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警情关联性分析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E87C8">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基于大模型对于事件重合度分析能力，找出与当前警情指向同一事件的关联警情</w:t>
            </w:r>
            <w:r>
              <w:rPr>
                <w:rFonts w:hint="eastAsia" w:ascii="仿宋" w:hAnsi="仿宋" w:eastAsia="仿宋" w:cs="仿宋"/>
                <w:color w:val="auto"/>
                <w:kern w:val="0"/>
                <w:sz w:val="18"/>
                <w:szCs w:val="18"/>
                <w:highlight w:val="none"/>
                <w:lang w:eastAsia="zh-CN" w:bidi="ar"/>
              </w:rPr>
              <w:t>。</w:t>
            </w:r>
          </w:p>
        </w:tc>
      </w:tr>
      <w:tr w14:paraId="47CD9B5A">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0C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721" w:type="dxa"/>
            <w:vMerge w:val="continue"/>
            <w:tcBorders>
              <w:left w:val="single" w:color="000000" w:sz="4" w:space="0"/>
              <w:right w:val="single" w:color="000000" w:sz="4" w:space="0"/>
            </w:tcBorders>
            <w:shd w:val="clear" w:color="auto" w:fill="auto"/>
            <w:noWrap w:val="0"/>
            <w:vAlign w:val="center"/>
          </w:tcPr>
          <w:p w14:paraId="4DA445D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0F154">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DE675">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05AF1">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基于当事人姓名、证件号码、联系方式等信息，找出与当前警情指向同一事件的关联警情</w:t>
            </w:r>
            <w:r>
              <w:rPr>
                <w:rFonts w:hint="eastAsia" w:ascii="仿宋" w:hAnsi="仿宋" w:eastAsia="仿宋" w:cs="仿宋"/>
                <w:color w:val="auto"/>
                <w:kern w:val="0"/>
                <w:sz w:val="18"/>
                <w:szCs w:val="18"/>
                <w:highlight w:val="none"/>
                <w:lang w:eastAsia="zh-CN" w:bidi="ar"/>
              </w:rPr>
              <w:t>。</w:t>
            </w:r>
          </w:p>
        </w:tc>
      </w:tr>
      <w:tr w14:paraId="535486D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94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721" w:type="dxa"/>
            <w:vMerge w:val="continue"/>
            <w:tcBorders>
              <w:left w:val="single" w:color="000000" w:sz="4" w:space="0"/>
              <w:right w:val="single" w:color="000000" w:sz="4" w:space="0"/>
            </w:tcBorders>
            <w:shd w:val="clear" w:color="auto" w:fill="auto"/>
            <w:noWrap w:val="0"/>
            <w:vAlign w:val="center"/>
          </w:tcPr>
          <w:p w14:paraId="2013EE8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C5A80">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B468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A9F76">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基于警情的接警时间、警情类别、重合度等维度综合分析，剔除短时间内重复报警产生的冗余数据</w:t>
            </w:r>
            <w:r>
              <w:rPr>
                <w:rFonts w:hint="eastAsia" w:ascii="仿宋" w:hAnsi="仿宋" w:eastAsia="仿宋" w:cs="仿宋"/>
                <w:color w:val="auto"/>
                <w:kern w:val="0"/>
                <w:sz w:val="18"/>
                <w:szCs w:val="18"/>
                <w:highlight w:val="none"/>
                <w:lang w:eastAsia="zh-CN" w:bidi="ar"/>
              </w:rPr>
              <w:t>。</w:t>
            </w:r>
          </w:p>
        </w:tc>
      </w:tr>
      <w:tr w14:paraId="2E517AB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57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721" w:type="dxa"/>
            <w:vMerge w:val="continue"/>
            <w:tcBorders>
              <w:left w:val="single" w:color="000000" w:sz="4" w:space="0"/>
              <w:right w:val="single" w:color="000000" w:sz="4" w:space="0"/>
            </w:tcBorders>
            <w:shd w:val="clear" w:color="auto" w:fill="auto"/>
            <w:noWrap w:val="0"/>
            <w:vAlign w:val="center"/>
          </w:tcPr>
          <w:p w14:paraId="296A230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1046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04A0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久拖未决风险专题分析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55025">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关联大模型输出的警情筛选标记和标签属性分类，对于每一条新增的两防相关警情，综合当事人姓名、证件号码、联系方式等信息，在历史警情中筛选是否存在同类型的警情数据，从而发现并输出久拖未决的矛盾纠纷</w:t>
            </w:r>
            <w:r>
              <w:rPr>
                <w:rFonts w:hint="eastAsia" w:ascii="仿宋" w:hAnsi="仿宋" w:eastAsia="仿宋" w:cs="仿宋"/>
                <w:color w:val="auto"/>
                <w:kern w:val="0"/>
                <w:sz w:val="18"/>
                <w:szCs w:val="18"/>
                <w:highlight w:val="none"/>
                <w:lang w:eastAsia="zh-CN" w:bidi="ar"/>
              </w:rPr>
              <w:t>。</w:t>
            </w:r>
          </w:p>
        </w:tc>
      </w:tr>
      <w:tr w14:paraId="18429732">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A99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721" w:type="dxa"/>
            <w:vMerge w:val="continue"/>
            <w:tcBorders>
              <w:left w:val="single" w:color="000000" w:sz="4" w:space="0"/>
              <w:right w:val="single" w:color="000000" w:sz="4" w:space="0"/>
            </w:tcBorders>
            <w:shd w:val="clear" w:color="auto" w:fill="auto"/>
            <w:noWrap w:val="0"/>
            <w:vAlign w:val="center"/>
          </w:tcPr>
          <w:p w14:paraId="457EB6CA">
            <w:pPr>
              <w:jc w:val="center"/>
              <w:rPr>
                <w:rFonts w:hint="eastAsia" w:ascii="仿宋" w:hAnsi="仿宋" w:eastAsia="仿宋" w:cs="仿宋"/>
                <w:color w:val="auto"/>
                <w:sz w:val="18"/>
                <w:szCs w:val="18"/>
                <w:highlight w:val="none"/>
              </w:rPr>
            </w:pPr>
          </w:p>
        </w:tc>
        <w:tc>
          <w:tcPr>
            <w:tcW w:w="848"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77B6E4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身份背景风险专题分析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13D2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重大疾病分析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BC9C1">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通过多维数据分析，分析两防线索当事人是否患有重大疾病。这种情况容易导致当事人产生轻生、厌世情绪，对已发生的警情事件带来进一步发展的潜在影响</w:t>
            </w:r>
            <w:r>
              <w:rPr>
                <w:rFonts w:hint="eastAsia" w:ascii="仿宋" w:hAnsi="仿宋" w:eastAsia="仿宋" w:cs="仿宋"/>
                <w:color w:val="auto"/>
                <w:kern w:val="0"/>
                <w:sz w:val="18"/>
                <w:szCs w:val="18"/>
                <w:highlight w:val="none"/>
                <w:lang w:eastAsia="zh-CN" w:bidi="ar"/>
              </w:rPr>
              <w:t>。</w:t>
            </w:r>
          </w:p>
        </w:tc>
      </w:tr>
      <w:tr w14:paraId="58AC5D5A">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E5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721" w:type="dxa"/>
            <w:vMerge w:val="continue"/>
            <w:tcBorders>
              <w:left w:val="single" w:color="000000" w:sz="4" w:space="0"/>
              <w:right w:val="single" w:color="000000" w:sz="4" w:space="0"/>
            </w:tcBorders>
            <w:shd w:val="clear" w:color="auto" w:fill="auto"/>
            <w:noWrap w:val="0"/>
            <w:vAlign w:val="center"/>
          </w:tcPr>
          <w:p w14:paraId="69A797A6">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22EA7F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3CB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家庭结构分析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0625C">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通过多维数据分析，分析当事人家庭成员是否完整。这种情况对于</w:t>
            </w:r>
            <w:r>
              <w:rPr>
                <w:rFonts w:hint="eastAsia" w:ascii="仿宋" w:hAnsi="仿宋" w:eastAsia="仿宋" w:cs="仿宋"/>
                <w:color w:val="auto"/>
                <w:kern w:val="0"/>
                <w:sz w:val="18"/>
                <w:szCs w:val="18"/>
                <w:highlight w:val="none"/>
                <w:lang w:eastAsia="zh-CN" w:bidi="ar"/>
              </w:rPr>
              <w:t>GRJD</w:t>
            </w:r>
            <w:r>
              <w:rPr>
                <w:rFonts w:hint="eastAsia" w:ascii="仿宋" w:hAnsi="仿宋" w:eastAsia="仿宋" w:cs="仿宋"/>
                <w:color w:val="auto"/>
                <w:kern w:val="0"/>
                <w:sz w:val="18"/>
                <w:szCs w:val="18"/>
                <w:highlight w:val="none"/>
                <w:lang w:bidi="ar"/>
              </w:rPr>
              <w:t>相关警情，以及家庭教育类的矛盾纠纷，可能带来进一步发展的潜在影响</w:t>
            </w:r>
            <w:r>
              <w:rPr>
                <w:rFonts w:hint="eastAsia" w:ascii="仿宋" w:hAnsi="仿宋" w:eastAsia="仿宋" w:cs="仿宋"/>
                <w:color w:val="auto"/>
                <w:kern w:val="0"/>
                <w:sz w:val="18"/>
                <w:szCs w:val="18"/>
                <w:highlight w:val="none"/>
                <w:lang w:eastAsia="zh-CN" w:bidi="ar"/>
              </w:rPr>
              <w:t>。</w:t>
            </w:r>
          </w:p>
        </w:tc>
      </w:tr>
      <w:tr w14:paraId="42A3FA4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5F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721" w:type="dxa"/>
            <w:vMerge w:val="continue"/>
            <w:tcBorders>
              <w:left w:val="single" w:color="000000" w:sz="4" w:space="0"/>
              <w:right w:val="single" w:color="000000" w:sz="4" w:space="0"/>
            </w:tcBorders>
            <w:shd w:val="clear" w:color="auto" w:fill="auto"/>
            <w:noWrap w:val="0"/>
            <w:vAlign w:val="center"/>
          </w:tcPr>
          <w:p w14:paraId="592F2DCB">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5D8608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197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遭遇变故分析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CF71E">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结合重大疾病和家庭结构分析功能，以及外部数据支撑，分析当事人家庭成员是否存在重大疾病，是否近期死亡，是否婚姻状况变化，是否涉案事件等家庭变故。此种负面情况对给人员带来消极情绪，尤其对于</w:t>
            </w:r>
            <w:r>
              <w:rPr>
                <w:rFonts w:hint="eastAsia" w:ascii="仿宋" w:hAnsi="仿宋" w:eastAsia="仿宋" w:cs="仿宋"/>
                <w:color w:val="auto"/>
                <w:kern w:val="0"/>
                <w:sz w:val="18"/>
                <w:szCs w:val="18"/>
                <w:highlight w:val="none"/>
                <w:lang w:eastAsia="zh-CN" w:bidi="ar"/>
              </w:rPr>
              <w:t>GRJD</w:t>
            </w:r>
            <w:r>
              <w:rPr>
                <w:rFonts w:hint="eastAsia" w:ascii="仿宋" w:hAnsi="仿宋" w:eastAsia="仿宋" w:cs="仿宋"/>
                <w:color w:val="auto"/>
                <w:kern w:val="0"/>
                <w:sz w:val="18"/>
                <w:szCs w:val="18"/>
                <w:highlight w:val="none"/>
                <w:lang w:bidi="ar"/>
              </w:rPr>
              <w:t>行为，可能带来进一步发展的潜在影响</w:t>
            </w:r>
            <w:r>
              <w:rPr>
                <w:rFonts w:hint="eastAsia" w:ascii="仿宋" w:hAnsi="仿宋" w:eastAsia="仿宋" w:cs="仿宋"/>
                <w:color w:val="auto"/>
                <w:kern w:val="0"/>
                <w:sz w:val="18"/>
                <w:szCs w:val="18"/>
                <w:highlight w:val="none"/>
                <w:lang w:eastAsia="zh-CN" w:bidi="ar"/>
              </w:rPr>
              <w:t>。</w:t>
            </w:r>
          </w:p>
        </w:tc>
      </w:tr>
      <w:tr w14:paraId="3EE0E9A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026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721" w:type="dxa"/>
            <w:vMerge w:val="continue"/>
            <w:tcBorders>
              <w:left w:val="single" w:color="000000" w:sz="4" w:space="0"/>
              <w:right w:val="single" w:color="000000" w:sz="4" w:space="0"/>
            </w:tcBorders>
            <w:shd w:val="clear" w:color="auto" w:fill="auto"/>
            <w:noWrap w:val="0"/>
            <w:vAlign w:val="center"/>
          </w:tcPr>
          <w:p w14:paraId="04D18F9B">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3D1684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223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经济状况分析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5A8FA">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通过多维数据分析，综合人员</w:t>
            </w:r>
            <w:r>
              <w:rPr>
                <w:rFonts w:hint="eastAsia" w:ascii="仿宋" w:hAnsi="仿宋" w:eastAsia="仿宋" w:cs="仿宋"/>
                <w:color w:val="auto"/>
                <w:kern w:val="0"/>
                <w:sz w:val="18"/>
                <w:szCs w:val="18"/>
                <w:highlight w:val="none"/>
                <w:lang w:val="en-US" w:eastAsia="zh-CN" w:bidi="ar"/>
              </w:rPr>
              <w:t>日常活动</w:t>
            </w:r>
            <w:r>
              <w:rPr>
                <w:rFonts w:hint="eastAsia" w:ascii="仿宋" w:hAnsi="仿宋" w:eastAsia="仿宋" w:cs="仿宋"/>
                <w:color w:val="auto"/>
                <w:kern w:val="0"/>
                <w:sz w:val="18"/>
                <w:szCs w:val="18"/>
                <w:highlight w:val="none"/>
                <w:lang w:bidi="ar"/>
              </w:rPr>
              <w:t>，侧面反映当事人经济状况/消费能力。此种负面情况给人员带来消极情绪，尤其是对于经济纠纷，可能带来进一步发展的潜在影响</w:t>
            </w:r>
            <w:r>
              <w:rPr>
                <w:rFonts w:hint="eastAsia" w:ascii="仿宋" w:hAnsi="仿宋" w:eastAsia="仿宋" w:cs="仿宋"/>
                <w:color w:val="auto"/>
                <w:kern w:val="0"/>
                <w:sz w:val="18"/>
                <w:szCs w:val="18"/>
                <w:highlight w:val="none"/>
                <w:lang w:eastAsia="zh-CN" w:bidi="ar"/>
              </w:rPr>
              <w:t>。</w:t>
            </w:r>
          </w:p>
        </w:tc>
      </w:tr>
      <w:tr w14:paraId="77F1FC3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83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721" w:type="dxa"/>
            <w:vMerge w:val="continue"/>
            <w:tcBorders>
              <w:left w:val="single" w:color="000000" w:sz="4" w:space="0"/>
              <w:right w:val="single" w:color="000000" w:sz="4" w:space="0"/>
            </w:tcBorders>
            <w:shd w:val="clear" w:color="auto" w:fill="auto"/>
            <w:noWrap w:val="0"/>
            <w:vAlign w:val="center"/>
          </w:tcPr>
          <w:p w14:paraId="6AB49413">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729F12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8A5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其他标签分析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46AA3">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通过多维数据分析，给予警情当事人标记特定行业从业、特定关注群体等标签</w:t>
            </w:r>
            <w:r>
              <w:rPr>
                <w:rFonts w:hint="eastAsia" w:ascii="仿宋" w:hAnsi="仿宋" w:eastAsia="仿宋" w:cs="仿宋"/>
                <w:color w:val="auto"/>
                <w:kern w:val="0"/>
                <w:sz w:val="18"/>
                <w:szCs w:val="18"/>
                <w:highlight w:val="none"/>
                <w:lang w:eastAsia="zh-CN" w:bidi="ar"/>
              </w:rPr>
              <w:t>。</w:t>
            </w:r>
          </w:p>
        </w:tc>
      </w:tr>
      <w:tr w14:paraId="592097B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7B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721" w:type="dxa"/>
            <w:vMerge w:val="continue"/>
            <w:tcBorders>
              <w:left w:val="single" w:color="000000" w:sz="4" w:space="0"/>
              <w:right w:val="single" w:color="000000" w:sz="4" w:space="0"/>
            </w:tcBorders>
            <w:shd w:val="clear" w:color="auto" w:fill="auto"/>
            <w:noWrap w:val="0"/>
            <w:vAlign w:val="center"/>
          </w:tcPr>
          <w:p w14:paraId="66ED8B79">
            <w:pPr>
              <w:jc w:val="center"/>
              <w:rPr>
                <w:rFonts w:hint="eastAsia" w:ascii="仿宋" w:hAnsi="仿宋" w:eastAsia="仿宋" w:cs="仿宋"/>
                <w:color w:val="auto"/>
                <w:sz w:val="18"/>
                <w:szCs w:val="18"/>
                <w:highlight w:val="none"/>
              </w:rPr>
            </w:pPr>
          </w:p>
        </w:tc>
        <w:tc>
          <w:tcPr>
            <w:tcW w:w="848"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72250F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警情提级应用</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A93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警情分类标签展示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DA8E9">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对于未被大模型推荐，以及专题应用输出的警情，在警情提级应用页面进行展示，包括警情基本时间、基本情况等信息</w:t>
            </w:r>
            <w:r>
              <w:rPr>
                <w:rFonts w:hint="eastAsia" w:ascii="仿宋" w:hAnsi="仿宋" w:eastAsia="仿宋" w:cs="仿宋"/>
                <w:color w:val="auto"/>
                <w:kern w:val="0"/>
                <w:sz w:val="18"/>
                <w:szCs w:val="18"/>
                <w:highlight w:val="none"/>
                <w:lang w:eastAsia="zh-CN" w:bidi="ar"/>
              </w:rPr>
              <w:t>。</w:t>
            </w:r>
          </w:p>
        </w:tc>
      </w:tr>
      <w:tr w14:paraId="1B1F900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F08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721" w:type="dxa"/>
            <w:vMerge w:val="continue"/>
            <w:tcBorders>
              <w:left w:val="single" w:color="000000" w:sz="4" w:space="0"/>
              <w:right w:val="single" w:color="000000" w:sz="4" w:space="0"/>
            </w:tcBorders>
            <w:shd w:val="clear" w:color="auto" w:fill="auto"/>
            <w:noWrap w:val="0"/>
            <w:vAlign w:val="center"/>
          </w:tcPr>
          <w:p w14:paraId="57EA9EAF">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D466D4E">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64769">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83B89">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支持按照警情时间、内容、当事人、辖区等维度，对警情信息进行查询</w:t>
            </w:r>
            <w:r>
              <w:rPr>
                <w:rFonts w:hint="eastAsia" w:ascii="仿宋" w:hAnsi="仿宋" w:eastAsia="仿宋" w:cs="仿宋"/>
                <w:color w:val="auto"/>
                <w:kern w:val="0"/>
                <w:sz w:val="18"/>
                <w:szCs w:val="18"/>
                <w:highlight w:val="none"/>
                <w:lang w:eastAsia="zh-CN" w:bidi="ar"/>
              </w:rPr>
              <w:t>。</w:t>
            </w:r>
          </w:p>
        </w:tc>
      </w:tr>
      <w:tr w14:paraId="6E60974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D46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721" w:type="dxa"/>
            <w:vMerge w:val="restart"/>
            <w:tcBorders>
              <w:left w:val="single" w:color="000000" w:sz="4" w:space="0"/>
              <w:right w:val="single" w:color="000000" w:sz="4" w:space="0"/>
            </w:tcBorders>
            <w:shd w:val="clear" w:color="auto" w:fill="auto"/>
            <w:noWrap w:val="0"/>
            <w:vAlign w:val="center"/>
          </w:tcPr>
          <w:p w14:paraId="444B2F00">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AF392B6">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6F5D6">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AEAA2">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对警情中当事双方关系标签、矛盾纠纷类型标签、当事人身份背景标签进行展示</w:t>
            </w:r>
            <w:r>
              <w:rPr>
                <w:rFonts w:hint="eastAsia" w:ascii="仿宋" w:hAnsi="仿宋" w:eastAsia="仿宋" w:cs="仿宋"/>
                <w:color w:val="auto"/>
                <w:kern w:val="0"/>
                <w:sz w:val="18"/>
                <w:szCs w:val="18"/>
                <w:highlight w:val="none"/>
                <w:lang w:eastAsia="zh-CN" w:bidi="ar"/>
              </w:rPr>
              <w:t>。</w:t>
            </w:r>
          </w:p>
        </w:tc>
      </w:tr>
      <w:tr w14:paraId="5CAA4D0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C9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w:t>
            </w:r>
          </w:p>
        </w:tc>
        <w:tc>
          <w:tcPr>
            <w:tcW w:w="721" w:type="dxa"/>
            <w:vMerge w:val="continue"/>
            <w:tcBorders>
              <w:left w:val="single" w:color="000000" w:sz="4" w:space="0"/>
              <w:right w:val="single" w:color="000000" w:sz="4" w:space="0"/>
            </w:tcBorders>
            <w:shd w:val="clear" w:color="auto" w:fill="auto"/>
            <w:noWrap w:val="0"/>
            <w:vAlign w:val="center"/>
          </w:tcPr>
          <w:p w14:paraId="58C2C3A7">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B3476AF">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122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标签体系维护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AB809">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用户可以在当前系统的标签体系中，添加自定义标签，自定义标签可对标签体系进行扩展和补充</w:t>
            </w:r>
            <w:r>
              <w:rPr>
                <w:rFonts w:hint="eastAsia" w:ascii="仿宋" w:hAnsi="仿宋" w:eastAsia="仿宋" w:cs="仿宋"/>
                <w:color w:val="auto"/>
                <w:kern w:val="0"/>
                <w:sz w:val="18"/>
                <w:szCs w:val="18"/>
                <w:highlight w:val="none"/>
                <w:lang w:eastAsia="zh-CN" w:bidi="ar"/>
              </w:rPr>
              <w:t>。</w:t>
            </w:r>
          </w:p>
        </w:tc>
      </w:tr>
      <w:tr w14:paraId="3685D5C5">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2B4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w:t>
            </w:r>
          </w:p>
        </w:tc>
        <w:tc>
          <w:tcPr>
            <w:tcW w:w="721" w:type="dxa"/>
            <w:vMerge w:val="continue"/>
            <w:tcBorders>
              <w:left w:val="single" w:color="000000" w:sz="4" w:space="0"/>
              <w:right w:val="single" w:color="000000" w:sz="4" w:space="0"/>
            </w:tcBorders>
            <w:shd w:val="clear" w:color="auto" w:fill="auto"/>
            <w:noWrap w:val="0"/>
            <w:vAlign w:val="center"/>
          </w:tcPr>
          <w:p w14:paraId="3D3A677C">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D85B3CD">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F307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B865">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支持对已经新增的标签的删改</w:t>
            </w:r>
            <w:r>
              <w:rPr>
                <w:rFonts w:hint="eastAsia" w:ascii="仿宋" w:hAnsi="仿宋" w:eastAsia="仿宋" w:cs="仿宋"/>
                <w:color w:val="auto"/>
                <w:kern w:val="0"/>
                <w:sz w:val="18"/>
                <w:szCs w:val="18"/>
                <w:highlight w:val="none"/>
                <w:lang w:eastAsia="zh-CN" w:bidi="ar"/>
              </w:rPr>
              <w:t>。</w:t>
            </w:r>
          </w:p>
        </w:tc>
      </w:tr>
      <w:tr w14:paraId="7615271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AE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w:t>
            </w:r>
          </w:p>
        </w:tc>
        <w:tc>
          <w:tcPr>
            <w:tcW w:w="721" w:type="dxa"/>
            <w:vMerge w:val="continue"/>
            <w:tcBorders>
              <w:left w:val="single" w:color="000000" w:sz="4" w:space="0"/>
              <w:right w:val="single" w:color="000000" w:sz="4" w:space="0"/>
            </w:tcBorders>
            <w:shd w:val="clear" w:color="auto" w:fill="auto"/>
            <w:noWrap w:val="0"/>
            <w:vAlign w:val="center"/>
          </w:tcPr>
          <w:p w14:paraId="029E746D">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43193221">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6F7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警情标签修正</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24DD8">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支持用户对应系统自动标记的标签进行修正</w:t>
            </w:r>
            <w:r>
              <w:rPr>
                <w:rFonts w:hint="eastAsia" w:ascii="仿宋" w:hAnsi="仿宋" w:eastAsia="仿宋" w:cs="仿宋"/>
                <w:color w:val="auto"/>
                <w:kern w:val="0"/>
                <w:sz w:val="18"/>
                <w:szCs w:val="18"/>
                <w:highlight w:val="none"/>
                <w:lang w:eastAsia="zh-CN" w:bidi="ar"/>
              </w:rPr>
              <w:t>。</w:t>
            </w:r>
          </w:p>
        </w:tc>
      </w:tr>
      <w:tr w14:paraId="18FAD33A">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F2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w:t>
            </w:r>
          </w:p>
        </w:tc>
        <w:tc>
          <w:tcPr>
            <w:tcW w:w="721" w:type="dxa"/>
            <w:vMerge w:val="continue"/>
            <w:tcBorders>
              <w:left w:val="single" w:color="000000" w:sz="4" w:space="0"/>
              <w:right w:val="single" w:color="000000" w:sz="4" w:space="0"/>
            </w:tcBorders>
            <w:shd w:val="clear" w:color="auto" w:fill="auto"/>
            <w:noWrap w:val="0"/>
            <w:vAlign w:val="center"/>
          </w:tcPr>
          <w:p w14:paraId="435241C7">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7828843">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7FABD">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1E5F4">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支持用户在系统已经赋予的标签的基础上，增加额外的标签标记</w:t>
            </w:r>
            <w:r>
              <w:rPr>
                <w:rFonts w:hint="eastAsia" w:ascii="仿宋" w:hAnsi="仿宋" w:eastAsia="仿宋" w:cs="仿宋"/>
                <w:color w:val="auto"/>
                <w:kern w:val="0"/>
                <w:sz w:val="18"/>
                <w:szCs w:val="18"/>
                <w:highlight w:val="none"/>
                <w:lang w:eastAsia="zh-CN" w:bidi="ar"/>
              </w:rPr>
              <w:t>。</w:t>
            </w:r>
          </w:p>
        </w:tc>
      </w:tr>
      <w:tr w14:paraId="4D4FF2A1">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00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721" w:type="dxa"/>
            <w:vMerge w:val="continue"/>
            <w:tcBorders>
              <w:left w:val="single" w:color="000000" w:sz="4" w:space="0"/>
              <w:right w:val="single" w:color="000000" w:sz="4" w:space="0"/>
            </w:tcBorders>
            <w:shd w:val="clear" w:color="auto" w:fill="auto"/>
            <w:noWrap w:val="0"/>
            <w:vAlign w:val="center"/>
          </w:tcPr>
          <w:p w14:paraId="3BD1019F">
            <w:pPr>
              <w:jc w:val="center"/>
              <w:rPr>
                <w:rFonts w:hint="eastAsia" w:ascii="仿宋" w:hAnsi="仿宋" w:eastAsia="仿宋" w:cs="仿宋"/>
                <w:color w:val="auto"/>
                <w:sz w:val="18"/>
                <w:szCs w:val="18"/>
                <w:highlight w:val="none"/>
              </w:rPr>
            </w:pPr>
          </w:p>
        </w:tc>
        <w:tc>
          <w:tcPr>
            <w:tcW w:w="848"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1580365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A94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警情提级应用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FCC737">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将警情信息关联大模型的分类结果，以及外部数据赋予的当事人身份背景进行展示，并将这些属性作为复选条件供用户筛选。用户可以根据特定的筛选条件进行过滤，将其中未被大模型推荐成为直接线索的警情，提级为直接线索进行输出</w:t>
            </w:r>
            <w:r>
              <w:rPr>
                <w:rFonts w:hint="eastAsia" w:ascii="仿宋" w:hAnsi="仿宋" w:eastAsia="仿宋" w:cs="仿宋"/>
                <w:color w:val="auto"/>
                <w:kern w:val="0"/>
                <w:sz w:val="18"/>
                <w:szCs w:val="18"/>
                <w:highlight w:val="none"/>
                <w:lang w:eastAsia="zh-CN" w:bidi="ar"/>
              </w:rPr>
              <w:t>。</w:t>
            </w:r>
          </w:p>
        </w:tc>
      </w:tr>
      <w:tr w14:paraId="75B29FF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E1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721" w:type="dxa"/>
            <w:vMerge w:val="continue"/>
            <w:tcBorders>
              <w:left w:val="single" w:color="000000" w:sz="4" w:space="0"/>
              <w:right w:val="single" w:color="000000" w:sz="4" w:space="0"/>
            </w:tcBorders>
            <w:shd w:val="clear" w:color="auto" w:fill="auto"/>
            <w:noWrap w:val="0"/>
            <w:vAlign w:val="center"/>
          </w:tcPr>
          <w:p w14:paraId="22F707A4">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59D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预谋实施风险专题分析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8F89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科信服务对接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84BD8">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通过多维数据分析，获取警情当事人的活动落脚信息</w:t>
            </w:r>
            <w:r>
              <w:rPr>
                <w:rFonts w:hint="eastAsia" w:ascii="仿宋" w:hAnsi="仿宋" w:eastAsia="仿宋" w:cs="仿宋"/>
                <w:color w:val="auto"/>
                <w:kern w:val="0"/>
                <w:sz w:val="18"/>
                <w:szCs w:val="18"/>
                <w:highlight w:val="none"/>
                <w:lang w:eastAsia="zh-CN" w:bidi="ar"/>
              </w:rPr>
              <w:t>。</w:t>
            </w:r>
          </w:p>
        </w:tc>
      </w:tr>
      <w:tr w14:paraId="169B8298">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59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721" w:type="dxa"/>
            <w:vMerge w:val="continue"/>
            <w:tcBorders>
              <w:left w:val="single" w:color="000000" w:sz="4" w:space="0"/>
              <w:right w:val="single" w:color="000000" w:sz="4" w:space="0"/>
            </w:tcBorders>
            <w:shd w:val="clear" w:color="auto" w:fill="auto"/>
            <w:noWrap w:val="0"/>
            <w:vAlign w:val="center"/>
          </w:tcPr>
          <w:p w14:paraId="023BC1A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3BA50">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DED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预谋实施行为活动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0E5C6D">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通过多维数据分析，发现前往纠纷对象所在地</w:t>
            </w:r>
            <w:r>
              <w:rPr>
                <w:rFonts w:hint="eastAsia" w:ascii="仿宋" w:hAnsi="仿宋" w:eastAsia="仿宋" w:cs="仿宋"/>
                <w:color w:val="auto"/>
                <w:kern w:val="0"/>
                <w:sz w:val="18"/>
                <w:szCs w:val="18"/>
                <w:highlight w:val="none"/>
                <w:lang w:eastAsia="zh-CN" w:bidi="ar"/>
              </w:rPr>
              <w:t>及</w:t>
            </w:r>
            <w:r>
              <w:rPr>
                <w:rFonts w:hint="eastAsia" w:ascii="仿宋" w:hAnsi="仿宋" w:eastAsia="仿宋" w:cs="仿宋"/>
                <w:color w:val="auto"/>
                <w:kern w:val="0"/>
                <w:sz w:val="18"/>
                <w:szCs w:val="18"/>
                <w:highlight w:val="none"/>
                <w:lang w:bidi="ar"/>
              </w:rPr>
              <w:t>疑似蹲点踩点行为并产生预警</w:t>
            </w:r>
            <w:r>
              <w:rPr>
                <w:rFonts w:hint="eastAsia" w:ascii="仿宋" w:hAnsi="仿宋" w:eastAsia="仿宋" w:cs="仿宋"/>
                <w:color w:val="auto"/>
                <w:kern w:val="0"/>
                <w:sz w:val="18"/>
                <w:szCs w:val="18"/>
                <w:highlight w:val="none"/>
                <w:lang w:eastAsia="zh-CN" w:bidi="ar"/>
              </w:rPr>
              <w:t>。</w:t>
            </w:r>
          </w:p>
        </w:tc>
      </w:tr>
      <w:tr w14:paraId="5534EC0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CF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w:t>
            </w:r>
          </w:p>
        </w:tc>
        <w:tc>
          <w:tcPr>
            <w:tcW w:w="721" w:type="dxa"/>
            <w:vMerge w:val="continue"/>
            <w:tcBorders>
              <w:left w:val="single" w:color="000000" w:sz="4" w:space="0"/>
              <w:right w:val="single" w:color="000000" w:sz="4" w:space="0"/>
            </w:tcBorders>
            <w:shd w:val="clear" w:color="auto" w:fill="auto"/>
            <w:noWrap w:val="0"/>
            <w:vAlign w:val="center"/>
          </w:tcPr>
          <w:p w14:paraId="1097616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1F687C">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A745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22DFE">
            <w:pPr>
              <w:widowControl/>
              <w:jc w:val="left"/>
              <w:textAlignment w:val="center"/>
              <w:rPr>
                <w:rFonts w:ascii="仿宋" w:hAnsi="仿宋" w:eastAsia="仿宋" w:cs="仿宋"/>
                <w:color w:val="auto"/>
                <w:sz w:val="18"/>
                <w:szCs w:val="18"/>
                <w:highlight w:val="none"/>
              </w:rPr>
            </w:pPr>
          </w:p>
        </w:tc>
      </w:tr>
      <w:tr w14:paraId="2492577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39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721" w:type="dxa"/>
            <w:vMerge w:val="continue"/>
            <w:tcBorders>
              <w:left w:val="single" w:color="000000" w:sz="4" w:space="0"/>
              <w:right w:val="single" w:color="000000" w:sz="4" w:space="0"/>
            </w:tcBorders>
            <w:shd w:val="clear" w:color="auto" w:fill="auto"/>
            <w:noWrap w:val="0"/>
            <w:vAlign w:val="center"/>
          </w:tcPr>
          <w:p w14:paraId="1933BA5B">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C90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信息流转反馈</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95E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信息流转</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645E5">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对接相关指令接口，向其推送和下发指令，并实时接收指令处置进展和处置结果</w:t>
            </w:r>
            <w:r>
              <w:rPr>
                <w:rFonts w:hint="eastAsia" w:ascii="仿宋" w:hAnsi="仿宋" w:eastAsia="仿宋" w:cs="仿宋"/>
                <w:color w:val="auto"/>
                <w:kern w:val="0"/>
                <w:sz w:val="18"/>
                <w:szCs w:val="18"/>
                <w:highlight w:val="none"/>
                <w:lang w:eastAsia="zh-CN" w:bidi="ar"/>
              </w:rPr>
              <w:t>。</w:t>
            </w:r>
          </w:p>
        </w:tc>
      </w:tr>
      <w:tr w14:paraId="6D2A9D64">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BB0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w:t>
            </w:r>
          </w:p>
        </w:tc>
        <w:tc>
          <w:tcPr>
            <w:tcW w:w="721" w:type="dxa"/>
            <w:vMerge w:val="continue"/>
            <w:tcBorders>
              <w:left w:val="single" w:color="000000" w:sz="4" w:space="0"/>
              <w:right w:val="single" w:color="000000" w:sz="4" w:space="0"/>
            </w:tcBorders>
            <w:shd w:val="clear" w:color="auto" w:fill="auto"/>
            <w:noWrap w:val="0"/>
            <w:vAlign w:val="center"/>
          </w:tcPr>
          <w:p w14:paraId="7C29465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0D70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70BA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展示处置进度/结果</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BFD86">
            <w:pPr>
              <w:widowControl/>
              <w:jc w:val="left"/>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bidi="ar"/>
              </w:rPr>
              <w:t>经由系统推荐下发的指令，可直观查看处置进度和处置结果</w:t>
            </w:r>
            <w:r>
              <w:rPr>
                <w:rFonts w:hint="eastAsia" w:ascii="仿宋" w:hAnsi="仿宋" w:eastAsia="仿宋" w:cs="仿宋"/>
                <w:color w:val="auto"/>
                <w:kern w:val="0"/>
                <w:sz w:val="18"/>
                <w:szCs w:val="18"/>
                <w:highlight w:val="none"/>
                <w:lang w:eastAsia="zh-CN" w:bidi="ar"/>
              </w:rPr>
              <w:t>。</w:t>
            </w:r>
          </w:p>
        </w:tc>
      </w:tr>
      <w:tr w14:paraId="465FEB6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652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444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两防管控基础治理应用</w:t>
            </w:r>
          </w:p>
        </w:tc>
        <w:tc>
          <w:tcPr>
            <w:tcW w:w="848" w:type="dxa"/>
            <w:vMerge w:val="restart"/>
            <w:tcBorders>
              <w:top w:val="single" w:color="000000" w:sz="4" w:space="0"/>
              <w:left w:val="single" w:color="000000" w:sz="4" w:space="0"/>
              <w:right w:val="single" w:color="000000" w:sz="4" w:space="0"/>
            </w:tcBorders>
            <w:shd w:val="clear" w:color="auto" w:fill="auto"/>
            <w:noWrap w:val="0"/>
            <w:vAlign w:val="center"/>
          </w:tcPr>
          <w:p w14:paraId="3C14872A">
            <w:pP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统计分析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8EA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两防态势统计分析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2EE1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基于数据再加工，进行统计、分析、展示。以可视化图表形式，展示两防大模型警情筛选推理结果；以可视化图表形式，展示两防指数、紧张指数、状态指数，以及两防的结果运用情况，体现两防的业务运行状态和成果；基于地图展示本市各区县的两防事件的运行指数、体现业务运行态势，同时支持区县选择，展示选中特定区县的两防相关数据。</w:t>
            </w:r>
          </w:p>
        </w:tc>
      </w:tr>
      <w:tr w14:paraId="7EF0DFD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CE7D">
            <w:pPr>
              <w:widowControl/>
              <w:jc w:val="center"/>
              <w:textAlignment w:val="center"/>
              <w:rPr>
                <w:rFonts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27</w:t>
            </w:r>
          </w:p>
        </w:tc>
        <w:tc>
          <w:tcPr>
            <w:tcW w:w="721" w:type="dxa"/>
            <w:vMerge w:val="continue"/>
            <w:tcBorders>
              <w:left w:val="single" w:color="000000" w:sz="4" w:space="0"/>
              <w:right w:val="single" w:color="000000" w:sz="4" w:space="0"/>
            </w:tcBorders>
            <w:shd w:val="clear" w:color="auto" w:fill="auto"/>
            <w:noWrap w:val="0"/>
            <w:vAlign w:val="center"/>
          </w:tcPr>
          <w:p w14:paraId="0F4BE20A">
            <w:pPr>
              <w:widowControl/>
              <w:jc w:val="center"/>
              <w:textAlignment w:val="center"/>
              <w:rPr>
                <w:rFonts w:hint="eastAsia" w:ascii="仿宋" w:hAnsi="仿宋" w:eastAsia="仿宋" w:cs="仿宋"/>
                <w:color w:val="auto"/>
                <w:kern w:val="0"/>
                <w:sz w:val="18"/>
                <w:szCs w:val="18"/>
                <w:highlight w:val="none"/>
                <w:lang w:bidi="ar"/>
              </w:rPr>
            </w:pPr>
          </w:p>
        </w:tc>
        <w:tc>
          <w:tcPr>
            <w:tcW w:w="848" w:type="dxa"/>
            <w:vMerge w:val="continue"/>
            <w:tcBorders>
              <w:left w:val="single" w:color="000000" w:sz="4" w:space="0"/>
              <w:right w:val="single" w:color="000000" w:sz="4" w:space="0"/>
            </w:tcBorders>
            <w:shd w:val="clear" w:color="auto" w:fill="auto"/>
            <w:noWrap w:val="0"/>
            <w:vAlign w:val="center"/>
          </w:tcPr>
          <w:p w14:paraId="1C526D82">
            <w:pP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D263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民转刑风险统计分析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7370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基于矛盾纠纷数据再加工，进行统计、分析、展示。以可视化图表形式展现矛盾纠纷指数分析、纠纷总量统计、纠纷分级统计、纠纷类型统计、纠纷警种统计、当事人分级统计、态势分析、各区县纠纷处置统计、警网协同统计、工作成效展示、重点案事件统计。支持在行政区划地图展示各辖区走访统计。提供民转刑命案弹窗，展示民转刑命案，支持年份查询、命案信息详情、命案总结报告预览。</w:t>
            </w:r>
          </w:p>
        </w:tc>
      </w:tr>
      <w:tr w14:paraId="2021EA4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6BE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5795B">
            <w:pPr>
              <w:jc w:val="center"/>
              <w:rPr>
                <w:rFonts w:hint="eastAsia" w:ascii="仿宋" w:hAnsi="仿宋" w:eastAsia="仿宋" w:cs="仿宋"/>
                <w:color w:val="auto"/>
                <w:sz w:val="18"/>
                <w:szCs w:val="18"/>
                <w:highlight w:val="none"/>
              </w:rPr>
            </w:pPr>
          </w:p>
        </w:tc>
        <w:tc>
          <w:tcPr>
            <w:tcW w:w="848" w:type="dxa"/>
            <w:vMerge w:val="continue"/>
            <w:tcBorders>
              <w:left w:val="single" w:color="000000" w:sz="4" w:space="0"/>
              <w:bottom w:val="single" w:color="000000" w:sz="4" w:space="0"/>
              <w:right w:val="single" w:color="000000" w:sz="4" w:space="0"/>
            </w:tcBorders>
            <w:shd w:val="clear" w:color="auto" w:fill="auto"/>
            <w:noWrap w:val="0"/>
            <w:vAlign w:val="center"/>
          </w:tcPr>
          <w:p w14:paraId="308AB1B9">
            <w:pP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8F2B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人员管控统计分析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BE89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基于管理平台数据再加工，进行统计、分析、展示。以可视化图表形式展现特定人类型、业务警种、分级管控、登记分析、异动指令、处置反馈、失控、失联、离温、在温。特定人并且支持在地图上展示各区县失控、失联、离温、在温人员。</w:t>
            </w:r>
          </w:p>
        </w:tc>
      </w:tr>
      <w:tr w14:paraId="5C8B76C1">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6B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021F2">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B9ED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“两防”管控事件库</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6AB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“两防”风险认定</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8BA8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两防”管控事件进行风险认定，市局及对应的区县职能部门，根据派出所上报的风险管控事件详细情况进行认定，系统支持发起、多级审核的认定方式，在风险认定通过前，可对风险认定的内容进行修改和调整。</w:t>
            </w:r>
          </w:p>
        </w:tc>
      </w:tr>
      <w:tr w14:paraId="08B1017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A7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D3A1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DD9F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873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两防重点要素分析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6453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针对特定的风险警情自动打上对应的标签。</w:t>
            </w:r>
          </w:p>
        </w:tc>
      </w:tr>
      <w:tr w14:paraId="5372622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2CA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14E9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6334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6C6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事件管理基础功能</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B47E5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事件管理模块的增删改查以及详情查看等基础功能。</w:t>
            </w:r>
          </w:p>
        </w:tc>
      </w:tr>
      <w:tr w14:paraId="4E61BF5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8D5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32F5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8BB58">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096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研判反馈</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5787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对“两防”事件进行研判反馈，同时记录事件当下的状态，可对事件的状态进行调整。</w:t>
            </w:r>
          </w:p>
        </w:tc>
      </w:tr>
      <w:tr w14:paraId="5EF2D43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DA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01DA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906CC4">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5E49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B3BF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状态赋予当下状态的默认值，如状态发生变化，则弹窗提醒其是否确认调整。</w:t>
            </w:r>
          </w:p>
        </w:tc>
      </w:tr>
      <w:tr w14:paraId="6F2933A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604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4371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18E6C">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9FD2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14F4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针对状态变化，同步调整事件详情中的状态内容，如果状态没发生变化，则状态字段为空。如果状态发生变化，则记录变化后的状态字段。</w:t>
            </w:r>
          </w:p>
        </w:tc>
      </w:tr>
      <w:tr w14:paraId="35E28F4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3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CB15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A853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A606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基础监测功能</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35B0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对接公安目前的人员管控系统，实现“两防”人员的登记和撤销，并通过接口获取人员登记的情况。</w:t>
            </w:r>
          </w:p>
        </w:tc>
      </w:tr>
      <w:tr w14:paraId="00439FF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8E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5847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A89E1">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1B5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登记信息同步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5C2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针对所有登记成功或者失败的情况，系统自动同步在研判分析模块增加以下信息。</w:t>
            </w:r>
          </w:p>
        </w:tc>
      </w:tr>
      <w:tr w14:paraId="07745F7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3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4A9F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2C30F">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38C56">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2781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登记失败：系统已定级审核，但无法自动登记。责任民警未找到对应账号，建议责任民警根据需求自行登记。</w:t>
            </w:r>
          </w:p>
        </w:tc>
      </w:tr>
      <w:tr w14:paraId="2EA1874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1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B3E4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8BF3B">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33ED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AA9A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登记成功：系统已定级审核，已对涉事人、肇事人自动登记默认防控圈。请根据需求，确认登记信息，适当调整防控圈层和模型。</w:t>
            </w:r>
          </w:p>
        </w:tc>
      </w:tr>
      <w:tr w14:paraId="56E45736">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49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4EA6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7FC3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A9448">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手动撤销</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B577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支持使用者手动对人员登记进行撤销，撤销时提醒该人员目前还有多少件未办结的事件，是否确认撤销。</w:t>
            </w:r>
          </w:p>
        </w:tc>
      </w:tr>
      <w:tr w14:paraId="1AE4A3F6">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26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244BB">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982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“两防”管控风险人员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222C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基础的人员库功能</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3AC9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人员管理模块的增删改查以及详情查看等基础功能。</w:t>
            </w:r>
          </w:p>
        </w:tc>
      </w:tr>
      <w:tr w14:paraId="55039D7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093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49EF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DE0B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6A4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人员多管辖单位特殊规则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4414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人是唯一的，数据库只存一个人；但一个人可以关联多个管辖单位，涉及多个管辖单位的，在列表中展示多条记录。人员详情中的所属区县和管辖单位独立展示，并写明备注（人工编辑还是系统事件自动关联）。</w:t>
            </w:r>
          </w:p>
        </w:tc>
      </w:tr>
      <w:tr w14:paraId="61B9F0D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BE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0815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54C4F">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466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新增人员特殊规则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2C75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人员新增时添加多个手机号。支持通过权限的查询优化区县人员对管辖单位的使用感知，即区县、派出所使用时管辖单位为单选。每个单选不相互影响，A派出所管辖单位选了A，B派出所可以选B，最终实际这个人的管辖单位是A\B。最高权限可以多选。</w:t>
            </w:r>
          </w:p>
        </w:tc>
      </w:tr>
      <w:tr w14:paraId="49713BF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41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2D01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95A76">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A30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FFE5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有权限的人员，可针对筛选结果进行人员的批量导出。</w:t>
            </w:r>
          </w:p>
        </w:tc>
      </w:tr>
      <w:tr w14:paraId="1C61AFB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AE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5524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224B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4A6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新增管辖规则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478D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人员如果没在该派出所下面管辖但是事件发生管辖为该派出所，人员将自动跟该派出所关联人</w:t>
            </w:r>
          </w:p>
        </w:tc>
      </w:tr>
      <w:tr w14:paraId="7DBDB18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A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9C21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1C6C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4D44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两防人员特殊规则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ED76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两防人员标签打上了就无法取消；并且额外新增安全等级。</w:t>
            </w:r>
          </w:p>
        </w:tc>
      </w:tr>
      <w:tr w14:paraId="47B074B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25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9742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9FC5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56D0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总人员列表展示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A86F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根据权限，列表展示基础人员信息，包括：序号、录入时间、姓名、证件号码、所属区县、管辖单位、风险线索（数量），关联事件（数量），异动信息（数量）。</w:t>
            </w:r>
          </w:p>
        </w:tc>
      </w:tr>
      <w:tr w14:paraId="18BFD094">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B3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F7689">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CB2A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“两防”管控涉警人员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2259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提炼规则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0220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根据110警情中数据分析提炼涉警人员数据，并已列表示涉警人员信息包含姓名，电话，身份证归属单位，标签信息历史报案记录。</w:t>
            </w:r>
          </w:p>
        </w:tc>
      </w:tr>
      <w:tr w14:paraId="65E8086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BA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B7F6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48D2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97A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5BC0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涉警人员列表展示姓名，身份证，标签、操作。</w:t>
            </w:r>
          </w:p>
        </w:tc>
      </w:tr>
      <w:tr w14:paraId="0118E81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D3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6730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FFDD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4B77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高级筛选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E2A1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支持根据姓名，身份证，标签、归属单位人员信息进行搜索筛选。</w:t>
            </w:r>
          </w:p>
        </w:tc>
      </w:tr>
      <w:tr w14:paraId="66EDA2F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13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3809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F50A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5F4D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D5D1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支持在详情中查看特定人的基础信息、人物标签、历史报案信息。</w:t>
            </w:r>
          </w:p>
        </w:tc>
      </w:tr>
      <w:tr w14:paraId="3433076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A1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EA3C6">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5F3A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“两防”管控关注人员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4E5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066E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关注人员列表展示行政区划、姓名，身份证，人员类型、户籍地、居住地操作。</w:t>
            </w:r>
          </w:p>
        </w:tc>
      </w:tr>
      <w:tr w14:paraId="41F23A4C">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36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A474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CF1A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E8CC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高级筛选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F81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支持根据行政区划、姓名，身份证，人员类型、户籍地、居住地的人员信息进行搜索筛选。</w:t>
            </w:r>
          </w:p>
        </w:tc>
      </w:tr>
      <w:tr w14:paraId="4E610E7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3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AE3F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CB90F">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2DB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关注人员详情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BDF0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支持在详情中查看特定人的基础信息、病人信息。</w:t>
            </w:r>
          </w:p>
        </w:tc>
      </w:tr>
      <w:tr w14:paraId="33D1169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78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479C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E875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361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新增关注人员</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31E6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支持手动新增人员，包括证件号、姓名、户籍地址必填项和手机号码、人员其他信息。</w:t>
            </w:r>
          </w:p>
        </w:tc>
      </w:tr>
      <w:tr w14:paraId="65B259C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52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0208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4C4B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75A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EDC6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支持关注人员信息编辑，点击编辑对人员信息进行编辑更新。</w:t>
            </w:r>
          </w:p>
        </w:tc>
      </w:tr>
      <w:tr w14:paraId="59BBB87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1A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1D6B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6CE1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CB8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B07A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根据选择人员进行删除，并且有删除提示。</w:t>
            </w:r>
          </w:p>
        </w:tc>
      </w:tr>
      <w:tr w14:paraId="6E74A52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68B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5488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EC15F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932C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转化</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BCEC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支持关注人员转化为特定人员。</w:t>
            </w:r>
          </w:p>
        </w:tc>
      </w:tr>
      <w:tr w14:paraId="23576F7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E9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B821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641A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E49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47A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支持根据预设模板，批量导入人员。</w:t>
            </w:r>
          </w:p>
        </w:tc>
      </w:tr>
      <w:tr w14:paraId="6CA166C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D4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686E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F391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D95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957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支持根据预设模板，批量导出人员。</w:t>
            </w:r>
          </w:p>
        </w:tc>
      </w:tr>
      <w:tr w14:paraId="77D75C50">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A44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67F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BDA7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F19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下载导入模板</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9CCB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下载预设的excel导入模板。</w:t>
            </w:r>
          </w:p>
        </w:tc>
      </w:tr>
      <w:tr w14:paraId="04B565BC">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B3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1068F">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68B9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“两防”管控特定人员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3C7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人员库规则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9C77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特定人员是唯一的，数据库只存一个人。但一个人可以关联多个管辖单位，涉及多个管辖单位的，在列表中展示多条记录。</w:t>
            </w:r>
          </w:p>
        </w:tc>
      </w:tr>
      <w:tr w14:paraId="07D5549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8A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8455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011D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05F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风险评分</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1724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根据人员类型与标签，计算人员风险分值。并为每个人员提供当前分值与各月评分趋势图。</w:t>
            </w:r>
          </w:p>
        </w:tc>
      </w:tr>
      <w:tr w14:paraId="0615578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C3E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98965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0BD6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F6E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3BE6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特定人列表展示管辖单位、姓名，身份证，本人手机号，监护人手机号，特定人类型，标签、操作等内容。</w:t>
            </w:r>
          </w:p>
        </w:tc>
      </w:tr>
      <w:tr w14:paraId="2BBEE2CC">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B9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E53E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759F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440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高级筛选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0DFD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支持根据关键字、特定人类型、所属区县、管辖单位、标签内容对人员信息进行搜索筛选。</w:t>
            </w:r>
          </w:p>
        </w:tc>
      </w:tr>
      <w:tr w14:paraId="34101FF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05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1508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5B38F">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022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D0DE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支持在详情中查看特定人的基础信息、评分信息，人物标签，概览，管控信息，预警信息，纠纷信息，行为感知数据等。</w:t>
            </w:r>
          </w:p>
        </w:tc>
      </w:tr>
      <w:tr w14:paraId="51330FF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5F4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A62A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FFF6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E40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行为感知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6156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特定人员行为感知数据，展示110警情、散装油、寄递业、智安小区、派出所留置情况、智安单位人员感知数据。</w:t>
            </w:r>
          </w:p>
        </w:tc>
      </w:tr>
      <w:tr w14:paraId="5339477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59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9DB2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D064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FB0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人员点位信息入口</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BFE5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人员点位信息入口，点击人员点位可跳转至人员点位系统。</w:t>
            </w:r>
          </w:p>
        </w:tc>
      </w:tr>
      <w:tr w14:paraId="0026CCA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0E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8E8E9">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057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4D74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新增人员</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648F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支持手动新增人员，包括证件号、姓名、户籍地址必填项和手机号码、人员标签等选填项内容。</w:t>
            </w:r>
          </w:p>
        </w:tc>
      </w:tr>
      <w:tr w14:paraId="48F1B0AB">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6F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859D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0C1C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AEB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新增人员上传照片</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CE4B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支持上传JPG\JPEG格式的人员照片。</w:t>
            </w:r>
          </w:p>
        </w:tc>
      </w:tr>
      <w:tr w14:paraId="6F3E8C7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8C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F9BB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B511A">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5A9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6C4C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支持特定人信息编辑，点击编辑对人员信息进行编辑更新。</w:t>
            </w:r>
          </w:p>
        </w:tc>
      </w:tr>
      <w:tr w14:paraId="6E507EB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5F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7F221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61CC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B35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快捷指令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0975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可以基于当前人员创建指令，快捷填充指令信息并下发到相关单位。</w:t>
            </w:r>
          </w:p>
        </w:tc>
      </w:tr>
      <w:tr w14:paraId="52AB0962">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E59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5C64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9B1D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D79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EDA43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根据选择人员进行删除，并且有删除提示。支持批量勾选后删除。</w:t>
            </w:r>
          </w:p>
        </w:tc>
      </w:tr>
      <w:tr w14:paraId="162399F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A1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6B25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134F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B48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06BE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支持根据预设模板，批量导入人员。</w:t>
            </w:r>
          </w:p>
        </w:tc>
      </w:tr>
      <w:tr w14:paraId="5293681C">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D2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3D0E5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7DD2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988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7EEB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支持根据预设模板，批量导出人员。</w:t>
            </w:r>
          </w:p>
        </w:tc>
      </w:tr>
      <w:tr w14:paraId="5DF28565">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65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BAF9F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383F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9FD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下载导入模板</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474C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下载预设的excel导入模板。</w:t>
            </w:r>
          </w:p>
        </w:tc>
      </w:tr>
      <w:tr w14:paraId="3334C50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4D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8C6E8">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712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两防管控综合查询-五必看</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43F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五必查-数据规则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C55C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五必看提供综合查询，查询相应匹配人员的110警情、留置情况、预警情况，特定人员数据。</w:t>
            </w:r>
          </w:p>
        </w:tc>
      </w:tr>
      <w:tr w14:paraId="605E347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D0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2D09">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FEBA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67B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五必查-列表展示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9563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人员列表展示</w:t>
            </w:r>
            <w:r>
              <w:rPr>
                <w:rFonts w:hint="eastAsia" w:ascii="仿宋" w:hAnsi="仿宋" w:eastAsia="仿宋" w:cs="仿宋"/>
                <w:color w:val="auto"/>
                <w:kern w:val="0"/>
                <w:sz w:val="18"/>
                <w:szCs w:val="18"/>
                <w:highlight w:val="none"/>
                <w:lang w:val="en-US" w:eastAsia="zh-CN" w:bidi="ar"/>
              </w:rPr>
              <w:t>姓名等个人信息</w:t>
            </w:r>
            <w:r>
              <w:rPr>
                <w:rFonts w:hint="eastAsia" w:ascii="仿宋" w:hAnsi="仿宋" w:eastAsia="仿宋" w:cs="仿宋"/>
                <w:color w:val="auto"/>
                <w:kern w:val="0"/>
                <w:sz w:val="18"/>
                <w:szCs w:val="18"/>
                <w:highlight w:val="none"/>
                <w:lang w:bidi="ar"/>
              </w:rPr>
              <w:t>，标签、管辖单位、数据来源、操作。</w:t>
            </w:r>
          </w:p>
        </w:tc>
      </w:tr>
      <w:tr w14:paraId="1B9ADFA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32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C773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1754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660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五必查-综合查询</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0850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可根据人员姓名，身份证，手机号进行综合模糊查询。</w:t>
            </w:r>
          </w:p>
        </w:tc>
      </w:tr>
      <w:tr w14:paraId="01167E7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38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2184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7362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A208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五必查-精准查询</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064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可根据人员姓名，身份证，手机号精准查询。</w:t>
            </w:r>
          </w:p>
        </w:tc>
      </w:tr>
      <w:tr w14:paraId="3D471CC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4D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D6376">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B2F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两防管控预警列表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309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预警任务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E321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由110警情、散装油、寄递业、风警平台、智安小区以及智安单位等平台推送而来的预警信息清单，列表展示预警信息及预警来源，提供查看与创建指令操作，供警务人员在接收预警后一键创建指令并下发到相关辖区单位。</w:t>
            </w:r>
          </w:p>
        </w:tc>
      </w:tr>
      <w:tr w14:paraId="72360F1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92F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B93F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E211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052F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462A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支持选择类型，根据预设模板，批量导入对应预警。</w:t>
            </w:r>
          </w:p>
        </w:tc>
      </w:tr>
      <w:tr w14:paraId="046A044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EA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25DF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EC5F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7CA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C209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支持根据预设模板，批量导出预警。</w:t>
            </w:r>
          </w:p>
        </w:tc>
      </w:tr>
      <w:tr w14:paraId="1E504F6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09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4692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65CB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37E6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下载导入模板</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A69C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支持选择类型，下载对应的预设的excel导入模板。</w:t>
            </w:r>
          </w:p>
        </w:tc>
      </w:tr>
      <w:tr w14:paraId="6B41C4B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554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2EEE0">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2180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两防管控访客预警</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65B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访客预警</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E583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对接访客业务平台中的访客预警数据，并且在要素平台展示预警信息，提供查看与创建指令操作，供警务人员在接收预警后一键创建指令并下发到相关辖区单位。</w:t>
            </w:r>
          </w:p>
        </w:tc>
      </w:tr>
      <w:tr w14:paraId="606A7971">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3D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BCEBA">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448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两防管控在逃人员预警</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160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在逃人员</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A997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对接各业务平台中的在逃人员预警数据，并且在要素平台展示预警信息，提供查看与创建指令操作，供警务人员在接收预警后一键创建指令并下发到相关辖区单位。</w:t>
            </w:r>
          </w:p>
        </w:tc>
      </w:tr>
      <w:tr w14:paraId="2167A49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4FF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67DD">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913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两防管控精神病人警情</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75B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精神病人警情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3D3E0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对接各业务平台中的精神病人员预警数据，并且在要素平台展示预警信息，提供查看与创建指令操作，供警务人员在接收预警后一键创建指令并下发到相关辖区单位。</w:t>
            </w:r>
          </w:p>
        </w:tc>
      </w:tr>
      <w:tr w14:paraId="2109871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2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E448E">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6983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两防管控散装油预警</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469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散装油预警</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EC1B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对接散装油业务平台中的预警数据，根据预测预警模块计算结果，并且在要素平台展示预警信息，提供查看与创建指令操作，供警务人员在接收预警后一键创建指令并下发到相关辖区单位。</w:t>
            </w:r>
          </w:p>
        </w:tc>
      </w:tr>
      <w:tr w14:paraId="320179C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7A3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1104E">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FCB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两防管控纠纷预警</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31BE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纠纷预警</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CF47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对接110警情平台中各类纠纷警数据，根据预测预警模块计算结果，在要素平台展示预警信息，提供查看与创建指令操作，供警务人员在接收预警后一键创建指令并下发到相关辖区单位；</w:t>
            </w:r>
          </w:p>
        </w:tc>
      </w:tr>
      <w:tr w14:paraId="6C1F1A4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B8E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F4A4C">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9A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民转刑命案管理</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C3C7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0B19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民转刑命案管理列表展示案件</w:t>
            </w:r>
            <w:r>
              <w:rPr>
                <w:rFonts w:hint="eastAsia" w:ascii="仿宋" w:hAnsi="仿宋" w:eastAsia="仿宋" w:cs="仿宋"/>
                <w:color w:val="auto"/>
                <w:kern w:val="0"/>
                <w:sz w:val="18"/>
                <w:szCs w:val="18"/>
                <w:highlight w:val="none"/>
                <w:lang w:val="en-US" w:eastAsia="zh-CN" w:bidi="ar"/>
              </w:rPr>
              <w:t>信息</w:t>
            </w:r>
            <w:r>
              <w:rPr>
                <w:rFonts w:hint="eastAsia" w:ascii="仿宋" w:hAnsi="仿宋" w:eastAsia="仿宋" w:cs="仿宋"/>
                <w:color w:val="auto"/>
                <w:kern w:val="0"/>
                <w:sz w:val="18"/>
                <w:szCs w:val="18"/>
                <w:highlight w:val="none"/>
                <w:lang w:bidi="ar"/>
              </w:rPr>
              <w:t>、民转刑命案标签、案情简介。</w:t>
            </w:r>
          </w:p>
        </w:tc>
      </w:tr>
      <w:tr w14:paraId="1069341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3E5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6CB3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A519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41A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985E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支持在详情中查看民转刑命案的基础信息以及民转刑命案报告文件（word、pdf格式）的在线预览。</w:t>
            </w:r>
          </w:p>
        </w:tc>
      </w:tr>
      <w:tr w14:paraId="5937837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8A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35EC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5D93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B9D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1261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根据民转刑命案需要，创建民转刑命案。</w:t>
            </w:r>
          </w:p>
        </w:tc>
      </w:tr>
      <w:tr w14:paraId="08BD174D">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55B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C08B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35DE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E15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2B3F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根据创建的民转刑命案内容进行编辑修改。</w:t>
            </w:r>
          </w:p>
        </w:tc>
      </w:tr>
      <w:tr w14:paraId="025BCDC6">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ACC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A6B1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B0C1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14E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DECD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根据选择民转刑命案进行删除，并且有删除提示。</w:t>
            </w:r>
          </w:p>
        </w:tc>
      </w:tr>
      <w:tr w14:paraId="72ABCB8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30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A1D0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A2C7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CAC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隐藏/显示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CB4E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选择设置民转刑命案隐藏/显示状态，并在矛盾纠纷统计分析根据设置隐藏/显示对应内容。</w:t>
            </w:r>
          </w:p>
        </w:tc>
      </w:tr>
      <w:tr w14:paraId="43398AD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34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C66FA">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nil"/>
              <w:right w:val="single" w:color="000000" w:sz="4" w:space="0"/>
            </w:tcBorders>
            <w:shd w:val="clear" w:color="auto" w:fill="auto"/>
            <w:noWrap w:val="0"/>
            <w:vAlign w:val="center"/>
          </w:tcPr>
          <w:p w14:paraId="04FDFC7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指令管理</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74BB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CFE2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提供指令的统筹管理功能，列表展示各类指令信息，包含任务名称、任务类型、任务编号、开始时间、结束时间、任务内容、指派对象、任务状态、指令类型、进度、操作。</w:t>
            </w:r>
          </w:p>
        </w:tc>
      </w:tr>
      <w:tr w14:paraId="53175B6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00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F314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0B5258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55B8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高级筛选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B1D7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支持根据任务类型、任务编号、开始时间、结束时间、指派对象、任务状态、指令类型内容进行搜索筛选。</w:t>
            </w:r>
          </w:p>
        </w:tc>
      </w:tr>
      <w:tr w14:paraId="1E121A8D">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6D8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7434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559BA17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8ED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任务新增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5384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支持手动新增任务，包括指令标题，指令类型，任务类型、任务内容、开始时间、结束时间、指派对象等内容。</w:t>
            </w:r>
          </w:p>
        </w:tc>
      </w:tr>
      <w:tr w14:paraId="17A7575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74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B156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2422539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7CE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C37E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支持手动删除指令任务，对未下发或撤回的指令任务可进行删除。</w:t>
            </w:r>
          </w:p>
        </w:tc>
      </w:tr>
      <w:tr w14:paraId="36D8C2B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33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DA5E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8A1342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907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DF85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支持通过指令任务编号，点击指令任务草稿对未编辑完成的任务进行补充或修改。</w:t>
            </w:r>
          </w:p>
        </w:tc>
      </w:tr>
      <w:tr w14:paraId="3A5E656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33D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DFF8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EAD0416">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570E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任务下发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3610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支持通过指令任务编号，对已完善的指令草稿任务进行下发操作。</w:t>
            </w:r>
          </w:p>
        </w:tc>
      </w:tr>
      <w:tr w14:paraId="2144BB2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AA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1E64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FCC1136">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3E3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任务撤回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9AF3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支持通过指令任务编号，对指令任务未反馈可撤回操作。</w:t>
            </w:r>
          </w:p>
        </w:tc>
      </w:tr>
      <w:tr w14:paraId="4E742E9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BB1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7EA8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216ABE6">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C4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任务查看</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38D5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点击查看操作按钮可查看该条指令的详细内容以及由指派对象反馈的内容信息</w:t>
            </w:r>
          </w:p>
        </w:tc>
      </w:tr>
      <w:tr w14:paraId="4EDB096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B5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1C07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2931552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42A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反馈筛选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2EE2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支持手动筛选反馈信息，可根据反馈状态进行筛选。</w:t>
            </w:r>
          </w:p>
        </w:tc>
      </w:tr>
      <w:tr w14:paraId="39C06F8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C70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9847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E31619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B28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任务督办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B91B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支持手动督办，对未反馈的对象可以一键督办，并且平台消息通知指令任务未完成对象。</w:t>
            </w:r>
          </w:p>
        </w:tc>
      </w:tr>
      <w:tr w14:paraId="251B59F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890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38DB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90884E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9B3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表格合并</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1EA8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系统支撑反馈表格合并，支持多人反馈可根据同一个表格进行合并。</w:t>
            </w:r>
          </w:p>
        </w:tc>
      </w:tr>
      <w:tr w14:paraId="4AE91F9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E3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44E5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200B4E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C3E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附件上传</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0F23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支持上传JPG\JPEG格式的图片和其他格式内容附件。</w:t>
            </w:r>
          </w:p>
        </w:tc>
      </w:tr>
      <w:tr w14:paraId="7974BB09">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B46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21C6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FB601D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7B10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附件查看</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8F4E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点击对应上传的附件，可查看该附件内容，同时支持附件下载查看</w:t>
            </w:r>
          </w:p>
        </w:tc>
      </w:tr>
      <w:tr w14:paraId="4178906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73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1AA2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B3466A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2624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关联表单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E77F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支持筛选关联自定义表单，同时支持表单取消关联。</w:t>
            </w:r>
          </w:p>
        </w:tc>
      </w:tr>
      <w:tr w14:paraId="6995B52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43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4ACA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78C7380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6BD1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关联对象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5DE5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支持提供对已有的人员进行筛选关联，同时支持任务对象取消关联</w:t>
            </w:r>
          </w:p>
        </w:tc>
      </w:tr>
      <w:tr w14:paraId="767C47B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22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B1E6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E295EA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79F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抄送对象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E027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支持指令任务抄送他人，被抄送对象可支持查看当前指令任务。</w:t>
            </w:r>
          </w:p>
        </w:tc>
      </w:tr>
      <w:tr w14:paraId="3E01AE4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31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EFF9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53F10F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69C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99D3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支持根据预设模板，批量导出指令任务全部内容。导出内容包括（任务名称、任务等级、任务类型、任务编号、开始时间、结束时间、任务内容、指派对象、任务状态、指令类型信息等）。</w:t>
            </w:r>
          </w:p>
        </w:tc>
      </w:tr>
      <w:tr w14:paraId="6C489C96">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337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0ABD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CE25F1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665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赋能清单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492B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提供赋能的统筹管理功能，展示各部门能提供的赋能支撑内容。</w:t>
            </w:r>
          </w:p>
        </w:tc>
      </w:tr>
      <w:tr w14:paraId="46B1089E">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21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473E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396667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A87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赋能项查询</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CD58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支持根据内容查询赋能项。</w:t>
            </w:r>
          </w:p>
        </w:tc>
      </w:tr>
      <w:tr w14:paraId="71EED72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3D8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F968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2DD7C7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860A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赋能项新增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919E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根据部门赋能需要，创建赋能项。</w:t>
            </w:r>
          </w:p>
        </w:tc>
      </w:tr>
      <w:tr w14:paraId="77C6BD5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5B7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B217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578698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7DB6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赋能项修改</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22A9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根据创建的赋能项内容进行编辑修改。</w:t>
            </w:r>
          </w:p>
        </w:tc>
      </w:tr>
      <w:tr w14:paraId="4A2438B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B0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8307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7D26D30F">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61C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赋能项删除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4702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根据选择赋能项进行删除，并且有删除提示。</w:t>
            </w:r>
          </w:p>
        </w:tc>
      </w:tr>
      <w:tr w14:paraId="007A8E7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06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609F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2B62062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884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指令赋能</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F95A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可以基于选择的指令，从已有赋能项中选择，发起赋能申请。在指令详情中展示申请赋能的结果。</w:t>
            </w:r>
          </w:p>
        </w:tc>
      </w:tr>
      <w:tr w14:paraId="04BF520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4F1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F15AB">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5A17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指令审批</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B08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指令审批</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ED2C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提供下发对象为派出所需要区县管理或市局管理员进行审批，列表展示提交审核的指令相关信息，提供指令查询功能，同时对提交的指令任务进行审批可审批通过则下发指令任务、审批不通过则退回指令任务；</w:t>
            </w:r>
          </w:p>
        </w:tc>
      </w:tr>
      <w:tr w14:paraId="7C18B19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C9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63F50">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F3FA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计划管理</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3533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DA42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提供周期任务管理功能，列表展示各类指令信息，包含任务名称、任务类型、任务编号、开始时间、结束时间、任务内容、指派对象、任务状态、指令类型、操作。</w:t>
            </w:r>
          </w:p>
        </w:tc>
      </w:tr>
      <w:tr w14:paraId="5A2083F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8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EE40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6815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637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高级筛选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9B76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支持根据任务类型、任务编号、开始时间、结束时间、指派对象、任务状态、指令类型内容进行搜索筛选。</w:t>
            </w:r>
          </w:p>
        </w:tc>
      </w:tr>
      <w:tr w14:paraId="78AAD3E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26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833D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8C0D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AF5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任务查看</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9277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点击查看操作按钮可查看该条指令的详细内容以及关联周期任务。</w:t>
            </w:r>
          </w:p>
        </w:tc>
      </w:tr>
      <w:tr w14:paraId="637A66F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34D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AD48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EF846">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9F8D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任务停止</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8312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支持手动停止周期任务，对未下发的周期任务可停止操作。</w:t>
            </w:r>
          </w:p>
        </w:tc>
      </w:tr>
      <w:tr w14:paraId="0398751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D4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F3EE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EAD8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1DF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任务启动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8F51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支持手动启动周期任务，对周期任务未接收并且是停止昨天可启动重新下发周期任务。</w:t>
            </w:r>
          </w:p>
        </w:tc>
      </w:tr>
      <w:tr w14:paraId="3F0BC50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A1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27144">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54F8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我的任务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F3E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E3EE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提供我的任务管理功能，列表展示各类指令信息，包含任务名称、任务类型、任务编号、开始时间、结束时间、任务内容、任务状态、指令类型、操作。</w:t>
            </w:r>
          </w:p>
        </w:tc>
      </w:tr>
      <w:tr w14:paraId="56821C06">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FB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079C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1AFF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728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E618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支持根据任务类型、任务编号、开始时间、结束时间、任务状态、指令类型内容进行搜索筛选。</w:t>
            </w:r>
          </w:p>
        </w:tc>
      </w:tr>
      <w:tr w14:paraId="3DFA4C3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5E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A970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0D66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DD3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签到</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7EDB3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支持指令任务签到.下发至我的任务可进行签到。</w:t>
            </w:r>
          </w:p>
        </w:tc>
      </w:tr>
      <w:tr w14:paraId="4E0BF48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504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AF82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952A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DDAD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转发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B752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支持指令任务转发.下发至我的任务可进行转发至其他人员。</w:t>
            </w:r>
          </w:p>
        </w:tc>
      </w:tr>
      <w:tr w14:paraId="7037BD4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B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8BDF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EEB5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454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反馈</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6365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支持指令任务反馈.下发至我的任务可进行反馈，同时也支持多次反馈。</w:t>
            </w:r>
          </w:p>
        </w:tc>
      </w:tr>
      <w:tr w14:paraId="6A330C0C">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86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E752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F875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9AE0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表单反馈</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1FCB5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支持指令任务中表单反馈，对自定义表单进行填写。</w:t>
            </w:r>
          </w:p>
        </w:tc>
      </w:tr>
      <w:tr w14:paraId="7ED0566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3E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1640C">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22EF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自定义表单</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622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2BFF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自定义表单列表展示表单名称，管辖单位，表单类别，更新时间等。</w:t>
            </w:r>
          </w:p>
        </w:tc>
      </w:tr>
      <w:tr w14:paraId="29E401E0">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C6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DAF5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F5F5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6259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E6D2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自定义表单列表展示表单名称，表单类别，更新时间内容进行筛选。</w:t>
            </w:r>
          </w:p>
        </w:tc>
      </w:tr>
      <w:tr w14:paraId="3CA11C9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5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5E90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C4A5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742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8E2D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支持自定义表单新增，根据业务要求自定义表单内容。</w:t>
            </w:r>
          </w:p>
        </w:tc>
      </w:tr>
      <w:tr w14:paraId="1D24953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6F9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34EDA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095C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93C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C166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支持自定义表单编辑，对已创建的自定义表单进行编辑修改操作。</w:t>
            </w:r>
          </w:p>
        </w:tc>
      </w:tr>
      <w:tr w14:paraId="14B02C94">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81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C8F0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71C4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5A7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预览</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5EF3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支持自定义表单预览，根据业务要求自定义表单内容，对自定义内容进行预览。</w:t>
            </w:r>
          </w:p>
        </w:tc>
      </w:tr>
      <w:tr w14:paraId="4983BC0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DC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31D4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4B2B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958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B6E2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表单详情进行查看，展示表单基本信息、关联指令、修改历史。修改历史支持历史各版本表单预览。</w:t>
            </w:r>
          </w:p>
        </w:tc>
      </w:tr>
      <w:tr w14:paraId="6A5C15E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BD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2557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A9D8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BA58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公开/私有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DBAA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表单可设置为公开表单或私有表单</w:t>
            </w:r>
          </w:p>
        </w:tc>
      </w:tr>
      <w:tr w14:paraId="4B15B46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5D9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7BE7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2741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737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D894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支持自定义表单删除，对未被关联的自定义表单支持删除操作。</w:t>
            </w:r>
          </w:p>
        </w:tc>
      </w:tr>
      <w:tr w14:paraId="2325C4D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FBF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36CC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F59D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250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自定义表单组件</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63DD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包括单行文本组件、多行文本组件、数字输入框组件、下拉单选组件、下拉复选组件、日期组件、日期区间组件、文件上传组件、单选组件、多选组件</w:t>
            </w:r>
          </w:p>
        </w:tc>
      </w:tr>
      <w:tr w14:paraId="53306EA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67E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E0F78">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7242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任务对象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EEC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3B2E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任务对象列表展示包含姓名姓名</w:t>
            </w:r>
            <w:r>
              <w:rPr>
                <w:rFonts w:hint="eastAsia" w:ascii="仿宋" w:hAnsi="仿宋" w:eastAsia="仿宋" w:cs="仿宋"/>
                <w:color w:val="auto"/>
                <w:kern w:val="0"/>
                <w:sz w:val="18"/>
                <w:szCs w:val="18"/>
                <w:highlight w:val="none"/>
                <w:lang w:val="en-US" w:eastAsia="zh-CN" w:bidi="ar"/>
              </w:rPr>
              <w:t>等5类个人信息</w:t>
            </w:r>
            <w:r>
              <w:rPr>
                <w:rFonts w:hint="eastAsia" w:ascii="仿宋" w:hAnsi="仿宋" w:eastAsia="仿宋" w:cs="仿宋"/>
                <w:color w:val="auto"/>
                <w:kern w:val="0"/>
                <w:sz w:val="18"/>
                <w:szCs w:val="18"/>
                <w:highlight w:val="none"/>
                <w:lang w:bidi="ar"/>
              </w:rPr>
              <w:t>内容。</w:t>
            </w:r>
          </w:p>
        </w:tc>
      </w:tr>
      <w:tr w14:paraId="6DA8C16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F5C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EE42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FFE1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FA7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C32A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任务对象筛选，筛选内容包含姓名</w:t>
            </w:r>
            <w:r>
              <w:rPr>
                <w:rFonts w:hint="eastAsia" w:ascii="仿宋" w:hAnsi="仿宋" w:eastAsia="仿宋" w:cs="仿宋"/>
                <w:color w:val="auto"/>
                <w:kern w:val="0"/>
                <w:sz w:val="18"/>
                <w:szCs w:val="18"/>
                <w:highlight w:val="none"/>
                <w:lang w:val="en-US" w:eastAsia="zh-CN" w:bidi="ar"/>
              </w:rPr>
              <w:t>等5类个人信息</w:t>
            </w:r>
            <w:r>
              <w:rPr>
                <w:rFonts w:hint="eastAsia" w:ascii="仿宋" w:hAnsi="仿宋" w:eastAsia="仿宋" w:cs="仿宋"/>
                <w:color w:val="auto"/>
                <w:kern w:val="0"/>
                <w:sz w:val="18"/>
                <w:szCs w:val="18"/>
                <w:highlight w:val="none"/>
                <w:lang w:bidi="ar"/>
              </w:rPr>
              <w:t>。</w:t>
            </w:r>
          </w:p>
        </w:tc>
      </w:tr>
      <w:tr w14:paraId="598B6FB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E23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0D35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D68B6">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AF20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F862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任务对象详情进行查看，展示人员信息详情内容。</w:t>
            </w:r>
          </w:p>
        </w:tc>
      </w:tr>
      <w:tr w14:paraId="30656160">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55C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8937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2B93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8A0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478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支持手动新增人员，包括证件号、姓名、户籍地址必填项和手机号码、人员等内容。</w:t>
            </w:r>
          </w:p>
        </w:tc>
      </w:tr>
      <w:tr w14:paraId="227E694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A1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814D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B31E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A71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6668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支持手动删除任务对象。</w:t>
            </w:r>
          </w:p>
        </w:tc>
      </w:tr>
      <w:tr w14:paraId="23ED7D3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390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A6E5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FA44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565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166A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支持通过身份证号，点击编辑对人员信息进行数据补全或修改。</w:t>
            </w:r>
          </w:p>
        </w:tc>
      </w:tr>
      <w:tr w14:paraId="71A7B4E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FB8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D807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43FEF">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B89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对象组列表展示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3637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任务对象组列表展示内容包含对象组名称，对象组类型，对象组人数，创建时间等内容。</w:t>
            </w:r>
          </w:p>
        </w:tc>
      </w:tr>
      <w:tr w14:paraId="70119A51">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10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1EC3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40D1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C36E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对象组筛选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13FC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任务对象组列表展示内容包含对象组名称，对象组类型，对象组人数，创建时间进行筛选。</w:t>
            </w:r>
          </w:p>
        </w:tc>
      </w:tr>
      <w:tr w14:paraId="7856CC4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61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9F2F9">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538A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93C4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对象组新增</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A2E5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支持手动新增对象组，填写对象组信息及选择组内对象人员</w:t>
            </w:r>
          </w:p>
        </w:tc>
      </w:tr>
      <w:tr w14:paraId="2FE59D0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D4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174E9">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C948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E4C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对象组编辑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CECA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支持对象组基本信息修改，以及对象组内人员名单的添加、移出。</w:t>
            </w:r>
          </w:p>
        </w:tc>
      </w:tr>
      <w:tr w14:paraId="65EA9C8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6D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6F29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0F7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2A21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对象查看</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6961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可以查看到对象组详情，包括对象组名称、对象组类型，对象组人数，创建时间等</w:t>
            </w:r>
          </w:p>
        </w:tc>
      </w:tr>
      <w:tr w14:paraId="49752FB5">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C3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A9BC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62BE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D2A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对象清单查看</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9196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可以查看到对象组内人员，包括姓名、证件号等。支持组内对象的查询功能。</w:t>
            </w:r>
          </w:p>
        </w:tc>
      </w:tr>
      <w:tr w14:paraId="6389B2E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01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A4C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0841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24C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对象组批量删除</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0421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支持批量勾选后删除对应对象组进行删除。</w:t>
            </w:r>
          </w:p>
        </w:tc>
      </w:tr>
      <w:tr w14:paraId="2B5FF9A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DC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E6320">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E7DD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派出所管理</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CE1A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派出所管理</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7E59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提供各辖区派出所清单，以便市局下属派出所进行管理，并支持设置派出所类型。</w:t>
            </w:r>
          </w:p>
        </w:tc>
      </w:tr>
      <w:tr w14:paraId="19E7010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E81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FC678">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nil"/>
              <w:right w:val="single" w:color="000000" w:sz="4" w:space="0"/>
            </w:tcBorders>
            <w:shd w:val="clear" w:color="auto" w:fill="auto"/>
            <w:noWrap w:val="0"/>
            <w:vAlign w:val="center"/>
          </w:tcPr>
          <w:p w14:paraId="647925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防控中心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5582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防控中心</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2546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建立数字化标准工作机制，实现防控中心排班，支持按人排班、按组排班，以日历视图的形式展示各辖区的值班排班情况，支持按时间筛选信息、支持点击日期新增与编辑该日的值班人员信息、支持以导入的形式快捷导入大量值班信息。</w:t>
            </w:r>
          </w:p>
        </w:tc>
      </w:tr>
      <w:tr w14:paraId="2091D79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25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86D1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42F695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AD0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59C2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支持根据预设模板，批量排班信息。</w:t>
            </w:r>
          </w:p>
        </w:tc>
      </w:tr>
      <w:tr w14:paraId="72E2450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F0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3CEF9">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D6FA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“两防”管控统计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D28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“两防”管控事件统计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9E98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对各部门于业务过程中产生的事件化解、流转、定级审核、走访等情况进行组合及统计展示。</w:t>
            </w:r>
          </w:p>
        </w:tc>
      </w:tr>
      <w:tr w14:paraId="55610B0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0F6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33EC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A51F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FD4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“两防”管控统计分析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C583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对各部门于业务过程中产生的事件情况进行组合及统计展示。</w:t>
            </w:r>
          </w:p>
        </w:tc>
      </w:tr>
      <w:tr w14:paraId="53F4E88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04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2265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D8D8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E37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“两防”管控人员统计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DA7D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对于各部门相关的事件中涉及的人员情况进行统计。</w:t>
            </w:r>
          </w:p>
        </w:tc>
      </w:tr>
      <w:tr w14:paraId="7053959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F6A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FDF0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2959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4D6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1701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支持对上述统计表单数据的excel文件导出，导出规则为根据筛选结果进行导出。</w:t>
            </w:r>
          </w:p>
        </w:tc>
      </w:tr>
      <w:tr w14:paraId="610BB4D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04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F6EDA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D54F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BED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高级筛选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458A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支持根据时间区间、关键字、部分表头筛选条件进行筛选查询。</w:t>
            </w:r>
          </w:p>
        </w:tc>
      </w:tr>
      <w:tr w14:paraId="723F7EF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C7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337C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E655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78BC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区县权限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54C6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“两防”管控统计模块相应的数据内容对应下穿相关区县，可通过权限管理开放给对应的区县管理员。</w:t>
            </w:r>
          </w:p>
        </w:tc>
      </w:tr>
      <w:tr w14:paraId="6B4707D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B40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36BB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EC85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A86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数据关联跳转</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BF4C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支持对重复报警事件、重点矛盾纠纷涉事人员和重点矛盾纠纷特定人员进行关联跳转，打开该条统计对应的数据列表。</w:t>
            </w:r>
          </w:p>
        </w:tc>
      </w:tr>
      <w:tr w14:paraId="5DD5D38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26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4C770">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53E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特定人统计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362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特定人统计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F7E2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根据人员类型维度统计特定人员情况，根据管辖单位和进入系统时间进行统计分析.支持下转查看各类型区县级、所级统计。支持所级下转查看人员清单。</w:t>
            </w:r>
          </w:p>
        </w:tc>
      </w:tr>
      <w:tr w14:paraId="7D712E8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20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9330">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A60D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指令统计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6AD9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CD1D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展示指令任务的下发总数，任务接收情况包含根据筛选的时间维度统计各辖区派出所指令任务完成情况，包含未接收指令、未完成指令、已完成指令以及指令类型信息，并根据指令完成时间统计各单位平均完成指令所需时间等信息。</w:t>
            </w:r>
          </w:p>
        </w:tc>
      </w:tr>
      <w:tr w14:paraId="26DF020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C7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5823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6DF5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7A18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明细清单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BF0B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支持查看各统计数值对应的指令明细清单，支持清单中单个指令的详情查看。</w:t>
            </w:r>
          </w:p>
        </w:tc>
      </w:tr>
      <w:tr w14:paraId="766BD5B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583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8784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80FD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6195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统计设置</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A089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根据指令任务的类型，状态，下发单位等信息进行设置，根据设置内容进行指令任务统计。</w:t>
            </w:r>
          </w:p>
        </w:tc>
      </w:tr>
      <w:tr w14:paraId="3131162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17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43D5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8FE8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BB9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导出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6D20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根据指令时间维度，统计维度导出对应的统计内容。</w:t>
            </w:r>
          </w:p>
        </w:tc>
      </w:tr>
      <w:tr w14:paraId="1BA0BFB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4D7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BDC0EC">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2F52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排班统计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6EC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排班统计</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4226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对值班排班情况按照单位排班情况按月和日两个维度进行统计分析，并且支持按照排班日期和所属单位进行查询，同时支持导出和排序（已排班和未排班）；</w:t>
            </w:r>
          </w:p>
        </w:tc>
      </w:tr>
      <w:tr w14:paraId="70B6205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FB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81348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B6B6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4F670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单位明细</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759E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支持查看单位月度的每日排班人员名单。</w:t>
            </w:r>
          </w:p>
        </w:tc>
      </w:tr>
      <w:tr w14:paraId="587DD44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9E3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7FF71">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72C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帮助中心</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85C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帮助中心</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1337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提供各类帮助手册下载，管理员可在平台端上传帮助手册，以便于用户下载，支持文件上传，下载，删除等操作；</w:t>
            </w:r>
          </w:p>
        </w:tc>
      </w:tr>
      <w:tr w14:paraId="5AA27A25">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E6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2A98E">
            <w:pPr>
              <w:jc w:val="center"/>
              <w:rPr>
                <w:rFonts w:hint="eastAsia" w:ascii="仿宋" w:hAnsi="仿宋" w:eastAsia="仿宋" w:cs="仿宋"/>
                <w:color w:val="auto"/>
                <w:sz w:val="18"/>
                <w:szCs w:val="18"/>
                <w:highlight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BD6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工作清单</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E48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工作清单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5B94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以便民警按照工作手册和工作指标完成对应的任务，支持清单类型筛选，工作手册编辑和修改，工作指标编辑和修改并且在原来的模板中新增行数据；</w:t>
            </w:r>
          </w:p>
        </w:tc>
      </w:tr>
      <w:tr w14:paraId="2A70481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062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60694">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0D6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消息通知</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F7A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新增线索通知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A20F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新增线索提交后，即时通知到管辖单位对应派出所。通知内容为：xx区xx部门xx新增线索，下发至xx派出所，请予以关注。通知人员为：派出所全员</w:t>
            </w:r>
          </w:p>
        </w:tc>
      </w:tr>
      <w:tr w14:paraId="6CBBFF3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318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38FE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3302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35F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超期未定级审核通知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7A01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A/AA/AAA级事件上报或初审后的1个自然日内当前审核人还未进行审核，则于次日上班开始时间通知当前审核人。通知内容为：XXXX（指代事件标题）事件24小时内未进行定级审核，请予以关注。通知人员为：当前审核人。</w:t>
            </w:r>
          </w:p>
        </w:tc>
      </w:tr>
      <w:tr w14:paraId="5FDBFDA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7C3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FB03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391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EB6E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超期未办结通知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BA85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最后一次化解管控记录后，1个月/2个月/3个月时如状态还未变更为已办结，则于次日上班开始时间通知包案小组全员。通知内容为：XXXX（指代事件标题）事件，截止XXXX年XX月XX日，已经化解1/2/3个月未办结，请予以关注。通知人员为：包案小组全员。</w:t>
            </w:r>
          </w:p>
        </w:tc>
      </w:tr>
      <w:tr w14:paraId="535DF99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9B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DDA9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116A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F2C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修改包案小组通知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A17D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修改包案小组成员时，及时通知修改后的包案小组全员。通知内容为：张三邻里矛盾纠纷及扬言矛盾纠纷事件新增/移除包案小组成员xxx，请知悉。 通知人员为：修改后的包案小组全员。</w:t>
            </w:r>
          </w:p>
        </w:tc>
      </w:tr>
      <w:tr w14:paraId="413B4BCD">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E5A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9329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450A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A6DB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研判反馈通知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1918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添加研判反馈记录后，通知该事件的包案小组全员。通知内容为：你负责的XXXXXXXX（指代事件标题）事件，收到一条XX派出所-XX民警的研判反馈记录，请及时查看、关注。通知人员为：包案小组全员。</w:t>
            </w:r>
          </w:p>
        </w:tc>
      </w:tr>
      <w:tr w14:paraId="7E97E89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F7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B7F6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812D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352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指令消息通知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D39D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平台提供消息通知功能，便于用户接收指令、审批消息等通知，同时对消息类型进行分类及查看。提供消息一键已读功能。</w:t>
            </w:r>
          </w:p>
        </w:tc>
      </w:tr>
      <w:tr w14:paraId="1418891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DC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8714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C0C9A">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C59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人员预警通知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12D2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通过新的线索或警情为提取到关联人和未提取到关联人通知</w:t>
            </w:r>
          </w:p>
        </w:tc>
      </w:tr>
      <w:tr w14:paraId="3826C71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36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FE18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88F0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947F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事件线索通知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03E7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人员涉新的汽油购买记录，新的精神科就诊，新的涉事记录，新的婚姻变化会产生通知</w:t>
            </w:r>
          </w:p>
        </w:tc>
      </w:tr>
      <w:tr w14:paraId="71518D49">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FBF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4151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1AC5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0B10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消息通知提醒</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D5D7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当前用户存在新增的未签收消息时在消息通知处会有红点提示，点击查看消息</w:t>
            </w:r>
          </w:p>
        </w:tc>
      </w:tr>
      <w:tr w14:paraId="1388F8A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8FE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655B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32D7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05E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短信通知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E9F2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提供相关的指令信息，如指令名称、截止日期等，以便用户了解并处理即将逾期的指令任务</w:t>
            </w:r>
          </w:p>
        </w:tc>
      </w:tr>
      <w:tr w14:paraId="24DF21AC">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1E4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2684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4094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B5B4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消息通知默认规则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804A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打开我的消息时默认筛选未签收状态的消息。打开全部消息时默认筛选近3天的消息。</w:t>
            </w:r>
          </w:p>
        </w:tc>
      </w:tr>
      <w:tr w14:paraId="418D394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D1C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30699">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9859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AC90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消息通知规则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F5BD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市局权限可查看全部区县的全部消息，并做去重处理，即某一条消息要发送给多部门不多人的，市局在全部消息里只显示一条消息。</w:t>
            </w:r>
          </w:p>
        </w:tc>
      </w:tr>
      <w:tr w14:paraId="2CF2626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32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6C1C2">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083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应用日志</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997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事件日志的获取规则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421B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针对用户对事件信息的每一次操作动作，系统自动记录用户的操作内容、操作人、操作时间等信息。具体如下：</w:t>
            </w:r>
          </w:p>
        </w:tc>
      </w:tr>
      <w:tr w14:paraId="773356D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30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FDF3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EA678">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32631">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5C3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-编辑成员，小组内成员由A修改为B；</w:t>
            </w:r>
          </w:p>
        </w:tc>
      </w:tr>
      <w:tr w14:paraId="2F84AD1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74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D95E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DA3D6">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42E1A">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56B7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-编辑成员，小组内成员新增A；</w:t>
            </w:r>
          </w:p>
        </w:tc>
      </w:tr>
      <w:tr w14:paraId="338FD22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117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4238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A02CE">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05F9E">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B970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-编辑成员，小组内成员移除A；</w:t>
            </w:r>
          </w:p>
        </w:tc>
      </w:tr>
      <w:tr w14:paraId="241E33A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38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628D2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DAB01">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EC2B3">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0BE9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-添加/删除关联人员A；</w:t>
            </w:r>
          </w:p>
        </w:tc>
      </w:tr>
      <w:tr w14:paraId="428C3C8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CB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87CB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AB53D">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38D9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05A4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-填写事后回访信息，状态未发生变化/由A状态变更为B状态</w:t>
            </w:r>
          </w:p>
        </w:tc>
      </w:tr>
      <w:tr w14:paraId="30DB9081">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D3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08012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5DFA2">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6A26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AF60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-填写化解研判信息，状态未发生变化/由A状态变更为B状态</w:t>
            </w:r>
          </w:p>
        </w:tc>
      </w:tr>
      <w:tr w14:paraId="2A850A0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4A7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93CC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965C3">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B70AB">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4060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-市牵头单位定级完成，开始走访化解</w:t>
            </w:r>
          </w:p>
        </w:tc>
      </w:tr>
      <w:tr w14:paraId="39CA789E">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A81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6EAA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1C632">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FCC92">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F572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-区牵头单位定级完成</w:t>
            </w:r>
          </w:p>
        </w:tc>
      </w:tr>
      <w:tr w14:paraId="2C42811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B6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4608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520AF">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9355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747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-所长定级完成</w:t>
            </w:r>
          </w:p>
        </w:tc>
      </w:tr>
      <w:tr w14:paraId="6BB9E72B">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59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3B07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7F29F">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DB19E">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993E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-事件编辑，修改流转状态，未流转改为已流转</w:t>
            </w:r>
          </w:p>
        </w:tc>
      </w:tr>
      <w:tr w14:paraId="406262E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E0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99E2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AD0B8">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3E08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BC53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-事件编辑，关联/移除风险线索，警单编号1、警单编号2</w:t>
            </w:r>
          </w:p>
        </w:tc>
      </w:tr>
      <w:tr w14:paraId="1AAD404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47E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126D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EAE2C">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DE0BF">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0C2F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-事件编辑，修改标签严重程度，A标签严重程度由低改为中</w:t>
            </w:r>
          </w:p>
        </w:tc>
      </w:tr>
      <w:tr w14:paraId="3A42952F">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BB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025E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366D9">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F5668">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09BE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-事件编辑，新增/取消标签A、B</w:t>
            </w:r>
          </w:p>
        </w:tc>
      </w:tr>
      <w:tr w14:paraId="029D5024">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5C3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C2B3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147A3">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3241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1F43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-事件编辑，事件标题/时间/责任民警/内容，A改为B</w:t>
            </w:r>
          </w:p>
        </w:tc>
      </w:tr>
      <w:tr w14:paraId="2014FE2B">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BA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7535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9DCE9">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25FDB">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8D72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-新增协同单位，区级协同单位A部门、B部门，市级协同单位C部门、D部门</w:t>
            </w:r>
          </w:p>
        </w:tc>
      </w:tr>
      <w:tr w14:paraId="1F6B42F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84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C3DB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ECEFE">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73DD2">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E215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-修改协同单位，区级/市级协同单位A部门改为B部门</w:t>
            </w:r>
          </w:p>
        </w:tc>
      </w:tr>
      <w:tr w14:paraId="7B5BEC7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E26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628B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EB2A5">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D1C05D">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2CE84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-修改牵头单位，区级/市级牵头单位A部门改为B部门</w:t>
            </w:r>
          </w:p>
        </w:tc>
      </w:tr>
      <w:tr w14:paraId="5CC503F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E6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38B5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DD4F6B">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D7922">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A67C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-所领导/所长/区级业务部门/市级业务部门审核拒绝，拒绝原因xxix</w:t>
            </w:r>
          </w:p>
        </w:tc>
      </w:tr>
      <w:tr w14:paraId="203FEEE8">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03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0B7A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22584">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06956">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F7C6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-修改定级、A级改为AA级</w:t>
            </w:r>
          </w:p>
        </w:tc>
      </w:tr>
      <w:tr w14:paraId="30C1045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E1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6717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B812D">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68D00">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19DA0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-所领导定级完成</w:t>
            </w:r>
          </w:p>
        </w:tc>
      </w:tr>
      <w:tr w14:paraId="49B6EF4B">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7C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AEF0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26661">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88FD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B7D3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-初判完成，等待定级确认。</w:t>
            </w:r>
          </w:p>
        </w:tc>
      </w:tr>
      <w:tr w14:paraId="2077F609">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3B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72C7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66EC6">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1505">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193D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-警情转事件成功/线索转事件成功/事件录入成功</w:t>
            </w:r>
          </w:p>
        </w:tc>
      </w:tr>
      <w:tr w14:paraId="028D14E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EC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0B4D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7FFE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7775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事件日志的展示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AE3E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通过事件详情内的按钮，跳转列表进行展示事件日志的内容。</w:t>
            </w:r>
          </w:p>
        </w:tc>
      </w:tr>
      <w:tr w14:paraId="1E75798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72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C169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74EDD">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5C15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事件日志的筛选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8217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在事件日志列表中支持通过筛选时间、关键字对日志进行相应的查询和筛选。</w:t>
            </w:r>
          </w:p>
        </w:tc>
      </w:tr>
      <w:tr w14:paraId="1287262D">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E87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7965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48148">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5F2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人员日志的获取规则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B011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针对用户对人员信息的每一次操作动作，系统自动记录用户的操作内容、操作人、操作时间等信息。具体如下：</w:t>
            </w:r>
          </w:p>
        </w:tc>
      </w:tr>
      <w:tr w14:paraId="3E5558C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DF3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768D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AF814">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9EC11">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83F1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-人员关联，人员A关联/取消关联某区某派出所线索；</w:t>
            </w:r>
          </w:p>
        </w:tc>
      </w:tr>
      <w:tr w14:paraId="1DA406A3">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956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2DC3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4F4DB">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362EC">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E0F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-人员关联，人员A关联/取消关联某区某派出所事件；</w:t>
            </w:r>
          </w:p>
        </w:tc>
      </w:tr>
      <w:tr w14:paraId="30C39284">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0D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E4FA9">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1E5B2">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D379C">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3753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-人员编辑，人员A修改标签严重程度，标签A严重程度由低改为中；</w:t>
            </w:r>
          </w:p>
        </w:tc>
      </w:tr>
      <w:tr w14:paraId="733CC60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00A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3F3F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4A698">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6E05B">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62B8F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-人员编辑，人员A新增/取消标签A、标签B；</w:t>
            </w:r>
          </w:p>
        </w:tc>
      </w:tr>
      <w:tr w14:paraId="76DF382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BB8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7420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FDB04">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3091B">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8F11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-人员编辑，人员A所属区县/管辖单位新增，A区A所；</w:t>
            </w:r>
          </w:p>
        </w:tc>
      </w:tr>
      <w:tr w14:paraId="178B96D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37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293E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50FF3">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4C33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7A6B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-人员编辑，人员姓名/性别/所属区县/管辖单位（所有基本信息）修改，A改为B；</w:t>
            </w:r>
          </w:p>
        </w:tc>
      </w:tr>
      <w:tr w14:paraId="3026B04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D6C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0595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196BC">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FDA43">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A7346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-算法提取人员人员A成功/新增人员人员A成功。</w:t>
            </w:r>
          </w:p>
        </w:tc>
      </w:tr>
      <w:tr w14:paraId="49561C8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C9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E61B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C8CE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5A6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人员日志的展示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0D00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通过事件详情内的按钮和人员详情内的按钮，跳转列表进行展示人员日志的内容。</w:t>
            </w:r>
          </w:p>
        </w:tc>
      </w:tr>
      <w:tr w14:paraId="49195B6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4D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4651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69BD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2901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人员日志的筛选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7A57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在人员日志列表中支持通过筛选时间、关键字对日志进行相应的查询和筛选。</w:t>
            </w:r>
          </w:p>
        </w:tc>
      </w:tr>
      <w:tr w14:paraId="7304B64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71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D845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C523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31C5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操作日志的获取规则</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2340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针对用户在系统中的每一次操作动作，系统自动记录用户的操作内容、操作人、操作时间等信息。具体如下：-登录系统；-访问页面；-搜索；-新增数据；-修改数据；-删除数据。</w:t>
            </w:r>
          </w:p>
        </w:tc>
      </w:tr>
      <w:tr w14:paraId="41256D3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E56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001B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0AD8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73EE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操作日志的展示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8004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通过对序号、所属区县、所属部门、姓名、用户名、IP地址、登录状态、登录时间、操作内容信息的展示，列表呈现所有的操作日志内容。</w:t>
            </w:r>
          </w:p>
        </w:tc>
      </w:tr>
      <w:tr w14:paraId="03FC070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87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62C68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0206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A9B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操作日志的筛选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E015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在操作日志列表中支持通过关键字、所属区县、所属部门对日志进行相应的查询和筛选。</w:t>
            </w:r>
          </w:p>
        </w:tc>
      </w:tr>
      <w:tr w14:paraId="2A249F39">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829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2184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5393F">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9C5E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权限日志的展示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FBED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通过对序号、授权人姓名、用户名、操作内容、操作状态、操作时间的展示，列表呈现所有的权限日志内容。</w:t>
            </w:r>
          </w:p>
        </w:tc>
      </w:tr>
      <w:tr w14:paraId="4305C503">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A6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CC03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ABC6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F3D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权限日志的筛选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CB0A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在权限日志列表中支持通过授权人姓名、日期对日志进行相应的查询。</w:t>
            </w:r>
          </w:p>
        </w:tc>
      </w:tr>
      <w:tr w14:paraId="540C9BA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F9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3207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8A5A0">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CCF6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权限日志的操作</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8A6C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支持对权限日志进行删除和导出操作。</w:t>
            </w:r>
          </w:p>
        </w:tc>
      </w:tr>
      <w:tr w14:paraId="426EADC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653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2D53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83D6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031E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登录日志的展示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0F59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通过对序号、姓名、用户名、IP地址、登录状态、登录时间的展示，列表呈现所有的登录日志内容。</w:t>
            </w:r>
          </w:p>
        </w:tc>
      </w:tr>
      <w:tr w14:paraId="72CDF8F9">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7D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2BE87">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FE98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8EF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登录日志的筛选</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F53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在登录日志列表中支持通过IP地址、用户、日期对日志进行相应的查询。</w:t>
            </w:r>
          </w:p>
        </w:tc>
      </w:tr>
      <w:tr w14:paraId="53FCC15C">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DCA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E2978">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79158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F8B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登录日志的操作</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604A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支持对登录日志进行删除和导出操作。</w:t>
            </w:r>
          </w:p>
        </w:tc>
      </w:tr>
      <w:tr w14:paraId="4687F8E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E31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DB75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ED02E">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F2C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短信日志</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5BF9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在系统记录短信发送情况，如发送短信电话号、发送时间，发送结果，发送内容等；</w:t>
            </w:r>
          </w:p>
        </w:tc>
      </w:tr>
      <w:tr w14:paraId="060367B4">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855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E9CB0">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3C0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配置管理</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061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县市业务部门映射</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3C91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对应权限的角色人员对区县和市级业务部门的关联关系进行配置。</w:t>
            </w:r>
          </w:p>
        </w:tc>
      </w:tr>
      <w:tr w14:paraId="5AF02DD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E40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88EC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76FBE">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F4E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业务联系人配置</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9DD6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对全域内所有相关派出所、街道、公安、区政法委等单位的业务联系人进行管理。</w:t>
            </w:r>
          </w:p>
        </w:tc>
      </w:tr>
      <w:tr w14:paraId="62F10B7C">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72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EF32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DE188">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057E3">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958B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配置的人员将收到来自系统的业务推送信息。</w:t>
            </w:r>
          </w:p>
        </w:tc>
      </w:tr>
      <w:tr w14:paraId="3138B9DB">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72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F3D2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6913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C65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标签配置基础功能</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57F1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标签配置模块的增、改、查以及详情查看等基础功能。</w:t>
            </w:r>
          </w:p>
        </w:tc>
      </w:tr>
      <w:tr w14:paraId="6F37616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1EF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99A4A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D5D7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2D82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标签计算</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3E00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针对全市的数据和标签规则，进行自动计算并自动赋予对应的标签。</w:t>
            </w:r>
          </w:p>
        </w:tc>
      </w:tr>
      <w:tr w14:paraId="54543AF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4DC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B3E6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DD63E">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27B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两防特定人标签的特殊处理</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DF89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针对两防特定人标签进行如下特殊处理：</w:t>
            </w:r>
          </w:p>
        </w:tc>
      </w:tr>
      <w:tr w14:paraId="00F7CAFE">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F06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2692EA">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7BD20">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234BEA">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6A97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1、调整标签位置为置顶（选择标签时）。</w:t>
            </w:r>
          </w:p>
        </w:tc>
      </w:tr>
      <w:tr w14:paraId="6C5190E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A78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30A0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7E68F">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B3AAA6">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7A27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2、选中该标签时必须选择其标签的标量和填写备注信息。</w:t>
            </w:r>
          </w:p>
        </w:tc>
      </w:tr>
      <w:tr w14:paraId="5634E3B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A5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A832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0E60B">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350E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A917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在人员详情中直接展示其备注信息（而非鼠标上移显示）。</w:t>
            </w:r>
          </w:p>
        </w:tc>
      </w:tr>
      <w:tr w14:paraId="5F6993F9">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97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33225">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22D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系统管理</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F58A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角色管理</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D398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列表展示系统角色，对角色进行管理。支持新增、删除、编辑等操作。支持编辑角色名称、描述、菜单权限和数据权限。</w:t>
            </w:r>
          </w:p>
        </w:tc>
      </w:tr>
      <w:tr w14:paraId="241BA6E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8C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C121E2">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2E3B3">
            <w:pPr>
              <w:jc w:val="center"/>
              <w:rPr>
                <w:rFonts w:hint="eastAsia" w:ascii="仿宋" w:hAnsi="仿宋" w:eastAsia="仿宋" w:cs="仿宋"/>
                <w:color w:val="auto"/>
                <w:sz w:val="18"/>
                <w:szCs w:val="18"/>
                <w:highlight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851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用户管理</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14E7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建立用户管理模块，包括以下功能：</w:t>
            </w:r>
          </w:p>
        </w:tc>
      </w:tr>
      <w:tr w14:paraId="389B284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0D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AD4E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59821">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7A8A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6807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-列表展示包括：姓名、用户名、角色、单位、状态、操作等信息。</w:t>
            </w:r>
          </w:p>
        </w:tc>
      </w:tr>
      <w:tr w14:paraId="6C0DD2AD">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51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6DEE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3354E">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CD382">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D063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-用户新增：支持通过填写姓名、用户名、手机号、所属角色、所在单位、状态、警号等信息添加用户。</w:t>
            </w:r>
          </w:p>
        </w:tc>
      </w:tr>
      <w:tr w14:paraId="4BFD4F9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29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C6821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3B18F">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81FF">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7677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-用户删除：删除的账号无法再使用，重新添加后需要重新去添加账号角色。</w:t>
            </w:r>
          </w:p>
        </w:tc>
      </w:tr>
      <w:tr w14:paraId="182F7BE8">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6DE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E3FB6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A4A67">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525E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1E6B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-批量删除：支持批量勾选后删除对应用户。</w:t>
            </w:r>
          </w:p>
        </w:tc>
      </w:tr>
      <w:tr w14:paraId="60B9E675">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93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3964D">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FF2BB8">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E63D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9A38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-用户查询：支持通过用户姓名、所在单位、角色查询用户。</w:t>
            </w:r>
          </w:p>
        </w:tc>
      </w:tr>
      <w:tr w14:paraId="16656AE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6E4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B43E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03F40">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1D899">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167D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-用户启用/禁用：支持对用户账号状态进行修改。</w:t>
            </w:r>
          </w:p>
        </w:tc>
      </w:tr>
      <w:tr w14:paraId="7AD625F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7C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1268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FE62D">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F56F9">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8805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-用户编辑：对于用户进行信息修改。</w:t>
            </w:r>
          </w:p>
        </w:tc>
      </w:tr>
      <w:tr w14:paraId="722D9F2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1D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2B39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5513E">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21C57">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0158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-更改密码：校验当前密码，重新设置密码。</w:t>
            </w:r>
          </w:p>
        </w:tc>
      </w:tr>
      <w:tr w14:paraId="52784FC7">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C85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3A16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66F46">
            <w:pPr>
              <w:jc w:val="center"/>
              <w:rPr>
                <w:rFonts w:hint="eastAsia" w:ascii="仿宋" w:hAnsi="仿宋" w:eastAsia="仿宋" w:cs="仿宋"/>
                <w:color w:val="auto"/>
                <w:sz w:val="18"/>
                <w:szCs w:val="18"/>
                <w:highlight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35BF4">
            <w:pPr>
              <w:jc w:val="center"/>
              <w:rPr>
                <w:rFonts w:hint="eastAsia" w:ascii="仿宋" w:hAnsi="仿宋" w:eastAsia="仿宋" w:cs="仿宋"/>
                <w:color w:val="auto"/>
                <w:sz w:val="18"/>
                <w:szCs w:val="18"/>
                <w:highlight w:val="none"/>
              </w:rPr>
            </w:pP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EE9D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-重置密码：密码重置为默认密码。</w:t>
            </w:r>
          </w:p>
        </w:tc>
      </w:tr>
      <w:tr w14:paraId="39455246">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CB4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98708">
            <w:pPr>
              <w:jc w:val="center"/>
              <w:rPr>
                <w:rFonts w:hint="eastAsia" w:ascii="仿宋" w:hAnsi="仿宋" w:eastAsia="仿宋" w:cs="仿宋"/>
                <w:color w:val="auto"/>
                <w:sz w:val="18"/>
                <w:szCs w:val="18"/>
                <w:highlight w:val="none"/>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D988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权限体系和登录</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2436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对接警综一站式认证</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7B34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警综数字证书登录和一键式登录，以及省厅要求其他规范要求。实现从警综平台一键直接跳转本平台，并获取对应的用户权限，无需再次登录。实现在本平台登录界面接入警综数字证书应用插件，点击插件核验民警身份信息后自动登录。</w:t>
            </w:r>
          </w:p>
        </w:tc>
      </w:tr>
      <w:tr w14:paraId="49B497B2">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BFD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6B5CC">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AEB3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173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接入浙警智治</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459F4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应用系统按照智慧运维的要求，梳理应用的拓扑结构，配合完成前、后端程序埋点，纳入“浙警智治”平台资源管理器开展统一运维监测。按照“浙警智治”平台安全管理中心的要求，完成安全检测及接入。</w:t>
            </w:r>
          </w:p>
        </w:tc>
      </w:tr>
      <w:tr w14:paraId="451033AE">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D4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E840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7248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53CE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统一用户授权</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0817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对接“浙警智治”统一用户授权，在“浙警智治”操作系统终端上架，提供全省使用。</w:t>
            </w:r>
          </w:p>
        </w:tc>
      </w:tr>
      <w:tr w14:paraId="438455E0">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FDB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D95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两防基础治理警务通应用</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74F8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警务通应用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9C95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统一用户登录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CC7C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同步平台端用户信息，由平台端进行统一的用户管理。</w:t>
            </w:r>
          </w:p>
        </w:tc>
      </w:tr>
      <w:tr w14:paraId="20419537">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3C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86C2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EAB3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5F2F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统计分析</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03D9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统计当前用户的待办任务数、本周完成数、即将逾期数、逾期任务数；</w:t>
            </w:r>
          </w:p>
        </w:tc>
      </w:tr>
      <w:tr w14:paraId="28BCFC7E">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E4D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E041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E4284">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AF22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任务列表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69C3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以卡片的形式展示我的任务相关信息，排序根据任务开始时间与结束时间降序，可根据任务名称进行查询，可根据任务级别，任务类型进行筛选，同时可根据任务状态进行查询或重置查询条件</w:t>
            </w:r>
          </w:p>
        </w:tc>
      </w:tr>
      <w:tr w14:paraId="6602333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CA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13843">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5ADCB">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4A20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任务详情</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D341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卡片形式展示任务的基础信息，其他信息同时可点击反馈，同时对接关联任务对象，关联人员，关联警情，关联案件，关联预警；</w:t>
            </w:r>
          </w:p>
        </w:tc>
      </w:tr>
      <w:tr w14:paraId="4B779161">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F5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2B74E">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785E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3E39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任务签收</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1CBB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对未签收的任务提供签收操作，签收后改变其任务状态</w:t>
            </w:r>
          </w:p>
        </w:tc>
      </w:tr>
      <w:tr w14:paraId="13F12C0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EA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256</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3EE3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70A05">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2CA2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任务转发</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387B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对未处置任务可进行转发，转发之后则不可反馈；</w:t>
            </w:r>
          </w:p>
        </w:tc>
      </w:tr>
      <w:tr w14:paraId="4356A930">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3BF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257</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E454B">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2615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2EB6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反馈窗口</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3121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对已签收的任务提供反馈操作，点击后显示反馈窗口，便该用户进行指令签收，转发，反馈包含内容填写，附件上传操作。</w:t>
            </w:r>
          </w:p>
        </w:tc>
      </w:tr>
      <w:tr w14:paraId="616E5031">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D2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258</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91A01">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B92C9">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870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业务表单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442F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反馈窗口提供表单供用户填写表单信息，展示列表展示表单信息包含表单内容填写、表单内容筛选，日期选择，上传附件、附件删除等操作；</w:t>
            </w:r>
          </w:p>
        </w:tc>
      </w:tr>
      <w:tr w14:paraId="19FF4C7A">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59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259</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718D5">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061E8">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719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值班列表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E9D1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按日历展示当前用户单位的值班排班信息，提供对应的日期选择器，点击日期查看值班信息；</w:t>
            </w:r>
          </w:p>
        </w:tc>
      </w:tr>
      <w:tr w14:paraId="72356D05">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DFD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260</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416DF">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0F192">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5E90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警情列表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ABE7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以卡片的形式展示警情相关信息，排序根据任务开始时间与结束时间降序，可根据警情内容进行查询，根据警情时间、警情类型进行筛选或重置查询条件，同时对接警情详情、接警信息、出警信息、警情反馈信息</w:t>
            </w:r>
          </w:p>
        </w:tc>
      </w:tr>
      <w:tr w14:paraId="6C2A874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D1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261</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C0286">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11CE3">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945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我的特定人</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4817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以卡片的形式展示当前用户的特定人员，可根据人员基本进行查询，根据管辖单位、人员类型进行筛选或重置查询条件，提供人员详情信息查看，提供人员的事件、任务、评分信息。</w:t>
            </w:r>
          </w:p>
        </w:tc>
      </w:tr>
      <w:tr w14:paraId="700D5EF4">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37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262</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A0000">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9437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76BD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工作清单</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BA37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以卡片的形式展示工作清单，可根据清单标题进行查询，根据工作类型进行筛选，提供工作清单详情信息查看。</w:t>
            </w:r>
          </w:p>
        </w:tc>
      </w:tr>
      <w:tr w14:paraId="3A8A866B">
        <w:tblPrEx>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5B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263</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0686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42877">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53A1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代办列表</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DDA4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展示指令待办信息，被指派民警可点击卡片进入详情页进行指令反馈。</w:t>
            </w:r>
          </w:p>
        </w:tc>
      </w:tr>
      <w:tr w14:paraId="3C2BD529">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68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264</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C64B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E515C">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90E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我的</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4046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展示当前用户的基础信息，提供退出登录功能</w:t>
            </w:r>
          </w:p>
        </w:tc>
      </w:tr>
      <w:tr w14:paraId="5CB23A3F">
        <w:tblPrEx>
          <w:shd w:val="clear" w:color="auto" w:fill="auto"/>
          <w:tblCellMar>
            <w:top w:w="0" w:type="dxa"/>
            <w:left w:w="108" w:type="dxa"/>
            <w:bottom w:w="0" w:type="dxa"/>
            <w:right w:w="108" w:type="dxa"/>
          </w:tblCellMar>
        </w:tblPrEx>
        <w:trPr>
          <w:trHeight w:val="39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73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265</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59E34">
            <w:pPr>
              <w:jc w:val="center"/>
              <w:rPr>
                <w:rFonts w:hint="eastAsia" w:ascii="仿宋" w:hAnsi="仿宋" w:eastAsia="仿宋" w:cs="仿宋"/>
                <w:color w:val="auto"/>
                <w:sz w:val="18"/>
                <w:szCs w:val="18"/>
                <w:highlight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31FB51">
            <w:pPr>
              <w:jc w:val="center"/>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0F0D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消息通知</w:t>
            </w:r>
          </w:p>
        </w:tc>
        <w:tc>
          <w:tcPr>
            <w:tcW w:w="6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723A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提供移动端消息通知功能，点击图标可接入我的消息，列表展示所有通知到我的消息，有未读消息时需显示红点；如消息过多可点全部已读，点击消息内容可跳转至任务的详情页面</w:t>
            </w:r>
          </w:p>
        </w:tc>
      </w:tr>
    </w:tbl>
    <w:p w14:paraId="0C5A3BC2">
      <w:pPr>
        <w:pStyle w:val="6"/>
        <w:rPr>
          <w:color w:val="auto"/>
          <w:highlight w:val="none"/>
        </w:rPr>
      </w:pPr>
    </w:p>
    <w:p w14:paraId="4E472230">
      <w:pPr>
        <w:snapToGrid w:val="0"/>
        <w:spacing w:line="360" w:lineRule="auto"/>
        <w:ind w:firstLine="442" w:firstLineChars="200"/>
        <w:outlineLvl w:val="2"/>
        <w:rPr>
          <w:rFonts w:ascii="仿宋" w:hAnsi="仿宋" w:eastAsia="仿宋" w:cs="仿宋"/>
          <w:b/>
          <w:color w:val="auto"/>
          <w:sz w:val="22"/>
          <w:szCs w:val="22"/>
          <w:highlight w:val="none"/>
        </w:rPr>
      </w:pPr>
      <w:bookmarkStart w:id="81" w:name="_Toc1762015984"/>
      <w:r>
        <w:rPr>
          <w:rFonts w:hint="eastAsia" w:ascii="仿宋" w:hAnsi="仿宋" w:eastAsia="仿宋" w:cs="仿宋"/>
          <w:b/>
          <w:color w:val="auto"/>
          <w:sz w:val="22"/>
          <w:szCs w:val="22"/>
          <w:highlight w:val="none"/>
        </w:rPr>
        <w:t>（二）系统性能要求</w:t>
      </w:r>
      <w:bookmarkEnd w:id="81"/>
    </w:p>
    <w:p w14:paraId="48B4B870">
      <w:pPr>
        <w:adjustRightInd/>
        <w:snapToGrid w:val="0"/>
        <w:spacing w:line="360" w:lineRule="auto"/>
        <w:ind w:firstLine="482"/>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本系统中，需要满足的性能要求包括：</w:t>
      </w:r>
    </w:p>
    <w:p w14:paraId="4030AA23">
      <w:pPr>
        <w:adjustRightInd/>
        <w:snapToGrid w:val="0"/>
        <w:spacing w:line="360" w:lineRule="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（1）系统支持注册用户数≥100</w:t>
      </w:r>
      <w:r>
        <w:rPr>
          <w:rFonts w:ascii="仿宋" w:hAnsi="仿宋" w:eastAsia="仿宋" w:cs="MT Extra"/>
          <w:color w:val="auto"/>
          <w:sz w:val="22"/>
          <w:szCs w:val="22"/>
          <w:highlight w:val="none"/>
        </w:rPr>
        <w:t>00</w:t>
      </w:r>
      <w:r>
        <w:rPr>
          <w:rFonts w:hint="eastAsia" w:ascii="仿宋" w:hAnsi="仿宋" w:eastAsia="仿宋" w:cs="MT Extra"/>
          <w:color w:val="auto"/>
          <w:sz w:val="22"/>
          <w:szCs w:val="22"/>
          <w:highlight w:val="none"/>
        </w:rPr>
        <w:t>人，</w:t>
      </w:r>
      <w:r>
        <w:rPr>
          <w:rFonts w:hint="eastAsia" w:ascii="仿宋" w:hAnsi="仿宋" w:eastAsia="仿宋" w:cs="MT Extra"/>
          <w:color w:val="auto"/>
          <w:sz w:val="22"/>
          <w:szCs w:val="22"/>
          <w:highlight w:val="none"/>
          <w:lang w:eastAsia="zh-Hans"/>
        </w:rPr>
        <w:t>同时</w:t>
      </w:r>
      <w:r>
        <w:rPr>
          <w:rFonts w:hint="eastAsia" w:ascii="仿宋" w:hAnsi="仿宋" w:eastAsia="仿宋" w:cs="MT Extra"/>
          <w:color w:val="auto"/>
          <w:sz w:val="22"/>
          <w:szCs w:val="22"/>
          <w:highlight w:val="none"/>
        </w:rPr>
        <w:t>在线用户数≥</w:t>
      </w:r>
      <w:r>
        <w:rPr>
          <w:rFonts w:ascii="仿宋" w:hAnsi="仿宋" w:eastAsia="仿宋" w:cs="MT Extra"/>
          <w:color w:val="auto"/>
          <w:sz w:val="22"/>
          <w:szCs w:val="22"/>
          <w:highlight w:val="none"/>
        </w:rPr>
        <w:t>5</w:t>
      </w:r>
      <w:r>
        <w:rPr>
          <w:rFonts w:hint="eastAsia" w:ascii="仿宋" w:hAnsi="仿宋" w:eastAsia="仿宋" w:cs="MT Extra"/>
          <w:color w:val="auto"/>
          <w:sz w:val="22"/>
          <w:szCs w:val="22"/>
          <w:highlight w:val="none"/>
        </w:rPr>
        <w:t>00；</w:t>
      </w:r>
    </w:p>
    <w:p w14:paraId="16FA2563">
      <w:pPr>
        <w:adjustRightInd/>
        <w:snapToGrid w:val="0"/>
        <w:spacing w:line="360" w:lineRule="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（2）系统支持用户操作并发≥</w:t>
      </w:r>
      <w:r>
        <w:rPr>
          <w:rFonts w:ascii="仿宋" w:hAnsi="仿宋" w:eastAsia="仿宋" w:cs="MT Extra"/>
          <w:color w:val="auto"/>
          <w:sz w:val="22"/>
          <w:szCs w:val="22"/>
          <w:highlight w:val="none"/>
        </w:rPr>
        <w:t>50</w:t>
      </w:r>
      <w:r>
        <w:rPr>
          <w:rFonts w:hint="eastAsia" w:ascii="仿宋" w:hAnsi="仿宋" w:eastAsia="仿宋" w:cs="MT Extra"/>
          <w:color w:val="auto"/>
          <w:sz w:val="22"/>
          <w:szCs w:val="22"/>
          <w:highlight w:val="none"/>
        </w:rPr>
        <w:t>QPS；</w:t>
      </w:r>
    </w:p>
    <w:p w14:paraId="529BC966">
      <w:pPr>
        <w:adjustRightInd/>
        <w:snapToGrid w:val="0"/>
        <w:spacing w:line="360" w:lineRule="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（3）对于确切条件的查询，响应时间不超过</w:t>
      </w:r>
      <w:r>
        <w:rPr>
          <w:rFonts w:ascii="仿宋" w:hAnsi="仿宋" w:eastAsia="仿宋" w:cs="MT Extra"/>
          <w:color w:val="auto"/>
          <w:sz w:val="22"/>
          <w:szCs w:val="22"/>
          <w:highlight w:val="none"/>
        </w:rPr>
        <w:t>1</w:t>
      </w:r>
      <w:r>
        <w:rPr>
          <w:rFonts w:hint="eastAsia" w:ascii="仿宋" w:hAnsi="仿宋" w:eastAsia="仿宋" w:cs="MT Extra"/>
          <w:color w:val="auto"/>
          <w:sz w:val="22"/>
          <w:szCs w:val="22"/>
          <w:highlight w:val="none"/>
        </w:rPr>
        <w:t>秒；</w:t>
      </w:r>
    </w:p>
    <w:p w14:paraId="1979AA66">
      <w:pPr>
        <w:adjustRightInd/>
        <w:snapToGrid w:val="0"/>
        <w:spacing w:line="360" w:lineRule="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（4）对于模糊条件的查询，响应时间不超过</w:t>
      </w:r>
      <w:r>
        <w:rPr>
          <w:rFonts w:ascii="仿宋" w:hAnsi="仿宋" w:eastAsia="仿宋" w:cs="MT Extra"/>
          <w:color w:val="auto"/>
          <w:sz w:val="22"/>
          <w:szCs w:val="22"/>
          <w:highlight w:val="none"/>
        </w:rPr>
        <w:t>3</w:t>
      </w:r>
      <w:r>
        <w:rPr>
          <w:rFonts w:hint="eastAsia" w:ascii="仿宋" w:hAnsi="仿宋" w:eastAsia="仿宋" w:cs="MT Extra"/>
          <w:color w:val="auto"/>
          <w:sz w:val="22"/>
          <w:szCs w:val="22"/>
          <w:highlight w:val="none"/>
        </w:rPr>
        <w:t>秒；</w:t>
      </w:r>
    </w:p>
    <w:p w14:paraId="3348E8F9">
      <w:pPr>
        <w:adjustRightInd/>
        <w:snapToGrid w:val="0"/>
        <w:spacing w:line="360" w:lineRule="auto"/>
        <w:rPr>
          <w:rFonts w:hint="eastAsia"/>
          <w:color w:val="auto"/>
          <w:highlight w:val="none"/>
        </w:rPr>
      </w:pPr>
      <w:r>
        <w:rPr>
          <w:rFonts w:hint="eastAsia" w:ascii="仿宋" w:hAnsi="仿宋" w:eastAsia="仿宋" w:cs="MT Extra"/>
          <w:color w:val="auto"/>
          <w:sz w:val="22"/>
          <w:szCs w:val="22"/>
          <w:highlight w:val="none"/>
        </w:rPr>
        <w:t>（5）对于多条件关联的统计分析，响应时间不超过</w:t>
      </w:r>
      <w:r>
        <w:rPr>
          <w:rFonts w:ascii="仿宋" w:hAnsi="仿宋" w:eastAsia="仿宋" w:cs="MT Extra"/>
          <w:color w:val="auto"/>
          <w:sz w:val="22"/>
          <w:szCs w:val="22"/>
          <w:highlight w:val="none"/>
        </w:rPr>
        <w:t>5</w:t>
      </w:r>
      <w:r>
        <w:rPr>
          <w:rFonts w:hint="eastAsia" w:ascii="仿宋" w:hAnsi="仿宋" w:eastAsia="仿宋" w:cs="MT Extra"/>
          <w:color w:val="auto"/>
          <w:sz w:val="22"/>
          <w:szCs w:val="22"/>
          <w:highlight w:val="none"/>
        </w:rPr>
        <w:t>秒；</w:t>
      </w:r>
    </w:p>
    <w:p w14:paraId="0B68692F">
      <w:pPr>
        <w:adjustRightInd/>
        <w:snapToGrid w:val="0"/>
        <w:spacing w:line="360" w:lineRule="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（6）单条数据处理操作时效性要求：≤3秒；</w:t>
      </w:r>
    </w:p>
    <w:p w14:paraId="5A46614E">
      <w:pPr>
        <w:adjustRightInd/>
        <w:snapToGrid w:val="0"/>
        <w:spacing w:line="360" w:lineRule="auto"/>
        <w:rPr>
          <w:rFonts w:hint="eastAsia"/>
          <w:color w:val="auto"/>
          <w:highlight w:val="none"/>
        </w:rPr>
      </w:pPr>
      <w:r>
        <w:rPr>
          <w:rFonts w:hint="eastAsia" w:ascii="仿宋" w:hAnsi="仿宋" w:eastAsia="仿宋" w:cs="MT Extra"/>
          <w:color w:val="auto"/>
          <w:sz w:val="22"/>
          <w:szCs w:val="22"/>
          <w:highlight w:val="none"/>
        </w:rPr>
        <w:t>（7）批量数据处理操作时效性要求：≤5秒。</w:t>
      </w:r>
    </w:p>
    <w:p w14:paraId="48BA00F3">
      <w:pPr>
        <w:numPr>
          <w:ilvl w:val="0"/>
          <w:numId w:val="0"/>
        </w:numPr>
        <w:snapToGrid w:val="0"/>
        <w:spacing w:line="360" w:lineRule="auto"/>
        <w:outlineLvl w:val="1"/>
        <w:rPr>
          <w:rFonts w:hint="eastAsia" w:ascii="仿宋" w:hAnsi="仿宋" w:eastAsia="仿宋" w:cs="仿宋"/>
          <w:b/>
          <w:bCs/>
          <w:color w:val="auto"/>
          <w:sz w:val="22"/>
          <w:szCs w:val="28"/>
          <w:highlight w:val="none"/>
        </w:rPr>
      </w:pPr>
      <w:bookmarkStart w:id="82" w:name="_Toc403150958"/>
      <w:bookmarkStart w:id="83" w:name="_Toc11934"/>
      <w:r>
        <w:rPr>
          <w:rFonts w:hint="eastAsia" w:ascii="仿宋" w:hAnsi="仿宋" w:eastAsia="仿宋" w:cs="仿宋"/>
          <w:b/>
          <w:bCs/>
          <w:color w:val="auto"/>
          <w:kern w:val="2"/>
          <w:sz w:val="22"/>
          <w:szCs w:val="28"/>
          <w:lang w:val="en-US" w:eastAsia="zh-CN" w:bidi="ar-SA"/>
        </w:rPr>
        <w:t>四、</w:t>
      </w:r>
      <w:r>
        <w:rPr>
          <w:rFonts w:hint="eastAsia" w:ascii="仿宋" w:hAnsi="仿宋" w:eastAsia="仿宋" w:cs="仿宋"/>
          <w:b/>
          <w:bCs/>
          <w:color w:val="auto"/>
          <w:sz w:val="22"/>
          <w:szCs w:val="28"/>
          <w:highlight w:val="none"/>
        </w:rPr>
        <w:t>硬件采购</w:t>
      </w:r>
      <w:bookmarkEnd w:id="82"/>
      <w:bookmarkEnd w:id="83"/>
    </w:p>
    <w:p w14:paraId="34F91901">
      <w:pPr>
        <w:snapToGrid w:val="0"/>
        <w:spacing w:line="360" w:lineRule="auto"/>
        <w:ind w:firstLine="442" w:firstLineChars="200"/>
        <w:outlineLvl w:val="2"/>
        <w:rPr>
          <w:color w:val="auto"/>
          <w:highlight w:val="none"/>
        </w:rPr>
      </w:pPr>
      <w:bookmarkStart w:id="84" w:name="_Toc447244821"/>
      <w:r>
        <w:rPr>
          <w:rFonts w:hint="eastAsia" w:ascii="仿宋" w:hAnsi="仿宋" w:eastAsia="仿宋" w:cs="仿宋"/>
          <w:b/>
          <w:color w:val="auto"/>
          <w:sz w:val="22"/>
          <w:szCs w:val="22"/>
          <w:highlight w:val="none"/>
        </w:rPr>
        <w:t>（一）设备配置要求</w:t>
      </w:r>
      <w:bookmarkEnd w:id="84"/>
    </w:p>
    <w:tbl>
      <w:tblPr>
        <w:tblStyle w:val="15"/>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9"/>
        <w:gridCol w:w="1245"/>
        <w:gridCol w:w="7381"/>
        <w:gridCol w:w="885"/>
      </w:tblGrid>
      <w:tr w14:paraId="64DB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5" w:hRule="atLeast"/>
          <w:jc w:val="center"/>
        </w:trPr>
        <w:tc>
          <w:tcPr>
            <w:tcW w:w="769" w:type="dxa"/>
            <w:noWrap w:val="0"/>
            <w:vAlign w:val="center"/>
          </w:tcPr>
          <w:p w14:paraId="7EFF13B4">
            <w:pPr>
              <w:spacing w:line="46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序号</w:t>
            </w:r>
          </w:p>
        </w:tc>
        <w:tc>
          <w:tcPr>
            <w:tcW w:w="1245" w:type="dxa"/>
            <w:noWrap w:val="0"/>
            <w:vAlign w:val="center"/>
          </w:tcPr>
          <w:p w14:paraId="3551C8B5">
            <w:pPr>
              <w:spacing w:line="46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设备名称</w:t>
            </w:r>
          </w:p>
        </w:tc>
        <w:tc>
          <w:tcPr>
            <w:tcW w:w="7381" w:type="dxa"/>
            <w:noWrap w:val="0"/>
            <w:vAlign w:val="center"/>
          </w:tcPr>
          <w:p w14:paraId="1ECF1F33">
            <w:pPr>
              <w:spacing w:line="46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主要性能指标</w:t>
            </w:r>
          </w:p>
        </w:tc>
        <w:tc>
          <w:tcPr>
            <w:tcW w:w="885" w:type="dxa"/>
            <w:noWrap w:val="0"/>
            <w:vAlign w:val="center"/>
          </w:tcPr>
          <w:p w14:paraId="01C4E028">
            <w:pPr>
              <w:spacing w:line="46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数量</w:t>
            </w:r>
          </w:p>
        </w:tc>
      </w:tr>
      <w:tr w14:paraId="1E3C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769" w:type="dxa"/>
            <w:noWrap w:val="0"/>
            <w:vAlign w:val="center"/>
          </w:tcPr>
          <w:p w14:paraId="432E7272">
            <w:pPr>
              <w:spacing w:line="46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w:t>
            </w:r>
          </w:p>
        </w:tc>
        <w:tc>
          <w:tcPr>
            <w:tcW w:w="1245" w:type="dxa"/>
            <w:noWrap w:val="0"/>
            <w:vAlign w:val="center"/>
          </w:tcPr>
          <w:p w14:paraId="03249105">
            <w:pPr>
              <w:spacing w:line="460" w:lineRule="exact"/>
              <w:jc w:val="center"/>
              <w:rPr>
                <w:rFonts w:hint="eastAsia" w:ascii="仿宋" w:hAnsi="仿宋" w:eastAsia="仿宋" w:cs="仿宋"/>
                <w:color w:val="auto"/>
                <w:sz w:val="22"/>
                <w:szCs w:val="28"/>
                <w:highlight w:val="none"/>
              </w:rPr>
            </w:pPr>
            <w:r>
              <w:rPr>
                <w:rFonts w:hint="eastAsia" w:ascii="仿宋_GB2312" w:hAnsi="仿宋_GB2312" w:eastAsia="仿宋_GB2312" w:cs="仿宋_GB2312"/>
                <w:color w:val="auto"/>
                <w:szCs w:val="28"/>
                <w:highlight w:val="none"/>
              </w:rPr>
              <w:t>基于大模型的警情推理算法一体机</w:t>
            </w:r>
          </w:p>
        </w:tc>
        <w:tc>
          <w:tcPr>
            <w:tcW w:w="7381" w:type="dxa"/>
            <w:noWrap w:val="0"/>
            <w:vAlign w:val="center"/>
          </w:tcPr>
          <w:p w14:paraId="77588555">
            <w:pPr>
              <w:spacing w:line="46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一、硬件配置</w:t>
            </w:r>
          </w:p>
          <w:p w14:paraId="3782E52A">
            <w:pPr>
              <w:spacing w:line="46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1、CPU：Hygon 5380系列处理器</w:t>
            </w:r>
          </w:p>
          <w:p w14:paraId="49FB19CF">
            <w:pPr>
              <w:spacing w:line="46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2、内存：32G *2，支持16个DDR4插槽，支持RDIMM内存，支持ECC，最高工作频率3200MHz</w:t>
            </w:r>
          </w:p>
          <w:p w14:paraId="3B46D902">
            <w:pPr>
              <w:spacing w:line="46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3、存储控制器： 4GB SAS 8口RAID卡</w:t>
            </w:r>
          </w:p>
          <w:p w14:paraId="1A9B18D0">
            <w:pPr>
              <w:spacing w:line="460" w:lineRule="exact"/>
              <w:rPr>
                <w:rFonts w:ascii="仿宋" w:hAnsi="仿宋" w:eastAsia="仿宋" w:cs="仿宋"/>
                <w:color w:val="auto"/>
                <w:sz w:val="22"/>
                <w:szCs w:val="28"/>
                <w:highlight w:val="none"/>
              </w:rPr>
            </w:pPr>
            <w:r>
              <w:rPr>
                <w:rFonts w:hint="eastAsia" w:ascii="仿宋" w:hAnsi="仿宋" w:eastAsia="仿宋" w:cs="仿宋"/>
                <w:color w:val="auto"/>
                <w:sz w:val="22"/>
                <w:szCs w:val="28"/>
                <w:highlight w:val="none"/>
              </w:rPr>
              <w:t>4、硬盘：4TB 3.5 7.2K 6Gb SATA硬盘*3 /480G 2.5 SATA 6Gb R SSD</w:t>
            </w:r>
          </w:p>
          <w:p w14:paraId="26ED86AD">
            <w:pPr>
              <w:spacing w:line="460" w:lineRule="exact"/>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5、AI加速卡：</w:t>
            </w:r>
            <w:r>
              <w:rPr>
                <w:rFonts w:ascii="仿宋" w:hAnsi="仿宋" w:eastAsia="仿宋" w:cs="仿宋"/>
                <w:color w:val="auto"/>
                <w:sz w:val="22"/>
                <w:szCs w:val="28"/>
                <w:highlight w:val="none"/>
              </w:rPr>
              <w:t>寒武纪</w:t>
            </w:r>
            <w:r>
              <w:rPr>
                <w:rFonts w:hint="eastAsia" w:ascii="仿宋" w:hAnsi="仿宋" w:eastAsia="仿宋" w:cs="仿宋"/>
                <w:color w:val="auto"/>
                <w:sz w:val="22"/>
                <w:szCs w:val="28"/>
                <w:highlight w:val="none"/>
              </w:rPr>
              <w:t xml:space="preserve"> MLU370系列 </w:t>
            </w:r>
          </w:p>
          <w:p w14:paraId="14645D54">
            <w:pPr>
              <w:spacing w:line="460" w:lineRule="exact"/>
              <w:rPr>
                <w:rFonts w:hint="eastAsia" w:ascii="仿宋" w:hAnsi="仿宋" w:eastAsia="仿宋" w:cs="仿宋"/>
                <w:color w:val="auto"/>
                <w:sz w:val="22"/>
                <w:szCs w:val="28"/>
                <w:highlight w:val="none"/>
              </w:rPr>
            </w:pPr>
            <w:r>
              <w:rPr>
                <w:rFonts w:ascii="仿宋" w:hAnsi="仿宋" w:eastAsia="仿宋" w:cs="仿宋"/>
                <w:color w:val="auto"/>
                <w:sz w:val="22"/>
                <w:szCs w:val="28"/>
                <w:highlight w:val="none"/>
              </w:rPr>
              <w:t>6</w:t>
            </w:r>
            <w:r>
              <w:rPr>
                <w:rFonts w:hint="eastAsia" w:ascii="仿宋" w:hAnsi="仿宋" w:eastAsia="仿宋" w:cs="仿宋"/>
                <w:color w:val="auto"/>
                <w:sz w:val="22"/>
                <w:szCs w:val="28"/>
                <w:highlight w:val="none"/>
              </w:rPr>
              <w:t>、网络：板载双口千兆RJ45网卡，双口10G SFP+无模块光纤网卡</w:t>
            </w:r>
          </w:p>
          <w:p w14:paraId="54B47C9F">
            <w:pPr>
              <w:spacing w:line="460" w:lineRule="exact"/>
              <w:rPr>
                <w:rFonts w:hint="eastAsia" w:ascii="仿宋" w:hAnsi="仿宋" w:eastAsia="仿宋" w:cs="仿宋"/>
                <w:color w:val="auto"/>
                <w:sz w:val="22"/>
                <w:szCs w:val="28"/>
                <w:highlight w:val="none"/>
              </w:rPr>
            </w:pPr>
            <w:r>
              <w:rPr>
                <w:rFonts w:ascii="仿宋" w:hAnsi="仿宋" w:eastAsia="仿宋" w:cs="仿宋"/>
                <w:color w:val="auto"/>
                <w:sz w:val="22"/>
                <w:szCs w:val="28"/>
                <w:highlight w:val="none"/>
              </w:rPr>
              <w:t>7</w:t>
            </w:r>
            <w:r>
              <w:rPr>
                <w:rFonts w:hint="eastAsia" w:ascii="仿宋" w:hAnsi="仿宋" w:eastAsia="仿宋" w:cs="仿宋"/>
                <w:color w:val="auto"/>
                <w:sz w:val="22"/>
                <w:szCs w:val="28"/>
                <w:highlight w:val="none"/>
              </w:rPr>
              <w:t>、电源：1300W 电源模块*2</w:t>
            </w:r>
          </w:p>
          <w:p w14:paraId="29F68CF7">
            <w:pPr>
              <w:spacing w:line="460" w:lineRule="exact"/>
              <w:rPr>
                <w:rFonts w:ascii="仿宋" w:hAnsi="仿宋" w:eastAsia="仿宋" w:cs="仿宋"/>
                <w:color w:val="auto"/>
                <w:sz w:val="22"/>
                <w:szCs w:val="28"/>
                <w:highlight w:val="none"/>
              </w:rPr>
            </w:pPr>
            <w:r>
              <w:rPr>
                <w:rFonts w:ascii="仿宋" w:hAnsi="仿宋" w:eastAsia="仿宋" w:cs="仿宋"/>
                <w:color w:val="auto"/>
                <w:sz w:val="22"/>
                <w:szCs w:val="28"/>
                <w:highlight w:val="none"/>
              </w:rPr>
              <w:t>8</w:t>
            </w:r>
            <w:r>
              <w:rPr>
                <w:rFonts w:hint="eastAsia" w:ascii="仿宋" w:hAnsi="仿宋" w:eastAsia="仿宋" w:cs="仿宋"/>
                <w:color w:val="auto"/>
                <w:sz w:val="22"/>
                <w:szCs w:val="28"/>
                <w:highlight w:val="none"/>
              </w:rPr>
              <w:t>、操作系统：支持银河麒麟服务器操作系统，支持龙蜥等国产操作系统</w:t>
            </w:r>
          </w:p>
          <w:p w14:paraId="0F1897C8">
            <w:pPr>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二、模型能力</w:t>
            </w:r>
          </w:p>
          <w:p w14:paraId="099D331D">
            <w:pPr>
              <w:snapToGrid w:val="0"/>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1、警情文本规范化：识别并剔除警情内容文本描述中的重复信息、冗余信息、结构化信息</w:t>
            </w:r>
          </w:p>
          <w:p w14:paraId="229CF61D">
            <w:pPr>
              <w:snapToGrid w:val="0"/>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2、警情筛选：支持从本市全量原始警情中，筛选出与</w:t>
            </w:r>
            <w:r>
              <w:rPr>
                <w:rFonts w:hint="eastAsia" w:ascii="仿宋_GB2312" w:hAnsi="仿宋_GB2312" w:eastAsia="仿宋_GB2312" w:cs="仿宋_GB2312"/>
                <w:color w:val="auto"/>
                <w:sz w:val="22"/>
                <w:szCs w:val="22"/>
                <w:highlight w:val="none"/>
                <w:lang w:eastAsia="zh-CN"/>
              </w:rPr>
              <w:t>GRJD</w:t>
            </w:r>
            <w:r>
              <w:rPr>
                <w:rFonts w:hint="eastAsia" w:ascii="仿宋_GB2312" w:hAnsi="仿宋_GB2312" w:eastAsia="仿宋_GB2312" w:cs="仿宋_GB2312"/>
                <w:color w:val="auto"/>
                <w:sz w:val="22"/>
                <w:szCs w:val="22"/>
                <w:highlight w:val="none"/>
              </w:rPr>
              <w:t>或矛盾纠纷相关的警情</w:t>
            </w:r>
          </w:p>
          <w:p w14:paraId="18607CBF">
            <w:pPr>
              <w:snapToGrid w:val="0"/>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3、警情分类：支持将警情按照矛盾纠纷的细分类型进行分类</w:t>
            </w:r>
          </w:p>
          <w:p w14:paraId="21633757">
            <w:pPr>
              <w:snapToGrid w:val="0"/>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4、多维背景风险分级：支持对原始警情中涉事人员的背景风险研判，对不同背景信息进行风险分级</w:t>
            </w:r>
          </w:p>
          <w:p w14:paraId="62669A4A">
            <w:pPr>
              <w:snapToGrid w:val="0"/>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5、一事多报分析：支持对警情内容涉及事件的重合度判断，找出不同警情事件之间的关联性</w:t>
            </w:r>
          </w:p>
          <w:p w14:paraId="427186A0">
            <w:pPr>
              <w:snapToGrid w:val="0"/>
              <w:spacing w:line="360" w:lineRule="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6、警情关联分析：支持原始警情结合关联的历史警情进行分析</w:t>
            </w:r>
          </w:p>
          <w:p w14:paraId="2A92EEA4">
            <w:pPr>
              <w:snapToGrid w:val="0"/>
              <w:spacing w:line="360" w:lineRule="auto"/>
              <w:rPr>
                <w:rFonts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7、线索推荐：支持从警情中推荐出已经具有明显的</w:t>
            </w:r>
            <w:r>
              <w:rPr>
                <w:rFonts w:hint="eastAsia" w:ascii="仿宋_GB2312" w:hAnsi="仿宋_GB2312" w:eastAsia="仿宋_GB2312" w:cs="仿宋_GB2312"/>
                <w:color w:val="auto"/>
                <w:sz w:val="22"/>
                <w:szCs w:val="22"/>
                <w:highlight w:val="none"/>
                <w:lang w:eastAsia="zh-CN"/>
              </w:rPr>
              <w:t>GRJD</w:t>
            </w:r>
            <w:r>
              <w:rPr>
                <w:rFonts w:hint="eastAsia" w:ascii="仿宋_GB2312" w:hAnsi="仿宋_GB2312" w:eastAsia="仿宋_GB2312" w:cs="仿宋_GB2312"/>
                <w:color w:val="auto"/>
                <w:sz w:val="22"/>
                <w:szCs w:val="22"/>
                <w:highlight w:val="none"/>
              </w:rPr>
              <w:t>或者恶性事件特征的线索</w:t>
            </w:r>
          </w:p>
          <w:p w14:paraId="5747EDC5">
            <w:pPr>
              <w:pStyle w:val="6"/>
              <w:rPr>
                <w:rFonts w:hint="eastAsia"/>
                <w:color w:val="auto"/>
                <w:highlight w:val="none"/>
                <w:lang w:val="en-US"/>
              </w:rPr>
            </w:pPr>
            <w:r>
              <w:rPr>
                <w:rFonts w:hint="eastAsia"/>
                <w:color w:val="auto"/>
                <w:highlight w:val="none"/>
                <w:lang w:val="en-US"/>
              </w:rPr>
              <w:t>8</w:t>
            </w:r>
            <w:r>
              <w:rPr>
                <w:rFonts w:hint="eastAsia" w:ascii="仿宋_GB2312" w:hAnsi="仿宋_GB2312" w:eastAsia="仿宋_GB2312" w:cs="仿宋_GB2312"/>
                <w:snapToGrid/>
                <w:color w:val="auto"/>
                <w:sz w:val="22"/>
                <w:szCs w:val="22"/>
                <w:highlight w:val="none"/>
                <w:lang w:val="en-US"/>
              </w:rPr>
              <w:t>、以上能力对外提供可调用接口服务</w:t>
            </w:r>
          </w:p>
        </w:tc>
        <w:tc>
          <w:tcPr>
            <w:tcW w:w="885" w:type="dxa"/>
            <w:noWrap w:val="0"/>
            <w:vAlign w:val="center"/>
          </w:tcPr>
          <w:p w14:paraId="07929576">
            <w:pPr>
              <w:spacing w:line="460" w:lineRule="exact"/>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4</w:t>
            </w:r>
          </w:p>
        </w:tc>
      </w:tr>
    </w:tbl>
    <w:p w14:paraId="493F32DF">
      <w:pPr>
        <w:snapToGrid w:val="0"/>
        <w:spacing w:line="360" w:lineRule="auto"/>
        <w:ind w:firstLine="442" w:firstLineChars="200"/>
        <w:rPr>
          <w:rFonts w:ascii="仿宋" w:hAnsi="仿宋" w:eastAsia="仿宋" w:cs="仿宋"/>
          <w:b/>
          <w:color w:val="auto"/>
          <w:sz w:val="22"/>
          <w:szCs w:val="22"/>
          <w:highlight w:val="none"/>
        </w:rPr>
      </w:pPr>
      <w:bookmarkStart w:id="85" w:name="_Toc650942047"/>
    </w:p>
    <w:p w14:paraId="4F4631C1">
      <w:pPr>
        <w:snapToGrid w:val="0"/>
        <w:spacing w:line="360" w:lineRule="auto"/>
        <w:ind w:firstLine="442" w:firstLineChars="200"/>
        <w:outlineLvl w:val="2"/>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w:t>
      </w:r>
      <w:bookmarkEnd w:id="85"/>
      <w:bookmarkStart w:id="86" w:name="_Toc1101286111"/>
      <w:r>
        <w:rPr>
          <w:rFonts w:hint="eastAsia" w:ascii="仿宋" w:hAnsi="仿宋" w:eastAsia="仿宋" w:cs="仿宋"/>
          <w:b/>
          <w:color w:val="auto"/>
          <w:sz w:val="22"/>
          <w:szCs w:val="22"/>
          <w:highlight w:val="none"/>
        </w:rPr>
        <w:t>性能要求</w:t>
      </w:r>
      <w:bookmarkEnd w:id="86"/>
    </w:p>
    <w:p w14:paraId="6A32DFF7">
      <w:pPr>
        <w:adjustRightInd/>
        <w:snapToGrid w:val="0"/>
        <w:spacing w:line="360" w:lineRule="auto"/>
        <w:ind w:firstLine="482"/>
        <w:rPr>
          <w:rFonts w:hint="eastAsia" w:ascii="仿宋" w:hAnsi="仿宋" w:eastAsia="仿宋" w:cs="MT Extra"/>
          <w:color w:val="auto"/>
          <w:sz w:val="22"/>
          <w:szCs w:val="22"/>
          <w:highlight w:val="none"/>
        </w:rPr>
      </w:pPr>
      <w:r>
        <w:rPr>
          <w:rFonts w:hint="eastAsia" w:ascii="仿宋_GB2312" w:hAnsi="仿宋_GB2312" w:eastAsia="仿宋_GB2312" w:cs="仿宋_GB2312"/>
          <w:color w:val="auto"/>
          <w:szCs w:val="28"/>
          <w:highlight w:val="none"/>
        </w:rPr>
        <w:t>一体机模型</w:t>
      </w:r>
      <w:r>
        <w:rPr>
          <w:rFonts w:hint="eastAsia" w:ascii="仿宋" w:hAnsi="仿宋" w:eastAsia="仿宋" w:cs="MT Extra"/>
          <w:color w:val="auto"/>
          <w:sz w:val="22"/>
          <w:szCs w:val="22"/>
          <w:highlight w:val="none"/>
        </w:rPr>
        <w:t>需满足以下性能/精度要求：（以单台服务器执行单项算法评估）</w:t>
      </w:r>
    </w:p>
    <w:p w14:paraId="3A53ACD7">
      <w:pPr>
        <w:adjustRightInd/>
        <w:snapToGrid w:val="0"/>
        <w:spacing w:line="360" w:lineRule="auto"/>
        <w:ind w:firstLine="482"/>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（1）警情文本规范化：不少于</w:t>
      </w:r>
      <w:r>
        <w:rPr>
          <w:rFonts w:hint="eastAsia" w:ascii="仿宋_GB2312" w:hAnsi="仿宋_GB2312" w:eastAsia="仿宋_GB2312" w:cs="仿宋_GB2312"/>
          <w:color w:val="auto"/>
          <w:sz w:val="24"/>
          <w:highlight w:val="none"/>
        </w:rPr>
        <w:t>10000条/小时；</w:t>
      </w:r>
    </w:p>
    <w:p w14:paraId="19285A17">
      <w:pPr>
        <w:adjustRightInd/>
        <w:snapToGrid w:val="0"/>
        <w:spacing w:line="360" w:lineRule="auto"/>
        <w:ind w:firstLine="482"/>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（2）警情筛选：不少于</w:t>
      </w:r>
      <w:r>
        <w:rPr>
          <w:rFonts w:hint="eastAsia" w:ascii="仿宋_GB2312" w:hAnsi="仿宋_GB2312" w:eastAsia="仿宋_GB2312" w:cs="仿宋_GB2312"/>
          <w:color w:val="auto"/>
          <w:sz w:val="24"/>
          <w:highlight w:val="none"/>
        </w:rPr>
        <w:t>10000条/小时；</w:t>
      </w:r>
    </w:p>
    <w:p w14:paraId="7835420D">
      <w:pPr>
        <w:adjustRightInd/>
        <w:snapToGrid w:val="0"/>
        <w:spacing w:line="360" w:lineRule="auto"/>
        <w:ind w:firstLine="482"/>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（3）警情分类：不少于</w:t>
      </w:r>
      <w:r>
        <w:rPr>
          <w:rFonts w:hint="eastAsia" w:ascii="仿宋_GB2312" w:hAnsi="仿宋_GB2312" w:eastAsia="仿宋_GB2312" w:cs="仿宋_GB2312"/>
          <w:color w:val="auto"/>
          <w:sz w:val="24"/>
          <w:highlight w:val="none"/>
        </w:rPr>
        <w:t>10000条/小时；</w:t>
      </w:r>
    </w:p>
    <w:p w14:paraId="49A4FD47">
      <w:pPr>
        <w:adjustRightInd/>
        <w:snapToGrid w:val="0"/>
        <w:spacing w:line="360" w:lineRule="auto"/>
        <w:ind w:firstLine="482"/>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（4）线索推荐：不少于</w:t>
      </w:r>
      <w:r>
        <w:rPr>
          <w:rFonts w:hint="eastAsia" w:ascii="仿宋_GB2312" w:hAnsi="仿宋_GB2312" w:eastAsia="仿宋_GB2312" w:cs="仿宋_GB2312"/>
          <w:color w:val="auto"/>
          <w:sz w:val="24"/>
          <w:highlight w:val="none"/>
        </w:rPr>
        <w:t>10000条/小时；</w:t>
      </w:r>
    </w:p>
    <w:p w14:paraId="3A2C776C">
      <w:pPr>
        <w:adjustRightInd/>
        <w:snapToGrid w:val="0"/>
        <w:spacing w:line="360" w:lineRule="auto"/>
        <w:ind w:firstLine="482"/>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（5）警情关联性分析：不少于</w:t>
      </w:r>
      <w:r>
        <w:rPr>
          <w:rFonts w:hint="eastAsia" w:ascii="仿宋_GB2312" w:hAnsi="仿宋_GB2312" w:eastAsia="仿宋_GB2312" w:cs="仿宋_GB2312"/>
          <w:color w:val="auto"/>
          <w:sz w:val="24"/>
          <w:highlight w:val="none"/>
        </w:rPr>
        <w:t>10000条/小时</w:t>
      </w:r>
      <w:r>
        <w:rPr>
          <w:rFonts w:hint="eastAsia" w:ascii="仿宋" w:hAnsi="仿宋" w:eastAsia="仿宋" w:cs="MT Extra"/>
          <w:color w:val="auto"/>
          <w:sz w:val="22"/>
          <w:szCs w:val="22"/>
          <w:highlight w:val="none"/>
        </w:rPr>
        <w:t>（以一年内的历史警情为数据范围，即一条警情比对一年历史警情计算关联分析数量为一条）；</w:t>
      </w:r>
    </w:p>
    <w:p w14:paraId="32DDC640">
      <w:pPr>
        <w:adjustRightInd/>
        <w:snapToGrid w:val="0"/>
        <w:spacing w:line="360" w:lineRule="auto"/>
        <w:ind w:firstLine="482"/>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（6）响应速度：单条警情平均响应时间不高于10s；</w:t>
      </w:r>
    </w:p>
    <w:p w14:paraId="08FD6614">
      <w:pPr>
        <w:adjustRightInd/>
        <w:snapToGrid w:val="0"/>
        <w:spacing w:line="360" w:lineRule="auto"/>
        <w:ind w:firstLine="482"/>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（7）输入警情长度：支持单条警情内容为1千字警情上下文长度；</w:t>
      </w:r>
    </w:p>
    <w:p w14:paraId="5E5B920B">
      <w:pPr>
        <w:adjustRightInd/>
        <w:snapToGrid w:val="0"/>
        <w:spacing w:line="360" w:lineRule="auto"/>
        <w:ind w:firstLine="482"/>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（8）处理速度：不低于3条/秒；</w:t>
      </w:r>
    </w:p>
    <w:p w14:paraId="55303C4A">
      <w:pPr>
        <w:adjustRightInd/>
        <w:snapToGrid w:val="0"/>
        <w:spacing w:line="360" w:lineRule="auto"/>
        <w:ind w:firstLine="482"/>
        <w:rPr>
          <w:rFonts w:hint="eastAsia"/>
          <w:color w:val="auto"/>
          <w:highlight w:val="none"/>
        </w:rPr>
      </w:pPr>
      <w:r>
        <w:rPr>
          <w:rFonts w:hint="eastAsia" w:ascii="仿宋" w:hAnsi="仿宋" w:eastAsia="仿宋" w:cs="MT Extra"/>
          <w:color w:val="auto"/>
          <w:sz w:val="22"/>
          <w:szCs w:val="22"/>
          <w:highlight w:val="none"/>
        </w:rPr>
        <w:t>（9）警情筛选支持区分</w:t>
      </w:r>
      <w:r>
        <w:rPr>
          <w:rFonts w:hint="eastAsia" w:ascii="仿宋" w:hAnsi="仿宋" w:eastAsia="仿宋" w:cs="MT Extra"/>
          <w:color w:val="auto"/>
          <w:sz w:val="22"/>
          <w:szCs w:val="22"/>
          <w:highlight w:val="none"/>
          <w:lang w:eastAsia="zh-CN"/>
        </w:rPr>
        <w:t>GRJD</w:t>
      </w:r>
      <w:r>
        <w:rPr>
          <w:rFonts w:hint="eastAsia" w:ascii="仿宋" w:hAnsi="仿宋" w:eastAsia="仿宋" w:cs="MT Extra"/>
          <w:color w:val="auto"/>
          <w:sz w:val="22"/>
          <w:szCs w:val="22"/>
          <w:highlight w:val="none"/>
        </w:rPr>
        <w:t>风险警情和矛盾纠纷警情，</w:t>
      </w:r>
      <w:r>
        <w:rPr>
          <w:rFonts w:hint="eastAsia" w:ascii="仿宋" w:hAnsi="仿宋" w:eastAsia="仿宋" w:cs="MT Extra"/>
          <w:color w:val="auto"/>
          <w:sz w:val="22"/>
          <w:szCs w:val="22"/>
          <w:highlight w:val="none"/>
          <w:lang w:eastAsia="zh-CN"/>
        </w:rPr>
        <w:t>GRJD</w:t>
      </w:r>
      <w:r>
        <w:rPr>
          <w:rFonts w:hint="eastAsia" w:ascii="仿宋" w:hAnsi="仿宋" w:eastAsia="仿宋" w:cs="MT Extra"/>
          <w:color w:val="auto"/>
          <w:sz w:val="22"/>
          <w:szCs w:val="22"/>
          <w:highlight w:val="none"/>
        </w:rPr>
        <w:t>警情按严重程度分为三级，综合准确率不低于85%。综合准确率定义为：筛选正确数量/总量；</w:t>
      </w:r>
    </w:p>
    <w:p w14:paraId="4B664683">
      <w:pPr>
        <w:adjustRightInd/>
        <w:snapToGrid w:val="0"/>
        <w:spacing w:line="360" w:lineRule="auto"/>
        <w:ind w:firstLine="482"/>
        <w:rPr>
          <w:rFonts w:hint="eastAsia"/>
          <w:color w:val="auto"/>
          <w:highlight w:val="none"/>
        </w:rPr>
      </w:pPr>
      <w:r>
        <w:rPr>
          <w:rFonts w:hint="eastAsia" w:ascii="仿宋" w:hAnsi="仿宋" w:eastAsia="仿宋" w:cs="MT Extra"/>
          <w:color w:val="auto"/>
          <w:sz w:val="22"/>
          <w:szCs w:val="22"/>
          <w:highlight w:val="none"/>
        </w:rPr>
        <w:t>（10）警情分类支持区分“家庭暴力、劳资纠纷、感情纠纷、邻里冲突、家庭教育、精神疾病、债务纠纷”等细分类型，综合准确率不低于90%。综合准确率定义为：分类正确数量/已分类警情总量；</w:t>
      </w:r>
    </w:p>
    <w:p w14:paraId="2193E2B5">
      <w:pPr>
        <w:adjustRightInd/>
        <w:snapToGrid w:val="0"/>
        <w:spacing w:line="360" w:lineRule="auto"/>
        <w:ind w:firstLine="482"/>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（11）警情推荐：推荐结果的综合误识率不超过5</w:t>
      </w:r>
      <w:r>
        <w:rPr>
          <w:rFonts w:ascii="仿宋" w:hAnsi="仿宋" w:eastAsia="仿宋" w:cs="MT Extra"/>
          <w:color w:val="auto"/>
          <w:sz w:val="22"/>
          <w:szCs w:val="22"/>
          <w:highlight w:val="none"/>
        </w:rPr>
        <w:t>%</w:t>
      </w:r>
      <w:r>
        <w:rPr>
          <w:rFonts w:hint="eastAsia" w:ascii="仿宋" w:hAnsi="仿宋" w:eastAsia="仿宋" w:cs="MT Extra"/>
          <w:color w:val="auto"/>
          <w:sz w:val="22"/>
          <w:szCs w:val="22"/>
          <w:highlight w:val="none"/>
        </w:rPr>
        <w:t>，误识率定义为：（推荐警情中的非直接线索数量</w:t>
      </w:r>
      <w:r>
        <w:rPr>
          <w:rFonts w:ascii="仿宋" w:hAnsi="仿宋" w:eastAsia="仿宋" w:cs="MT Extra"/>
          <w:color w:val="auto"/>
          <w:sz w:val="22"/>
          <w:szCs w:val="22"/>
          <w:highlight w:val="none"/>
        </w:rPr>
        <w:t>+</w:t>
      </w:r>
      <w:r>
        <w:rPr>
          <w:rFonts w:hint="eastAsia" w:ascii="仿宋" w:hAnsi="仿宋" w:eastAsia="仿宋" w:cs="MT Extra"/>
          <w:color w:val="auto"/>
          <w:sz w:val="22"/>
          <w:szCs w:val="22"/>
          <w:highlight w:val="none"/>
        </w:rPr>
        <w:t>应推荐未推荐数量）/推荐警情总量；</w:t>
      </w:r>
    </w:p>
    <w:p w14:paraId="3C9A8FAB">
      <w:pPr>
        <w:numPr>
          <w:ilvl w:val="0"/>
          <w:numId w:val="0"/>
        </w:numPr>
        <w:snapToGrid w:val="0"/>
        <w:spacing w:line="360" w:lineRule="auto"/>
        <w:outlineLvl w:val="1"/>
        <w:rPr>
          <w:rFonts w:hint="eastAsia" w:ascii="仿宋" w:hAnsi="仿宋" w:eastAsia="仿宋" w:cs="仿宋"/>
          <w:b/>
          <w:bCs/>
          <w:color w:val="auto"/>
          <w:sz w:val="22"/>
          <w:szCs w:val="28"/>
          <w:highlight w:val="none"/>
        </w:rPr>
      </w:pPr>
      <w:bookmarkStart w:id="87" w:name="_Toc13340"/>
      <w:bookmarkStart w:id="88" w:name="_Toc154114084"/>
      <w:r>
        <w:rPr>
          <w:rFonts w:hint="eastAsia" w:ascii="仿宋" w:hAnsi="仿宋" w:eastAsia="仿宋" w:cs="仿宋"/>
          <w:b/>
          <w:bCs/>
          <w:color w:val="auto"/>
          <w:kern w:val="2"/>
          <w:sz w:val="22"/>
          <w:szCs w:val="28"/>
          <w:lang w:val="en-US" w:eastAsia="zh-CN" w:bidi="ar-SA"/>
        </w:rPr>
        <w:t>五、</w:t>
      </w:r>
      <w:r>
        <w:rPr>
          <w:rFonts w:hint="eastAsia" w:ascii="仿宋" w:hAnsi="仿宋" w:eastAsia="仿宋" w:cs="仿宋"/>
          <w:b/>
          <w:bCs/>
          <w:color w:val="auto"/>
          <w:sz w:val="22"/>
          <w:szCs w:val="28"/>
          <w:highlight w:val="none"/>
        </w:rPr>
        <w:t>集成要求</w:t>
      </w:r>
      <w:bookmarkEnd w:id="87"/>
      <w:bookmarkEnd w:id="88"/>
    </w:p>
    <w:p w14:paraId="76862F60">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89" w:name="_Toc330131506"/>
      <w:r>
        <w:rPr>
          <w:rFonts w:hint="eastAsia" w:ascii="仿宋" w:hAnsi="仿宋" w:eastAsia="仿宋" w:cs="仿宋"/>
          <w:b/>
          <w:color w:val="auto"/>
          <w:sz w:val="22"/>
          <w:szCs w:val="22"/>
          <w:highlight w:val="none"/>
        </w:rPr>
        <w:t>（一）项目实施要求</w:t>
      </w:r>
      <w:bookmarkEnd w:id="89"/>
    </w:p>
    <w:p w14:paraId="5903B15E">
      <w:pPr>
        <w:adjustRightInd/>
        <w:snapToGrid w:val="0"/>
        <w:spacing w:line="360" w:lineRule="auto"/>
        <w:ind w:left="105" w:firstLine="470"/>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项目建设总工期为</w:t>
      </w:r>
      <w:r>
        <w:rPr>
          <w:rFonts w:ascii="仿宋" w:hAnsi="仿宋" w:eastAsia="仿宋" w:cs="MT Extra"/>
          <w:color w:val="auto"/>
          <w:sz w:val="22"/>
          <w:szCs w:val="22"/>
          <w:highlight w:val="none"/>
        </w:rPr>
        <w:t>15</w:t>
      </w:r>
      <w:r>
        <w:rPr>
          <w:rFonts w:hint="eastAsia" w:ascii="仿宋" w:hAnsi="仿宋" w:eastAsia="仿宋" w:cs="MT Extra"/>
          <w:color w:val="auto"/>
          <w:sz w:val="22"/>
          <w:szCs w:val="22"/>
          <w:highlight w:val="none"/>
        </w:rPr>
        <w:t>个月，其中建设工期为</w:t>
      </w:r>
      <w:r>
        <w:rPr>
          <w:rFonts w:ascii="仿宋" w:hAnsi="仿宋" w:eastAsia="仿宋" w:cs="MT Extra"/>
          <w:color w:val="auto"/>
          <w:sz w:val="22"/>
          <w:szCs w:val="22"/>
          <w:highlight w:val="none"/>
        </w:rPr>
        <w:t>12</w:t>
      </w:r>
      <w:r>
        <w:rPr>
          <w:rFonts w:hint="eastAsia" w:ascii="仿宋" w:hAnsi="仿宋" w:eastAsia="仿宋" w:cs="MT Extra"/>
          <w:color w:val="auto"/>
          <w:sz w:val="22"/>
          <w:szCs w:val="22"/>
          <w:highlight w:val="none"/>
        </w:rPr>
        <w:t>个月，试运行3个月。</w:t>
      </w:r>
    </w:p>
    <w:p w14:paraId="0FB38E3E">
      <w:pPr>
        <w:adjustRightInd/>
        <w:snapToGrid w:val="0"/>
        <w:spacing w:line="360" w:lineRule="auto"/>
        <w:ind w:left="105" w:firstLine="470"/>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详细实施进度要求如下：</w:t>
      </w:r>
    </w:p>
    <w:p w14:paraId="6DA75167">
      <w:pPr>
        <w:adjustRightInd/>
        <w:snapToGrid w:val="0"/>
        <w:spacing w:line="360" w:lineRule="auto"/>
        <w:ind w:left="105" w:firstLine="470"/>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w:t>
      </w:r>
      <w:r>
        <w:rPr>
          <w:rFonts w:hint="eastAsia" w:ascii="仿宋" w:hAnsi="仿宋" w:eastAsia="仿宋" w:cs="MT Extra"/>
          <w:color w:val="auto"/>
          <w:sz w:val="22"/>
          <w:szCs w:val="22"/>
          <w:highlight w:val="none"/>
          <w:lang w:val="en-US" w:eastAsia="zh-CN"/>
        </w:rPr>
        <w:t>1</w:t>
      </w:r>
      <w:r>
        <w:rPr>
          <w:rFonts w:hint="eastAsia" w:ascii="仿宋" w:hAnsi="仿宋" w:eastAsia="仿宋" w:cs="MT Extra"/>
          <w:color w:val="auto"/>
          <w:sz w:val="22"/>
          <w:szCs w:val="22"/>
          <w:highlight w:val="none"/>
        </w:rPr>
        <w:t>）合同签订后</w:t>
      </w:r>
      <w:r>
        <w:rPr>
          <w:rFonts w:ascii="仿宋" w:hAnsi="仿宋" w:eastAsia="仿宋" w:cs="MT Extra"/>
          <w:color w:val="auto"/>
          <w:sz w:val="22"/>
          <w:szCs w:val="22"/>
          <w:highlight w:val="none"/>
        </w:rPr>
        <w:t>12</w:t>
      </w:r>
      <w:r>
        <w:rPr>
          <w:rFonts w:hint="eastAsia" w:ascii="仿宋" w:hAnsi="仿宋" w:eastAsia="仿宋" w:cs="MT Extra"/>
          <w:color w:val="auto"/>
          <w:sz w:val="22"/>
          <w:szCs w:val="22"/>
          <w:highlight w:val="none"/>
        </w:rPr>
        <w:t>个月内，完成项目开发、编码，测试，实现系统全部功能，完成调试、集成等，通过初步验收，进入试运行；</w:t>
      </w:r>
    </w:p>
    <w:p w14:paraId="6678BF0A">
      <w:pPr>
        <w:adjustRightInd/>
        <w:snapToGrid w:val="0"/>
        <w:spacing w:line="360" w:lineRule="auto"/>
        <w:ind w:left="105" w:firstLine="470"/>
        <w:rPr>
          <w:rFonts w:ascii="仿宋" w:hAnsi="仿宋" w:eastAsia="仿宋" w:cs="MT Extra"/>
          <w:color w:val="auto"/>
          <w:sz w:val="22"/>
          <w:szCs w:val="22"/>
          <w:highlight w:val="none"/>
        </w:rPr>
      </w:pPr>
      <w:r>
        <w:rPr>
          <w:rFonts w:hint="eastAsia" w:ascii="仿宋" w:hAnsi="仿宋" w:eastAsia="仿宋" w:cs="MT Extra"/>
          <w:color w:val="auto"/>
          <w:sz w:val="22"/>
          <w:szCs w:val="22"/>
          <w:highlight w:val="none"/>
        </w:rPr>
        <w:t>（</w:t>
      </w:r>
      <w:r>
        <w:rPr>
          <w:rFonts w:hint="eastAsia" w:ascii="仿宋" w:hAnsi="仿宋" w:eastAsia="仿宋" w:cs="MT Extra"/>
          <w:color w:val="auto"/>
          <w:sz w:val="22"/>
          <w:szCs w:val="22"/>
          <w:highlight w:val="none"/>
          <w:lang w:val="en-US" w:eastAsia="zh-CN"/>
        </w:rPr>
        <w:t>2</w:t>
      </w:r>
      <w:r>
        <w:rPr>
          <w:rFonts w:hint="eastAsia" w:ascii="仿宋" w:hAnsi="仿宋" w:eastAsia="仿宋" w:cs="MT Extra"/>
          <w:color w:val="auto"/>
          <w:sz w:val="22"/>
          <w:szCs w:val="22"/>
          <w:highlight w:val="none"/>
        </w:rPr>
        <w:t>）项目通过初验后</w:t>
      </w:r>
      <w:r>
        <w:rPr>
          <w:rFonts w:hint="eastAsia" w:ascii="仿宋" w:hAnsi="仿宋" w:eastAsia="仿宋" w:cs="MT Extra"/>
          <w:color w:val="auto"/>
          <w:sz w:val="22"/>
          <w:szCs w:val="22"/>
          <w:highlight w:val="none"/>
          <w:lang w:val="en-US" w:eastAsia="zh-CN"/>
        </w:rPr>
        <w:t>3</w:t>
      </w:r>
      <w:r>
        <w:rPr>
          <w:rFonts w:hint="eastAsia" w:ascii="仿宋" w:hAnsi="仿宋" w:eastAsia="仿宋" w:cs="MT Extra"/>
          <w:color w:val="auto"/>
          <w:sz w:val="22"/>
          <w:szCs w:val="22"/>
          <w:highlight w:val="none"/>
        </w:rPr>
        <w:t>个月内完成培训、试运行，系统修改完善后正常、稳定运行，经竣工验收，进入维护期。</w:t>
      </w:r>
    </w:p>
    <w:p w14:paraId="47ECAED7">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90" w:name="_Toc1569961141"/>
      <w:r>
        <w:rPr>
          <w:rFonts w:hint="eastAsia" w:ascii="仿宋" w:hAnsi="仿宋" w:eastAsia="仿宋" w:cs="仿宋"/>
          <w:b/>
          <w:color w:val="auto"/>
          <w:sz w:val="22"/>
          <w:szCs w:val="22"/>
          <w:highlight w:val="none"/>
        </w:rPr>
        <w:t>（二）运维要求</w:t>
      </w:r>
      <w:bookmarkEnd w:id="90"/>
    </w:p>
    <w:p w14:paraId="629B86B8">
      <w:pPr>
        <w:snapToGrid w:val="0"/>
        <w:spacing w:line="360" w:lineRule="auto"/>
        <w:ind w:firstLine="420"/>
        <w:jc w:val="left"/>
        <w:rPr>
          <w:rFonts w:hint="eastAsia" w:ascii="仿宋" w:hAnsi="仿宋" w:eastAsia="仿宋" w:cs="仿宋"/>
          <w:color w:val="auto"/>
          <w:sz w:val="22"/>
          <w:szCs w:val="28"/>
          <w:highlight w:val="none"/>
        </w:rPr>
      </w:pPr>
      <w:r>
        <w:rPr>
          <w:rFonts w:hint="eastAsia" w:ascii="仿宋" w:hAnsi="仿宋" w:eastAsia="仿宋" w:cs="MT Extra"/>
          <w:color w:val="auto"/>
          <w:sz w:val="22"/>
          <w:szCs w:val="22"/>
          <w:highlight w:val="none"/>
        </w:rPr>
        <w:t>（1）</w:t>
      </w:r>
      <w:r>
        <w:rPr>
          <w:rFonts w:hint="eastAsia" w:ascii="仿宋" w:hAnsi="仿宋" w:eastAsia="仿宋" w:cs="仿宋"/>
          <w:color w:val="auto"/>
          <w:sz w:val="22"/>
          <w:szCs w:val="28"/>
          <w:highlight w:val="none"/>
        </w:rPr>
        <w:t>项目正式运行并终验后，软件部分中标方提供不少于3年免费运维，硬件及嵌入软件部分中标方提供不少于5年免费运维。运维服务内容</w:t>
      </w:r>
      <w:r>
        <w:rPr>
          <w:rFonts w:hint="eastAsia" w:ascii="仿宋" w:hAnsi="仿宋" w:eastAsia="仿宋" w:cs="仿宋"/>
          <w:color w:val="auto"/>
          <w:sz w:val="24"/>
          <w:highlight w:val="none"/>
        </w:rPr>
        <w:t xml:space="preserve">包括日常基础维护、软件和算法的升级、功能完善、故障排除、性能调优、相关信息化建设咨询服务等，并负责系统的开发、集成，处理、协调与各系统软件等供应商的关系等。 </w:t>
      </w:r>
    </w:p>
    <w:p w14:paraId="4724F1C5">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MT Extra"/>
          <w:color w:val="auto"/>
          <w:sz w:val="22"/>
          <w:szCs w:val="22"/>
          <w:highlight w:val="none"/>
        </w:rPr>
        <w:t>（2）</w:t>
      </w:r>
      <w:r>
        <w:rPr>
          <w:rFonts w:hint="eastAsia" w:ascii="仿宋" w:hAnsi="仿宋" w:eastAsia="仿宋" w:cs="仿宋"/>
          <w:color w:val="auto"/>
          <w:sz w:val="22"/>
          <w:szCs w:val="28"/>
          <w:highlight w:val="none"/>
        </w:rPr>
        <w:t>中标单位组织项目组核心成员成立运维团队驻场负责系统的日常运行维护工作，要求运行团队制定运维服务标准规范，设置统一对外服务台，提供专业化的技术服务，保障系统稳定运行，负责网络安全、技术支持、系统培训、系统运维、数据统计等日常工作。</w:t>
      </w:r>
    </w:p>
    <w:p w14:paraId="74AAF006">
      <w:pPr>
        <w:snapToGrid w:val="0"/>
        <w:spacing w:line="360" w:lineRule="auto"/>
        <w:ind w:firstLine="440" w:firstLineChars="200"/>
        <w:rPr>
          <w:rFonts w:ascii="仿宋" w:hAnsi="仿宋" w:eastAsia="仿宋" w:cs="仿宋"/>
          <w:color w:val="auto"/>
          <w:sz w:val="22"/>
          <w:szCs w:val="28"/>
          <w:highlight w:val="none"/>
        </w:rPr>
      </w:pPr>
      <w:r>
        <w:rPr>
          <w:rFonts w:hint="eastAsia" w:ascii="仿宋" w:hAnsi="仿宋" w:eastAsia="仿宋" w:cs="MT Extra"/>
          <w:color w:val="auto"/>
          <w:sz w:val="22"/>
          <w:szCs w:val="22"/>
          <w:highlight w:val="none"/>
        </w:rPr>
        <w:t>（3）</w:t>
      </w:r>
      <w:r>
        <w:rPr>
          <w:rFonts w:hint="eastAsia" w:ascii="仿宋" w:hAnsi="仿宋" w:eastAsia="仿宋" w:cs="仿宋"/>
          <w:color w:val="auto"/>
          <w:sz w:val="22"/>
          <w:szCs w:val="28"/>
          <w:highlight w:val="none"/>
        </w:rPr>
        <w:t>合同维护期内（含免费运维期），中标单位提供7*24小时服务，根据系统故障等级，满足“1 小时内做出明确响应和安排，现场 响应时间要求是接到用户需求电话后 24 小时内到达”的要求。系统瘫痪的，在1</w:t>
      </w:r>
      <w:r>
        <w:rPr>
          <w:rFonts w:ascii="仿宋" w:hAnsi="仿宋" w:eastAsia="仿宋" w:cs="仿宋"/>
          <w:color w:val="auto"/>
          <w:sz w:val="22"/>
          <w:szCs w:val="28"/>
          <w:highlight w:val="none"/>
        </w:rPr>
        <w:t>5</w:t>
      </w:r>
      <w:r>
        <w:rPr>
          <w:rFonts w:hint="eastAsia" w:ascii="仿宋" w:hAnsi="仿宋" w:eastAsia="仿宋" w:cs="仿宋"/>
          <w:color w:val="auto"/>
          <w:sz w:val="22"/>
          <w:szCs w:val="28"/>
          <w:highlight w:val="none"/>
        </w:rPr>
        <w:t>分钟内响应，并派工程师现场解决问题；系统严重故障，部分服务不正常，但系统仍可运行，在 30 分钟内响应，并派工程师现场解决问题；系统个别服务不正常，但不影响整个系统运行，在1小时内响应，并派工程师现场解决问题。</w:t>
      </w:r>
    </w:p>
    <w:p w14:paraId="5A5A4A5E">
      <w:pPr>
        <w:snapToGrid w:val="0"/>
        <w:spacing w:line="360" w:lineRule="auto"/>
        <w:ind w:firstLine="420" w:firstLineChars="200"/>
        <w:rPr>
          <w:rFonts w:hint="eastAsia" w:ascii="仿宋" w:hAnsi="仿宋" w:eastAsia="仿宋" w:cs="仿宋"/>
          <w:color w:val="auto"/>
          <w:sz w:val="22"/>
          <w:szCs w:val="28"/>
          <w:highlight w:val="none"/>
        </w:rPr>
      </w:pPr>
      <w:r>
        <w:rPr>
          <w:rFonts w:hint="eastAsia"/>
          <w:color w:val="auto"/>
          <w:highlight w:val="none"/>
        </w:rPr>
        <w:t>（</w:t>
      </w:r>
      <w:r>
        <w:rPr>
          <w:rFonts w:hint="eastAsia" w:ascii="仿宋" w:hAnsi="仿宋" w:eastAsia="仿宋" w:cs="MT Extra"/>
          <w:color w:val="auto"/>
          <w:sz w:val="22"/>
          <w:szCs w:val="22"/>
          <w:highlight w:val="none"/>
        </w:rPr>
        <w:t>4）中标对本项目在系统安装验收后每月派专业的运维工程师 对系统进行系统巡检，现场对系统进行测试及优化，及时发现系统存 在的故障或潜在的问题，提早消除故障隐患，确保系统安全、稳定、 高效地运行。</w:t>
      </w:r>
    </w:p>
    <w:p w14:paraId="7CBCCDFD">
      <w:pPr>
        <w:snapToGrid w:val="0"/>
        <w:spacing w:line="360" w:lineRule="auto"/>
        <w:ind w:firstLine="442" w:firstLineChars="200"/>
        <w:outlineLvl w:val="2"/>
        <w:rPr>
          <w:rFonts w:hint="eastAsia" w:ascii="仿宋" w:hAnsi="仿宋" w:eastAsia="仿宋" w:cs="仿宋"/>
          <w:color w:val="auto"/>
          <w:sz w:val="22"/>
          <w:szCs w:val="28"/>
          <w:highlight w:val="none"/>
        </w:rPr>
      </w:pPr>
      <w:bookmarkStart w:id="91" w:name="_Toc205326098"/>
      <w:bookmarkStart w:id="92" w:name="_Toc25503"/>
      <w:bookmarkStart w:id="93" w:name="_Toc1963240492"/>
      <w:bookmarkStart w:id="94" w:name="_Toc31025"/>
      <w:bookmarkStart w:id="95" w:name="_Toc9433"/>
      <w:bookmarkStart w:id="96" w:name="_Toc101700937"/>
      <w:r>
        <w:rPr>
          <w:rFonts w:hint="eastAsia" w:ascii="仿宋" w:hAnsi="仿宋" w:eastAsia="仿宋" w:cs="仿宋"/>
          <w:b/>
          <w:color w:val="auto"/>
          <w:sz w:val="22"/>
          <w:szCs w:val="22"/>
          <w:highlight w:val="none"/>
        </w:rPr>
        <w:t>（三）培训要求</w:t>
      </w:r>
      <w:bookmarkEnd w:id="91"/>
    </w:p>
    <w:bookmarkEnd w:id="92"/>
    <w:bookmarkEnd w:id="93"/>
    <w:bookmarkEnd w:id="94"/>
    <w:bookmarkEnd w:id="95"/>
    <w:bookmarkEnd w:id="96"/>
    <w:p w14:paraId="45251EDE">
      <w:pPr>
        <w:snapToGrid w:val="0"/>
        <w:spacing w:line="360" w:lineRule="auto"/>
        <w:ind w:firstLine="440" w:firstLineChars="200"/>
        <w:rPr>
          <w:rFonts w:hint="eastAsia" w:ascii="仿宋" w:hAnsi="仿宋" w:eastAsia="仿宋" w:cs="仿宋"/>
          <w:color w:val="auto"/>
          <w:sz w:val="22"/>
          <w:szCs w:val="28"/>
          <w:highlight w:val="none"/>
          <w:lang w:val="zh-CN"/>
        </w:rPr>
      </w:pPr>
      <w:r>
        <w:rPr>
          <w:rFonts w:hint="eastAsia" w:ascii="仿宋" w:hAnsi="仿宋" w:eastAsia="仿宋" w:cs="仿宋"/>
          <w:color w:val="auto"/>
          <w:sz w:val="22"/>
          <w:szCs w:val="28"/>
          <w:highlight w:val="none"/>
          <w:lang w:val="zh-CN"/>
        </w:rPr>
        <w:t>针对本项目建设，将提供有针对性的培训服务，保障项目建成后相关领导、人员对系统的正常使用。培训内容包括应用开发培训、系统管理培训、系统运行维护培训等。</w:t>
      </w:r>
    </w:p>
    <w:p w14:paraId="0C1A5AF4">
      <w:pPr>
        <w:snapToGrid w:val="0"/>
        <w:spacing w:line="360" w:lineRule="auto"/>
        <w:ind w:firstLine="440" w:firstLineChars="200"/>
        <w:rPr>
          <w:rFonts w:hint="eastAsia" w:ascii="仿宋" w:hAnsi="仿宋" w:eastAsia="仿宋" w:cs="仿宋"/>
          <w:color w:val="auto"/>
          <w:sz w:val="22"/>
          <w:szCs w:val="28"/>
          <w:highlight w:val="none"/>
          <w:lang w:val="zh-CN"/>
        </w:rPr>
      </w:pPr>
      <w:r>
        <w:rPr>
          <w:rFonts w:hint="eastAsia" w:ascii="仿宋" w:hAnsi="仿宋" w:eastAsia="仿宋" w:cs="MT Extra"/>
          <w:color w:val="auto"/>
          <w:sz w:val="22"/>
          <w:szCs w:val="22"/>
          <w:highlight w:val="none"/>
        </w:rPr>
        <w:t>（1）</w:t>
      </w:r>
      <w:r>
        <w:rPr>
          <w:rFonts w:hint="eastAsia" w:ascii="仿宋" w:hAnsi="仿宋" w:eastAsia="仿宋" w:cs="仿宋"/>
          <w:color w:val="auto"/>
          <w:sz w:val="22"/>
          <w:szCs w:val="28"/>
          <w:highlight w:val="none"/>
          <w:lang w:val="zh-CN"/>
        </w:rPr>
        <w:t>培训对象：应用培训主要针对项目使用单位领导及处室有关工作人员等。</w:t>
      </w:r>
    </w:p>
    <w:p w14:paraId="17AFA331">
      <w:pPr>
        <w:snapToGrid w:val="0"/>
        <w:spacing w:line="360" w:lineRule="auto"/>
        <w:ind w:firstLine="440" w:firstLineChars="200"/>
        <w:rPr>
          <w:rFonts w:hint="eastAsia" w:ascii="仿宋" w:hAnsi="仿宋" w:eastAsia="仿宋" w:cs="仿宋"/>
          <w:color w:val="auto"/>
          <w:sz w:val="22"/>
          <w:szCs w:val="28"/>
          <w:highlight w:val="none"/>
          <w:lang w:val="zh-CN"/>
        </w:rPr>
      </w:pPr>
      <w:r>
        <w:rPr>
          <w:rFonts w:hint="eastAsia" w:ascii="仿宋" w:hAnsi="仿宋" w:eastAsia="仿宋" w:cs="MT Extra"/>
          <w:color w:val="auto"/>
          <w:sz w:val="22"/>
          <w:szCs w:val="22"/>
          <w:highlight w:val="none"/>
        </w:rPr>
        <w:t>（2）</w:t>
      </w:r>
      <w:r>
        <w:rPr>
          <w:rFonts w:hint="eastAsia" w:ascii="仿宋" w:hAnsi="仿宋" w:eastAsia="仿宋" w:cs="仿宋"/>
          <w:color w:val="auto"/>
          <w:sz w:val="22"/>
          <w:szCs w:val="28"/>
          <w:highlight w:val="none"/>
          <w:lang w:val="zh-CN"/>
        </w:rPr>
        <w:t>培训目的：使工作人员能达到独立运用这套系统，解决简单技术问题的水平。</w:t>
      </w:r>
    </w:p>
    <w:p w14:paraId="013622A0">
      <w:pPr>
        <w:snapToGrid w:val="0"/>
        <w:spacing w:line="360" w:lineRule="auto"/>
        <w:ind w:firstLine="440" w:firstLineChars="200"/>
        <w:rPr>
          <w:rFonts w:hint="eastAsia" w:ascii="仿宋" w:hAnsi="仿宋" w:eastAsia="仿宋" w:cs="仿宋"/>
          <w:color w:val="auto"/>
          <w:sz w:val="22"/>
          <w:szCs w:val="28"/>
          <w:highlight w:val="none"/>
          <w:lang w:val="zh-CN"/>
        </w:rPr>
      </w:pPr>
      <w:r>
        <w:rPr>
          <w:rFonts w:hint="eastAsia" w:ascii="仿宋" w:hAnsi="仿宋" w:eastAsia="仿宋" w:cs="MT Extra"/>
          <w:color w:val="auto"/>
          <w:sz w:val="22"/>
          <w:szCs w:val="22"/>
          <w:highlight w:val="none"/>
        </w:rPr>
        <w:t>（3）</w:t>
      </w:r>
      <w:r>
        <w:rPr>
          <w:rFonts w:hint="eastAsia" w:ascii="仿宋" w:hAnsi="仿宋" w:eastAsia="仿宋" w:cs="仿宋"/>
          <w:color w:val="auto"/>
          <w:sz w:val="22"/>
          <w:szCs w:val="28"/>
          <w:highlight w:val="none"/>
          <w:lang w:val="zh-CN"/>
        </w:rPr>
        <w:t>培训方式：集中授课和现场操作应用指导培训，不少于</w:t>
      </w:r>
      <w:r>
        <w:rPr>
          <w:rFonts w:hint="eastAsia" w:ascii="仿宋" w:hAnsi="仿宋" w:eastAsia="仿宋" w:cs="仿宋"/>
          <w:color w:val="auto"/>
          <w:sz w:val="22"/>
          <w:szCs w:val="28"/>
          <w:highlight w:val="none"/>
          <w:lang w:val="en-US" w:eastAsia="zh-CN"/>
        </w:rPr>
        <w:t>2</w:t>
      </w:r>
      <w:r>
        <w:rPr>
          <w:rFonts w:hint="eastAsia" w:ascii="仿宋" w:hAnsi="仿宋" w:eastAsia="仿宋" w:cs="仿宋"/>
          <w:color w:val="auto"/>
          <w:sz w:val="22"/>
          <w:szCs w:val="28"/>
          <w:highlight w:val="none"/>
          <w:lang w:val="zh-CN"/>
        </w:rPr>
        <w:t>次，每次培训天数不少于1天。</w:t>
      </w:r>
    </w:p>
    <w:p w14:paraId="174AD3E3">
      <w:pPr>
        <w:snapToGrid w:val="0"/>
        <w:spacing w:line="360" w:lineRule="auto"/>
        <w:ind w:firstLine="440" w:firstLineChars="200"/>
        <w:rPr>
          <w:color w:val="auto"/>
          <w:highlight w:val="none"/>
        </w:rPr>
      </w:pPr>
      <w:r>
        <w:rPr>
          <w:rFonts w:hint="eastAsia" w:ascii="仿宋" w:hAnsi="仿宋" w:eastAsia="仿宋" w:cs="MT Extra"/>
          <w:color w:val="auto"/>
          <w:sz w:val="22"/>
          <w:szCs w:val="22"/>
          <w:highlight w:val="none"/>
        </w:rPr>
        <w:t>（4）</w:t>
      </w:r>
      <w:r>
        <w:rPr>
          <w:rFonts w:hint="eastAsia" w:ascii="仿宋" w:hAnsi="仿宋" w:eastAsia="仿宋" w:cs="MT Extra"/>
          <w:color w:val="auto"/>
          <w:sz w:val="22"/>
          <w:szCs w:val="22"/>
          <w:highlight w:val="none"/>
          <w:lang w:val="zh-CN"/>
        </w:rPr>
        <w:t>培训</w:t>
      </w:r>
      <w:r>
        <w:rPr>
          <w:rFonts w:hint="eastAsia" w:ascii="仿宋" w:hAnsi="仿宋" w:eastAsia="仿宋" w:cs="MT Extra"/>
          <w:color w:val="auto"/>
          <w:sz w:val="22"/>
          <w:szCs w:val="22"/>
          <w:highlight w:val="none"/>
        </w:rPr>
        <w:t>内容</w:t>
      </w:r>
      <w:r>
        <w:rPr>
          <w:rFonts w:hint="eastAsia" w:ascii="仿宋" w:hAnsi="仿宋" w:eastAsia="仿宋" w:cs="MT Extra"/>
          <w:color w:val="auto"/>
          <w:sz w:val="22"/>
          <w:szCs w:val="22"/>
          <w:highlight w:val="none"/>
          <w:lang w:val="zh-CN"/>
        </w:rPr>
        <w:t>：包含但不限于系统总体情况进行介绍、业务操作、系统功能、简单的系统故障诊断和排除等。</w:t>
      </w:r>
    </w:p>
    <w:p w14:paraId="591CAF1F">
      <w:pPr>
        <w:snapToGrid w:val="0"/>
        <w:spacing w:line="360" w:lineRule="auto"/>
        <w:ind w:firstLine="442" w:firstLineChars="200"/>
        <w:outlineLvl w:val="2"/>
        <w:rPr>
          <w:rFonts w:hint="eastAsia" w:ascii="仿宋" w:hAnsi="仿宋" w:eastAsia="仿宋" w:cs="仿宋"/>
          <w:b/>
          <w:color w:val="auto"/>
          <w:sz w:val="22"/>
          <w:szCs w:val="22"/>
          <w:highlight w:val="none"/>
        </w:rPr>
      </w:pPr>
      <w:bookmarkStart w:id="97" w:name="_Toc2056992004"/>
      <w:r>
        <w:rPr>
          <w:rFonts w:hint="eastAsia" w:ascii="仿宋" w:hAnsi="仿宋" w:eastAsia="仿宋" w:cs="仿宋"/>
          <w:b/>
          <w:color w:val="auto"/>
          <w:sz w:val="22"/>
          <w:szCs w:val="22"/>
          <w:highlight w:val="none"/>
        </w:rPr>
        <w:t>（四）</w:t>
      </w:r>
      <w:bookmarkStart w:id="98" w:name="_Toc33913540"/>
      <w:r>
        <w:rPr>
          <w:rFonts w:hint="eastAsia" w:ascii="仿宋" w:hAnsi="仿宋" w:eastAsia="仿宋" w:cs="仿宋"/>
          <w:b/>
          <w:color w:val="auto"/>
          <w:sz w:val="22"/>
          <w:szCs w:val="22"/>
          <w:highlight w:val="none"/>
        </w:rPr>
        <w:t>知识产权要求</w:t>
      </w:r>
      <w:bookmarkEnd w:id="97"/>
      <w:bookmarkEnd w:id="98"/>
    </w:p>
    <w:p w14:paraId="11B092A0">
      <w:pPr>
        <w:snapToGrid w:val="0"/>
        <w:spacing w:line="360" w:lineRule="auto"/>
        <w:ind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知识产权要求，成品软件的著作权归原厂家（公司）所有；建设单位委托承建单位定制开发的软件著作权归建设单位所有，项目交付时须将软件源代码与配套开发文档提供给建设单位；建设单位委托承建单位基于成品软件二次开发定制的软件，定制部分功能的著作权归建设单位所有，项目交付时须将软件源代码与配套开发文档提供给建设单位。</w:t>
      </w:r>
    </w:p>
    <w:p w14:paraId="5F21F0DE">
      <w:pPr>
        <w:numPr>
          <w:ilvl w:val="0"/>
          <w:numId w:val="0"/>
        </w:numPr>
        <w:snapToGrid w:val="0"/>
        <w:spacing w:line="360" w:lineRule="auto"/>
        <w:outlineLvl w:val="1"/>
        <w:rPr>
          <w:rFonts w:hint="eastAsia" w:ascii="仿宋" w:hAnsi="仿宋" w:eastAsia="仿宋" w:cs="仿宋"/>
          <w:b/>
          <w:bCs/>
          <w:color w:val="auto"/>
          <w:sz w:val="22"/>
          <w:szCs w:val="28"/>
          <w:highlight w:val="none"/>
        </w:rPr>
      </w:pPr>
      <w:bookmarkStart w:id="99" w:name="_Toc1672861822"/>
      <w:bookmarkStart w:id="100" w:name="_Toc5440"/>
      <w:r>
        <w:rPr>
          <w:rFonts w:hint="eastAsia" w:ascii="仿宋" w:hAnsi="仿宋" w:eastAsia="仿宋" w:cs="仿宋"/>
          <w:b/>
          <w:bCs/>
          <w:color w:val="auto"/>
          <w:kern w:val="2"/>
          <w:sz w:val="22"/>
          <w:szCs w:val="28"/>
          <w:lang w:val="en-US" w:eastAsia="zh-CN" w:bidi="ar-SA"/>
        </w:rPr>
        <w:t>六、</w:t>
      </w:r>
      <w:r>
        <w:rPr>
          <w:rFonts w:hint="eastAsia" w:ascii="仿宋" w:hAnsi="仿宋" w:eastAsia="仿宋" w:cs="仿宋"/>
          <w:b/>
          <w:bCs/>
          <w:color w:val="auto"/>
          <w:sz w:val="22"/>
          <w:szCs w:val="28"/>
          <w:highlight w:val="none"/>
        </w:rPr>
        <w:t>其他要求</w:t>
      </w:r>
      <w:bookmarkEnd w:id="99"/>
      <w:bookmarkEnd w:id="100"/>
    </w:p>
    <w:p w14:paraId="6DA01912">
      <w:pPr>
        <w:keepNext w:val="0"/>
        <w:keepLines w:val="0"/>
        <w:pageBreakBefore w:val="0"/>
        <w:kinsoku/>
        <w:wordWrap/>
        <w:overflowPunct/>
        <w:topLinePunct w:val="0"/>
        <w:bidi w:val="0"/>
        <w:adjustRightInd w:val="0"/>
        <w:snapToGrid w:val="0"/>
        <w:spacing w:line="46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MT Extra"/>
          <w:color w:val="auto"/>
          <w:sz w:val="22"/>
          <w:szCs w:val="22"/>
          <w:highlight w:val="none"/>
        </w:rPr>
        <w:t>（1）</w:t>
      </w:r>
      <w:r>
        <w:rPr>
          <w:rFonts w:hint="eastAsia" w:ascii="仿宋" w:hAnsi="仿宋" w:eastAsia="仿宋" w:cs="仿宋"/>
          <w:color w:val="auto"/>
          <w:sz w:val="22"/>
          <w:szCs w:val="28"/>
          <w:highlight w:val="none"/>
        </w:rPr>
        <w:t>本项目中交付的软硬件需全面符合XC要求。</w:t>
      </w:r>
    </w:p>
    <w:p w14:paraId="1394C5C9">
      <w:pPr>
        <w:keepNext w:val="0"/>
        <w:keepLines w:val="0"/>
        <w:pageBreakBefore w:val="0"/>
        <w:kinsoku/>
        <w:wordWrap/>
        <w:overflowPunct/>
        <w:topLinePunct w:val="0"/>
        <w:bidi w:val="0"/>
        <w:adjustRightInd w:val="0"/>
        <w:snapToGrid w:val="0"/>
        <w:spacing w:line="460" w:lineRule="exact"/>
        <w:ind w:firstLine="440" w:firstLineChars="200"/>
        <w:textAlignment w:val="auto"/>
        <w:rPr>
          <w:rFonts w:hint="eastAsia" w:ascii="仿宋" w:hAnsi="仿宋" w:eastAsia="仿宋" w:cs="仿宋"/>
          <w:color w:val="auto"/>
          <w:sz w:val="22"/>
          <w:szCs w:val="28"/>
          <w:highlight w:val="none"/>
        </w:rPr>
      </w:pPr>
      <w:r>
        <w:rPr>
          <w:rFonts w:hint="eastAsia" w:ascii="仿宋" w:hAnsi="仿宋" w:eastAsia="仿宋" w:cs="MT Extra"/>
          <w:color w:val="auto"/>
          <w:sz w:val="22"/>
          <w:szCs w:val="22"/>
          <w:highlight w:val="none"/>
        </w:rPr>
        <w:t>（2）</w:t>
      </w:r>
      <w:r>
        <w:rPr>
          <w:rFonts w:hint="eastAsia" w:ascii="仿宋" w:hAnsi="仿宋" w:eastAsia="仿宋" w:cs="仿宋"/>
          <w:color w:val="auto"/>
          <w:sz w:val="22"/>
          <w:szCs w:val="28"/>
          <w:highlight w:val="none"/>
        </w:rPr>
        <w:t>投标人交付的系统需通过三级等保测评、第三方软件（功能）测评、XC符合性测评、商用密码安全性评估。</w:t>
      </w:r>
    </w:p>
    <w:p w14:paraId="113762AB">
      <w:pPr>
        <w:keepNext w:val="0"/>
        <w:keepLines w:val="0"/>
        <w:pageBreakBefore w:val="0"/>
        <w:kinsoku/>
        <w:wordWrap/>
        <w:overflowPunct/>
        <w:topLinePunct w:val="0"/>
        <w:bidi w:val="0"/>
        <w:adjustRightInd w:val="0"/>
        <w:snapToGrid w:val="0"/>
        <w:spacing w:line="460" w:lineRule="exact"/>
        <w:ind w:firstLine="440" w:firstLineChars="200"/>
        <w:textAlignment w:val="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3）“安全、可靠、可控，是人工智能的三大红线，国家个相关部委高度关注并落实行动，对生成式人工智能生成内容做出了真实准确、内容体现社会主义核心价值观等要求。在公安场景下，生成式大模型的数据安全、内容安全、伦理安全、认知安全显得尤为重要，本项目要求投标人在交付的过程中采取切实有效的措施，保障大模型应用安全。</w:t>
      </w:r>
    </w:p>
    <w:p w14:paraId="0DDAB2FE">
      <w:pPr>
        <w:keepNext w:val="0"/>
        <w:keepLines w:val="0"/>
        <w:pageBreakBefore w:val="0"/>
        <w:kinsoku/>
        <w:wordWrap/>
        <w:overflowPunct/>
        <w:topLinePunct w:val="0"/>
        <w:bidi w:val="0"/>
        <w:adjustRightInd w:val="0"/>
        <w:snapToGrid w:val="0"/>
        <w:spacing w:line="460" w:lineRule="exact"/>
        <w:ind w:firstLine="440" w:firstLineChars="200"/>
        <w:textAlignment w:val="auto"/>
        <w:rPr>
          <w:rFonts w:hint="eastAsia" w:ascii="仿宋" w:hAnsi="仿宋" w:eastAsia="仿宋" w:cs="MT Extra"/>
          <w:color w:val="auto"/>
          <w:sz w:val="22"/>
          <w:szCs w:val="22"/>
          <w:highlight w:val="none"/>
        </w:rPr>
      </w:pPr>
      <w:r>
        <w:rPr>
          <w:rFonts w:hint="eastAsia" w:ascii="仿宋" w:hAnsi="仿宋" w:eastAsia="仿宋" w:cs="MT Extra"/>
          <w:color w:val="auto"/>
          <w:sz w:val="22"/>
          <w:szCs w:val="22"/>
          <w:highlight w:val="none"/>
        </w:rPr>
        <w:t>（4）项目实施及运维过程中产生的数据资产产权归甲方所有。</w:t>
      </w:r>
    </w:p>
    <w:p w14:paraId="190E7812">
      <w:pPr>
        <w:keepNext w:val="0"/>
        <w:keepLines w:val="0"/>
        <w:pageBreakBefore w:val="0"/>
        <w:kinsoku/>
        <w:wordWrap/>
        <w:overflowPunct/>
        <w:topLinePunct w:val="0"/>
        <w:bidi w:val="0"/>
        <w:adjustRightInd w:val="0"/>
        <w:snapToGrid w:val="0"/>
        <w:spacing w:line="460" w:lineRule="exact"/>
        <w:ind w:firstLine="440" w:firstLineChars="200"/>
        <w:textAlignment w:val="auto"/>
        <w:rPr>
          <w:rFonts w:hint="default" w:ascii="仿宋" w:hAnsi="仿宋" w:eastAsia="仿宋" w:cs="MT Extra"/>
          <w:color w:val="auto"/>
          <w:sz w:val="22"/>
          <w:szCs w:val="22"/>
          <w:highlight w:val="none"/>
          <w:lang w:val="en-US" w:eastAsia="zh-CN"/>
        </w:rPr>
      </w:pPr>
      <w:r>
        <w:rPr>
          <w:rFonts w:hint="eastAsia" w:ascii="仿宋" w:hAnsi="仿宋" w:eastAsia="仿宋" w:cs="MT Extra"/>
          <w:color w:val="auto"/>
          <w:sz w:val="22"/>
          <w:szCs w:val="22"/>
          <w:highlight w:val="none"/>
          <w:lang w:val="en-US" w:eastAsia="zh-CN"/>
        </w:rPr>
        <w:t>（5）付款方式</w:t>
      </w:r>
    </w:p>
    <w:p w14:paraId="14B5E5C7">
      <w:pPr>
        <w:pStyle w:val="14"/>
        <w:keepNext w:val="0"/>
        <w:keepLines w:val="0"/>
        <w:pageBreakBefore w:val="0"/>
        <w:kinsoku/>
        <w:wordWrap/>
        <w:overflowPunct/>
        <w:topLinePunct w:val="0"/>
        <w:bidi w:val="0"/>
        <w:adjustRightInd w:val="0"/>
        <w:spacing w:line="460" w:lineRule="exact"/>
        <w:ind w:left="0" w:leftChars="0" w:firstLine="440" w:firstLineChars="200"/>
        <w:textAlignment w:val="auto"/>
        <w:rPr>
          <w:color w:val="auto"/>
          <w:sz w:val="22"/>
          <w:szCs w:val="18"/>
          <w:highlight w:val="none"/>
        </w:rPr>
      </w:pPr>
      <w:r>
        <w:rPr>
          <w:rFonts w:hint="eastAsia" w:ascii="仿宋" w:hAnsi="仿宋" w:eastAsia="仿宋" w:cs="仿宋"/>
          <w:color w:val="auto"/>
          <w:sz w:val="22"/>
          <w:szCs w:val="18"/>
          <w:highlight w:val="none"/>
        </w:rPr>
        <w:t>在满足合同约定支付条件且财政资金到位的前提下，按如下方式支付。</w:t>
      </w:r>
    </w:p>
    <w:p w14:paraId="61BC12FB">
      <w:pPr>
        <w:keepNext w:val="0"/>
        <w:keepLines w:val="0"/>
        <w:pageBreakBefore w:val="0"/>
        <w:widowControl/>
        <w:kinsoku/>
        <w:wordWrap/>
        <w:overflowPunct/>
        <w:topLinePunct w:val="0"/>
        <w:bidi w:val="0"/>
        <w:adjustRightInd w:val="0"/>
        <w:snapToGrid w:val="0"/>
        <w:spacing w:line="460" w:lineRule="exact"/>
        <w:ind w:firstLine="389" w:firstLineChars="177"/>
        <w:jc w:val="left"/>
        <w:textAlignment w:val="auto"/>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（一）第一笔款：合同签订生效后，甲方在收到乙方提供的下列单据</w:t>
      </w:r>
      <w:r>
        <w:rPr>
          <w:rFonts w:ascii="仿宋" w:hAnsi="仿宋" w:eastAsia="仿宋" w:cs="宋体"/>
          <w:color w:val="auto"/>
          <w:kern w:val="0"/>
          <w:sz w:val="22"/>
          <w:szCs w:val="22"/>
          <w:highlight w:val="none"/>
        </w:rPr>
        <w:t>7</w:t>
      </w:r>
      <w:r>
        <w:rPr>
          <w:rFonts w:hint="eastAsia" w:ascii="仿宋" w:hAnsi="仿宋" w:eastAsia="仿宋" w:cs="宋体"/>
          <w:color w:val="auto"/>
          <w:kern w:val="0"/>
          <w:sz w:val="22"/>
          <w:szCs w:val="22"/>
          <w:highlight w:val="none"/>
        </w:rPr>
        <w:t xml:space="preserve">个工作日内，向乙方支付合同总价的 </w:t>
      </w:r>
      <w:r>
        <w:rPr>
          <w:rFonts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u w:val="single"/>
        </w:rPr>
        <w:t>40</w:t>
      </w:r>
      <w:r>
        <w:rPr>
          <w:rFonts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u w:val="single"/>
        </w:rPr>
        <w:t>%</w:t>
      </w:r>
      <w:r>
        <w:rPr>
          <w:rFonts w:hint="eastAsia" w:ascii="仿宋" w:hAnsi="仿宋" w:eastAsia="仿宋" w:cs="宋体"/>
          <w:color w:val="auto"/>
          <w:kern w:val="0"/>
          <w:sz w:val="22"/>
          <w:szCs w:val="22"/>
          <w:highlight w:val="none"/>
        </w:rPr>
        <w:t>，即人民币：</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 xml:space="preserve"> 元（大写：</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元整）；</w:t>
      </w:r>
    </w:p>
    <w:p w14:paraId="79090019">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下列单据包括：</w:t>
      </w:r>
    </w:p>
    <w:p w14:paraId="24E40519">
      <w:pPr>
        <w:widowControl/>
        <w:snapToGrid w:val="0"/>
        <w:spacing w:line="400" w:lineRule="exact"/>
        <w:ind w:firstLine="440" w:firstLineChars="20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1.等额</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(普通或者专用)增值税发票一份；</w:t>
      </w:r>
    </w:p>
    <w:p w14:paraId="23AB3962">
      <w:pPr>
        <w:widowControl/>
        <w:snapToGrid w:val="0"/>
        <w:spacing w:line="400" w:lineRule="exact"/>
        <w:ind w:firstLine="389" w:firstLineChars="177"/>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（二）第二笔款：项目完成安装、调试上线、初验合格后，甲方在收到乙方提供的下列单据7个工作日内，向乙方支付合同总价的</w:t>
      </w:r>
      <w:r>
        <w:rPr>
          <w:rFonts w:ascii="仿宋" w:hAnsi="仿宋" w:eastAsia="仿宋" w:cs="宋体"/>
          <w:color w:val="auto"/>
          <w:kern w:val="0"/>
          <w:sz w:val="22"/>
          <w:szCs w:val="22"/>
          <w:highlight w:val="none"/>
        </w:rPr>
        <w:t xml:space="preserve"> </w:t>
      </w:r>
      <w:r>
        <w:rPr>
          <w:rFonts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u w:val="single"/>
        </w:rPr>
        <w:t>30</w:t>
      </w:r>
      <w:r>
        <w:rPr>
          <w:rFonts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u w:val="single"/>
        </w:rPr>
        <w:t>%</w:t>
      </w:r>
      <w:r>
        <w:rPr>
          <w:rFonts w:hint="eastAsia" w:ascii="仿宋" w:hAnsi="仿宋" w:eastAsia="仿宋" w:cs="宋体"/>
          <w:color w:val="auto"/>
          <w:kern w:val="0"/>
          <w:sz w:val="22"/>
          <w:szCs w:val="22"/>
          <w:highlight w:val="none"/>
        </w:rPr>
        <w:t>，即人民币：</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 xml:space="preserve"> 元（大写：</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元整）；</w:t>
      </w:r>
    </w:p>
    <w:p w14:paraId="55B035FC">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下列单据包括：</w:t>
      </w:r>
    </w:p>
    <w:p w14:paraId="1CCAE7D8">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1.等额</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(普通或者专用) 增值税发票一份；</w:t>
      </w:r>
    </w:p>
    <w:p w14:paraId="39B2C8C2">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2.项目审批通过的《温州市公安局信息化项目试运行许可审批表》；</w:t>
      </w:r>
    </w:p>
    <w:p w14:paraId="166F278D">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3.甲乙双方出具的《货物验收单》（定制软件类除外）；</w:t>
      </w:r>
    </w:p>
    <w:p w14:paraId="12602033">
      <w:pPr>
        <w:widowControl/>
        <w:snapToGrid w:val="0"/>
        <w:spacing w:line="400" w:lineRule="exact"/>
        <w:ind w:firstLine="440" w:firstLineChars="200"/>
        <w:jc w:val="left"/>
        <w:rPr>
          <w:rFonts w:hint="eastAsia" w:ascii="仿宋" w:hAnsi="仿宋" w:eastAsia="仿宋" w:cs="宋体"/>
          <w:color w:val="auto"/>
          <w:kern w:val="0"/>
          <w:sz w:val="22"/>
          <w:szCs w:val="22"/>
          <w:highlight w:val="none"/>
        </w:rPr>
      </w:pP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.甲方出具的初验报告。</w:t>
      </w:r>
    </w:p>
    <w:p w14:paraId="52E3C0F7">
      <w:pPr>
        <w:widowControl/>
        <w:snapToGrid w:val="0"/>
        <w:spacing w:line="400" w:lineRule="exact"/>
        <w:ind w:firstLine="389" w:firstLineChars="177"/>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（三）第三笔款：甲方在项目通过不少于3月的试运行并经验收合格后，在收到乙方提供的下列单据</w:t>
      </w:r>
      <w:r>
        <w:rPr>
          <w:rFonts w:ascii="仿宋" w:hAnsi="仿宋" w:eastAsia="仿宋" w:cs="宋体"/>
          <w:color w:val="auto"/>
          <w:kern w:val="0"/>
          <w:sz w:val="22"/>
          <w:szCs w:val="22"/>
          <w:highlight w:val="none"/>
        </w:rPr>
        <w:t>7</w:t>
      </w:r>
      <w:r>
        <w:rPr>
          <w:rFonts w:hint="eastAsia" w:ascii="仿宋" w:hAnsi="仿宋" w:eastAsia="仿宋" w:cs="宋体"/>
          <w:color w:val="auto"/>
          <w:kern w:val="0"/>
          <w:sz w:val="22"/>
          <w:szCs w:val="22"/>
          <w:highlight w:val="none"/>
        </w:rPr>
        <w:t>个工作日内，向乙方支付合同总价的</w:t>
      </w:r>
      <w:r>
        <w:rPr>
          <w:rFonts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u w:val="single"/>
        </w:rPr>
        <w:t>30</w:t>
      </w:r>
      <w:r>
        <w:rPr>
          <w:rFonts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u w:val="single"/>
        </w:rPr>
        <w:t>%</w:t>
      </w:r>
      <w:r>
        <w:rPr>
          <w:rFonts w:hint="eastAsia" w:ascii="仿宋" w:hAnsi="仿宋" w:eastAsia="仿宋" w:cs="宋体"/>
          <w:color w:val="auto"/>
          <w:kern w:val="0"/>
          <w:sz w:val="22"/>
          <w:szCs w:val="22"/>
          <w:highlight w:val="none"/>
        </w:rPr>
        <w:t>，即人民币：</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 xml:space="preserve"> 元（大写：</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元整）；</w:t>
      </w:r>
    </w:p>
    <w:p w14:paraId="26B8B4B2">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下列单据包括：</w:t>
      </w:r>
    </w:p>
    <w:p w14:paraId="0A0D1020">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 等额</w:t>
      </w:r>
      <w:r>
        <w:rPr>
          <w:rFonts w:hint="eastAsia" w:ascii="仿宋" w:hAnsi="仿宋" w:eastAsia="仿宋" w:cs="宋体"/>
          <w:color w:val="auto"/>
          <w:kern w:val="0"/>
          <w:sz w:val="22"/>
          <w:szCs w:val="22"/>
          <w:highlight w:val="none"/>
          <w:u w:val="single"/>
        </w:rPr>
        <w:t xml:space="preserve">   </w:t>
      </w:r>
      <w:r>
        <w:rPr>
          <w:rFonts w:hint="eastAsia" w:ascii="仿宋" w:hAnsi="仿宋" w:eastAsia="仿宋" w:cs="宋体"/>
          <w:color w:val="auto"/>
          <w:kern w:val="0"/>
          <w:sz w:val="22"/>
          <w:szCs w:val="22"/>
          <w:highlight w:val="none"/>
        </w:rPr>
        <w:t>(普通或者专用)增值税发票一份；</w:t>
      </w:r>
    </w:p>
    <w:p w14:paraId="0E466AD4">
      <w:pPr>
        <w:widowControl/>
        <w:snapToGrid w:val="0"/>
        <w:spacing w:line="400" w:lineRule="exact"/>
        <w:ind w:firstLine="440" w:firstLineChars="200"/>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2.试运行情况报告；</w:t>
      </w:r>
    </w:p>
    <w:p w14:paraId="5D493DDD">
      <w:pPr>
        <w:widowControl/>
        <w:snapToGrid w:val="0"/>
        <w:spacing w:line="400" w:lineRule="exact"/>
        <w:ind w:firstLine="440" w:firstLineChars="200"/>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3.甲方出具的验收报告。</w:t>
      </w:r>
    </w:p>
    <w:p w14:paraId="5838B88A">
      <w:pPr>
        <w:widowControl/>
        <w:snapToGrid w:val="0"/>
        <w:spacing w:line="400" w:lineRule="exact"/>
        <w:ind w:firstLine="440" w:firstLineChars="200"/>
        <w:jc w:val="left"/>
        <w:rPr>
          <w:rFonts w:eastAsia="仿宋"/>
          <w:color w:val="auto"/>
          <w:highlight w:val="none"/>
        </w:rPr>
      </w:pPr>
      <w:r>
        <w:rPr>
          <w:rFonts w:hint="eastAsia" w:ascii="仿宋" w:hAnsi="仿宋" w:eastAsia="仿宋" w:cs="宋体"/>
          <w:color w:val="auto"/>
          <w:kern w:val="0"/>
          <w:sz w:val="22"/>
          <w:szCs w:val="22"/>
          <w:highlight w:val="none"/>
        </w:rPr>
        <w:t>（四）双方约定本项目不收取履约保证金。</w:t>
      </w:r>
    </w:p>
    <w:p w14:paraId="75BF7B7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color w:val="auto"/>
          <w:sz w:val="22"/>
          <w:szCs w:val="22"/>
          <w:highlight w:val="none"/>
        </w:rPr>
        <w:br w:type="page"/>
      </w:r>
      <w:bookmarkStart w:id="101" w:name="_Toc32107"/>
      <w:bookmarkStart w:id="102" w:name="_Toc932735830"/>
      <w:r>
        <w:rPr>
          <w:rStyle w:val="23"/>
          <w:rFonts w:hint="eastAsia" w:ascii="仿宋" w:hAnsi="仿宋" w:eastAsia="仿宋" w:cs="仿宋"/>
          <w:color w:val="auto"/>
          <w:sz w:val="40"/>
          <w:szCs w:val="40"/>
          <w:highlight w:val="none"/>
        </w:rPr>
        <w:t xml:space="preserve">第四部分 </w:t>
      </w:r>
      <w:bookmarkStart w:id="103" w:name="_Toc184312132"/>
      <w:bookmarkEnd w:id="103"/>
      <w:bookmarkStart w:id="104" w:name="_Toc184313247"/>
      <w:bookmarkEnd w:id="104"/>
      <w:bookmarkStart w:id="105" w:name="_Toc184312136"/>
      <w:bookmarkEnd w:id="105"/>
      <w:bookmarkStart w:id="106" w:name="_Toc184314449"/>
      <w:bookmarkEnd w:id="106"/>
      <w:bookmarkStart w:id="107" w:name="_Toc184310343"/>
      <w:bookmarkEnd w:id="107"/>
      <w:bookmarkStart w:id="108" w:name="_Toc184312097"/>
      <w:bookmarkEnd w:id="108"/>
      <w:bookmarkStart w:id="109" w:name="_Toc184312076"/>
      <w:bookmarkEnd w:id="109"/>
      <w:bookmarkStart w:id="110" w:name="_Toc184308047"/>
      <w:bookmarkEnd w:id="110"/>
      <w:bookmarkStart w:id="111" w:name="_Toc184308071"/>
      <w:bookmarkEnd w:id="111"/>
      <w:bookmarkStart w:id="112" w:name="_Toc184313254"/>
      <w:bookmarkEnd w:id="112"/>
      <w:bookmarkStart w:id="113" w:name="_Toc184312088"/>
      <w:bookmarkEnd w:id="113"/>
      <w:bookmarkStart w:id="114" w:name="_Toc184310295"/>
      <w:bookmarkEnd w:id="114"/>
      <w:bookmarkStart w:id="115" w:name="_Toc184312084"/>
      <w:bookmarkEnd w:id="115"/>
      <w:bookmarkStart w:id="116" w:name="_Toc184310282"/>
      <w:bookmarkEnd w:id="116"/>
      <w:bookmarkStart w:id="117" w:name="_Toc184313291"/>
      <w:bookmarkEnd w:id="117"/>
      <w:bookmarkStart w:id="118" w:name="_Toc184312115"/>
      <w:bookmarkEnd w:id="118"/>
      <w:bookmarkStart w:id="119" w:name="_Toc184308093"/>
      <w:bookmarkEnd w:id="119"/>
      <w:bookmarkStart w:id="120" w:name="_Toc184310286"/>
      <w:bookmarkEnd w:id="120"/>
      <w:bookmarkStart w:id="121" w:name="_Toc184314453"/>
      <w:bookmarkEnd w:id="121"/>
      <w:bookmarkStart w:id="122" w:name="_Toc184313253"/>
      <w:bookmarkEnd w:id="122"/>
      <w:bookmarkStart w:id="123" w:name="_Toc184308078"/>
      <w:bookmarkEnd w:id="123"/>
      <w:bookmarkStart w:id="124" w:name="_Toc184313307"/>
      <w:bookmarkEnd w:id="124"/>
      <w:bookmarkStart w:id="125" w:name="_Toc184314433"/>
      <w:bookmarkEnd w:id="125"/>
      <w:bookmarkStart w:id="126" w:name="_Toc184310339"/>
      <w:bookmarkEnd w:id="126"/>
      <w:bookmarkStart w:id="127" w:name="_Toc184308068"/>
      <w:bookmarkEnd w:id="127"/>
      <w:bookmarkStart w:id="128" w:name="_Toc184308048"/>
      <w:bookmarkEnd w:id="128"/>
      <w:bookmarkStart w:id="129" w:name="_Toc184312109"/>
      <w:bookmarkEnd w:id="129"/>
      <w:bookmarkStart w:id="130" w:name="_Toc184312092"/>
      <w:bookmarkEnd w:id="130"/>
      <w:bookmarkStart w:id="131" w:name="_Toc184310301"/>
      <w:bookmarkEnd w:id="131"/>
      <w:bookmarkStart w:id="132" w:name="_Toc184314426"/>
      <w:bookmarkEnd w:id="132"/>
      <w:bookmarkStart w:id="133" w:name="_Toc184313244"/>
      <w:bookmarkEnd w:id="133"/>
      <w:bookmarkStart w:id="134" w:name="_Toc184308042"/>
      <w:bookmarkEnd w:id="134"/>
      <w:bookmarkStart w:id="135" w:name="_Toc184314479"/>
      <w:bookmarkEnd w:id="135"/>
      <w:bookmarkStart w:id="136" w:name="_Toc184314446"/>
      <w:bookmarkEnd w:id="136"/>
      <w:bookmarkStart w:id="137" w:name="_Toc184312083"/>
      <w:bookmarkEnd w:id="137"/>
      <w:bookmarkStart w:id="138" w:name="_Toc184313275"/>
      <w:bookmarkEnd w:id="138"/>
      <w:bookmarkStart w:id="139" w:name="_Toc184310273"/>
      <w:bookmarkEnd w:id="139"/>
      <w:bookmarkStart w:id="140" w:name="_Toc184310337"/>
      <w:bookmarkEnd w:id="140"/>
      <w:bookmarkStart w:id="141" w:name="_Toc184312107"/>
      <w:bookmarkEnd w:id="141"/>
      <w:bookmarkStart w:id="142" w:name="_Toc184314441"/>
      <w:bookmarkEnd w:id="142"/>
      <w:bookmarkStart w:id="143" w:name="_Toc184314417"/>
      <w:bookmarkEnd w:id="143"/>
      <w:bookmarkStart w:id="144" w:name="_Toc184314438"/>
      <w:bookmarkEnd w:id="144"/>
      <w:bookmarkStart w:id="145" w:name="_Toc184308065"/>
      <w:bookmarkEnd w:id="145"/>
      <w:bookmarkStart w:id="146" w:name="_Toc184308088"/>
      <w:bookmarkEnd w:id="146"/>
      <w:bookmarkStart w:id="147" w:name="_Toc184310274"/>
      <w:bookmarkEnd w:id="147"/>
      <w:bookmarkStart w:id="148" w:name="_Toc184308049"/>
      <w:bookmarkEnd w:id="148"/>
      <w:bookmarkStart w:id="149" w:name="_Toc184313262"/>
      <w:bookmarkEnd w:id="149"/>
      <w:bookmarkStart w:id="150" w:name="_Toc184312133"/>
      <w:bookmarkEnd w:id="150"/>
      <w:bookmarkStart w:id="151" w:name="_Toc184314448"/>
      <w:bookmarkEnd w:id="151"/>
      <w:bookmarkStart w:id="152" w:name="_Toc184312098"/>
      <w:bookmarkEnd w:id="152"/>
      <w:bookmarkStart w:id="153" w:name="_Toc184312078"/>
      <w:bookmarkEnd w:id="153"/>
      <w:bookmarkStart w:id="154" w:name="_Toc184313302"/>
      <w:bookmarkEnd w:id="154"/>
      <w:bookmarkStart w:id="155" w:name="_Toc184308072"/>
      <w:bookmarkEnd w:id="155"/>
      <w:bookmarkStart w:id="156" w:name="_Toc184314468"/>
      <w:bookmarkEnd w:id="156"/>
      <w:bookmarkStart w:id="157" w:name="_Toc184313269"/>
      <w:bookmarkEnd w:id="157"/>
      <w:bookmarkStart w:id="158" w:name="_Toc184314411"/>
      <w:bookmarkEnd w:id="158"/>
      <w:bookmarkStart w:id="159" w:name="_Toc184308090"/>
      <w:bookmarkEnd w:id="159"/>
      <w:bookmarkStart w:id="160" w:name="_Toc184312124"/>
      <w:bookmarkEnd w:id="160"/>
      <w:bookmarkStart w:id="161" w:name="_Toc184310277"/>
      <w:bookmarkEnd w:id="161"/>
      <w:bookmarkStart w:id="162" w:name="_Toc184308046"/>
      <w:bookmarkEnd w:id="162"/>
      <w:bookmarkStart w:id="163" w:name="_Toc184314429"/>
      <w:bookmarkEnd w:id="163"/>
      <w:bookmarkStart w:id="164" w:name="_Toc184312108"/>
      <w:bookmarkEnd w:id="164"/>
      <w:bookmarkStart w:id="165" w:name="_Toc184308087"/>
      <w:bookmarkEnd w:id="165"/>
      <w:bookmarkStart w:id="166" w:name="_Toc184312112"/>
      <w:bookmarkEnd w:id="166"/>
      <w:bookmarkStart w:id="167" w:name="_Toc184310280"/>
      <w:bookmarkEnd w:id="167"/>
      <w:bookmarkStart w:id="168" w:name="_Toc184310333"/>
      <w:bookmarkEnd w:id="168"/>
      <w:bookmarkStart w:id="169" w:name="_Toc184308060"/>
      <w:bookmarkEnd w:id="169"/>
      <w:bookmarkStart w:id="170" w:name="_Toc184313258"/>
      <w:bookmarkEnd w:id="170"/>
      <w:bookmarkStart w:id="171" w:name="_Toc184314464"/>
      <w:bookmarkEnd w:id="171"/>
      <w:bookmarkStart w:id="172" w:name="_Toc184312073"/>
      <w:bookmarkEnd w:id="172"/>
      <w:bookmarkStart w:id="173" w:name="_Toc184308041"/>
      <w:bookmarkEnd w:id="173"/>
      <w:bookmarkStart w:id="174" w:name="_Toc184308102"/>
      <w:bookmarkEnd w:id="174"/>
      <w:bookmarkStart w:id="175" w:name="_Toc184314482"/>
      <w:bookmarkEnd w:id="175"/>
      <w:bookmarkStart w:id="176" w:name="_Toc184310324"/>
      <w:bookmarkEnd w:id="176"/>
      <w:bookmarkStart w:id="177" w:name="_Toc184314423"/>
      <w:bookmarkEnd w:id="177"/>
      <w:bookmarkStart w:id="178" w:name="_Toc184308056"/>
      <w:bookmarkEnd w:id="178"/>
      <w:bookmarkStart w:id="179" w:name="_Toc184310342"/>
      <w:bookmarkEnd w:id="179"/>
      <w:bookmarkStart w:id="180" w:name="_Toc184313297"/>
      <w:bookmarkEnd w:id="180"/>
      <w:bookmarkStart w:id="181" w:name="_Toc184310313"/>
      <w:bookmarkEnd w:id="181"/>
      <w:bookmarkStart w:id="182" w:name="_Toc184308050"/>
      <w:bookmarkEnd w:id="182"/>
      <w:bookmarkStart w:id="183" w:name="_Toc184310316"/>
      <w:bookmarkEnd w:id="183"/>
      <w:bookmarkStart w:id="184" w:name="_Toc184314467"/>
      <w:bookmarkEnd w:id="184"/>
      <w:bookmarkStart w:id="185" w:name="_Toc184313305"/>
      <w:bookmarkEnd w:id="185"/>
      <w:bookmarkStart w:id="186" w:name="_Toc184312099"/>
      <w:bookmarkEnd w:id="186"/>
      <w:bookmarkStart w:id="187" w:name="_Toc184313250"/>
      <w:bookmarkEnd w:id="187"/>
      <w:bookmarkStart w:id="188" w:name="_Toc184310307"/>
      <w:bookmarkEnd w:id="188"/>
      <w:bookmarkStart w:id="189" w:name="_Toc184310294"/>
      <w:bookmarkEnd w:id="189"/>
      <w:bookmarkStart w:id="190" w:name="_Toc184314424"/>
      <w:bookmarkEnd w:id="190"/>
      <w:bookmarkStart w:id="191" w:name="_Toc184313285"/>
      <w:bookmarkEnd w:id="191"/>
      <w:bookmarkStart w:id="192" w:name="_Toc184314422"/>
      <w:bookmarkEnd w:id="192"/>
      <w:bookmarkStart w:id="193" w:name="_Toc184312086"/>
      <w:bookmarkEnd w:id="193"/>
      <w:bookmarkStart w:id="194" w:name="_Toc184313249"/>
      <w:bookmarkEnd w:id="194"/>
      <w:bookmarkStart w:id="195" w:name="_Toc184313286"/>
      <w:bookmarkEnd w:id="195"/>
      <w:bookmarkStart w:id="196" w:name="_Toc184308061"/>
      <w:bookmarkEnd w:id="196"/>
      <w:bookmarkStart w:id="197" w:name="_Toc184313287"/>
      <w:bookmarkEnd w:id="197"/>
      <w:bookmarkStart w:id="198" w:name="_Toc184312105"/>
      <w:bookmarkEnd w:id="198"/>
      <w:bookmarkStart w:id="199" w:name="_Toc184314418"/>
      <w:bookmarkEnd w:id="199"/>
      <w:bookmarkStart w:id="200" w:name="_Toc184313278"/>
      <w:bookmarkEnd w:id="200"/>
      <w:bookmarkStart w:id="201" w:name="_Toc184314415"/>
      <w:bookmarkEnd w:id="201"/>
      <w:bookmarkStart w:id="202" w:name="_Toc184314470"/>
      <w:bookmarkEnd w:id="202"/>
      <w:bookmarkStart w:id="203" w:name="_Toc184312123"/>
      <w:bookmarkEnd w:id="203"/>
      <w:bookmarkStart w:id="204" w:name="_Toc184308094"/>
      <w:bookmarkEnd w:id="204"/>
      <w:bookmarkStart w:id="205" w:name="_Toc184313268"/>
      <w:bookmarkEnd w:id="205"/>
      <w:bookmarkStart w:id="206" w:name="_Toc184313266"/>
      <w:bookmarkEnd w:id="206"/>
      <w:bookmarkStart w:id="207" w:name="_Toc184308073"/>
      <w:bookmarkEnd w:id="207"/>
      <w:bookmarkStart w:id="208" w:name="_Toc184308054"/>
      <w:bookmarkEnd w:id="208"/>
      <w:bookmarkStart w:id="209" w:name="_Toc184314436"/>
      <w:bookmarkEnd w:id="209"/>
      <w:bookmarkStart w:id="210" w:name="_Toc184313251"/>
      <w:bookmarkEnd w:id="210"/>
      <w:bookmarkStart w:id="211" w:name="_Toc184312070"/>
      <w:bookmarkEnd w:id="211"/>
      <w:bookmarkStart w:id="212" w:name="_Toc184310300"/>
      <w:bookmarkEnd w:id="212"/>
      <w:bookmarkStart w:id="213" w:name="_Toc184314460"/>
      <w:bookmarkEnd w:id="213"/>
      <w:bookmarkStart w:id="214" w:name="_Toc184312106"/>
      <w:bookmarkEnd w:id="214"/>
      <w:bookmarkStart w:id="215" w:name="_Toc184312087"/>
      <w:bookmarkEnd w:id="215"/>
      <w:bookmarkStart w:id="216" w:name="_Toc184312121"/>
      <w:bookmarkEnd w:id="216"/>
      <w:bookmarkStart w:id="217" w:name="_Toc184313296"/>
      <w:bookmarkEnd w:id="217"/>
      <w:bookmarkStart w:id="218" w:name="_Toc184308106"/>
      <w:bookmarkEnd w:id="218"/>
      <w:bookmarkStart w:id="219" w:name="_Toc184310310"/>
      <w:bookmarkEnd w:id="219"/>
      <w:bookmarkStart w:id="220" w:name="_Toc184312074"/>
      <w:bookmarkEnd w:id="220"/>
      <w:bookmarkStart w:id="221" w:name="_Toc184312093"/>
      <w:bookmarkEnd w:id="221"/>
      <w:bookmarkStart w:id="222" w:name="_Toc184313274"/>
      <w:bookmarkEnd w:id="222"/>
      <w:bookmarkStart w:id="223" w:name="_Toc184310323"/>
      <w:bookmarkEnd w:id="223"/>
      <w:bookmarkStart w:id="224" w:name="_Toc184312085"/>
      <w:bookmarkEnd w:id="224"/>
      <w:bookmarkStart w:id="225" w:name="_Toc184312131"/>
      <w:bookmarkEnd w:id="225"/>
      <w:bookmarkStart w:id="226" w:name="_Toc184308058"/>
      <w:bookmarkEnd w:id="226"/>
      <w:bookmarkStart w:id="227" w:name="_Toc184313298"/>
      <w:bookmarkEnd w:id="227"/>
      <w:bookmarkStart w:id="228" w:name="_Toc184308100"/>
      <w:bookmarkEnd w:id="228"/>
      <w:bookmarkStart w:id="229" w:name="_Toc184308092"/>
      <w:bookmarkEnd w:id="229"/>
      <w:bookmarkStart w:id="230" w:name="_Toc184310297"/>
      <w:bookmarkEnd w:id="230"/>
      <w:bookmarkStart w:id="231" w:name="_Toc184310341"/>
      <w:bookmarkEnd w:id="231"/>
      <w:bookmarkStart w:id="232" w:name="_Toc184308085"/>
      <w:bookmarkEnd w:id="232"/>
      <w:bookmarkStart w:id="233" w:name="_Toc184313261"/>
      <w:bookmarkEnd w:id="233"/>
      <w:bookmarkStart w:id="234" w:name="_Toc184314416"/>
      <w:bookmarkEnd w:id="234"/>
      <w:bookmarkStart w:id="235" w:name="_Toc184313260"/>
      <w:bookmarkEnd w:id="235"/>
      <w:bookmarkStart w:id="236" w:name="_Toc184314413"/>
      <w:bookmarkEnd w:id="236"/>
      <w:bookmarkStart w:id="237" w:name="_Toc184308086"/>
      <w:bookmarkEnd w:id="237"/>
      <w:bookmarkStart w:id="238" w:name="_Toc184310298"/>
      <w:bookmarkEnd w:id="238"/>
      <w:bookmarkStart w:id="239" w:name="_Toc184314421"/>
      <w:bookmarkEnd w:id="239"/>
      <w:bookmarkStart w:id="240" w:name="_Toc184308038"/>
      <w:bookmarkEnd w:id="240"/>
      <w:bookmarkStart w:id="241" w:name="_Toc184312075"/>
      <w:bookmarkEnd w:id="241"/>
      <w:bookmarkStart w:id="242" w:name="_Toc184314476"/>
      <w:bookmarkEnd w:id="242"/>
      <w:bookmarkStart w:id="243" w:name="_Toc184310344"/>
      <w:bookmarkEnd w:id="243"/>
      <w:bookmarkStart w:id="244" w:name="_Toc184310312"/>
      <w:bookmarkEnd w:id="244"/>
      <w:bookmarkStart w:id="245" w:name="_Toc184312100"/>
      <w:bookmarkEnd w:id="245"/>
      <w:bookmarkStart w:id="246" w:name="_Toc184312110"/>
      <w:bookmarkEnd w:id="246"/>
      <w:bookmarkStart w:id="247" w:name="_Toc184308037"/>
      <w:bookmarkEnd w:id="247"/>
      <w:bookmarkStart w:id="248" w:name="_Toc184313257"/>
      <w:bookmarkEnd w:id="248"/>
      <w:bookmarkStart w:id="249" w:name="_Toc184312094"/>
      <w:bookmarkEnd w:id="249"/>
      <w:bookmarkStart w:id="250" w:name="_Toc184308067"/>
      <w:bookmarkEnd w:id="250"/>
      <w:bookmarkStart w:id="251" w:name="_Toc184313242"/>
      <w:bookmarkEnd w:id="251"/>
      <w:bookmarkStart w:id="252" w:name="_Toc184313281"/>
      <w:bookmarkEnd w:id="252"/>
      <w:bookmarkStart w:id="253" w:name="_Toc184313238"/>
      <w:bookmarkEnd w:id="253"/>
      <w:bookmarkStart w:id="254" w:name="_Toc184310318"/>
      <w:bookmarkEnd w:id="254"/>
      <w:bookmarkStart w:id="255" w:name="_Toc184313288"/>
      <w:bookmarkEnd w:id="255"/>
      <w:bookmarkStart w:id="256" w:name="_Toc184314472"/>
      <w:bookmarkEnd w:id="256"/>
      <w:bookmarkStart w:id="257" w:name="_Toc184308097"/>
      <w:bookmarkEnd w:id="257"/>
      <w:bookmarkStart w:id="258" w:name="_Toc184313272"/>
      <w:bookmarkEnd w:id="258"/>
      <w:bookmarkStart w:id="259" w:name="_Toc184313263"/>
      <w:bookmarkEnd w:id="259"/>
      <w:bookmarkStart w:id="260" w:name="_Toc184313270"/>
      <w:bookmarkEnd w:id="260"/>
      <w:bookmarkStart w:id="261" w:name="_Toc184308101"/>
      <w:bookmarkEnd w:id="261"/>
      <w:bookmarkStart w:id="262" w:name="_Toc184314462"/>
      <w:bookmarkEnd w:id="262"/>
      <w:bookmarkStart w:id="263" w:name="_Toc184310278"/>
      <w:bookmarkEnd w:id="263"/>
      <w:bookmarkStart w:id="264" w:name="_Toc184313310"/>
      <w:bookmarkEnd w:id="264"/>
      <w:bookmarkStart w:id="265" w:name="_Toc184312071"/>
      <w:bookmarkEnd w:id="265"/>
      <w:bookmarkStart w:id="266" w:name="_Toc184308069"/>
      <w:bookmarkEnd w:id="266"/>
      <w:bookmarkStart w:id="267" w:name="_Toc184308099"/>
      <w:bookmarkEnd w:id="267"/>
      <w:bookmarkStart w:id="268" w:name="_Toc184308044"/>
      <w:bookmarkEnd w:id="268"/>
      <w:bookmarkStart w:id="269" w:name="_Toc184314447"/>
      <w:bookmarkEnd w:id="269"/>
      <w:bookmarkStart w:id="270" w:name="_Toc184312139"/>
      <w:bookmarkEnd w:id="270"/>
      <w:bookmarkStart w:id="271" w:name="_Toc184310321"/>
      <w:bookmarkEnd w:id="271"/>
      <w:bookmarkStart w:id="272" w:name="_Toc184314431"/>
      <w:bookmarkEnd w:id="272"/>
      <w:bookmarkStart w:id="273" w:name="_Toc184314444"/>
      <w:bookmarkEnd w:id="273"/>
      <w:bookmarkStart w:id="274" w:name="_Toc184312134"/>
      <w:bookmarkEnd w:id="274"/>
      <w:bookmarkStart w:id="275" w:name="_Toc184313273"/>
      <w:bookmarkEnd w:id="275"/>
      <w:bookmarkStart w:id="276" w:name="_Toc184313255"/>
      <w:bookmarkEnd w:id="276"/>
      <w:bookmarkStart w:id="277" w:name="_Toc184314454"/>
      <w:bookmarkEnd w:id="277"/>
      <w:bookmarkStart w:id="278" w:name="_Toc184308057"/>
      <w:bookmarkEnd w:id="278"/>
      <w:bookmarkStart w:id="279" w:name="_Toc184308045"/>
      <w:bookmarkEnd w:id="279"/>
      <w:bookmarkStart w:id="280" w:name="_Toc184312089"/>
      <w:bookmarkEnd w:id="280"/>
      <w:bookmarkStart w:id="281" w:name="_Toc184313300"/>
      <w:bookmarkEnd w:id="281"/>
      <w:bookmarkStart w:id="282" w:name="_Toc184314412"/>
      <w:bookmarkEnd w:id="282"/>
      <w:bookmarkStart w:id="283" w:name="_Toc184314420"/>
      <w:bookmarkEnd w:id="283"/>
      <w:bookmarkStart w:id="284" w:name="_Toc184314442"/>
      <w:bookmarkEnd w:id="284"/>
      <w:bookmarkStart w:id="285" w:name="_Toc184310308"/>
      <w:bookmarkEnd w:id="285"/>
      <w:bookmarkStart w:id="286" w:name="_Toc184313265"/>
      <w:bookmarkEnd w:id="286"/>
      <w:bookmarkStart w:id="287" w:name="_Toc184314461"/>
      <w:bookmarkEnd w:id="287"/>
      <w:bookmarkStart w:id="288" w:name="_Toc184312068"/>
      <w:bookmarkEnd w:id="288"/>
      <w:bookmarkStart w:id="289" w:name="_Toc184313245"/>
      <w:bookmarkEnd w:id="289"/>
      <w:bookmarkStart w:id="290" w:name="_Toc184312116"/>
      <w:bookmarkEnd w:id="290"/>
      <w:bookmarkStart w:id="291" w:name="_Toc184310325"/>
      <w:bookmarkEnd w:id="291"/>
      <w:bookmarkStart w:id="292" w:name="_Toc184310335"/>
      <w:bookmarkEnd w:id="292"/>
      <w:bookmarkStart w:id="293" w:name="_Toc184312067"/>
      <w:bookmarkEnd w:id="293"/>
      <w:bookmarkStart w:id="294" w:name="_Toc184310291"/>
      <w:bookmarkEnd w:id="294"/>
      <w:bookmarkStart w:id="295" w:name="_Toc184314452"/>
      <w:bookmarkEnd w:id="295"/>
      <w:bookmarkStart w:id="296" w:name="_Toc184310287"/>
      <w:bookmarkEnd w:id="296"/>
      <w:bookmarkStart w:id="297" w:name="_Toc184308103"/>
      <w:bookmarkEnd w:id="297"/>
      <w:bookmarkStart w:id="298" w:name="_Toc184313295"/>
      <w:bookmarkEnd w:id="298"/>
      <w:bookmarkStart w:id="299" w:name="_Toc184308053"/>
      <w:bookmarkEnd w:id="299"/>
      <w:bookmarkStart w:id="300" w:name="_Toc184313239"/>
      <w:bookmarkEnd w:id="300"/>
      <w:bookmarkStart w:id="301" w:name="_Toc184312104"/>
      <w:bookmarkEnd w:id="301"/>
      <w:bookmarkStart w:id="302" w:name="_Toc184313284"/>
      <w:bookmarkEnd w:id="302"/>
      <w:bookmarkStart w:id="303" w:name="_Toc184312127"/>
      <w:bookmarkEnd w:id="303"/>
      <w:bookmarkStart w:id="304" w:name="_Toc184310317"/>
      <w:bookmarkEnd w:id="304"/>
      <w:bookmarkStart w:id="305" w:name="_Toc184310305"/>
      <w:bookmarkEnd w:id="305"/>
      <w:bookmarkStart w:id="306" w:name="_Toc184312117"/>
      <w:bookmarkEnd w:id="306"/>
      <w:bookmarkStart w:id="307" w:name="_Toc184310327"/>
      <w:bookmarkEnd w:id="307"/>
      <w:bookmarkStart w:id="308" w:name="_Toc184310304"/>
      <w:bookmarkEnd w:id="308"/>
      <w:bookmarkStart w:id="309" w:name="_Toc184312090"/>
      <w:bookmarkEnd w:id="309"/>
      <w:bookmarkStart w:id="310" w:name="_Toc184314419"/>
      <w:bookmarkEnd w:id="310"/>
      <w:bookmarkStart w:id="311" w:name="_Toc184313276"/>
      <w:bookmarkEnd w:id="311"/>
      <w:bookmarkStart w:id="312" w:name="_Toc184314473"/>
      <w:bookmarkEnd w:id="312"/>
      <w:bookmarkStart w:id="313" w:name="_Toc184310290"/>
      <w:bookmarkEnd w:id="313"/>
      <w:bookmarkStart w:id="314" w:name="_Toc184314463"/>
      <w:bookmarkEnd w:id="314"/>
      <w:bookmarkStart w:id="315" w:name="_Toc184308095"/>
      <w:bookmarkEnd w:id="315"/>
      <w:bookmarkStart w:id="316" w:name="_Toc184308062"/>
      <w:bookmarkEnd w:id="316"/>
      <w:bookmarkStart w:id="317" w:name="_Toc184310292"/>
      <w:bookmarkEnd w:id="317"/>
      <w:bookmarkStart w:id="318" w:name="_Toc184313289"/>
      <w:bookmarkEnd w:id="318"/>
      <w:bookmarkStart w:id="319" w:name="_Toc184314435"/>
      <w:bookmarkEnd w:id="319"/>
      <w:bookmarkStart w:id="320" w:name="_Toc184312080"/>
      <w:bookmarkEnd w:id="320"/>
      <w:bookmarkStart w:id="321" w:name="_Toc184312113"/>
      <w:bookmarkEnd w:id="321"/>
      <w:bookmarkStart w:id="322" w:name="_Toc184308039"/>
      <w:bookmarkEnd w:id="322"/>
      <w:bookmarkStart w:id="323" w:name="_Toc184314410"/>
      <w:bookmarkEnd w:id="323"/>
      <w:bookmarkStart w:id="324" w:name="_Toc184310340"/>
      <w:bookmarkEnd w:id="324"/>
      <w:bookmarkStart w:id="325" w:name="_Toc184310284"/>
      <w:bookmarkEnd w:id="325"/>
      <w:bookmarkStart w:id="326" w:name="_Toc184314439"/>
      <w:bookmarkEnd w:id="326"/>
      <w:bookmarkStart w:id="327" w:name="_Toc184314471"/>
      <w:bookmarkEnd w:id="327"/>
      <w:bookmarkStart w:id="328" w:name="_Toc184308075"/>
      <w:bookmarkEnd w:id="328"/>
      <w:bookmarkStart w:id="329" w:name="_Toc184314428"/>
      <w:bookmarkEnd w:id="329"/>
      <w:bookmarkStart w:id="330" w:name="_Toc184314445"/>
      <w:bookmarkEnd w:id="330"/>
      <w:bookmarkStart w:id="331" w:name="_Toc184312135"/>
      <w:bookmarkEnd w:id="331"/>
      <w:bookmarkStart w:id="332" w:name="_Toc184310326"/>
      <w:bookmarkEnd w:id="332"/>
      <w:bookmarkStart w:id="333" w:name="_Toc184308040"/>
      <w:bookmarkEnd w:id="333"/>
      <w:bookmarkStart w:id="334" w:name="_Toc184314481"/>
      <w:bookmarkEnd w:id="334"/>
      <w:bookmarkStart w:id="335" w:name="_Toc184310328"/>
      <w:bookmarkEnd w:id="335"/>
      <w:bookmarkStart w:id="336" w:name="_Toc184313256"/>
      <w:bookmarkEnd w:id="336"/>
      <w:bookmarkStart w:id="337" w:name="_Toc184312111"/>
      <w:bookmarkEnd w:id="337"/>
      <w:bookmarkStart w:id="338" w:name="_Toc184308105"/>
      <w:bookmarkEnd w:id="338"/>
      <w:bookmarkStart w:id="339" w:name="_Toc184314477"/>
      <w:bookmarkEnd w:id="339"/>
      <w:bookmarkStart w:id="340" w:name="_Toc184310311"/>
      <w:bookmarkEnd w:id="340"/>
      <w:bookmarkStart w:id="341" w:name="_Toc184310329"/>
      <w:bookmarkEnd w:id="341"/>
      <w:bookmarkStart w:id="342" w:name="_Toc184308108"/>
      <w:bookmarkEnd w:id="342"/>
      <w:bookmarkStart w:id="343" w:name="_Toc184308066"/>
      <w:bookmarkEnd w:id="343"/>
      <w:bookmarkStart w:id="344" w:name="_Toc184308043"/>
      <w:bookmarkEnd w:id="344"/>
      <w:bookmarkStart w:id="345" w:name="_Toc184310299"/>
      <w:bookmarkEnd w:id="345"/>
      <w:bookmarkStart w:id="346" w:name="_Toc184308077"/>
      <w:bookmarkEnd w:id="346"/>
      <w:bookmarkStart w:id="347" w:name="_Toc184314466"/>
      <w:bookmarkEnd w:id="347"/>
      <w:bookmarkStart w:id="348" w:name="_Toc184313282"/>
      <w:bookmarkEnd w:id="348"/>
      <w:bookmarkStart w:id="349" w:name="_Toc184313280"/>
      <w:bookmarkEnd w:id="349"/>
      <w:bookmarkStart w:id="350" w:name="_Toc184312077"/>
      <w:bookmarkEnd w:id="350"/>
      <w:bookmarkStart w:id="351" w:name="_Toc184313306"/>
      <w:bookmarkEnd w:id="351"/>
      <w:bookmarkStart w:id="352" w:name="_Toc184310322"/>
      <w:bookmarkEnd w:id="352"/>
      <w:bookmarkStart w:id="353" w:name="_Toc184314458"/>
      <w:bookmarkEnd w:id="353"/>
      <w:bookmarkStart w:id="354" w:name="_Toc184313283"/>
      <w:bookmarkEnd w:id="354"/>
      <w:bookmarkStart w:id="355" w:name="_Toc184310272"/>
      <w:bookmarkEnd w:id="355"/>
      <w:bookmarkStart w:id="356" w:name="_Toc184312119"/>
      <w:bookmarkEnd w:id="356"/>
      <w:bookmarkStart w:id="357" w:name="_Toc184308064"/>
      <w:bookmarkEnd w:id="357"/>
      <w:bookmarkStart w:id="358" w:name="_Toc184308080"/>
      <w:bookmarkEnd w:id="358"/>
      <w:bookmarkStart w:id="359" w:name="_Toc184308083"/>
      <w:bookmarkEnd w:id="359"/>
      <w:bookmarkStart w:id="360" w:name="_Toc184312126"/>
      <w:bookmarkEnd w:id="360"/>
      <w:bookmarkStart w:id="361" w:name="_Toc184312102"/>
      <w:bookmarkEnd w:id="361"/>
      <w:bookmarkStart w:id="362" w:name="_Toc184314430"/>
      <w:bookmarkEnd w:id="362"/>
      <w:bookmarkStart w:id="363" w:name="_Toc184314465"/>
      <w:bookmarkEnd w:id="363"/>
      <w:bookmarkStart w:id="364" w:name="_Toc184313309"/>
      <w:bookmarkEnd w:id="364"/>
      <w:bookmarkStart w:id="365" w:name="_Toc184312072"/>
      <w:bookmarkEnd w:id="365"/>
      <w:bookmarkStart w:id="366" w:name="_Toc184313301"/>
      <w:bookmarkEnd w:id="366"/>
      <w:bookmarkStart w:id="367" w:name="_Toc184314456"/>
      <w:bookmarkEnd w:id="367"/>
      <w:bookmarkStart w:id="368" w:name="_Toc184314432"/>
      <w:bookmarkEnd w:id="368"/>
      <w:bookmarkStart w:id="369" w:name="_Toc184310332"/>
      <w:bookmarkEnd w:id="369"/>
      <w:bookmarkStart w:id="370" w:name="_Toc184308089"/>
      <w:bookmarkEnd w:id="370"/>
      <w:bookmarkStart w:id="371" w:name="_Toc184310330"/>
      <w:bookmarkEnd w:id="371"/>
      <w:bookmarkStart w:id="372" w:name="_Toc184312125"/>
      <w:bookmarkEnd w:id="372"/>
      <w:bookmarkStart w:id="373" w:name="_Toc184312095"/>
      <w:bookmarkEnd w:id="373"/>
      <w:bookmarkStart w:id="374" w:name="_Toc184313290"/>
      <w:bookmarkEnd w:id="374"/>
      <w:bookmarkStart w:id="375" w:name="_Toc184310285"/>
      <w:bookmarkEnd w:id="375"/>
      <w:bookmarkStart w:id="376" w:name="_Toc184312082"/>
      <w:bookmarkEnd w:id="376"/>
      <w:bookmarkStart w:id="377" w:name="_Toc184313294"/>
      <w:bookmarkEnd w:id="377"/>
      <w:bookmarkStart w:id="378" w:name="_Toc184308104"/>
      <w:bookmarkEnd w:id="378"/>
      <w:bookmarkStart w:id="379" w:name="_Toc184313240"/>
      <w:bookmarkEnd w:id="379"/>
      <w:bookmarkStart w:id="380" w:name="_Toc184310338"/>
      <w:bookmarkEnd w:id="380"/>
      <w:bookmarkStart w:id="381" w:name="_Toc184308052"/>
      <w:bookmarkEnd w:id="381"/>
      <w:bookmarkStart w:id="382" w:name="_Toc184308059"/>
      <w:bookmarkEnd w:id="382"/>
      <w:bookmarkStart w:id="383" w:name="_Toc184308063"/>
      <w:bookmarkEnd w:id="383"/>
      <w:bookmarkStart w:id="384" w:name="_Toc184312138"/>
      <w:bookmarkEnd w:id="384"/>
      <w:bookmarkStart w:id="385" w:name="_Toc184310303"/>
      <w:bookmarkEnd w:id="385"/>
      <w:bookmarkStart w:id="386" w:name="_Toc184310331"/>
      <w:bookmarkEnd w:id="386"/>
      <w:bookmarkStart w:id="387" w:name="_Toc184310320"/>
      <w:bookmarkEnd w:id="387"/>
      <w:bookmarkStart w:id="388" w:name="_Toc184308081"/>
      <w:bookmarkEnd w:id="388"/>
      <w:bookmarkStart w:id="389" w:name="_Toc184313267"/>
      <w:bookmarkEnd w:id="389"/>
      <w:bookmarkStart w:id="390" w:name="_Toc184313277"/>
      <w:bookmarkEnd w:id="390"/>
      <w:bookmarkStart w:id="391" w:name="_Toc184313279"/>
      <w:bookmarkEnd w:id="391"/>
      <w:bookmarkStart w:id="392" w:name="_Toc184314459"/>
      <w:bookmarkEnd w:id="392"/>
      <w:bookmarkStart w:id="393" w:name="_Toc184310309"/>
      <w:bookmarkEnd w:id="393"/>
      <w:bookmarkStart w:id="394" w:name="_Toc184314450"/>
      <w:bookmarkEnd w:id="394"/>
      <w:bookmarkStart w:id="395" w:name="_Toc184313241"/>
      <w:bookmarkEnd w:id="395"/>
      <w:bookmarkStart w:id="396" w:name="_Toc184314455"/>
      <w:bookmarkEnd w:id="396"/>
      <w:bookmarkStart w:id="397" w:name="_Toc184313308"/>
      <w:bookmarkEnd w:id="397"/>
      <w:bookmarkStart w:id="398" w:name="_Toc184310336"/>
      <w:bookmarkEnd w:id="398"/>
      <w:bookmarkStart w:id="399" w:name="_Toc184310281"/>
      <w:bookmarkEnd w:id="399"/>
      <w:bookmarkStart w:id="400" w:name="_Toc184313243"/>
      <w:bookmarkEnd w:id="400"/>
      <w:bookmarkStart w:id="401" w:name="_Toc184314475"/>
      <w:bookmarkEnd w:id="401"/>
      <w:bookmarkStart w:id="402" w:name="_Toc184312130"/>
      <w:bookmarkEnd w:id="402"/>
      <w:bookmarkStart w:id="403" w:name="_Toc184308084"/>
      <w:bookmarkEnd w:id="403"/>
      <w:bookmarkStart w:id="404" w:name="_Toc184310275"/>
      <w:bookmarkEnd w:id="404"/>
      <w:bookmarkStart w:id="405" w:name="_Toc184314474"/>
      <w:bookmarkEnd w:id="405"/>
      <w:bookmarkStart w:id="406" w:name="_Toc184314434"/>
      <w:bookmarkEnd w:id="406"/>
      <w:bookmarkStart w:id="407" w:name="_Toc184312101"/>
      <w:bookmarkEnd w:id="407"/>
      <w:bookmarkStart w:id="408" w:name="_Toc184313246"/>
      <w:bookmarkEnd w:id="408"/>
      <w:bookmarkStart w:id="409" w:name="_Toc184310276"/>
      <w:bookmarkEnd w:id="409"/>
      <w:bookmarkStart w:id="410" w:name="_Toc184308082"/>
      <w:bookmarkEnd w:id="410"/>
      <w:bookmarkStart w:id="411" w:name="_Toc184308091"/>
      <w:bookmarkEnd w:id="411"/>
      <w:bookmarkStart w:id="412" w:name="_Toc184312096"/>
      <w:bookmarkEnd w:id="412"/>
      <w:bookmarkStart w:id="413" w:name="_Toc184310283"/>
      <w:bookmarkEnd w:id="413"/>
      <w:bookmarkStart w:id="414" w:name="_Toc184310293"/>
      <w:bookmarkEnd w:id="414"/>
      <w:bookmarkStart w:id="415" w:name="_Toc184314480"/>
      <w:bookmarkEnd w:id="415"/>
      <w:bookmarkStart w:id="416" w:name="_Toc184310279"/>
      <w:bookmarkEnd w:id="416"/>
      <w:bookmarkStart w:id="417" w:name="_Toc184308074"/>
      <w:bookmarkEnd w:id="417"/>
      <w:bookmarkStart w:id="418" w:name="_Toc184313299"/>
      <w:bookmarkEnd w:id="418"/>
      <w:bookmarkStart w:id="419" w:name="_Toc184310289"/>
      <w:bookmarkEnd w:id="419"/>
      <w:bookmarkStart w:id="420" w:name="_Toc184308055"/>
      <w:bookmarkEnd w:id="420"/>
      <w:bookmarkStart w:id="421" w:name="_Toc184314451"/>
      <w:bookmarkEnd w:id="421"/>
      <w:bookmarkStart w:id="422" w:name="_Toc184313271"/>
      <w:bookmarkEnd w:id="422"/>
      <w:bookmarkStart w:id="423" w:name="_Toc184310288"/>
      <w:bookmarkEnd w:id="423"/>
      <w:bookmarkStart w:id="424" w:name="_Toc184314457"/>
      <w:bookmarkEnd w:id="424"/>
      <w:bookmarkStart w:id="425" w:name="_Toc184312079"/>
      <w:bookmarkEnd w:id="425"/>
      <w:bookmarkStart w:id="426" w:name="_Toc184312137"/>
      <w:bookmarkEnd w:id="426"/>
      <w:bookmarkStart w:id="427" w:name="_Toc184312122"/>
      <w:bookmarkEnd w:id="427"/>
      <w:bookmarkStart w:id="428" w:name="_Toc184312129"/>
      <w:bookmarkEnd w:id="428"/>
      <w:bookmarkStart w:id="429" w:name="_Toc184310315"/>
      <w:bookmarkEnd w:id="429"/>
      <w:bookmarkStart w:id="430" w:name="_Toc184313303"/>
      <w:bookmarkEnd w:id="430"/>
      <w:bookmarkStart w:id="431" w:name="_Toc184312081"/>
      <w:bookmarkEnd w:id="431"/>
      <w:bookmarkStart w:id="432" w:name="_Toc184312091"/>
      <w:bookmarkEnd w:id="432"/>
      <w:bookmarkStart w:id="433" w:name="_Toc184314427"/>
      <w:bookmarkEnd w:id="433"/>
      <w:bookmarkStart w:id="434" w:name="_Toc184312069"/>
      <w:bookmarkEnd w:id="434"/>
      <w:bookmarkStart w:id="435" w:name="_Toc184314443"/>
      <w:bookmarkEnd w:id="435"/>
      <w:bookmarkStart w:id="436" w:name="_Toc184308079"/>
      <w:bookmarkEnd w:id="436"/>
      <w:bookmarkStart w:id="437" w:name="_Toc184312103"/>
      <w:bookmarkEnd w:id="437"/>
      <w:bookmarkStart w:id="438" w:name="_Toc184314425"/>
      <w:bookmarkEnd w:id="438"/>
      <w:bookmarkStart w:id="439" w:name="_Toc184308107"/>
      <w:bookmarkEnd w:id="439"/>
      <w:bookmarkStart w:id="440" w:name="_Toc184314437"/>
      <w:bookmarkEnd w:id="440"/>
      <w:bookmarkStart w:id="441" w:name="_Toc184312128"/>
      <w:bookmarkEnd w:id="441"/>
      <w:bookmarkStart w:id="442" w:name="_Toc184308098"/>
      <w:bookmarkEnd w:id="442"/>
      <w:bookmarkStart w:id="443" w:name="_Toc184314469"/>
      <w:bookmarkEnd w:id="443"/>
      <w:bookmarkStart w:id="444" w:name="_Toc184312120"/>
      <w:bookmarkEnd w:id="444"/>
      <w:bookmarkStart w:id="445" w:name="_Toc184310334"/>
      <w:bookmarkEnd w:id="445"/>
      <w:bookmarkStart w:id="446" w:name="_Toc184312118"/>
      <w:bookmarkEnd w:id="446"/>
      <w:bookmarkStart w:id="447" w:name="_Toc184310302"/>
      <w:bookmarkEnd w:id="447"/>
      <w:bookmarkStart w:id="448" w:name="_Toc184314478"/>
      <w:bookmarkEnd w:id="448"/>
      <w:bookmarkStart w:id="449" w:name="_Toc184308096"/>
      <w:bookmarkEnd w:id="449"/>
      <w:bookmarkStart w:id="450" w:name="_Toc184313252"/>
      <w:bookmarkEnd w:id="450"/>
      <w:bookmarkStart w:id="451" w:name="_Toc184310306"/>
      <w:bookmarkEnd w:id="451"/>
      <w:bookmarkStart w:id="452" w:name="_Toc184308076"/>
      <w:bookmarkEnd w:id="452"/>
      <w:bookmarkStart w:id="453" w:name="_Toc184313293"/>
      <w:bookmarkEnd w:id="453"/>
      <w:bookmarkStart w:id="454" w:name="_Toc184312114"/>
      <w:bookmarkEnd w:id="454"/>
      <w:bookmarkStart w:id="455" w:name="_Toc184310319"/>
      <w:bookmarkEnd w:id="455"/>
      <w:bookmarkStart w:id="456" w:name="_Toc184308036"/>
      <w:bookmarkEnd w:id="456"/>
      <w:bookmarkStart w:id="457" w:name="_Toc184313292"/>
      <w:bookmarkEnd w:id="457"/>
      <w:bookmarkStart w:id="458" w:name="_Toc184314414"/>
      <w:bookmarkEnd w:id="458"/>
      <w:bookmarkStart w:id="459" w:name="_Toc184310314"/>
      <w:bookmarkEnd w:id="459"/>
      <w:bookmarkStart w:id="460" w:name="_Toc184308051"/>
      <w:bookmarkEnd w:id="460"/>
      <w:bookmarkStart w:id="461" w:name="_Toc184314440"/>
      <w:bookmarkEnd w:id="461"/>
      <w:bookmarkStart w:id="462" w:name="_Toc184313248"/>
      <w:bookmarkEnd w:id="462"/>
      <w:bookmarkStart w:id="463" w:name="_Toc184313264"/>
      <w:bookmarkEnd w:id="463"/>
      <w:bookmarkStart w:id="464" w:name="_Toc184313304"/>
      <w:bookmarkEnd w:id="464"/>
      <w:bookmarkStart w:id="465" w:name="_Toc184310296"/>
      <w:bookmarkEnd w:id="465"/>
      <w:bookmarkStart w:id="466" w:name="_Toc184313259"/>
      <w:bookmarkEnd w:id="466"/>
      <w:bookmarkStart w:id="467" w:name="_Toc184308070"/>
      <w:bookmarkEnd w:id="467"/>
      <w:r>
        <w:rPr>
          <w:rStyle w:val="23"/>
          <w:rFonts w:hint="eastAsia" w:ascii="仿宋" w:hAnsi="仿宋" w:eastAsia="仿宋" w:cs="仿宋"/>
          <w:color w:val="auto"/>
          <w:sz w:val="40"/>
          <w:szCs w:val="40"/>
          <w:highlight w:val="none"/>
        </w:rPr>
        <w:t>评审办法</w:t>
      </w:r>
      <w:bookmarkEnd w:id="101"/>
      <w:bookmarkEnd w:id="102"/>
    </w:p>
    <w:p w14:paraId="5E5DB534">
      <w:pPr>
        <w:snapToGrid w:val="0"/>
        <w:spacing w:line="360" w:lineRule="auto"/>
        <w:jc w:val="center"/>
        <w:rPr>
          <w:rStyle w:val="19"/>
          <w:rFonts w:hint="eastAsia" w:ascii="仿宋" w:eastAsia="仿宋" w:cs="仿宋"/>
          <w:color w:val="auto"/>
          <w:highlight w:val="none"/>
        </w:rPr>
      </w:pPr>
      <w:bookmarkStart w:id="468" w:name="_Toc2007955357"/>
      <w:bookmarkStart w:id="469" w:name="_Toc16594"/>
      <w:r>
        <w:rPr>
          <w:rStyle w:val="19"/>
          <w:rFonts w:hint="eastAsia" w:ascii="仿宋" w:eastAsia="仿宋" w:cs="仿宋"/>
          <w:color w:val="auto"/>
          <w:highlight w:val="none"/>
        </w:rPr>
        <w:t>评审办法前附表</w:t>
      </w:r>
    </w:p>
    <w:bookmarkEnd w:id="468"/>
    <w:bookmarkEnd w:id="469"/>
    <w:tbl>
      <w:tblPr>
        <w:tblStyle w:val="15"/>
        <w:tblW w:w="10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768"/>
        <w:gridCol w:w="1128"/>
        <w:gridCol w:w="5942"/>
        <w:gridCol w:w="591"/>
        <w:gridCol w:w="757"/>
      </w:tblGrid>
      <w:tr w14:paraId="5444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7" w:hRule="atLeast"/>
          <w:tblHeader/>
          <w:jc w:val="center"/>
        </w:trPr>
        <w:tc>
          <w:tcPr>
            <w:tcW w:w="985" w:type="dxa"/>
            <w:tcBorders>
              <w:top w:val="single" w:color="auto" w:sz="4" w:space="0"/>
              <w:bottom w:val="single" w:color="auto" w:sz="4" w:space="0"/>
              <w:right w:val="single" w:color="auto" w:sz="4" w:space="0"/>
            </w:tcBorders>
            <w:noWrap w:val="0"/>
            <w:vAlign w:val="center"/>
          </w:tcPr>
          <w:p w14:paraId="327EBF51">
            <w:pPr>
              <w:jc w:val="center"/>
              <w:rPr>
                <w:rFonts w:ascii="仿宋" w:hAnsi="仿宋" w:eastAsia="仿宋" w:cs="仿宋"/>
                <w:b/>
                <w:bCs/>
                <w:color w:val="auto"/>
                <w:sz w:val="24"/>
                <w:highlight w:val="none"/>
              </w:rPr>
            </w:pPr>
            <w:bookmarkStart w:id="470" w:name="_Hlk93170489"/>
            <w:r>
              <w:rPr>
                <w:rFonts w:hint="eastAsia" w:ascii="仿宋" w:hAnsi="仿宋" w:eastAsia="仿宋" w:cs="仿宋"/>
                <w:b/>
                <w:bCs/>
                <w:color w:val="auto"/>
                <w:sz w:val="24"/>
                <w:highlight w:val="none"/>
              </w:rPr>
              <w:t>条款号</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4E538A4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7290" w:type="dxa"/>
            <w:gridSpan w:val="3"/>
            <w:tcBorders>
              <w:top w:val="single" w:color="auto" w:sz="4" w:space="0"/>
              <w:left w:val="single" w:color="auto" w:sz="4" w:space="0"/>
              <w:bottom w:val="single" w:color="auto" w:sz="4" w:space="0"/>
            </w:tcBorders>
            <w:noWrap w:val="0"/>
            <w:vAlign w:val="center"/>
          </w:tcPr>
          <w:p w14:paraId="2A44C7A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14:paraId="0EBA6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85" w:type="dxa"/>
            <w:tcBorders>
              <w:top w:val="single" w:color="auto" w:sz="4" w:space="0"/>
              <w:right w:val="single" w:color="auto" w:sz="4" w:space="0"/>
            </w:tcBorders>
            <w:noWrap w:val="0"/>
            <w:vAlign w:val="center"/>
          </w:tcPr>
          <w:p w14:paraId="056DD7E2">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896" w:type="dxa"/>
            <w:gridSpan w:val="2"/>
            <w:tcBorders>
              <w:top w:val="single" w:color="auto" w:sz="4" w:space="0"/>
              <w:left w:val="single" w:color="auto" w:sz="4" w:space="0"/>
              <w:right w:val="single" w:color="auto" w:sz="4" w:space="0"/>
            </w:tcBorders>
            <w:noWrap w:val="0"/>
            <w:vAlign w:val="center"/>
          </w:tcPr>
          <w:p w14:paraId="4633C85D">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评审办法</w:t>
            </w:r>
          </w:p>
        </w:tc>
        <w:tc>
          <w:tcPr>
            <w:tcW w:w="7290" w:type="dxa"/>
            <w:gridSpan w:val="3"/>
            <w:tcBorders>
              <w:top w:val="single" w:color="auto" w:sz="4" w:space="0"/>
              <w:left w:val="single" w:color="auto" w:sz="4" w:space="0"/>
              <w:bottom w:val="single" w:color="auto" w:sz="4" w:space="0"/>
            </w:tcBorders>
            <w:noWrap w:val="0"/>
            <w:vAlign w:val="center"/>
          </w:tcPr>
          <w:p w14:paraId="593EE88C">
            <w:pPr>
              <w:rPr>
                <w:rFonts w:ascii="仿宋" w:hAnsi="仿宋" w:eastAsia="仿宋" w:cs="仿宋"/>
                <w:color w:val="auto"/>
                <w:sz w:val="24"/>
                <w:highlight w:val="none"/>
              </w:rPr>
            </w:pPr>
            <w:r>
              <w:rPr>
                <w:rFonts w:hint="eastAsia" w:ascii="仿宋" w:hAnsi="仿宋" w:eastAsia="仿宋" w:cs="仿宋"/>
                <w:color w:val="auto"/>
                <w:sz w:val="22"/>
                <w:szCs w:val="22"/>
                <w:highlight w:val="none"/>
              </w:rPr>
              <w:t>本次评审采用综合评分法，综合评分法是指响应文件开启后满足采购文件全部实质性要求，且按照评审因素的量化指标评审得分最高的3名供应商为成交候选人的评审方法。</w:t>
            </w:r>
          </w:p>
        </w:tc>
      </w:tr>
      <w:tr w14:paraId="1FF36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985" w:type="dxa"/>
            <w:vMerge w:val="restart"/>
            <w:tcBorders>
              <w:top w:val="single" w:color="auto" w:sz="4" w:space="0"/>
              <w:right w:val="single" w:color="auto" w:sz="4" w:space="0"/>
            </w:tcBorders>
            <w:noWrap w:val="0"/>
            <w:vAlign w:val="center"/>
          </w:tcPr>
          <w:p w14:paraId="1B145863">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2.1</w:t>
            </w:r>
          </w:p>
        </w:tc>
        <w:tc>
          <w:tcPr>
            <w:tcW w:w="1896" w:type="dxa"/>
            <w:gridSpan w:val="2"/>
            <w:vMerge w:val="restart"/>
            <w:tcBorders>
              <w:top w:val="single" w:color="auto" w:sz="4" w:space="0"/>
              <w:left w:val="single" w:color="auto" w:sz="4" w:space="0"/>
              <w:right w:val="single" w:color="auto" w:sz="4" w:space="0"/>
            </w:tcBorders>
            <w:noWrap w:val="0"/>
            <w:vAlign w:val="center"/>
          </w:tcPr>
          <w:p w14:paraId="2AE999D3">
            <w:pPr>
              <w:jc w:val="center"/>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u w:val="single"/>
              </w:rPr>
              <w:t>▲资格审查</w:t>
            </w:r>
          </w:p>
        </w:tc>
        <w:tc>
          <w:tcPr>
            <w:tcW w:w="7290" w:type="dxa"/>
            <w:gridSpan w:val="3"/>
            <w:tcBorders>
              <w:top w:val="single" w:color="auto" w:sz="4" w:space="0"/>
              <w:left w:val="single" w:color="auto" w:sz="4" w:space="0"/>
              <w:bottom w:val="single" w:color="auto" w:sz="4" w:space="0"/>
            </w:tcBorders>
            <w:noWrap w:val="0"/>
            <w:vAlign w:val="center"/>
          </w:tcPr>
          <w:p w14:paraId="4223A6DA">
            <w:pPr>
              <w:jc w:val="left"/>
              <w:rPr>
                <w:color w:val="auto"/>
                <w:highlight w:val="none"/>
              </w:rPr>
            </w:pPr>
            <w:r>
              <w:rPr>
                <w:rFonts w:hint="eastAsia" w:ascii="仿宋" w:hAnsi="仿宋" w:eastAsia="仿宋" w:cs="仿宋"/>
                <w:color w:val="auto"/>
                <w:sz w:val="22"/>
                <w:szCs w:val="22"/>
                <w:highlight w:val="none"/>
              </w:rPr>
              <w:t>2.1.1提供符合参加政府采购活动应当具备的一般条件的承诺函及有效的企业营业执照（或事业法人登记证书或其它工商等登记证明材料，自然人提供身份证)复制件（如为联合体，则联合体各方均应提供）；</w:t>
            </w:r>
          </w:p>
        </w:tc>
      </w:tr>
      <w:tr w14:paraId="6AF5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985" w:type="dxa"/>
            <w:vMerge w:val="continue"/>
            <w:tcBorders>
              <w:right w:val="single" w:color="auto" w:sz="4" w:space="0"/>
            </w:tcBorders>
            <w:noWrap w:val="0"/>
            <w:vAlign w:val="center"/>
          </w:tcPr>
          <w:p w14:paraId="2D5F4243">
            <w:pPr>
              <w:jc w:val="center"/>
              <w:rPr>
                <w:rFonts w:ascii="仿宋" w:hAnsi="仿宋" w:eastAsia="仿宋" w:cs="仿宋"/>
                <w:color w:val="auto"/>
                <w:sz w:val="22"/>
                <w:szCs w:val="22"/>
                <w:highlight w:val="none"/>
              </w:rPr>
            </w:pPr>
          </w:p>
        </w:tc>
        <w:tc>
          <w:tcPr>
            <w:tcW w:w="1896" w:type="dxa"/>
            <w:gridSpan w:val="2"/>
            <w:vMerge w:val="continue"/>
            <w:tcBorders>
              <w:left w:val="single" w:color="auto" w:sz="4" w:space="0"/>
              <w:right w:val="single" w:color="auto" w:sz="4" w:space="0"/>
            </w:tcBorders>
            <w:noWrap w:val="0"/>
            <w:vAlign w:val="center"/>
          </w:tcPr>
          <w:p w14:paraId="762ADDE2">
            <w:pPr>
              <w:jc w:val="center"/>
              <w:rPr>
                <w:rFonts w:ascii="仿宋" w:hAnsi="仿宋" w:eastAsia="仿宋" w:cs="仿宋"/>
                <w:color w:val="auto"/>
                <w:sz w:val="22"/>
                <w:szCs w:val="22"/>
                <w:highlight w:val="none"/>
              </w:rPr>
            </w:pPr>
          </w:p>
        </w:tc>
        <w:tc>
          <w:tcPr>
            <w:tcW w:w="7290" w:type="dxa"/>
            <w:gridSpan w:val="3"/>
            <w:tcBorders>
              <w:top w:val="single" w:color="auto" w:sz="4" w:space="0"/>
              <w:left w:val="single" w:color="auto" w:sz="4" w:space="0"/>
              <w:bottom w:val="single" w:color="auto" w:sz="4" w:space="0"/>
            </w:tcBorders>
            <w:noWrap w:val="0"/>
            <w:vAlign w:val="center"/>
          </w:tcPr>
          <w:p w14:paraId="53AEB42B">
            <w:pPr>
              <w:rPr>
                <w:rFonts w:eastAsia="仿宋"/>
                <w:color w:val="auto"/>
                <w:highlight w:val="none"/>
                <w:u w:val="single"/>
              </w:rPr>
            </w:pPr>
            <w:r>
              <w:rPr>
                <w:rFonts w:hint="eastAsia" w:ascii="仿宋" w:hAnsi="仿宋" w:eastAsia="仿宋" w:cs="仿宋"/>
                <w:color w:val="auto"/>
                <w:sz w:val="22"/>
                <w:szCs w:val="22"/>
                <w:highlight w:val="none"/>
              </w:rPr>
              <w:t>2.1.1落实政府采购政策需满足的资格审查材料：</w:t>
            </w:r>
            <w:r>
              <w:rPr>
                <w:rFonts w:hint="eastAsia" w:ascii="仿宋" w:hAnsi="仿宋" w:eastAsia="仿宋" w:cs="仿宋"/>
                <w:color w:val="auto"/>
                <w:sz w:val="22"/>
                <w:szCs w:val="22"/>
                <w:highlight w:val="none"/>
                <w:u w:val="single"/>
              </w:rPr>
              <w:t xml:space="preserve">中小企业声明函 </w:t>
            </w:r>
          </w:p>
        </w:tc>
      </w:tr>
      <w:tr w14:paraId="5CA7F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985" w:type="dxa"/>
            <w:vMerge w:val="continue"/>
            <w:tcBorders>
              <w:right w:val="single" w:color="auto" w:sz="4" w:space="0"/>
            </w:tcBorders>
            <w:noWrap w:val="0"/>
            <w:vAlign w:val="center"/>
          </w:tcPr>
          <w:p w14:paraId="767F1B43">
            <w:pPr>
              <w:jc w:val="center"/>
              <w:rPr>
                <w:rFonts w:ascii="仿宋" w:hAnsi="仿宋" w:eastAsia="仿宋" w:cs="仿宋"/>
                <w:color w:val="auto"/>
                <w:sz w:val="22"/>
                <w:szCs w:val="22"/>
                <w:highlight w:val="none"/>
              </w:rPr>
            </w:pPr>
          </w:p>
        </w:tc>
        <w:tc>
          <w:tcPr>
            <w:tcW w:w="1896" w:type="dxa"/>
            <w:gridSpan w:val="2"/>
            <w:vMerge w:val="continue"/>
            <w:tcBorders>
              <w:left w:val="single" w:color="auto" w:sz="4" w:space="0"/>
              <w:right w:val="single" w:color="auto" w:sz="4" w:space="0"/>
            </w:tcBorders>
            <w:noWrap w:val="0"/>
            <w:vAlign w:val="center"/>
          </w:tcPr>
          <w:p w14:paraId="2254C9BC">
            <w:pPr>
              <w:jc w:val="center"/>
              <w:rPr>
                <w:rFonts w:ascii="仿宋" w:hAnsi="仿宋" w:eastAsia="仿宋" w:cs="仿宋"/>
                <w:color w:val="auto"/>
                <w:sz w:val="22"/>
                <w:szCs w:val="22"/>
                <w:highlight w:val="none"/>
              </w:rPr>
            </w:pPr>
          </w:p>
        </w:tc>
        <w:tc>
          <w:tcPr>
            <w:tcW w:w="7290" w:type="dxa"/>
            <w:gridSpan w:val="3"/>
            <w:tcBorders>
              <w:top w:val="single" w:color="auto" w:sz="4" w:space="0"/>
              <w:left w:val="single" w:color="auto" w:sz="4" w:space="0"/>
              <w:bottom w:val="single" w:color="auto" w:sz="4" w:space="0"/>
            </w:tcBorders>
            <w:noWrap w:val="0"/>
            <w:vAlign w:val="center"/>
          </w:tcPr>
          <w:p w14:paraId="6AEC6FE8">
            <w:pPr>
              <w:rPr>
                <w:color w:val="auto"/>
                <w:highlight w:val="none"/>
                <w:u w:val="single"/>
              </w:rPr>
            </w:pPr>
            <w:r>
              <w:rPr>
                <w:rFonts w:hint="eastAsia" w:ascii="仿宋" w:hAnsi="仿宋" w:eastAsia="仿宋" w:cs="仿宋"/>
                <w:color w:val="auto"/>
                <w:sz w:val="22"/>
                <w:szCs w:val="22"/>
                <w:highlight w:val="none"/>
              </w:rPr>
              <w:t>2.1.3本项目的特定资格要求审查材料：</w:t>
            </w:r>
            <w:r>
              <w:rPr>
                <w:rFonts w:hint="eastAsia" w:ascii="仿宋" w:hAnsi="仿宋" w:eastAsia="仿宋" w:cs="仿宋"/>
                <w:color w:val="auto"/>
                <w:sz w:val="22"/>
                <w:szCs w:val="22"/>
                <w:highlight w:val="none"/>
                <w:u w:val="single"/>
              </w:rPr>
              <w:t xml:space="preserve"> 无 </w:t>
            </w:r>
          </w:p>
        </w:tc>
      </w:tr>
      <w:tr w14:paraId="3C20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985" w:type="dxa"/>
            <w:vMerge w:val="continue"/>
            <w:tcBorders>
              <w:bottom w:val="single" w:color="auto" w:sz="4" w:space="0"/>
              <w:right w:val="single" w:color="auto" w:sz="4" w:space="0"/>
            </w:tcBorders>
            <w:noWrap w:val="0"/>
            <w:vAlign w:val="center"/>
          </w:tcPr>
          <w:p w14:paraId="4CBF09A9">
            <w:pPr>
              <w:jc w:val="center"/>
              <w:rPr>
                <w:rFonts w:ascii="仿宋" w:hAnsi="仿宋" w:eastAsia="仿宋" w:cs="仿宋"/>
                <w:color w:val="auto"/>
                <w:sz w:val="22"/>
                <w:szCs w:val="22"/>
                <w:highlight w:val="none"/>
              </w:rPr>
            </w:pPr>
          </w:p>
        </w:tc>
        <w:tc>
          <w:tcPr>
            <w:tcW w:w="1896" w:type="dxa"/>
            <w:gridSpan w:val="2"/>
            <w:vMerge w:val="continue"/>
            <w:tcBorders>
              <w:left w:val="single" w:color="auto" w:sz="4" w:space="0"/>
              <w:right w:val="single" w:color="auto" w:sz="4" w:space="0"/>
            </w:tcBorders>
            <w:noWrap w:val="0"/>
            <w:vAlign w:val="center"/>
          </w:tcPr>
          <w:p w14:paraId="2DCB499C">
            <w:pPr>
              <w:jc w:val="center"/>
              <w:rPr>
                <w:rFonts w:ascii="仿宋" w:hAnsi="仿宋" w:eastAsia="仿宋" w:cs="仿宋"/>
                <w:color w:val="auto"/>
                <w:sz w:val="22"/>
                <w:szCs w:val="22"/>
                <w:highlight w:val="none"/>
              </w:rPr>
            </w:pPr>
          </w:p>
        </w:tc>
        <w:tc>
          <w:tcPr>
            <w:tcW w:w="7290" w:type="dxa"/>
            <w:gridSpan w:val="3"/>
            <w:tcBorders>
              <w:top w:val="single" w:color="auto" w:sz="4" w:space="0"/>
              <w:left w:val="single" w:color="auto" w:sz="4" w:space="0"/>
              <w:bottom w:val="single" w:color="auto" w:sz="4" w:space="0"/>
            </w:tcBorders>
            <w:noWrap w:val="0"/>
            <w:vAlign w:val="center"/>
          </w:tcPr>
          <w:p w14:paraId="63D2DE62">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2.1.4商业信誉审查：</w:t>
            </w:r>
          </w:p>
          <w:p w14:paraId="43679D42">
            <w:pPr>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0222661A">
            <w:pPr>
              <w:ind w:firstLine="440" w:firstLineChars="200"/>
              <w:rPr>
                <w:rFonts w:ascii="仿宋" w:hAnsi="仿宋" w:eastAsia="仿宋" w:cs="仿宋"/>
                <w:color w:val="auto"/>
                <w:sz w:val="24"/>
                <w:highlight w:val="none"/>
              </w:rPr>
            </w:pPr>
            <w:r>
              <w:rPr>
                <w:rFonts w:hint="eastAsia" w:ascii="仿宋" w:hAnsi="仿宋" w:eastAsia="仿宋" w:cs="仿宋"/>
                <w:color w:val="auto"/>
                <w:sz w:val="22"/>
                <w:szCs w:val="22"/>
                <w:highlight w:val="none"/>
              </w:rPr>
              <w:t>对列入失信被执行人、重大税收违法案件当事人名单、政府采购严重违法失信行为记录名单的供应商，其磋商响应将作无效响应处理。</w:t>
            </w:r>
          </w:p>
        </w:tc>
      </w:tr>
      <w:tr w14:paraId="37BF1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noWrap w:val="0"/>
            <w:vAlign w:val="center"/>
          </w:tcPr>
          <w:p w14:paraId="1DB204B8">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2.2</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2A99230D">
            <w:pPr>
              <w:jc w:val="center"/>
              <w:rPr>
                <w:rFonts w:ascii="仿宋" w:hAnsi="仿宋" w:eastAsia="仿宋" w:cs="仿宋"/>
                <w:color w:val="auto"/>
                <w:sz w:val="22"/>
                <w:szCs w:val="22"/>
                <w:highlight w:val="none"/>
              </w:rPr>
            </w:pPr>
            <w:r>
              <w:rPr>
                <w:rFonts w:hint="eastAsia" w:ascii="仿宋" w:hAnsi="仿宋" w:eastAsia="仿宋" w:cs="仿宋"/>
                <w:b/>
                <w:bCs/>
                <w:color w:val="auto"/>
                <w:sz w:val="22"/>
                <w:szCs w:val="22"/>
                <w:highlight w:val="none"/>
                <w:u w:val="single"/>
              </w:rPr>
              <w:t>▲符合性审查</w:t>
            </w:r>
          </w:p>
        </w:tc>
        <w:tc>
          <w:tcPr>
            <w:tcW w:w="7290" w:type="dxa"/>
            <w:gridSpan w:val="3"/>
            <w:tcBorders>
              <w:top w:val="single" w:color="auto" w:sz="4" w:space="0"/>
              <w:left w:val="single" w:color="auto" w:sz="4" w:space="0"/>
              <w:bottom w:val="single" w:color="auto" w:sz="4" w:space="0"/>
            </w:tcBorders>
            <w:noWrap w:val="0"/>
            <w:vAlign w:val="center"/>
          </w:tcPr>
          <w:p w14:paraId="26C46E6F">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磋商小组在评审过程中根据本“第四章评审办法”2.3.1~2.3.3条款规定的符合性审查内容要求对响应文件的有效性、完整性、响应文件的响应程度审查。</w:t>
            </w:r>
          </w:p>
          <w:p w14:paraId="22CD8605">
            <w:pPr>
              <w:rPr>
                <w:rFonts w:hint="eastAsia" w:ascii="仿宋" w:hAnsi="仿宋" w:eastAsia="仿宋" w:cs="仿宋"/>
                <w:color w:val="auto"/>
                <w:sz w:val="24"/>
                <w:highlight w:val="none"/>
                <w:u w:val="single"/>
              </w:rPr>
            </w:pPr>
            <w:r>
              <w:rPr>
                <w:rFonts w:hint="eastAsia" w:ascii="仿宋" w:hAnsi="仿宋" w:eastAsia="仿宋" w:cs="仿宋"/>
                <w:color w:val="auto"/>
                <w:sz w:val="22"/>
                <w:szCs w:val="22"/>
                <w:highlight w:val="none"/>
              </w:rPr>
              <w:t>符合性审查其他要求：</w:t>
            </w:r>
            <w:r>
              <w:rPr>
                <w:rFonts w:hint="eastAsia" w:ascii="仿宋" w:hAnsi="仿宋" w:eastAsia="仿宋" w:cs="仿宋"/>
                <w:color w:val="auto"/>
                <w:sz w:val="22"/>
                <w:szCs w:val="22"/>
                <w:highlight w:val="none"/>
                <w:u w:val="single"/>
              </w:rPr>
              <w:t xml:space="preserve"> 无 </w:t>
            </w:r>
          </w:p>
        </w:tc>
      </w:tr>
      <w:tr w14:paraId="62A81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985" w:type="dxa"/>
            <w:tcBorders>
              <w:top w:val="single" w:color="auto" w:sz="4" w:space="0"/>
              <w:bottom w:val="single" w:color="auto" w:sz="4" w:space="0"/>
              <w:right w:val="single" w:color="auto" w:sz="4" w:space="0"/>
            </w:tcBorders>
            <w:noWrap w:val="0"/>
            <w:vAlign w:val="center"/>
          </w:tcPr>
          <w:p w14:paraId="72D59F72">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2.3</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1A598C6F">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比较与评价</w:t>
            </w:r>
          </w:p>
        </w:tc>
        <w:tc>
          <w:tcPr>
            <w:tcW w:w="7290" w:type="dxa"/>
            <w:gridSpan w:val="3"/>
            <w:tcBorders>
              <w:top w:val="single" w:color="auto" w:sz="4" w:space="0"/>
              <w:left w:val="single" w:color="auto" w:sz="4" w:space="0"/>
              <w:bottom w:val="single" w:color="auto" w:sz="4" w:space="0"/>
            </w:tcBorders>
            <w:noWrap w:val="0"/>
            <w:vAlign w:val="center"/>
          </w:tcPr>
          <w:p w14:paraId="008B558A">
            <w:pPr>
              <w:rPr>
                <w:color w:val="auto"/>
                <w:highlight w:val="none"/>
              </w:rPr>
            </w:pPr>
            <w:r>
              <w:rPr>
                <w:rFonts w:hint="eastAsia" w:ascii="仿宋" w:hAnsi="仿宋" w:eastAsia="仿宋" w:cs="仿宋"/>
                <w:color w:val="auto"/>
                <w:kern w:val="0"/>
                <w:sz w:val="22"/>
                <w:szCs w:val="22"/>
                <w:highlight w:val="none"/>
              </w:rPr>
              <w:sym w:font="Wingdings" w:char="00FE"/>
            </w:r>
            <w:r>
              <w:rPr>
                <w:rFonts w:hint="eastAsia" w:ascii="仿宋" w:hAnsi="仿宋" w:eastAsia="仿宋" w:cs="仿宋"/>
                <w:color w:val="auto"/>
                <w:sz w:val="22"/>
                <w:szCs w:val="22"/>
                <w:highlight w:val="none"/>
              </w:rPr>
              <w:t>采用综合评分法</w:t>
            </w:r>
          </w:p>
        </w:tc>
      </w:tr>
      <w:tr w14:paraId="2EDE7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noWrap w:val="0"/>
            <w:vAlign w:val="center"/>
          </w:tcPr>
          <w:p w14:paraId="4389452B">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2.3.1</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00D051D4">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分值权重构成</w:t>
            </w:r>
          </w:p>
        </w:tc>
        <w:tc>
          <w:tcPr>
            <w:tcW w:w="7290" w:type="dxa"/>
            <w:gridSpan w:val="3"/>
            <w:tcBorders>
              <w:top w:val="single" w:color="auto" w:sz="4" w:space="0"/>
              <w:left w:val="single" w:color="auto" w:sz="4" w:space="0"/>
              <w:bottom w:val="single" w:color="auto" w:sz="4" w:space="0"/>
            </w:tcBorders>
            <w:noWrap w:val="0"/>
            <w:vAlign w:val="center"/>
          </w:tcPr>
          <w:p w14:paraId="23D7C6F9">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磋商小组将对各供应商的磋商报价、技术或服务水平、履约能力、售后服务等和业绩情况等方面进行综合评审，磋商小组各成员应当独立对每个有效供应商的响应文件进行评价、打分。</w:t>
            </w:r>
          </w:p>
          <w:p w14:paraId="4915B8FC">
            <w:pPr>
              <w:rPr>
                <w:rFonts w:ascii="仿宋" w:hAnsi="仿宋" w:eastAsia="仿宋" w:cs="仿宋"/>
                <w:color w:val="auto"/>
                <w:sz w:val="24"/>
                <w:highlight w:val="none"/>
              </w:rPr>
            </w:pPr>
            <w:r>
              <w:rPr>
                <w:rFonts w:hint="eastAsia" w:ascii="仿宋" w:hAnsi="仿宋" w:eastAsia="仿宋" w:cs="仿宋"/>
                <w:color w:val="auto"/>
                <w:sz w:val="22"/>
                <w:szCs w:val="22"/>
                <w:highlight w:val="none"/>
              </w:rPr>
              <w:t>各供应商的综合得分为：最终报价得分+商务技术得分之和，总和为100分，其中：其中商务技术</w:t>
            </w:r>
            <w:r>
              <w:rPr>
                <w:rFonts w:hint="eastAsia" w:ascii="仿宋" w:hAnsi="仿宋" w:eastAsia="仿宋" w:cs="仿宋"/>
                <w:color w:val="auto"/>
                <w:sz w:val="22"/>
                <w:szCs w:val="22"/>
                <w:highlight w:val="none"/>
                <w:u w:val="single"/>
              </w:rPr>
              <w:t xml:space="preserve"> </w:t>
            </w:r>
            <w:r>
              <w:rPr>
                <w:rFonts w:ascii="仿宋" w:hAnsi="仿宋" w:eastAsia="仿宋" w:cs="仿宋"/>
                <w:color w:val="auto"/>
                <w:sz w:val="22"/>
                <w:szCs w:val="22"/>
                <w:highlight w:val="none"/>
                <w:u w:val="single"/>
              </w:rPr>
              <w:t>70</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分（商务技术权值</w:t>
            </w:r>
            <w:r>
              <w:rPr>
                <w:rFonts w:hint="eastAsia" w:ascii="仿宋" w:hAnsi="仿宋" w:eastAsia="仿宋" w:cs="仿宋"/>
                <w:color w:val="auto"/>
                <w:sz w:val="22"/>
                <w:szCs w:val="22"/>
                <w:highlight w:val="none"/>
                <w:u w:val="single"/>
              </w:rPr>
              <w:t xml:space="preserve"> </w:t>
            </w:r>
            <w:r>
              <w:rPr>
                <w:rFonts w:ascii="仿宋" w:hAnsi="仿宋" w:eastAsia="仿宋" w:cs="仿宋"/>
                <w:color w:val="auto"/>
                <w:sz w:val="22"/>
                <w:szCs w:val="22"/>
                <w:highlight w:val="none"/>
                <w:u w:val="single"/>
              </w:rPr>
              <w:t>70</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u w:val="single"/>
              </w:rPr>
              <w:t xml:space="preserve"> </w:t>
            </w:r>
            <w:r>
              <w:rPr>
                <w:rFonts w:ascii="仿宋" w:hAnsi="仿宋" w:eastAsia="仿宋" w:cs="仿宋"/>
                <w:color w:val="auto"/>
                <w:sz w:val="22"/>
                <w:szCs w:val="22"/>
                <w:highlight w:val="none"/>
                <w:u w:val="single"/>
              </w:rPr>
              <w:t>30</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分（价格权值</w:t>
            </w:r>
            <w:r>
              <w:rPr>
                <w:rFonts w:hint="eastAsia" w:ascii="仿宋" w:hAnsi="仿宋" w:eastAsia="仿宋" w:cs="仿宋"/>
                <w:color w:val="auto"/>
                <w:sz w:val="22"/>
                <w:szCs w:val="22"/>
                <w:highlight w:val="none"/>
                <w:u w:val="single"/>
              </w:rPr>
              <w:t xml:space="preserve"> </w:t>
            </w:r>
            <w:r>
              <w:rPr>
                <w:rFonts w:ascii="仿宋" w:hAnsi="仿宋" w:eastAsia="仿宋" w:cs="仿宋"/>
                <w:color w:val="auto"/>
                <w:sz w:val="22"/>
                <w:szCs w:val="22"/>
                <w:highlight w:val="none"/>
                <w:u w:val="single"/>
              </w:rPr>
              <w:t>30</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p>
        </w:tc>
      </w:tr>
      <w:tr w14:paraId="2DF1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85" w:type="dxa"/>
            <w:vMerge w:val="restart"/>
            <w:tcBorders>
              <w:top w:val="single" w:color="auto" w:sz="4" w:space="0"/>
              <w:right w:val="single" w:color="auto" w:sz="4" w:space="0"/>
            </w:tcBorders>
            <w:noWrap w:val="0"/>
            <w:vAlign w:val="center"/>
          </w:tcPr>
          <w:p w14:paraId="5D74512A">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2.3.2</w:t>
            </w:r>
          </w:p>
        </w:tc>
        <w:tc>
          <w:tcPr>
            <w:tcW w:w="768" w:type="dxa"/>
            <w:vMerge w:val="restart"/>
            <w:tcBorders>
              <w:top w:val="single" w:color="auto" w:sz="4" w:space="0"/>
              <w:right w:val="single" w:color="auto" w:sz="4" w:space="0"/>
            </w:tcBorders>
            <w:noWrap w:val="0"/>
            <w:vAlign w:val="center"/>
          </w:tcPr>
          <w:p w14:paraId="7E554706">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商务技术评分</w:t>
            </w:r>
          </w:p>
          <w:p w14:paraId="0CBE8217">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标准</w:t>
            </w:r>
          </w:p>
          <w:p w14:paraId="1A4B5E58">
            <w:pPr>
              <w:pStyle w:val="4"/>
              <w:outlineLvl w:val="9"/>
              <w:rPr>
                <w:rFonts w:hint="eastAsia"/>
                <w:color w:val="auto"/>
                <w:highlight w:val="none"/>
                <w:lang w:val="en-US"/>
              </w:rPr>
            </w:pPr>
          </w:p>
        </w:tc>
        <w:tc>
          <w:tcPr>
            <w:tcW w:w="1128" w:type="dxa"/>
            <w:tcBorders>
              <w:top w:val="single" w:color="auto" w:sz="4" w:space="0"/>
              <w:left w:val="single" w:color="auto" w:sz="4" w:space="0"/>
              <w:bottom w:val="single" w:color="auto" w:sz="4" w:space="0"/>
            </w:tcBorders>
            <w:noWrap w:val="0"/>
            <w:vAlign w:val="center"/>
          </w:tcPr>
          <w:p w14:paraId="25038060">
            <w:pPr>
              <w:tabs>
                <w:tab w:val="left" w:pos="0"/>
              </w:tabs>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评审因素</w:t>
            </w:r>
          </w:p>
        </w:tc>
        <w:tc>
          <w:tcPr>
            <w:tcW w:w="5942" w:type="dxa"/>
            <w:tcBorders>
              <w:top w:val="single" w:color="auto" w:sz="4" w:space="0"/>
              <w:left w:val="single" w:color="auto" w:sz="4" w:space="0"/>
              <w:bottom w:val="single" w:color="auto" w:sz="4" w:space="0"/>
              <w:right w:val="single" w:color="auto" w:sz="4" w:space="0"/>
            </w:tcBorders>
            <w:noWrap w:val="0"/>
            <w:vAlign w:val="center"/>
          </w:tcPr>
          <w:p w14:paraId="45FCF413">
            <w:pPr>
              <w:autoSpaceDE w:val="0"/>
              <w:autoSpaceDN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评审标准</w:t>
            </w:r>
          </w:p>
        </w:tc>
        <w:tc>
          <w:tcPr>
            <w:tcW w:w="591" w:type="dxa"/>
            <w:tcBorders>
              <w:top w:val="single" w:color="auto" w:sz="4" w:space="0"/>
              <w:left w:val="single" w:color="auto" w:sz="4" w:space="0"/>
              <w:bottom w:val="single" w:color="auto" w:sz="4" w:space="0"/>
            </w:tcBorders>
            <w:noWrap w:val="0"/>
            <w:vAlign w:val="center"/>
          </w:tcPr>
          <w:p w14:paraId="2F7909AE">
            <w:pPr>
              <w:autoSpaceDE w:val="0"/>
              <w:autoSpaceDN w:val="0"/>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757" w:type="dxa"/>
            <w:tcBorders>
              <w:top w:val="single" w:color="auto" w:sz="4" w:space="0"/>
              <w:left w:val="single" w:color="auto" w:sz="4" w:space="0"/>
              <w:bottom w:val="single" w:color="auto" w:sz="4" w:space="0"/>
            </w:tcBorders>
            <w:noWrap w:val="0"/>
            <w:vAlign w:val="center"/>
          </w:tcPr>
          <w:p w14:paraId="7E0EA1A5">
            <w:pPr>
              <w:autoSpaceDE w:val="0"/>
              <w:autoSpaceDN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tc>
      </w:tr>
      <w:tr w14:paraId="3B77A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continue"/>
            <w:tcBorders>
              <w:right w:val="single" w:color="auto" w:sz="4" w:space="0"/>
            </w:tcBorders>
            <w:noWrap w:val="0"/>
            <w:vAlign w:val="center"/>
          </w:tcPr>
          <w:p w14:paraId="58750466">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53F57F0E">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right w:val="single" w:color="auto" w:sz="4" w:space="0"/>
            </w:tcBorders>
            <w:noWrap w:val="0"/>
            <w:vAlign w:val="center"/>
          </w:tcPr>
          <w:p w14:paraId="7E05202D">
            <w:pPr>
              <w:tabs>
                <w:tab w:val="left" w:pos="0"/>
              </w:tabs>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投标人情况资信实力</w:t>
            </w:r>
          </w:p>
        </w:tc>
        <w:tc>
          <w:tcPr>
            <w:tcW w:w="5942" w:type="dxa"/>
            <w:tcBorders>
              <w:top w:val="single" w:color="auto" w:sz="4" w:space="0"/>
              <w:left w:val="single" w:color="auto" w:sz="4" w:space="0"/>
              <w:right w:val="single" w:color="auto" w:sz="4" w:space="0"/>
            </w:tcBorders>
            <w:noWrap w:val="0"/>
            <w:vAlign w:val="center"/>
          </w:tcPr>
          <w:p w14:paraId="4AFE9A53">
            <w:pPr>
              <w:tabs>
                <w:tab w:val="left" w:pos="0"/>
              </w:tabs>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投标人具有“信息技术服务管理体系认证”、“信息安全管理体系认证”、“质量管理体系认证”证书的，</w:t>
            </w:r>
            <w:r>
              <w:rPr>
                <w:rFonts w:hint="eastAsia" w:ascii="仿宋" w:hAnsi="仿宋" w:eastAsia="仿宋" w:cs="仿宋"/>
                <w:bCs/>
                <w:color w:val="auto"/>
                <w:sz w:val="22"/>
                <w:szCs w:val="22"/>
                <w:highlight w:val="none"/>
              </w:rPr>
              <w:t>每个得1分，最高得3分；</w:t>
            </w:r>
          </w:p>
          <w:p w14:paraId="268CD395">
            <w:pPr>
              <w:pStyle w:val="7"/>
              <w:ind w:firstLine="0" w:firstLineChars="0"/>
              <w:rPr>
                <w:color w:val="auto"/>
                <w:highlight w:val="none"/>
              </w:rPr>
            </w:pPr>
            <w:r>
              <w:rPr>
                <w:rFonts w:hint="eastAsia" w:ascii="仿宋" w:hAnsi="仿宋" w:eastAsia="仿宋" w:cs="仿宋"/>
                <w:color w:val="auto"/>
                <w:sz w:val="22"/>
                <w:szCs w:val="22"/>
                <w:highlight w:val="none"/>
              </w:rPr>
              <w:t>投标人通过CMMI 3级及以上认证的，得2分。</w:t>
            </w:r>
          </w:p>
          <w:p w14:paraId="12FC2EA3">
            <w:pPr>
              <w:tabs>
                <w:tab w:val="left" w:pos="0"/>
              </w:tabs>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备注：相关证书需在有效期内。</w:t>
            </w:r>
          </w:p>
        </w:tc>
        <w:tc>
          <w:tcPr>
            <w:tcW w:w="591" w:type="dxa"/>
            <w:tcBorders>
              <w:top w:val="single" w:color="auto" w:sz="4" w:space="0"/>
              <w:left w:val="single" w:color="auto" w:sz="4" w:space="0"/>
            </w:tcBorders>
            <w:noWrap w:val="0"/>
            <w:vAlign w:val="center"/>
          </w:tcPr>
          <w:p w14:paraId="76E93BFD">
            <w:pPr>
              <w:tabs>
                <w:tab w:val="left" w:pos="0"/>
              </w:tabs>
              <w:spacing w:line="4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757" w:type="dxa"/>
            <w:tcBorders>
              <w:top w:val="single" w:color="auto" w:sz="4" w:space="0"/>
              <w:left w:val="single" w:color="auto" w:sz="4" w:space="0"/>
            </w:tcBorders>
            <w:noWrap w:val="0"/>
            <w:vAlign w:val="center"/>
          </w:tcPr>
          <w:p w14:paraId="43EAEFD4">
            <w:pPr>
              <w:spacing w:line="4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r>
      <w:tr w14:paraId="1B3D3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continue"/>
            <w:tcBorders>
              <w:right w:val="single" w:color="auto" w:sz="4" w:space="0"/>
            </w:tcBorders>
            <w:noWrap w:val="0"/>
            <w:vAlign w:val="center"/>
          </w:tcPr>
          <w:p w14:paraId="46AB872E">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60C0AD53">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right w:val="single" w:color="auto" w:sz="4" w:space="0"/>
            </w:tcBorders>
            <w:noWrap w:val="0"/>
            <w:vAlign w:val="center"/>
          </w:tcPr>
          <w:p w14:paraId="2AB652DF">
            <w:pPr>
              <w:tabs>
                <w:tab w:val="left" w:pos="0"/>
              </w:tabs>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业绩案例</w:t>
            </w:r>
          </w:p>
        </w:tc>
        <w:tc>
          <w:tcPr>
            <w:tcW w:w="5942" w:type="dxa"/>
            <w:tcBorders>
              <w:top w:val="single" w:color="auto" w:sz="4" w:space="0"/>
              <w:left w:val="single" w:color="auto" w:sz="4" w:space="0"/>
              <w:right w:val="single" w:color="auto" w:sz="4" w:space="0"/>
            </w:tcBorders>
            <w:noWrap w:val="0"/>
            <w:vAlign w:val="center"/>
          </w:tcPr>
          <w:p w14:paraId="24E82FD3">
            <w:pPr>
              <w:tabs>
                <w:tab w:val="left" w:pos="0"/>
              </w:tabs>
              <w:spacing w:line="400" w:lineRule="exact"/>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投标人具有近三年（自2021年9月1日至今） “垂直领域大模型训练/开发”、“大模型安全性分析/评测”两个方向的相关的项目业绩，每提供一项有效业绩得1分，最高得3分；同一个方向的相关业绩，每提供一项有效业绩得1分，最多得2分。本项得分最高不超过3分。</w:t>
            </w:r>
          </w:p>
          <w:p w14:paraId="520A1529">
            <w:pPr>
              <w:tabs>
                <w:tab w:val="left" w:pos="0"/>
              </w:tabs>
              <w:spacing w:line="400" w:lineRule="exact"/>
              <w:jc w:val="left"/>
              <w:rPr>
                <w:rFonts w:hint="eastAsia" w:ascii="仿宋" w:hAnsi="仿宋" w:eastAsia="仿宋" w:cs="仿宋"/>
                <w:bCs/>
                <w:color w:val="auto"/>
                <w:sz w:val="22"/>
                <w:szCs w:val="22"/>
                <w:highlight w:val="none"/>
                <w:lang w:val="zh-CN"/>
              </w:rPr>
            </w:pPr>
            <w:r>
              <w:rPr>
                <w:rFonts w:hint="eastAsia" w:ascii="仿宋" w:hAnsi="仿宋" w:eastAsia="仿宋" w:cs="仿宋"/>
                <w:color w:val="auto"/>
                <w:sz w:val="22"/>
                <w:szCs w:val="22"/>
                <w:highlight w:val="none"/>
              </w:rPr>
              <w:t>注：提供有效业绩证明资料（合同清晰扫描件），证明资料应能清晰反映货物标的名称、型号、金额、日期、签字盖章信息等。证明材料不完整或不符合要求或未提供的，不计分。</w:t>
            </w:r>
          </w:p>
        </w:tc>
        <w:tc>
          <w:tcPr>
            <w:tcW w:w="591" w:type="dxa"/>
            <w:tcBorders>
              <w:top w:val="single" w:color="auto" w:sz="4" w:space="0"/>
              <w:left w:val="single" w:color="auto" w:sz="4" w:space="0"/>
            </w:tcBorders>
            <w:noWrap w:val="0"/>
            <w:vAlign w:val="center"/>
          </w:tcPr>
          <w:p w14:paraId="32D80D3F">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757" w:type="dxa"/>
            <w:tcBorders>
              <w:top w:val="single" w:color="auto" w:sz="4" w:space="0"/>
              <w:left w:val="single" w:color="auto" w:sz="4" w:space="0"/>
            </w:tcBorders>
            <w:noWrap w:val="0"/>
            <w:vAlign w:val="center"/>
          </w:tcPr>
          <w:p w14:paraId="1446B3C7">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r>
      <w:tr w14:paraId="19226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continue"/>
            <w:tcBorders>
              <w:right w:val="single" w:color="auto" w:sz="4" w:space="0"/>
            </w:tcBorders>
            <w:noWrap w:val="0"/>
            <w:vAlign w:val="center"/>
          </w:tcPr>
          <w:p w14:paraId="47493209">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46BA322C">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right w:val="single" w:color="auto" w:sz="4" w:space="0"/>
            </w:tcBorders>
            <w:noWrap w:val="0"/>
            <w:vAlign w:val="center"/>
          </w:tcPr>
          <w:p w14:paraId="33220144">
            <w:pPr>
              <w:tabs>
                <w:tab w:val="left" w:pos="0"/>
              </w:tabs>
              <w:spacing w:line="400" w:lineRule="exact"/>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投标人技术能力</w:t>
            </w:r>
          </w:p>
        </w:tc>
        <w:tc>
          <w:tcPr>
            <w:tcW w:w="5942" w:type="dxa"/>
            <w:tcBorders>
              <w:top w:val="single" w:color="auto" w:sz="4" w:space="0"/>
              <w:left w:val="single" w:color="auto" w:sz="4" w:space="0"/>
              <w:right w:val="single" w:color="auto" w:sz="4" w:space="0"/>
            </w:tcBorders>
            <w:noWrap w:val="0"/>
            <w:vAlign w:val="center"/>
          </w:tcPr>
          <w:p w14:paraId="026E2ED4">
            <w:pPr>
              <w:tabs>
                <w:tab w:val="left" w:pos="0"/>
              </w:tabs>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投标人具有“大模型”等与本项目相关的自主知识产权，每提供一个得1分，最高得3分。</w:t>
            </w:r>
          </w:p>
          <w:p w14:paraId="34008781">
            <w:pPr>
              <w:tabs>
                <w:tab w:val="left" w:pos="0"/>
              </w:tabs>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注:提供由国家版权局颁发的相关计算机软件著作权登记证书复印件并加盖公章，否则不予得分。</w:t>
            </w:r>
          </w:p>
        </w:tc>
        <w:tc>
          <w:tcPr>
            <w:tcW w:w="591" w:type="dxa"/>
            <w:tcBorders>
              <w:top w:val="single" w:color="auto" w:sz="4" w:space="0"/>
              <w:left w:val="single" w:color="auto" w:sz="4" w:space="0"/>
            </w:tcBorders>
            <w:noWrap w:val="0"/>
            <w:vAlign w:val="center"/>
          </w:tcPr>
          <w:p w14:paraId="0E503B4A">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757" w:type="dxa"/>
            <w:tcBorders>
              <w:top w:val="single" w:color="auto" w:sz="4" w:space="0"/>
              <w:left w:val="single" w:color="auto" w:sz="4" w:space="0"/>
            </w:tcBorders>
            <w:noWrap w:val="0"/>
            <w:vAlign w:val="center"/>
          </w:tcPr>
          <w:p w14:paraId="224E0716">
            <w:pPr>
              <w:spacing w:line="4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r>
      <w:tr w14:paraId="47A3C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7D3E4F3A">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07F8D5C8">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3C2C227B">
            <w:pPr>
              <w:tabs>
                <w:tab w:val="left" w:pos="0"/>
              </w:tabs>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响应情况</w:t>
            </w:r>
          </w:p>
        </w:tc>
        <w:tc>
          <w:tcPr>
            <w:tcW w:w="5942" w:type="dxa"/>
            <w:tcBorders>
              <w:top w:val="single" w:color="auto" w:sz="4" w:space="0"/>
              <w:left w:val="single" w:color="auto" w:sz="4" w:space="0"/>
              <w:right w:val="single" w:color="auto" w:sz="4" w:space="0"/>
            </w:tcBorders>
            <w:noWrap w:val="0"/>
            <w:vAlign w:val="center"/>
          </w:tcPr>
          <w:p w14:paraId="638E738E">
            <w:pPr>
              <w:pStyle w:val="7"/>
              <w:spacing w:line="400" w:lineRule="exact"/>
              <w:ind w:firstLine="0" w:firstLineChars="0"/>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对招标文件采购需求的响应程度：系统功能全部满足招标要求的为10分，一般参数每项负偏离扣1分，扣完为止。注：投标人的具体偏离情况在《技术偏离表》中列明。</w:t>
            </w:r>
          </w:p>
        </w:tc>
        <w:tc>
          <w:tcPr>
            <w:tcW w:w="591" w:type="dxa"/>
            <w:tcBorders>
              <w:top w:val="single" w:color="auto" w:sz="4" w:space="0"/>
              <w:left w:val="single" w:color="auto" w:sz="4" w:space="0"/>
            </w:tcBorders>
            <w:noWrap w:val="0"/>
            <w:vAlign w:val="center"/>
          </w:tcPr>
          <w:p w14:paraId="64B87EBF">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10</w:t>
            </w:r>
          </w:p>
        </w:tc>
        <w:tc>
          <w:tcPr>
            <w:tcW w:w="757" w:type="dxa"/>
            <w:tcBorders>
              <w:top w:val="single" w:color="auto" w:sz="4" w:space="0"/>
              <w:left w:val="single" w:color="auto" w:sz="4" w:space="0"/>
            </w:tcBorders>
            <w:noWrap w:val="0"/>
            <w:vAlign w:val="center"/>
          </w:tcPr>
          <w:p w14:paraId="16F5E788">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r>
      <w:tr w14:paraId="5A1C7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2CB1BD66">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4FF64511">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4941D2B4">
            <w:pPr>
              <w:tabs>
                <w:tab w:val="left" w:pos="0"/>
              </w:tabs>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需求理解及重难点分析</w:t>
            </w:r>
          </w:p>
        </w:tc>
        <w:tc>
          <w:tcPr>
            <w:tcW w:w="5942" w:type="dxa"/>
            <w:tcBorders>
              <w:top w:val="single" w:color="auto" w:sz="4" w:space="0"/>
              <w:left w:val="single" w:color="auto" w:sz="4" w:space="0"/>
              <w:right w:val="single" w:color="auto" w:sz="4" w:space="0"/>
            </w:tcBorders>
            <w:noWrap w:val="0"/>
            <w:vAlign w:val="center"/>
          </w:tcPr>
          <w:p w14:paraId="1D3F4976">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根据投标人对本项目业务现状的了解</w:t>
            </w:r>
            <w:r>
              <w:rPr>
                <w:rFonts w:hint="eastAsia" w:ascii="仿宋" w:hAnsi="仿宋" w:eastAsia="仿宋" w:cs="仿宋"/>
                <w:bCs/>
                <w:color w:val="auto"/>
                <w:sz w:val="22"/>
                <w:szCs w:val="22"/>
                <w:highlight w:val="none"/>
                <w:lang w:val="zh-CN"/>
              </w:rPr>
              <w:t>情况，</w:t>
            </w:r>
            <w:r>
              <w:rPr>
                <w:rFonts w:hint="eastAsia" w:ascii="仿宋" w:hAnsi="仿宋" w:eastAsia="仿宋" w:cs="仿宋"/>
                <w:bCs/>
                <w:color w:val="auto"/>
                <w:sz w:val="22"/>
                <w:szCs w:val="22"/>
                <w:highlight w:val="none"/>
              </w:rPr>
              <w:t>对</w:t>
            </w:r>
            <w:r>
              <w:rPr>
                <w:rFonts w:hint="eastAsia" w:ascii="仿宋" w:hAnsi="仿宋" w:eastAsia="仿宋" w:cs="仿宋"/>
                <w:bCs/>
                <w:color w:val="auto"/>
                <w:sz w:val="22"/>
                <w:szCs w:val="22"/>
                <w:highlight w:val="none"/>
                <w:lang w:val="zh-CN"/>
              </w:rPr>
              <w:t>建设需求理解程度，</w:t>
            </w:r>
            <w:r>
              <w:rPr>
                <w:rFonts w:hint="eastAsia" w:ascii="仿宋" w:hAnsi="仿宋" w:eastAsia="仿宋" w:cs="仿宋"/>
                <w:bCs/>
                <w:color w:val="auto"/>
                <w:sz w:val="22"/>
                <w:szCs w:val="22"/>
                <w:highlight w:val="none"/>
              </w:rPr>
              <w:t>对工作任务的理解正确性，以及开发实施中的重难点分析，进行评分：</w:t>
            </w:r>
          </w:p>
          <w:p w14:paraId="0CA73A73">
            <w:pPr>
              <w:numPr>
                <w:ilvl w:val="0"/>
                <w:numId w:val="4"/>
              </w:num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对本项目现状了解充分，对应用需求把握准确，对建设重点难点分析透彻，得6分；</w:t>
            </w:r>
          </w:p>
          <w:p w14:paraId="75F16265">
            <w:pPr>
              <w:numPr>
                <w:ilvl w:val="0"/>
                <w:numId w:val="4"/>
              </w:num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对本项目现状了解部分情况，对建设需求和重点难点理解不够充分，得4分；</w:t>
            </w:r>
          </w:p>
          <w:p w14:paraId="38B60D70">
            <w:pPr>
              <w:pStyle w:val="7"/>
              <w:numPr>
                <w:ilvl w:val="0"/>
                <w:numId w:val="4"/>
              </w:numPr>
              <w:ind w:firstLine="0" w:firstLineChars="0"/>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对本项目现状了解有偏差，对应用需求理解有偏差，得2分。</w:t>
            </w:r>
          </w:p>
          <w:p w14:paraId="4CF212A0">
            <w:pPr>
              <w:rPr>
                <w:rFonts w:eastAsia="仿宋"/>
                <w:color w:val="auto"/>
                <w:highlight w:val="none"/>
              </w:rPr>
            </w:pPr>
            <w:r>
              <w:rPr>
                <w:rFonts w:hint="eastAsia" w:ascii="仿宋" w:hAnsi="仿宋" w:eastAsia="仿宋" w:cs="仿宋"/>
                <w:bCs/>
                <w:color w:val="auto"/>
                <w:sz w:val="22"/>
                <w:szCs w:val="22"/>
                <w:highlight w:val="none"/>
              </w:rPr>
              <w:t>4）未提供方案的不得分。</w:t>
            </w:r>
          </w:p>
        </w:tc>
        <w:tc>
          <w:tcPr>
            <w:tcW w:w="591" w:type="dxa"/>
            <w:tcBorders>
              <w:top w:val="single" w:color="auto" w:sz="4" w:space="0"/>
              <w:left w:val="single" w:color="auto" w:sz="4" w:space="0"/>
            </w:tcBorders>
            <w:noWrap w:val="0"/>
            <w:vAlign w:val="center"/>
          </w:tcPr>
          <w:p w14:paraId="3F6580FD">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w:t>
            </w:r>
          </w:p>
        </w:tc>
        <w:tc>
          <w:tcPr>
            <w:tcW w:w="757" w:type="dxa"/>
            <w:tcBorders>
              <w:top w:val="single" w:color="auto" w:sz="4" w:space="0"/>
              <w:left w:val="single" w:color="auto" w:sz="4" w:space="0"/>
            </w:tcBorders>
            <w:noWrap w:val="0"/>
            <w:vAlign w:val="center"/>
          </w:tcPr>
          <w:p w14:paraId="364BFE13">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396EE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985" w:type="dxa"/>
            <w:vMerge w:val="continue"/>
            <w:tcBorders>
              <w:right w:val="single" w:color="auto" w:sz="4" w:space="0"/>
            </w:tcBorders>
            <w:noWrap w:val="0"/>
            <w:vAlign w:val="center"/>
          </w:tcPr>
          <w:p w14:paraId="6B90EB2F">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52200BA5">
            <w:pPr>
              <w:jc w:val="center"/>
              <w:rPr>
                <w:rFonts w:ascii="仿宋" w:hAnsi="仿宋" w:eastAsia="仿宋" w:cs="仿宋"/>
                <w:color w:val="auto"/>
                <w:sz w:val="22"/>
                <w:szCs w:val="22"/>
                <w:highlight w:val="none"/>
              </w:rPr>
            </w:pPr>
          </w:p>
        </w:tc>
        <w:tc>
          <w:tcPr>
            <w:tcW w:w="1128" w:type="dxa"/>
            <w:vMerge w:val="restart"/>
            <w:tcBorders>
              <w:top w:val="single" w:color="auto" w:sz="4" w:space="0"/>
              <w:left w:val="single" w:color="auto" w:sz="4" w:space="0"/>
            </w:tcBorders>
            <w:noWrap w:val="0"/>
            <w:vAlign w:val="center"/>
          </w:tcPr>
          <w:p w14:paraId="57C11417">
            <w:pPr>
              <w:widowControl/>
              <w:spacing w:line="300" w:lineRule="auto"/>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针对本项目的详细技术方案</w:t>
            </w:r>
          </w:p>
        </w:tc>
        <w:tc>
          <w:tcPr>
            <w:tcW w:w="5942" w:type="dxa"/>
            <w:tcBorders>
              <w:top w:val="single" w:color="auto" w:sz="4" w:space="0"/>
              <w:left w:val="single" w:color="auto" w:sz="4" w:space="0"/>
              <w:right w:val="single" w:color="auto" w:sz="4" w:space="0"/>
            </w:tcBorders>
            <w:noWrap w:val="0"/>
            <w:vAlign w:val="center"/>
          </w:tcPr>
          <w:p w14:paraId="48E56FA4">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根据投标人提供的技术方案中对于项目</w:t>
            </w:r>
            <w:r>
              <w:rPr>
                <w:rFonts w:hint="eastAsia" w:ascii="仿宋" w:hAnsi="仿宋" w:eastAsia="仿宋" w:cs="仿宋"/>
                <w:b/>
                <w:color w:val="auto"/>
                <w:sz w:val="22"/>
                <w:szCs w:val="22"/>
                <w:highlight w:val="none"/>
              </w:rPr>
              <w:t>技术路线方案</w:t>
            </w:r>
            <w:r>
              <w:rPr>
                <w:rFonts w:hint="eastAsia" w:ascii="仿宋" w:hAnsi="仿宋" w:eastAsia="仿宋" w:cs="仿宋"/>
                <w:bCs/>
                <w:color w:val="auto"/>
                <w:sz w:val="22"/>
                <w:szCs w:val="22"/>
                <w:highlight w:val="none"/>
              </w:rPr>
              <w:t>的针对性、合理性、科学性进行评分：</w:t>
            </w:r>
          </w:p>
          <w:p w14:paraId="7E9F6A6F">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方案完善、与项目实际需求契合度较高的得4分；</w:t>
            </w:r>
          </w:p>
          <w:p w14:paraId="2E3174D3">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418230FC">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48265DDD">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p>
        </w:tc>
        <w:tc>
          <w:tcPr>
            <w:tcW w:w="757" w:type="dxa"/>
            <w:tcBorders>
              <w:top w:val="single" w:color="auto" w:sz="4" w:space="0"/>
              <w:left w:val="single" w:color="auto" w:sz="4" w:space="0"/>
            </w:tcBorders>
            <w:noWrap w:val="0"/>
            <w:vAlign w:val="center"/>
          </w:tcPr>
          <w:p w14:paraId="3B144FF8">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619BA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0C2A26A5">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2E275EC6">
            <w:pPr>
              <w:jc w:val="center"/>
              <w:rPr>
                <w:rFonts w:ascii="仿宋" w:hAnsi="仿宋" w:eastAsia="仿宋" w:cs="仿宋"/>
                <w:color w:val="auto"/>
                <w:sz w:val="22"/>
                <w:szCs w:val="22"/>
                <w:highlight w:val="none"/>
              </w:rPr>
            </w:pPr>
          </w:p>
        </w:tc>
        <w:tc>
          <w:tcPr>
            <w:tcW w:w="1128" w:type="dxa"/>
            <w:vMerge w:val="continue"/>
            <w:tcBorders>
              <w:left w:val="single" w:color="auto" w:sz="4" w:space="0"/>
            </w:tcBorders>
            <w:noWrap w:val="0"/>
            <w:vAlign w:val="center"/>
          </w:tcPr>
          <w:p w14:paraId="6CAAC9AC">
            <w:pPr>
              <w:snapToGrid w:val="0"/>
              <w:spacing w:line="280" w:lineRule="atLeast"/>
              <w:jc w:val="center"/>
              <w:textAlignment w:val="baseline"/>
              <w:rPr>
                <w:rFonts w:hint="eastAsia" w:ascii="仿宋_GB2312" w:hAnsi="仿宋_GB2312" w:eastAsia="仿宋_GB2312" w:cs="仿宋_GB2312"/>
                <w:color w:val="auto"/>
                <w:sz w:val="22"/>
                <w:szCs w:val="22"/>
                <w:highlight w:val="none"/>
              </w:rPr>
            </w:pPr>
          </w:p>
        </w:tc>
        <w:tc>
          <w:tcPr>
            <w:tcW w:w="5942" w:type="dxa"/>
            <w:tcBorders>
              <w:top w:val="single" w:color="auto" w:sz="4" w:space="0"/>
              <w:left w:val="single" w:color="auto" w:sz="4" w:space="0"/>
              <w:right w:val="single" w:color="auto" w:sz="4" w:space="0"/>
            </w:tcBorders>
            <w:noWrap w:val="0"/>
            <w:vAlign w:val="center"/>
          </w:tcPr>
          <w:p w14:paraId="287ADBF6">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根据投标人提供的技术方案中对于项目</w:t>
            </w:r>
            <w:r>
              <w:rPr>
                <w:rFonts w:hint="eastAsia" w:ascii="仿宋" w:hAnsi="仿宋" w:eastAsia="仿宋" w:cs="仿宋"/>
                <w:b/>
                <w:color w:val="auto"/>
                <w:sz w:val="22"/>
                <w:szCs w:val="22"/>
                <w:highlight w:val="none"/>
              </w:rPr>
              <w:t>总体架构方案</w:t>
            </w:r>
            <w:r>
              <w:rPr>
                <w:rFonts w:hint="eastAsia" w:ascii="仿宋" w:hAnsi="仿宋" w:eastAsia="仿宋" w:cs="仿宋"/>
                <w:bCs/>
                <w:color w:val="auto"/>
                <w:sz w:val="22"/>
                <w:szCs w:val="22"/>
                <w:highlight w:val="none"/>
              </w:rPr>
              <w:t>的针对性、合理性、科学性进行评分：</w:t>
            </w:r>
          </w:p>
          <w:p w14:paraId="0F14F20A">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方案完善、与项目实际需求契合度较高的得4分；</w:t>
            </w:r>
          </w:p>
          <w:p w14:paraId="715575B0">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5BC49854">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7EF5FBC0">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p>
        </w:tc>
        <w:tc>
          <w:tcPr>
            <w:tcW w:w="757" w:type="dxa"/>
            <w:tcBorders>
              <w:top w:val="single" w:color="auto" w:sz="4" w:space="0"/>
              <w:left w:val="single" w:color="auto" w:sz="4" w:space="0"/>
            </w:tcBorders>
            <w:noWrap w:val="0"/>
            <w:vAlign w:val="center"/>
          </w:tcPr>
          <w:p w14:paraId="47CDC347">
            <w:pPr>
              <w:spacing w:line="4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2EB97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2A4F9486">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6CF36189">
            <w:pPr>
              <w:jc w:val="center"/>
              <w:rPr>
                <w:rFonts w:ascii="仿宋" w:hAnsi="仿宋" w:eastAsia="仿宋" w:cs="仿宋"/>
                <w:color w:val="auto"/>
                <w:sz w:val="22"/>
                <w:szCs w:val="22"/>
                <w:highlight w:val="none"/>
              </w:rPr>
            </w:pPr>
          </w:p>
        </w:tc>
        <w:tc>
          <w:tcPr>
            <w:tcW w:w="1128" w:type="dxa"/>
            <w:vMerge w:val="continue"/>
            <w:tcBorders>
              <w:left w:val="single" w:color="auto" w:sz="4" w:space="0"/>
            </w:tcBorders>
            <w:noWrap w:val="0"/>
            <w:vAlign w:val="center"/>
          </w:tcPr>
          <w:p w14:paraId="27B21C3A">
            <w:pPr>
              <w:snapToGrid w:val="0"/>
              <w:spacing w:line="280" w:lineRule="atLeast"/>
              <w:jc w:val="center"/>
              <w:textAlignment w:val="baseline"/>
              <w:rPr>
                <w:rFonts w:hint="eastAsia" w:ascii="仿宋_GB2312" w:hAnsi="仿宋_GB2312" w:eastAsia="仿宋_GB2312" w:cs="仿宋_GB2312"/>
                <w:color w:val="auto"/>
                <w:sz w:val="22"/>
                <w:szCs w:val="22"/>
                <w:highlight w:val="none"/>
              </w:rPr>
            </w:pPr>
          </w:p>
        </w:tc>
        <w:tc>
          <w:tcPr>
            <w:tcW w:w="5942" w:type="dxa"/>
            <w:tcBorders>
              <w:top w:val="single" w:color="auto" w:sz="4" w:space="0"/>
              <w:left w:val="single" w:color="auto" w:sz="4" w:space="0"/>
              <w:right w:val="single" w:color="auto" w:sz="4" w:space="0"/>
            </w:tcBorders>
            <w:noWrap w:val="0"/>
            <w:vAlign w:val="center"/>
          </w:tcPr>
          <w:p w14:paraId="403F3BEB">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根据投标人提供的技术方案中对于项目</w:t>
            </w:r>
            <w:r>
              <w:rPr>
                <w:rFonts w:hint="eastAsia" w:ascii="仿宋" w:hAnsi="仿宋" w:eastAsia="仿宋" w:cs="仿宋"/>
                <w:b/>
                <w:color w:val="auto"/>
                <w:sz w:val="22"/>
                <w:szCs w:val="22"/>
                <w:highlight w:val="none"/>
                <w:lang w:eastAsia="zh-Hans"/>
              </w:rPr>
              <w:t>网络架构</w:t>
            </w:r>
            <w:r>
              <w:rPr>
                <w:rFonts w:hint="eastAsia" w:ascii="仿宋" w:hAnsi="仿宋" w:eastAsia="仿宋" w:cs="仿宋"/>
                <w:b/>
                <w:color w:val="auto"/>
                <w:sz w:val="22"/>
                <w:szCs w:val="22"/>
                <w:highlight w:val="none"/>
              </w:rPr>
              <w:t>方案</w:t>
            </w:r>
            <w:r>
              <w:rPr>
                <w:rFonts w:hint="eastAsia" w:ascii="仿宋" w:hAnsi="仿宋" w:eastAsia="仿宋" w:cs="仿宋"/>
                <w:bCs/>
                <w:color w:val="auto"/>
                <w:sz w:val="22"/>
                <w:szCs w:val="22"/>
                <w:highlight w:val="none"/>
              </w:rPr>
              <w:t>的针对性、合理性、科学性进行评分：</w:t>
            </w:r>
          </w:p>
          <w:p w14:paraId="338E896C">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方案完善、与项目实际需求契合度较高的得4分；</w:t>
            </w:r>
          </w:p>
          <w:p w14:paraId="21D39801">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33B94D90">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4B0C4A03">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p>
        </w:tc>
        <w:tc>
          <w:tcPr>
            <w:tcW w:w="757" w:type="dxa"/>
            <w:tcBorders>
              <w:top w:val="single" w:color="auto" w:sz="4" w:space="0"/>
              <w:left w:val="single" w:color="auto" w:sz="4" w:space="0"/>
            </w:tcBorders>
            <w:noWrap w:val="0"/>
            <w:vAlign w:val="center"/>
          </w:tcPr>
          <w:p w14:paraId="6575D3BD">
            <w:pPr>
              <w:spacing w:line="4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58332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3886E741">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34899A5F">
            <w:pPr>
              <w:jc w:val="center"/>
              <w:rPr>
                <w:rFonts w:ascii="仿宋" w:hAnsi="仿宋" w:eastAsia="仿宋" w:cs="仿宋"/>
                <w:color w:val="auto"/>
                <w:sz w:val="22"/>
                <w:szCs w:val="22"/>
                <w:highlight w:val="none"/>
              </w:rPr>
            </w:pPr>
          </w:p>
        </w:tc>
        <w:tc>
          <w:tcPr>
            <w:tcW w:w="1128" w:type="dxa"/>
            <w:vMerge w:val="continue"/>
            <w:tcBorders>
              <w:left w:val="single" w:color="auto" w:sz="4" w:space="0"/>
            </w:tcBorders>
            <w:noWrap w:val="0"/>
            <w:vAlign w:val="center"/>
          </w:tcPr>
          <w:p w14:paraId="36060131">
            <w:pPr>
              <w:snapToGrid w:val="0"/>
              <w:spacing w:line="280" w:lineRule="atLeast"/>
              <w:jc w:val="center"/>
              <w:textAlignment w:val="baseline"/>
              <w:rPr>
                <w:rFonts w:hint="eastAsia" w:ascii="仿宋_GB2312" w:hAnsi="仿宋_GB2312" w:eastAsia="仿宋_GB2312" w:cs="仿宋_GB2312"/>
                <w:color w:val="auto"/>
                <w:sz w:val="22"/>
                <w:szCs w:val="22"/>
                <w:highlight w:val="none"/>
              </w:rPr>
            </w:pPr>
          </w:p>
        </w:tc>
        <w:tc>
          <w:tcPr>
            <w:tcW w:w="5942" w:type="dxa"/>
            <w:tcBorders>
              <w:top w:val="single" w:color="auto" w:sz="4" w:space="0"/>
              <w:left w:val="single" w:color="auto" w:sz="4" w:space="0"/>
              <w:right w:val="single" w:color="auto" w:sz="4" w:space="0"/>
            </w:tcBorders>
            <w:noWrap w:val="0"/>
            <w:vAlign w:val="center"/>
          </w:tcPr>
          <w:p w14:paraId="41087324">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根据投标人提供的技术方案中对于项目</w:t>
            </w:r>
            <w:r>
              <w:rPr>
                <w:rFonts w:hint="eastAsia" w:ascii="仿宋" w:hAnsi="仿宋" w:eastAsia="仿宋" w:cs="仿宋"/>
                <w:b/>
                <w:color w:val="auto"/>
                <w:sz w:val="22"/>
                <w:szCs w:val="22"/>
                <w:highlight w:val="none"/>
              </w:rPr>
              <w:t>数据资源体系方案</w:t>
            </w:r>
            <w:r>
              <w:rPr>
                <w:rFonts w:hint="eastAsia" w:ascii="仿宋" w:hAnsi="仿宋" w:eastAsia="仿宋" w:cs="仿宋"/>
                <w:bCs/>
                <w:color w:val="auto"/>
                <w:sz w:val="22"/>
                <w:szCs w:val="22"/>
                <w:highlight w:val="none"/>
              </w:rPr>
              <w:t>的针对性、合理性、科学性进行评分：</w:t>
            </w:r>
          </w:p>
          <w:p w14:paraId="36AEA603">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方案完善、与项目实际需求契合度较高的得3分；</w:t>
            </w:r>
          </w:p>
          <w:p w14:paraId="72F11B67">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6F913FEA">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03C83A45">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757" w:type="dxa"/>
            <w:tcBorders>
              <w:top w:val="single" w:color="auto" w:sz="4" w:space="0"/>
              <w:left w:val="single" w:color="auto" w:sz="4" w:space="0"/>
            </w:tcBorders>
            <w:noWrap w:val="0"/>
            <w:vAlign w:val="center"/>
          </w:tcPr>
          <w:p w14:paraId="1A28A621">
            <w:pPr>
              <w:spacing w:line="4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60FE2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22E95B26">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137FE90E">
            <w:pPr>
              <w:jc w:val="center"/>
              <w:rPr>
                <w:rFonts w:ascii="仿宋" w:hAnsi="仿宋" w:eastAsia="仿宋" w:cs="仿宋"/>
                <w:color w:val="auto"/>
                <w:sz w:val="22"/>
                <w:szCs w:val="22"/>
                <w:highlight w:val="none"/>
              </w:rPr>
            </w:pPr>
          </w:p>
        </w:tc>
        <w:tc>
          <w:tcPr>
            <w:tcW w:w="1128" w:type="dxa"/>
            <w:vMerge w:val="continue"/>
            <w:tcBorders>
              <w:left w:val="single" w:color="auto" w:sz="4" w:space="0"/>
            </w:tcBorders>
            <w:noWrap w:val="0"/>
            <w:vAlign w:val="center"/>
          </w:tcPr>
          <w:p w14:paraId="79A3A000">
            <w:pPr>
              <w:snapToGrid w:val="0"/>
              <w:spacing w:line="280" w:lineRule="atLeast"/>
              <w:jc w:val="center"/>
              <w:textAlignment w:val="baseline"/>
              <w:rPr>
                <w:rFonts w:hint="eastAsia" w:ascii="仿宋_GB2312" w:hAnsi="仿宋_GB2312" w:eastAsia="仿宋_GB2312" w:cs="仿宋_GB2312"/>
                <w:color w:val="auto"/>
                <w:sz w:val="22"/>
                <w:szCs w:val="22"/>
                <w:highlight w:val="none"/>
              </w:rPr>
            </w:pPr>
          </w:p>
        </w:tc>
        <w:tc>
          <w:tcPr>
            <w:tcW w:w="5942" w:type="dxa"/>
            <w:tcBorders>
              <w:top w:val="single" w:color="auto" w:sz="4" w:space="0"/>
              <w:left w:val="single" w:color="auto" w:sz="4" w:space="0"/>
              <w:right w:val="single" w:color="auto" w:sz="4" w:space="0"/>
            </w:tcBorders>
            <w:noWrap w:val="0"/>
            <w:vAlign w:val="center"/>
          </w:tcPr>
          <w:p w14:paraId="61EE71A5">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根据投标人提供的技术方案中对于项目</w:t>
            </w:r>
            <w:r>
              <w:rPr>
                <w:rFonts w:hint="eastAsia" w:ascii="仿宋" w:hAnsi="仿宋" w:eastAsia="仿宋" w:cs="仿宋"/>
                <w:b/>
                <w:color w:val="auto"/>
                <w:sz w:val="22"/>
                <w:szCs w:val="22"/>
                <w:highlight w:val="none"/>
              </w:rPr>
              <w:t>各功能模块的详细系统功能设计等方案</w:t>
            </w:r>
            <w:r>
              <w:rPr>
                <w:rFonts w:hint="eastAsia" w:ascii="仿宋" w:hAnsi="仿宋" w:eastAsia="仿宋" w:cs="仿宋"/>
                <w:bCs/>
                <w:color w:val="auto"/>
                <w:sz w:val="22"/>
                <w:szCs w:val="22"/>
                <w:highlight w:val="none"/>
              </w:rPr>
              <w:t>的针对性、合理性、科学性进行评分：</w:t>
            </w:r>
          </w:p>
          <w:p w14:paraId="10646BE5">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方案完善、与项目实际需求契合度较高的得3分；</w:t>
            </w:r>
          </w:p>
          <w:p w14:paraId="3DF43655">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73FD6A15">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774F1F26">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757" w:type="dxa"/>
            <w:tcBorders>
              <w:top w:val="single" w:color="auto" w:sz="4" w:space="0"/>
              <w:left w:val="single" w:color="auto" w:sz="4" w:space="0"/>
            </w:tcBorders>
            <w:noWrap w:val="0"/>
            <w:vAlign w:val="center"/>
          </w:tcPr>
          <w:p w14:paraId="5A6D58CC">
            <w:pPr>
              <w:spacing w:line="420" w:lineRule="exact"/>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7CB4A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7B1D176E">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319C354A">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5FBA17C1">
            <w:pPr>
              <w:snapToGrid w:val="0"/>
              <w:spacing w:line="280" w:lineRule="atLeast"/>
              <w:jc w:val="center"/>
              <w:textAlignment w:val="baseline"/>
              <w:rPr>
                <w:rFonts w:hint="eastAsia" w:ascii="仿宋" w:hAnsi="仿宋" w:eastAsia="仿宋" w:cs="仿宋"/>
                <w:color w:val="auto"/>
                <w:sz w:val="22"/>
                <w:szCs w:val="22"/>
                <w:highlight w:val="none"/>
              </w:rPr>
            </w:pPr>
            <w:r>
              <w:rPr>
                <w:rFonts w:hint="eastAsia" w:ascii="仿宋_GB2312" w:hAnsi="仿宋_GB2312" w:eastAsia="仿宋_GB2312" w:cs="仿宋_GB2312"/>
                <w:color w:val="auto"/>
                <w:sz w:val="22"/>
                <w:szCs w:val="22"/>
                <w:highlight w:val="none"/>
              </w:rPr>
              <w:t>安全方案</w:t>
            </w:r>
          </w:p>
        </w:tc>
        <w:tc>
          <w:tcPr>
            <w:tcW w:w="5942" w:type="dxa"/>
            <w:tcBorders>
              <w:top w:val="single" w:color="auto" w:sz="4" w:space="0"/>
              <w:left w:val="single" w:color="auto" w:sz="4" w:space="0"/>
              <w:right w:val="single" w:color="auto" w:sz="4" w:space="0"/>
            </w:tcBorders>
            <w:noWrap w:val="0"/>
            <w:vAlign w:val="center"/>
          </w:tcPr>
          <w:p w14:paraId="44ED4FF7">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根据投标人针对本项目提供的安全方案（包括但不限于：系统应用安全性、数据存储安全性、网络架构安全性、数据传输安全性、用户体系安全性等）进行评分</w:t>
            </w:r>
          </w:p>
          <w:p w14:paraId="78F5602C">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方案完善、与项目实际需求契合度较高的得5分；</w:t>
            </w:r>
          </w:p>
          <w:p w14:paraId="1E0F421A">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方案有相应表述，但完善性、契合程度一般的得3分；</w:t>
            </w:r>
          </w:p>
          <w:p w14:paraId="5C2B6436">
            <w:pPr>
              <w:spacing w:line="400" w:lineRule="exact"/>
              <w:rPr>
                <w:rFonts w:hint="eastAsia"/>
                <w:color w:val="auto"/>
                <w:highlight w:val="none"/>
                <w:lang w:val="zh-CN"/>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75A274E9">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w:t>
            </w:r>
          </w:p>
        </w:tc>
        <w:tc>
          <w:tcPr>
            <w:tcW w:w="757" w:type="dxa"/>
            <w:tcBorders>
              <w:top w:val="single" w:color="auto" w:sz="4" w:space="0"/>
              <w:left w:val="single" w:color="auto" w:sz="4" w:space="0"/>
            </w:tcBorders>
            <w:noWrap w:val="0"/>
            <w:vAlign w:val="center"/>
          </w:tcPr>
          <w:p w14:paraId="45DD6AAF">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3ED2D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272D838C">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138A9DE2">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2A5DE9E0">
            <w:pPr>
              <w:snapToGrid w:val="0"/>
              <w:spacing w:line="280" w:lineRule="atLeast"/>
              <w:jc w:val="center"/>
              <w:textAlignment w:val="baseline"/>
              <w:rPr>
                <w:rFonts w:hint="eastAsia" w:ascii="仿宋" w:hAnsi="仿宋" w:eastAsia="仿宋" w:cs="仿宋"/>
                <w:color w:val="auto"/>
                <w:sz w:val="22"/>
                <w:szCs w:val="22"/>
                <w:highlight w:val="none"/>
              </w:rPr>
            </w:pPr>
            <w:r>
              <w:rPr>
                <w:rFonts w:hint="eastAsia" w:ascii="仿宋_GB2312" w:hAnsi="仿宋_GB2312" w:eastAsia="仿宋_GB2312" w:cs="仿宋_GB2312"/>
                <w:color w:val="auto"/>
                <w:sz w:val="22"/>
                <w:szCs w:val="22"/>
                <w:highlight w:val="none"/>
              </w:rPr>
              <w:t>数据库设计方案</w:t>
            </w:r>
          </w:p>
        </w:tc>
        <w:tc>
          <w:tcPr>
            <w:tcW w:w="5942" w:type="dxa"/>
            <w:tcBorders>
              <w:top w:val="single" w:color="auto" w:sz="4" w:space="0"/>
              <w:left w:val="single" w:color="auto" w:sz="4" w:space="0"/>
              <w:right w:val="single" w:color="auto" w:sz="4" w:space="0"/>
            </w:tcBorders>
            <w:noWrap w:val="0"/>
            <w:vAlign w:val="center"/>
          </w:tcPr>
          <w:p w14:paraId="48A16920">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根据投标人针对本项目提供的数据库设计方案进行评分：</w:t>
            </w:r>
          </w:p>
          <w:p w14:paraId="3F806418">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数据库设计方案完善、与项目实际需求契合度较高的得4分；</w:t>
            </w:r>
          </w:p>
          <w:p w14:paraId="48B77316">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数据库设计方案有相应表述，但完善性、契合程度一般的得2分；</w:t>
            </w:r>
          </w:p>
          <w:p w14:paraId="7AF05A6E">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数据库设计方案粗略，完善性、契合度较差的得1分，未提供不得分</w:t>
            </w:r>
          </w:p>
        </w:tc>
        <w:tc>
          <w:tcPr>
            <w:tcW w:w="591" w:type="dxa"/>
            <w:tcBorders>
              <w:top w:val="single" w:color="auto" w:sz="4" w:space="0"/>
              <w:left w:val="single" w:color="auto" w:sz="4" w:space="0"/>
            </w:tcBorders>
            <w:noWrap w:val="0"/>
            <w:vAlign w:val="center"/>
          </w:tcPr>
          <w:p w14:paraId="51CF5EF9">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p>
        </w:tc>
        <w:tc>
          <w:tcPr>
            <w:tcW w:w="757" w:type="dxa"/>
            <w:tcBorders>
              <w:top w:val="single" w:color="auto" w:sz="4" w:space="0"/>
              <w:left w:val="single" w:color="auto" w:sz="4" w:space="0"/>
            </w:tcBorders>
            <w:noWrap w:val="0"/>
            <w:vAlign w:val="center"/>
          </w:tcPr>
          <w:p w14:paraId="6E2F06DC">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4E53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3D941218">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14EDDA0E">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236B2774">
            <w:pPr>
              <w:widowControl/>
              <w:spacing w:line="300" w:lineRule="auto"/>
              <w:jc w:val="center"/>
              <w:textAlignment w:val="baseline"/>
              <w:rPr>
                <w:rFonts w:hint="eastAsia" w:ascii="仿宋" w:hAnsi="仿宋" w:eastAsia="仿宋" w:cs="仿宋"/>
                <w:color w:val="auto"/>
                <w:sz w:val="22"/>
                <w:szCs w:val="22"/>
                <w:highlight w:val="none"/>
              </w:rPr>
            </w:pPr>
            <w:r>
              <w:rPr>
                <w:rFonts w:hint="eastAsia" w:ascii="仿宋_GB2312" w:hAnsi="仿宋_GB2312" w:eastAsia="仿宋_GB2312" w:cs="仿宋_GB2312"/>
                <w:color w:val="auto"/>
                <w:szCs w:val="21"/>
                <w:highlight w:val="none"/>
              </w:rPr>
              <w:t>针对本项目的实施方案</w:t>
            </w:r>
          </w:p>
        </w:tc>
        <w:tc>
          <w:tcPr>
            <w:tcW w:w="5942" w:type="dxa"/>
            <w:tcBorders>
              <w:top w:val="single" w:color="auto" w:sz="4" w:space="0"/>
              <w:left w:val="single" w:color="auto" w:sz="4" w:space="0"/>
              <w:right w:val="single" w:color="auto" w:sz="4" w:space="0"/>
            </w:tcBorders>
            <w:noWrap w:val="0"/>
            <w:vAlign w:val="center"/>
          </w:tcPr>
          <w:p w14:paraId="1F8A4500">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根据投标人针对本项目提供的项目实施方案（包括但不限于：组织计划、安全保证措施、质量保证措施、进度保证措施）进行评分。</w:t>
            </w:r>
          </w:p>
          <w:p w14:paraId="75722267">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方案完善、与项目实际需求契合度较高的得4分；</w:t>
            </w:r>
          </w:p>
          <w:p w14:paraId="573EB77C">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47929E5D">
            <w:pPr>
              <w:spacing w:line="400" w:lineRule="exact"/>
              <w:rPr>
                <w:rFonts w:hint="eastAsia"/>
                <w:color w:val="auto"/>
                <w:highlight w:val="none"/>
                <w:lang w:val="zh-CN"/>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6139390D">
            <w:pPr>
              <w:pStyle w:val="7"/>
              <w:spacing w:line="400" w:lineRule="exact"/>
              <w:ind w:firstLine="0" w:firstLineChars="0"/>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w:t>
            </w:r>
          </w:p>
        </w:tc>
        <w:tc>
          <w:tcPr>
            <w:tcW w:w="757" w:type="dxa"/>
            <w:tcBorders>
              <w:top w:val="single" w:color="auto" w:sz="4" w:space="0"/>
              <w:left w:val="single" w:color="auto" w:sz="4" w:space="0"/>
            </w:tcBorders>
            <w:noWrap w:val="0"/>
            <w:vAlign w:val="center"/>
          </w:tcPr>
          <w:p w14:paraId="3FBDF458">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78F4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493B02FA">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431A79EE">
            <w:pPr>
              <w:jc w:val="center"/>
              <w:rPr>
                <w:rFonts w:ascii="仿宋" w:hAnsi="仿宋" w:eastAsia="仿宋" w:cs="仿宋"/>
                <w:color w:val="auto"/>
                <w:sz w:val="22"/>
                <w:szCs w:val="22"/>
                <w:highlight w:val="none"/>
              </w:rPr>
            </w:pPr>
          </w:p>
        </w:tc>
        <w:tc>
          <w:tcPr>
            <w:tcW w:w="1128" w:type="dxa"/>
            <w:vMerge w:val="restart"/>
            <w:tcBorders>
              <w:top w:val="single" w:color="auto" w:sz="4" w:space="0"/>
              <w:left w:val="single" w:color="auto" w:sz="4" w:space="0"/>
            </w:tcBorders>
            <w:noWrap w:val="0"/>
            <w:vAlign w:val="center"/>
          </w:tcPr>
          <w:p w14:paraId="40F25DA0">
            <w:pPr>
              <w:tabs>
                <w:tab w:val="left" w:pos="0"/>
              </w:tabs>
              <w:spacing w:line="400" w:lineRule="exact"/>
              <w:jc w:val="center"/>
              <w:rPr>
                <w:rFonts w:hint="eastAsia" w:ascii="仿宋" w:hAnsi="仿宋" w:eastAsia="仿宋" w:cs="仿宋"/>
                <w:color w:val="auto"/>
                <w:sz w:val="22"/>
                <w:szCs w:val="22"/>
                <w:highlight w:val="none"/>
              </w:rPr>
            </w:pPr>
            <w:r>
              <w:rPr>
                <w:rFonts w:hint="eastAsia" w:ascii="仿宋_GB2312" w:hAnsi="仿宋_GB2312" w:eastAsia="仿宋_GB2312" w:cs="仿宋_GB2312"/>
                <w:color w:val="auto"/>
                <w:kern w:val="0"/>
                <w:szCs w:val="21"/>
                <w:highlight w:val="none"/>
                <w:lang w:bidi="ar"/>
              </w:rPr>
              <w:t>项目组人员配备</w:t>
            </w:r>
          </w:p>
        </w:tc>
        <w:tc>
          <w:tcPr>
            <w:tcW w:w="5942" w:type="dxa"/>
            <w:tcBorders>
              <w:top w:val="single" w:color="auto" w:sz="4" w:space="0"/>
              <w:left w:val="single" w:color="auto" w:sz="4" w:space="0"/>
              <w:right w:val="single" w:color="auto" w:sz="4" w:space="0"/>
            </w:tcBorders>
            <w:noWrap w:val="0"/>
            <w:vAlign w:val="top"/>
          </w:tcPr>
          <w:p w14:paraId="5ACF6FB5">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根据项目团队配置情况进行评分：</w:t>
            </w:r>
          </w:p>
          <w:p w14:paraId="65F64A1F">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投标人拟派项目团队中人员配置完整，角色分工（产品、开发、测试、运维等）设置合理的，得2分；人员配置基本完整，角色分工基本合理的，得1分；人员配置不完整，角色分工不合理的，得0分。</w:t>
            </w:r>
          </w:p>
          <w:p w14:paraId="5534A467">
            <w:pPr>
              <w:pStyle w:val="7"/>
              <w:ind w:firstLine="0" w:firstLineChars="0"/>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以上项目组所有人员需提供相关证书、参与类似项目实施的证明材料的扫描件，以及投标截止日前连续的3个月在投标单位的社保清单（如投标人新成立不足3个月的，按实际缴纳情况提供持证人员在该单位的社保缴费清单，社保缴费清单需加盖缴费当地社保机构公章或业务章。近三个月指的是从2024年07月01日至投标截止时止期间中任何一个连续3个月）。上述材料未提供或提供不完整的不得分。</w:t>
            </w:r>
          </w:p>
        </w:tc>
        <w:tc>
          <w:tcPr>
            <w:tcW w:w="591" w:type="dxa"/>
            <w:tcBorders>
              <w:top w:val="single" w:color="auto" w:sz="4" w:space="0"/>
              <w:left w:val="single" w:color="auto" w:sz="4" w:space="0"/>
            </w:tcBorders>
            <w:noWrap w:val="0"/>
            <w:vAlign w:val="center"/>
          </w:tcPr>
          <w:p w14:paraId="5B96436C">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w:t>
            </w:r>
          </w:p>
        </w:tc>
        <w:tc>
          <w:tcPr>
            <w:tcW w:w="757" w:type="dxa"/>
            <w:vMerge w:val="restart"/>
            <w:tcBorders>
              <w:top w:val="single" w:color="auto" w:sz="4" w:space="0"/>
              <w:left w:val="single" w:color="auto" w:sz="4" w:space="0"/>
            </w:tcBorders>
            <w:noWrap w:val="0"/>
            <w:vAlign w:val="center"/>
          </w:tcPr>
          <w:p w14:paraId="5219879B">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客观分</w:t>
            </w:r>
          </w:p>
        </w:tc>
      </w:tr>
      <w:tr w14:paraId="23901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2BEFA46C">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53B5FB0E">
            <w:pPr>
              <w:jc w:val="center"/>
              <w:rPr>
                <w:rFonts w:ascii="仿宋" w:hAnsi="仿宋" w:eastAsia="仿宋" w:cs="仿宋"/>
                <w:color w:val="auto"/>
                <w:sz w:val="22"/>
                <w:szCs w:val="22"/>
                <w:highlight w:val="none"/>
              </w:rPr>
            </w:pPr>
          </w:p>
        </w:tc>
        <w:tc>
          <w:tcPr>
            <w:tcW w:w="1128" w:type="dxa"/>
            <w:vMerge w:val="continue"/>
            <w:tcBorders>
              <w:left w:val="single" w:color="auto" w:sz="4" w:space="0"/>
            </w:tcBorders>
            <w:noWrap w:val="0"/>
            <w:vAlign w:val="center"/>
          </w:tcPr>
          <w:p w14:paraId="11A7BF96">
            <w:pPr>
              <w:tabs>
                <w:tab w:val="left" w:pos="0"/>
              </w:tabs>
              <w:spacing w:line="420" w:lineRule="exact"/>
              <w:jc w:val="center"/>
              <w:rPr>
                <w:rFonts w:hint="eastAsia" w:ascii="仿宋" w:hAnsi="仿宋" w:eastAsia="仿宋" w:cs="仿宋"/>
                <w:color w:val="auto"/>
                <w:sz w:val="22"/>
                <w:szCs w:val="22"/>
                <w:highlight w:val="none"/>
              </w:rPr>
            </w:pPr>
          </w:p>
        </w:tc>
        <w:tc>
          <w:tcPr>
            <w:tcW w:w="5942" w:type="dxa"/>
            <w:tcBorders>
              <w:top w:val="single" w:color="auto" w:sz="4" w:space="0"/>
              <w:left w:val="single" w:color="auto" w:sz="4" w:space="0"/>
              <w:right w:val="single" w:color="auto" w:sz="4" w:space="0"/>
            </w:tcBorders>
            <w:noWrap w:val="0"/>
            <w:vAlign w:val="center"/>
          </w:tcPr>
          <w:p w14:paraId="28E39DD2">
            <w:pPr>
              <w:spacing w:line="400" w:lineRule="exact"/>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根据项目团队成员的学历、项目经验进行评分：</w:t>
            </w:r>
          </w:p>
          <w:p w14:paraId="4F1D00A5">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投标人拟派项目团队成员具备计算机类、电子信息类专业硕士及以上学历的，每人得1分，最高得2分；</w:t>
            </w:r>
          </w:p>
          <w:p w14:paraId="3C27793C">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2.根据投标人拟派项目团队成员具备政府部门（含事业单位）软件项目交付实施</w:t>
            </w:r>
            <w:r>
              <w:rPr>
                <w:rFonts w:hint="eastAsia" w:ascii="仿宋" w:hAnsi="仿宋" w:eastAsia="仿宋" w:cs="仿宋"/>
                <w:color w:val="auto"/>
                <w:sz w:val="22"/>
                <w:szCs w:val="22"/>
                <w:highlight w:val="none"/>
              </w:rPr>
              <w:t>相关项目</w:t>
            </w:r>
            <w:r>
              <w:rPr>
                <w:rFonts w:hint="eastAsia" w:ascii="仿宋" w:hAnsi="仿宋" w:eastAsia="仿宋" w:cs="仿宋"/>
                <w:bCs/>
                <w:color w:val="auto"/>
                <w:sz w:val="22"/>
                <w:szCs w:val="22"/>
                <w:highlight w:val="none"/>
              </w:rPr>
              <w:t>经历，进行打分。每人次得1分，最高得2分（注：单人参与多个类似项目的仅得1分，多人参与同一项目的仅得1分）。</w:t>
            </w:r>
          </w:p>
          <w:p w14:paraId="69DC9425">
            <w:pPr>
              <w:spacing w:line="42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以上项目组所有人员需提供相关证书、参与类似项目实施的证明材料的扫描件，以及投标截止日前连续的3个月在投标单位的社保清单（如投标人新成立不足3个月的，按实际缴纳情况提供持证人员在该单位的社保缴费清单，社保缴费清单需加盖缴费当地社保机构公章或业务章。近三个月指的是从2024年07月01日至投标截止时止期间中任何一个连续3个月）。上述材料未提供或提供不完整的不得分。</w:t>
            </w:r>
          </w:p>
        </w:tc>
        <w:tc>
          <w:tcPr>
            <w:tcW w:w="591" w:type="dxa"/>
            <w:tcBorders>
              <w:top w:val="single" w:color="auto" w:sz="4" w:space="0"/>
              <w:left w:val="single" w:color="auto" w:sz="4" w:space="0"/>
            </w:tcBorders>
            <w:noWrap w:val="0"/>
            <w:vAlign w:val="center"/>
          </w:tcPr>
          <w:p w14:paraId="42C43837">
            <w:pPr>
              <w:pStyle w:val="7"/>
              <w:spacing w:line="400" w:lineRule="exact"/>
              <w:ind w:firstLine="0" w:firstLineChars="0"/>
              <w:jc w:val="center"/>
              <w:rPr>
                <w:rFonts w:ascii="仿宋" w:hAnsi="仿宋" w:eastAsia="仿宋" w:cs="仿宋"/>
                <w:bCs/>
                <w:color w:val="auto"/>
                <w:sz w:val="22"/>
                <w:szCs w:val="22"/>
                <w:highlight w:val="none"/>
              </w:rPr>
            </w:pPr>
          </w:p>
        </w:tc>
        <w:tc>
          <w:tcPr>
            <w:tcW w:w="757" w:type="dxa"/>
            <w:vMerge w:val="continue"/>
            <w:tcBorders>
              <w:left w:val="single" w:color="auto" w:sz="4" w:space="0"/>
            </w:tcBorders>
            <w:noWrap w:val="0"/>
            <w:vAlign w:val="center"/>
          </w:tcPr>
          <w:p w14:paraId="15CBFBB9">
            <w:pPr>
              <w:spacing w:line="420" w:lineRule="exact"/>
              <w:jc w:val="center"/>
              <w:rPr>
                <w:rFonts w:ascii="仿宋" w:hAnsi="仿宋" w:eastAsia="仿宋" w:cs="仿宋"/>
                <w:bCs/>
                <w:color w:val="auto"/>
                <w:szCs w:val="21"/>
                <w:highlight w:val="none"/>
              </w:rPr>
            </w:pPr>
          </w:p>
        </w:tc>
      </w:tr>
      <w:tr w14:paraId="69121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000FD17D">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287F201A">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61C7AFD3">
            <w:pPr>
              <w:spacing w:line="360" w:lineRule="auto"/>
              <w:jc w:val="center"/>
              <w:rPr>
                <w:rFonts w:hint="eastAsia" w:ascii="仿宋" w:hAnsi="仿宋" w:eastAsia="仿宋" w:cs="仿宋"/>
                <w:color w:val="auto"/>
                <w:sz w:val="22"/>
                <w:szCs w:val="22"/>
                <w:highlight w:val="none"/>
              </w:rPr>
            </w:pPr>
            <w:r>
              <w:rPr>
                <w:rFonts w:hint="eastAsia" w:ascii="仿宋_GB2312" w:hAnsi="仿宋_GB2312" w:eastAsia="仿宋_GB2312" w:cs="仿宋_GB2312"/>
                <w:color w:val="auto"/>
                <w:szCs w:val="21"/>
                <w:highlight w:val="none"/>
              </w:rPr>
              <w:t>培训方案</w:t>
            </w:r>
          </w:p>
        </w:tc>
        <w:tc>
          <w:tcPr>
            <w:tcW w:w="5942" w:type="dxa"/>
            <w:tcBorders>
              <w:top w:val="single" w:color="auto" w:sz="4" w:space="0"/>
              <w:left w:val="single" w:color="auto" w:sz="4" w:space="0"/>
              <w:right w:val="single" w:color="auto" w:sz="4" w:space="0"/>
            </w:tcBorders>
            <w:noWrap w:val="0"/>
            <w:vAlign w:val="center"/>
          </w:tcPr>
          <w:p w14:paraId="7BA0FD0D">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根据供应商提供针对本项目培训计划方案，提供系统使用指导，对系统使用人员进行指导培训工作是否科学、合理、有效等方面，由评委进行打分：</w:t>
            </w:r>
          </w:p>
          <w:p w14:paraId="3C56CA70">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方案完善、与项目实际需求契合度较高的得3分；</w:t>
            </w:r>
          </w:p>
          <w:p w14:paraId="2FFFD06A">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1A5286C2">
            <w:pPr>
              <w:spacing w:line="400" w:lineRule="exact"/>
              <w:rPr>
                <w:color w:val="auto"/>
                <w:highlight w:val="none"/>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5D30C68B">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757" w:type="dxa"/>
            <w:tcBorders>
              <w:top w:val="single" w:color="auto" w:sz="4" w:space="0"/>
              <w:left w:val="single" w:color="auto" w:sz="4" w:space="0"/>
            </w:tcBorders>
            <w:noWrap w:val="0"/>
            <w:vAlign w:val="center"/>
          </w:tcPr>
          <w:p w14:paraId="7AD9E1AD">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76F06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noWrap w:val="0"/>
            <w:vAlign w:val="center"/>
          </w:tcPr>
          <w:p w14:paraId="05320C49">
            <w:pPr>
              <w:jc w:val="center"/>
              <w:rPr>
                <w:rFonts w:ascii="仿宋" w:hAnsi="仿宋" w:eastAsia="仿宋" w:cs="仿宋"/>
                <w:color w:val="auto"/>
                <w:sz w:val="22"/>
                <w:szCs w:val="22"/>
                <w:highlight w:val="none"/>
              </w:rPr>
            </w:pPr>
          </w:p>
        </w:tc>
        <w:tc>
          <w:tcPr>
            <w:tcW w:w="768" w:type="dxa"/>
            <w:vMerge w:val="continue"/>
            <w:tcBorders>
              <w:right w:val="single" w:color="auto" w:sz="4" w:space="0"/>
            </w:tcBorders>
            <w:noWrap w:val="0"/>
            <w:vAlign w:val="center"/>
          </w:tcPr>
          <w:p w14:paraId="104E485E">
            <w:pPr>
              <w:jc w:val="center"/>
              <w:rPr>
                <w:rFonts w:ascii="仿宋" w:hAnsi="仿宋" w:eastAsia="仿宋" w:cs="仿宋"/>
                <w:color w:val="auto"/>
                <w:sz w:val="22"/>
                <w:szCs w:val="22"/>
                <w:highlight w:val="none"/>
              </w:rPr>
            </w:pPr>
          </w:p>
        </w:tc>
        <w:tc>
          <w:tcPr>
            <w:tcW w:w="1128" w:type="dxa"/>
            <w:tcBorders>
              <w:top w:val="single" w:color="auto" w:sz="4" w:space="0"/>
              <w:left w:val="single" w:color="auto" w:sz="4" w:space="0"/>
            </w:tcBorders>
            <w:noWrap w:val="0"/>
            <w:vAlign w:val="center"/>
          </w:tcPr>
          <w:p w14:paraId="29C5BCDB">
            <w:pPr>
              <w:widowControl/>
              <w:spacing w:line="300" w:lineRule="auto"/>
              <w:jc w:val="center"/>
              <w:textAlignment w:val="baseline"/>
              <w:rPr>
                <w:rFonts w:hint="eastAsia" w:ascii="仿宋" w:hAnsi="仿宋" w:eastAsia="仿宋" w:cs="仿宋"/>
                <w:color w:val="auto"/>
                <w:sz w:val="22"/>
                <w:szCs w:val="22"/>
                <w:highlight w:val="none"/>
              </w:rPr>
            </w:pPr>
            <w:r>
              <w:rPr>
                <w:rFonts w:hint="eastAsia" w:ascii="仿宋_GB2312" w:hAnsi="仿宋_GB2312" w:eastAsia="仿宋_GB2312" w:cs="仿宋_GB2312"/>
                <w:bCs/>
                <w:color w:val="auto"/>
                <w:kern w:val="0"/>
                <w:szCs w:val="21"/>
                <w:highlight w:val="none"/>
                <w:lang w:bidi="ar"/>
              </w:rPr>
              <w:t>售后服务方案</w:t>
            </w:r>
          </w:p>
        </w:tc>
        <w:tc>
          <w:tcPr>
            <w:tcW w:w="5942" w:type="dxa"/>
            <w:tcBorders>
              <w:top w:val="single" w:color="auto" w:sz="4" w:space="0"/>
              <w:left w:val="single" w:color="auto" w:sz="4" w:space="0"/>
              <w:right w:val="single" w:color="auto" w:sz="4" w:space="0"/>
            </w:tcBorders>
            <w:noWrap w:val="0"/>
            <w:vAlign w:val="center"/>
          </w:tcPr>
          <w:p w14:paraId="1F1BDD25">
            <w:pPr>
              <w:spacing w:line="400" w:lineRule="exact"/>
              <w:rPr>
                <w:rFonts w:hint="eastAsia" w:ascii="仿宋" w:hAnsi="仿宋" w:eastAsia="仿宋" w:cs="仿宋"/>
                <w:bCs/>
                <w:color w:val="auto"/>
                <w:sz w:val="22"/>
                <w:szCs w:val="22"/>
                <w:highlight w:val="none"/>
              </w:rPr>
            </w:pPr>
            <w:r>
              <w:rPr>
                <w:rFonts w:ascii="仿宋" w:hAnsi="仿宋" w:eastAsia="仿宋" w:cs="仿宋"/>
                <w:bCs/>
                <w:color w:val="auto"/>
                <w:sz w:val="22"/>
                <w:szCs w:val="22"/>
                <w:highlight w:val="none"/>
              </w:rPr>
              <w:t>根据投标人提供的售后服务方案，从服务</w:t>
            </w:r>
            <w:r>
              <w:rPr>
                <w:rFonts w:hint="eastAsia" w:ascii="仿宋" w:hAnsi="仿宋" w:eastAsia="仿宋" w:cs="仿宋"/>
                <w:bCs/>
                <w:color w:val="auto"/>
                <w:sz w:val="22"/>
                <w:szCs w:val="22"/>
                <w:highlight w:val="none"/>
                <w:lang w:eastAsia="zh-Hans"/>
              </w:rPr>
              <w:t>内容</w:t>
            </w:r>
            <w:r>
              <w:rPr>
                <w:rFonts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eastAsia="zh-Hans"/>
              </w:rPr>
              <w:t>服务方式、</w:t>
            </w:r>
            <w:r>
              <w:rPr>
                <w:rFonts w:ascii="仿宋" w:hAnsi="仿宋" w:eastAsia="仿宋" w:cs="仿宋"/>
                <w:bCs/>
                <w:color w:val="auto"/>
                <w:sz w:val="22"/>
                <w:szCs w:val="22"/>
                <w:highlight w:val="none"/>
              </w:rPr>
              <w:t>团队</w:t>
            </w:r>
            <w:r>
              <w:rPr>
                <w:rFonts w:hint="eastAsia" w:ascii="仿宋" w:hAnsi="仿宋" w:eastAsia="仿宋" w:cs="仿宋"/>
                <w:bCs/>
                <w:color w:val="auto"/>
                <w:sz w:val="22"/>
                <w:szCs w:val="22"/>
                <w:highlight w:val="none"/>
                <w:lang w:eastAsia="zh-Hans"/>
              </w:rPr>
              <w:t>配置</w:t>
            </w:r>
            <w:r>
              <w:rPr>
                <w:rFonts w:ascii="仿宋" w:hAnsi="仿宋" w:eastAsia="仿宋" w:cs="仿宋"/>
                <w:bCs/>
                <w:color w:val="auto"/>
                <w:sz w:val="22"/>
                <w:szCs w:val="22"/>
                <w:highlight w:val="none"/>
              </w:rPr>
              <w:t>、响应及时性、可操作性等方面</w:t>
            </w:r>
            <w:r>
              <w:rPr>
                <w:rFonts w:hint="eastAsia" w:ascii="仿宋" w:hAnsi="仿宋" w:eastAsia="仿宋" w:cs="仿宋"/>
                <w:bCs/>
                <w:color w:val="auto"/>
                <w:sz w:val="22"/>
                <w:szCs w:val="22"/>
                <w:highlight w:val="none"/>
              </w:rPr>
              <w:t>，由评委进行打分</w:t>
            </w:r>
          </w:p>
          <w:p w14:paraId="15B1CAEC">
            <w:pPr>
              <w:spacing w:line="400" w:lineRule="exact"/>
              <w:rPr>
                <w:rFonts w:hint="eastAsia" w:ascii="仿宋" w:hAnsi="仿宋" w:eastAsia="仿宋" w:cs="仿宋"/>
                <w:bCs/>
                <w:color w:val="auto"/>
                <w:sz w:val="22"/>
                <w:szCs w:val="22"/>
                <w:highlight w:val="none"/>
                <w:lang w:val="zh-CN"/>
              </w:rPr>
            </w:pPr>
            <w:r>
              <w:rPr>
                <w:rFonts w:hint="eastAsia" w:ascii="仿宋" w:hAnsi="仿宋" w:eastAsia="仿宋" w:cs="仿宋"/>
                <w:bCs/>
                <w:color w:val="auto"/>
                <w:sz w:val="22"/>
                <w:szCs w:val="22"/>
                <w:highlight w:val="none"/>
              </w:rPr>
              <w:t>方案完善、与项目实际需求契合度较高的得3分；</w:t>
            </w:r>
          </w:p>
          <w:p w14:paraId="3BAA0402">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方案有相应表述，但完善性、契合程度一般的得2分；</w:t>
            </w:r>
          </w:p>
          <w:p w14:paraId="549AC18B">
            <w:pPr>
              <w:spacing w:line="400" w:lineRule="exact"/>
              <w:rPr>
                <w:rFonts w:hint="eastAsia"/>
                <w:color w:val="auto"/>
                <w:highlight w:val="none"/>
                <w:lang w:val="zh-CN"/>
              </w:rPr>
            </w:pPr>
            <w:r>
              <w:rPr>
                <w:rFonts w:hint="eastAsia" w:ascii="仿宋" w:hAnsi="仿宋" w:eastAsia="仿宋" w:cs="仿宋"/>
                <w:bCs/>
                <w:color w:val="auto"/>
                <w:sz w:val="22"/>
                <w:szCs w:val="22"/>
                <w:highlight w:val="none"/>
              </w:rPr>
              <w:t>方案粗略，完善性、契合度较差的得1分，未提供不得分。</w:t>
            </w:r>
          </w:p>
        </w:tc>
        <w:tc>
          <w:tcPr>
            <w:tcW w:w="591" w:type="dxa"/>
            <w:tcBorders>
              <w:top w:val="single" w:color="auto" w:sz="4" w:space="0"/>
              <w:left w:val="single" w:color="auto" w:sz="4" w:space="0"/>
            </w:tcBorders>
            <w:noWrap w:val="0"/>
            <w:vAlign w:val="center"/>
          </w:tcPr>
          <w:p w14:paraId="3687D239">
            <w:pPr>
              <w:pStyle w:val="7"/>
              <w:spacing w:line="400" w:lineRule="exact"/>
              <w:ind w:firstLine="0" w:firstLineChars="0"/>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w:t>
            </w:r>
          </w:p>
        </w:tc>
        <w:tc>
          <w:tcPr>
            <w:tcW w:w="757" w:type="dxa"/>
            <w:tcBorders>
              <w:top w:val="single" w:color="auto" w:sz="4" w:space="0"/>
              <w:left w:val="single" w:color="auto" w:sz="4" w:space="0"/>
            </w:tcBorders>
            <w:noWrap w:val="0"/>
            <w:vAlign w:val="center"/>
          </w:tcPr>
          <w:p w14:paraId="4A35BFD5">
            <w:pPr>
              <w:spacing w:line="420" w:lineRule="exact"/>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r>
      <w:tr w14:paraId="172B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1" w:hRule="atLeast"/>
          <w:jc w:val="center"/>
        </w:trPr>
        <w:tc>
          <w:tcPr>
            <w:tcW w:w="985" w:type="dxa"/>
            <w:vMerge w:val="restart"/>
            <w:tcBorders>
              <w:top w:val="single" w:color="auto" w:sz="4" w:space="0"/>
              <w:right w:val="single" w:color="auto" w:sz="4" w:space="0"/>
            </w:tcBorders>
            <w:noWrap w:val="0"/>
            <w:vAlign w:val="center"/>
          </w:tcPr>
          <w:p w14:paraId="1BDB4E15">
            <w:pPr>
              <w:jc w:val="center"/>
              <w:rPr>
                <w:color w:val="auto"/>
                <w:sz w:val="22"/>
                <w:szCs w:val="22"/>
                <w:highlight w:val="none"/>
              </w:rPr>
            </w:pPr>
            <w:r>
              <w:rPr>
                <w:rFonts w:hint="eastAsia" w:ascii="仿宋" w:hAnsi="仿宋" w:eastAsia="仿宋" w:cs="仿宋"/>
                <w:color w:val="auto"/>
                <w:sz w:val="22"/>
                <w:szCs w:val="22"/>
                <w:highlight w:val="none"/>
              </w:rPr>
              <w:t>2.3.3</w:t>
            </w: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71AD7D0D">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报价评分标准</w:t>
            </w:r>
          </w:p>
        </w:tc>
        <w:tc>
          <w:tcPr>
            <w:tcW w:w="7290" w:type="dxa"/>
            <w:gridSpan w:val="3"/>
            <w:tcBorders>
              <w:top w:val="single" w:color="auto" w:sz="4" w:space="0"/>
              <w:left w:val="single" w:color="auto" w:sz="4" w:space="0"/>
              <w:bottom w:val="single" w:color="auto" w:sz="4" w:space="0"/>
            </w:tcBorders>
            <w:noWrap w:val="0"/>
            <w:vAlign w:val="center"/>
          </w:tcPr>
          <w:p w14:paraId="7E323AB8">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（1）满足采购文件要求且报价最低的投标报价为评标基准价，其价格分为满分。</w:t>
            </w:r>
          </w:p>
          <w:p w14:paraId="067C1844">
            <w:pPr>
              <w:spacing w:line="40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（2）其他磋商供应商的投标价格得分按以下公式计算：</w:t>
            </w:r>
          </w:p>
          <w:p w14:paraId="2C63FE24">
            <w:pPr>
              <w:spacing w:line="400" w:lineRule="exact"/>
              <w:rPr>
                <w:color w:val="auto"/>
                <w:sz w:val="22"/>
                <w:szCs w:val="22"/>
                <w:highlight w:val="none"/>
              </w:rPr>
            </w:pPr>
            <w:r>
              <w:rPr>
                <w:rFonts w:hint="eastAsia" w:ascii="仿宋" w:hAnsi="仿宋" w:eastAsia="仿宋" w:cs="仿宋"/>
                <w:bCs/>
                <w:color w:val="auto"/>
                <w:sz w:val="22"/>
                <w:szCs w:val="22"/>
                <w:highlight w:val="none"/>
              </w:rPr>
              <w:t>投标报价得分=（评标基准价/</w:t>
            </w:r>
            <w:r>
              <w:rPr>
                <w:rFonts w:hint="eastAsia" w:ascii="仿宋" w:hAnsi="仿宋" w:eastAsia="仿宋" w:cs="仿宋"/>
                <w:bCs/>
                <w:color w:val="auto"/>
                <w:sz w:val="22"/>
                <w:szCs w:val="22"/>
                <w:highlight w:val="none"/>
                <w:lang w:val="zh-CN"/>
              </w:rPr>
              <w:t>有效评标价</w:t>
            </w:r>
            <w:r>
              <w:rPr>
                <w:rFonts w:hint="eastAsia" w:ascii="仿宋" w:hAnsi="仿宋" w:eastAsia="仿宋" w:cs="仿宋"/>
                <w:bCs/>
                <w:color w:val="auto"/>
                <w:sz w:val="22"/>
                <w:szCs w:val="22"/>
                <w:highlight w:val="none"/>
              </w:rPr>
              <w:t>）× 价格权值 ×100（四舍五入，保留小数点后2位）</w:t>
            </w:r>
          </w:p>
        </w:tc>
      </w:tr>
      <w:tr w14:paraId="62FE1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0" w:hRule="atLeast"/>
          <w:jc w:val="center"/>
        </w:trPr>
        <w:tc>
          <w:tcPr>
            <w:tcW w:w="985" w:type="dxa"/>
            <w:vMerge w:val="continue"/>
            <w:tcBorders>
              <w:bottom w:val="single" w:color="auto" w:sz="4" w:space="0"/>
              <w:right w:val="single" w:color="auto" w:sz="4" w:space="0"/>
            </w:tcBorders>
            <w:noWrap w:val="0"/>
            <w:vAlign w:val="center"/>
          </w:tcPr>
          <w:p w14:paraId="7E397B54">
            <w:pPr>
              <w:jc w:val="center"/>
              <w:rPr>
                <w:color w:val="auto"/>
                <w:sz w:val="22"/>
                <w:szCs w:val="22"/>
                <w:highlight w:val="none"/>
              </w:rPr>
            </w:pPr>
          </w:p>
        </w:tc>
        <w:tc>
          <w:tcPr>
            <w:tcW w:w="1896" w:type="dxa"/>
            <w:gridSpan w:val="2"/>
            <w:tcBorders>
              <w:top w:val="single" w:color="auto" w:sz="4" w:space="0"/>
              <w:left w:val="single" w:color="auto" w:sz="4" w:space="0"/>
              <w:bottom w:val="single" w:color="auto" w:sz="4" w:space="0"/>
              <w:right w:val="single" w:color="auto" w:sz="4" w:space="0"/>
            </w:tcBorders>
            <w:noWrap w:val="0"/>
            <w:vAlign w:val="center"/>
          </w:tcPr>
          <w:p w14:paraId="2DF58273">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落实政府采购政策需进行的价格扣除</w:t>
            </w:r>
          </w:p>
        </w:tc>
        <w:tc>
          <w:tcPr>
            <w:tcW w:w="7290" w:type="dxa"/>
            <w:gridSpan w:val="3"/>
            <w:tcBorders>
              <w:top w:val="single" w:color="auto" w:sz="4" w:space="0"/>
              <w:left w:val="single" w:color="auto" w:sz="4" w:space="0"/>
              <w:bottom w:val="single" w:color="auto" w:sz="4" w:space="0"/>
            </w:tcBorders>
            <w:noWrap w:val="0"/>
            <w:vAlign w:val="center"/>
          </w:tcPr>
          <w:p w14:paraId="31540E08">
            <w:pPr>
              <w:tabs>
                <w:tab w:val="left" w:pos="0"/>
              </w:tabs>
              <w:spacing w:line="4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1）小微企业（含监狱企业、残疾人福利性单位）报价扣除 20 %，即评标价=投标报价× 80 %；</w:t>
            </w:r>
          </w:p>
          <w:p w14:paraId="3F11CD09">
            <w:pPr>
              <w:tabs>
                <w:tab w:val="left" w:pos="0"/>
              </w:tabs>
              <w:spacing w:line="4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2）价格扣除比例或者价格分加分比例对小型企业和微型企业同等对待，不作区分。小型、微型企业、监狱企业、残疾人福利性单位不重复享受价格扣除政策。</w:t>
            </w:r>
          </w:p>
          <w:p w14:paraId="774F1C50">
            <w:pPr>
              <w:tabs>
                <w:tab w:val="left" w:pos="0"/>
              </w:tabs>
              <w:spacing w:line="42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3）未提供完整证明材料的，不享受价格扣除优惠政策</w:t>
            </w:r>
          </w:p>
          <w:p w14:paraId="0D559569">
            <w:pPr>
              <w:tabs>
                <w:tab w:val="left" w:pos="0"/>
              </w:tabs>
              <w:spacing w:line="420" w:lineRule="exact"/>
              <w:rPr>
                <w:color w:val="auto"/>
                <w:highlight w:val="none"/>
              </w:rPr>
            </w:pPr>
            <w:r>
              <w:rPr>
                <w:rFonts w:hint="eastAsia" w:ascii="仿宋" w:hAnsi="仿宋" w:eastAsia="仿宋" w:cs="仿宋"/>
                <w:b/>
                <w:bCs/>
                <w:color w:val="auto"/>
                <w:sz w:val="22"/>
                <w:szCs w:val="22"/>
                <w:highlight w:val="none"/>
              </w:rPr>
              <w:t>注：专门面向中小企业采购的项目或者标项，不再执行价格评审优惠的扶持政策。</w:t>
            </w:r>
          </w:p>
        </w:tc>
      </w:tr>
    </w:tbl>
    <w:p w14:paraId="26DFA3D3">
      <w:pPr>
        <w:widowControl/>
        <w:adjustRightInd/>
        <w:jc w:val="left"/>
        <w:rPr>
          <w:rFonts w:hint="eastAsia" w:ascii="仿宋" w:hAnsi="仿宋" w:eastAsia="仿宋" w:cs="仿宋"/>
          <w:b/>
          <w:color w:val="auto"/>
          <w:sz w:val="24"/>
          <w:highlight w:val="none"/>
        </w:rPr>
      </w:pPr>
    </w:p>
    <w:p w14:paraId="2C719A6A">
      <w:pPr>
        <w:snapToGrid w:val="0"/>
        <w:spacing w:line="360" w:lineRule="auto"/>
        <w:jc w:val="left"/>
        <w:rPr>
          <w:rStyle w:val="19"/>
          <w:rFonts w:hint="eastAsia" w:ascii="仿宋" w:eastAsia="仿宋" w:cs="仿宋"/>
          <w:color w:val="auto"/>
          <w:sz w:val="22"/>
          <w:szCs w:val="22"/>
          <w:highlight w:val="none"/>
        </w:rPr>
      </w:pPr>
      <w:bookmarkStart w:id="471" w:name="_Toc55302373"/>
      <w:bookmarkStart w:id="472" w:name="_Toc63189375"/>
      <w:bookmarkStart w:id="473" w:name="_Toc172494"/>
    </w:p>
    <w:p w14:paraId="3FEA1053">
      <w:pPr>
        <w:snapToGrid w:val="0"/>
        <w:spacing w:line="360" w:lineRule="auto"/>
        <w:jc w:val="left"/>
        <w:outlineLvl w:val="1"/>
        <w:rPr>
          <w:rStyle w:val="19"/>
          <w:rFonts w:hint="eastAsia" w:ascii="仿宋" w:eastAsia="仿宋" w:cs="仿宋"/>
          <w:color w:val="auto"/>
          <w:sz w:val="22"/>
          <w:szCs w:val="22"/>
          <w:highlight w:val="none"/>
        </w:rPr>
      </w:pPr>
      <w:bookmarkStart w:id="474" w:name="_Toc26324"/>
      <w:r>
        <w:rPr>
          <w:rStyle w:val="19"/>
          <w:rFonts w:hint="eastAsia" w:ascii="仿宋" w:eastAsia="仿宋" w:cs="仿宋"/>
          <w:color w:val="auto"/>
          <w:sz w:val="22"/>
          <w:szCs w:val="22"/>
          <w:highlight w:val="none"/>
        </w:rPr>
        <w:t>1.评审方法</w:t>
      </w:r>
      <w:bookmarkEnd w:id="471"/>
      <w:bookmarkEnd w:id="472"/>
      <w:bookmarkEnd w:id="474"/>
    </w:p>
    <w:bookmarkEnd w:id="473"/>
    <w:p w14:paraId="4E7385AE">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本次采用的评审办法及推荐成交候选人的人数见评审办法前附表。</w:t>
      </w:r>
    </w:p>
    <w:p w14:paraId="41F7FD3D">
      <w:pPr>
        <w:snapToGrid w:val="0"/>
        <w:spacing w:line="360" w:lineRule="auto"/>
        <w:jc w:val="left"/>
        <w:outlineLvl w:val="1"/>
        <w:rPr>
          <w:rStyle w:val="19"/>
          <w:rFonts w:hint="eastAsia" w:ascii="仿宋" w:eastAsia="仿宋" w:cs="仿宋"/>
          <w:color w:val="auto"/>
          <w:sz w:val="22"/>
          <w:szCs w:val="22"/>
          <w:highlight w:val="none"/>
        </w:rPr>
      </w:pPr>
      <w:bookmarkStart w:id="475" w:name="_Toc63189376"/>
      <w:bookmarkStart w:id="476" w:name="_Toc55302374"/>
      <w:bookmarkStart w:id="477" w:name="_Toc14425"/>
      <w:bookmarkStart w:id="478" w:name="_Toc751623011"/>
      <w:r>
        <w:rPr>
          <w:rStyle w:val="19"/>
          <w:rFonts w:hint="eastAsia" w:ascii="仿宋" w:eastAsia="仿宋" w:cs="仿宋"/>
          <w:color w:val="auto"/>
          <w:sz w:val="22"/>
          <w:szCs w:val="22"/>
          <w:highlight w:val="none"/>
        </w:rPr>
        <w:t>2.</w:t>
      </w:r>
      <w:bookmarkEnd w:id="475"/>
      <w:bookmarkEnd w:id="476"/>
      <w:r>
        <w:rPr>
          <w:rStyle w:val="19"/>
          <w:rFonts w:hint="eastAsia" w:ascii="仿宋" w:eastAsia="仿宋" w:cs="仿宋"/>
          <w:color w:val="auto"/>
          <w:sz w:val="22"/>
          <w:szCs w:val="22"/>
          <w:highlight w:val="none"/>
        </w:rPr>
        <w:t>评审程序及标准</w:t>
      </w:r>
      <w:bookmarkEnd w:id="477"/>
    </w:p>
    <w:bookmarkEnd w:id="478"/>
    <w:p w14:paraId="005817BF">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2.1资格审查</w:t>
      </w:r>
    </w:p>
    <w:p w14:paraId="4EF8ECB9">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响应文件开启后，采购人或采购代理机构对各供应商进行资格审查，有一项不符合以下评审标准的，响应无效：</w:t>
      </w:r>
    </w:p>
    <w:p w14:paraId="205E2636">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2.1.1</w:t>
      </w:r>
      <w:r>
        <w:rPr>
          <w:rFonts w:hint="eastAsia" w:ascii="仿宋" w:hAnsi="仿宋" w:eastAsia="仿宋" w:cs="仿宋"/>
          <w:bCs/>
          <w:color w:val="auto"/>
          <w:sz w:val="22"/>
          <w:szCs w:val="22"/>
          <w:highlight w:val="none"/>
          <w:u w:val="single"/>
        </w:rPr>
        <w:t>▲提供符合参加政府采购活动应当具备的一般条件的承诺函及有效的企业营业执照（或事业法人登记证书或其它工商等登记证明材料，自然人提供身份证)复制件（如为联合体，则联合体各方均应提供）</w:t>
      </w:r>
      <w:r>
        <w:rPr>
          <w:rFonts w:hint="eastAsia" w:ascii="仿宋" w:hAnsi="仿宋" w:eastAsia="仿宋" w:cs="仿宋"/>
          <w:bCs/>
          <w:color w:val="auto"/>
          <w:sz w:val="22"/>
          <w:szCs w:val="22"/>
          <w:highlight w:val="none"/>
        </w:rPr>
        <w:t>；</w:t>
      </w:r>
    </w:p>
    <w:p w14:paraId="17A9C367">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5B27617A">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2.1.2落实政府采购政策需满足的资格要求：</w:t>
      </w:r>
      <w:r>
        <w:rPr>
          <w:rFonts w:hint="eastAsia" w:ascii="仿宋" w:hAnsi="仿宋" w:eastAsia="仿宋" w:cs="仿宋"/>
          <w:b/>
          <w:color w:val="auto"/>
          <w:sz w:val="22"/>
          <w:szCs w:val="22"/>
          <w:highlight w:val="none"/>
        </w:rPr>
        <w:t>见评审办法前附表</w:t>
      </w:r>
      <w:r>
        <w:rPr>
          <w:rFonts w:hint="eastAsia" w:ascii="仿宋" w:hAnsi="仿宋" w:eastAsia="仿宋" w:cs="仿宋"/>
          <w:color w:val="auto"/>
          <w:sz w:val="22"/>
          <w:szCs w:val="22"/>
          <w:highlight w:val="none"/>
        </w:rPr>
        <w:t>。</w:t>
      </w:r>
    </w:p>
    <w:p w14:paraId="13DD8C4E">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2.1.3本项目的特定资格要求：</w:t>
      </w:r>
      <w:r>
        <w:rPr>
          <w:rFonts w:hint="eastAsia" w:ascii="仿宋" w:hAnsi="仿宋" w:eastAsia="仿宋" w:cs="仿宋"/>
          <w:b/>
          <w:color w:val="auto"/>
          <w:sz w:val="22"/>
          <w:szCs w:val="22"/>
          <w:highlight w:val="none"/>
        </w:rPr>
        <w:t>见评审办法前附表</w:t>
      </w:r>
      <w:r>
        <w:rPr>
          <w:rFonts w:hint="eastAsia" w:ascii="仿宋" w:hAnsi="仿宋" w:eastAsia="仿宋" w:cs="仿宋"/>
          <w:color w:val="auto"/>
          <w:sz w:val="22"/>
          <w:szCs w:val="22"/>
          <w:highlight w:val="none"/>
        </w:rPr>
        <w:t>。</w:t>
      </w:r>
    </w:p>
    <w:p w14:paraId="56A6458B">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2.1.4商业信誉审查要求：</w:t>
      </w:r>
      <w:r>
        <w:rPr>
          <w:rFonts w:hint="eastAsia" w:ascii="仿宋" w:hAnsi="仿宋" w:eastAsia="仿宋" w:cs="仿宋"/>
          <w:b/>
          <w:color w:val="auto"/>
          <w:sz w:val="22"/>
          <w:szCs w:val="22"/>
          <w:highlight w:val="none"/>
        </w:rPr>
        <w:t>见评审办法前附表</w:t>
      </w:r>
      <w:r>
        <w:rPr>
          <w:rFonts w:hint="eastAsia" w:ascii="仿宋" w:hAnsi="仿宋" w:eastAsia="仿宋" w:cs="仿宋"/>
          <w:color w:val="auto"/>
          <w:sz w:val="22"/>
          <w:szCs w:val="22"/>
          <w:highlight w:val="none"/>
        </w:rPr>
        <w:t>。</w:t>
      </w:r>
    </w:p>
    <w:p w14:paraId="2C0CEDE0">
      <w:pPr>
        <w:snapToGrid w:val="0"/>
        <w:spacing w:line="360" w:lineRule="auto"/>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2.2符合性审查</w:t>
      </w:r>
    </w:p>
    <w:p w14:paraId="3CDAA983">
      <w:pPr>
        <w:snapToGrid w:val="0"/>
        <w:spacing w:line="360" w:lineRule="auto"/>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磋商小组对资格审查合格的供应商进行符合性审查：</w:t>
      </w:r>
    </w:p>
    <w:p w14:paraId="7282B888">
      <w:pPr>
        <w:snapToGrid w:val="0"/>
        <w:spacing w:line="360" w:lineRule="auto"/>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2.2.1</w:t>
      </w:r>
      <w:r>
        <w:rPr>
          <w:rFonts w:hint="eastAsia" w:ascii="仿宋" w:hAnsi="仿宋" w:eastAsia="仿宋" w:cs="仿宋"/>
          <w:b/>
          <w:color w:val="auto"/>
          <w:sz w:val="22"/>
          <w:szCs w:val="22"/>
          <w:highlight w:val="none"/>
          <w:u w:val="single"/>
        </w:rPr>
        <w:t>▲供应商存在下列情况之一的，响应无效：</w:t>
      </w:r>
    </w:p>
    <w:p w14:paraId="64960D67">
      <w:pPr>
        <w:snapToGrid w:val="0"/>
        <w:spacing w:line="360" w:lineRule="auto"/>
        <w:ind w:firstLine="440" w:firstLineChars="200"/>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bCs/>
          <w:color w:val="auto"/>
          <w:kern w:val="0"/>
          <w:sz w:val="22"/>
          <w:szCs w:val="22"/>
          <w:highlight w:val="none"/>
        </w:rPr>
        <w:t>供应商仅提交备份响应文件，没有在电子交易平台传输递交响应文件的；</w:t>
      </w:r>
    </w:p>
    <w:p w14:paraId="10E0B18C">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（2）不具备采购文件中规定的资格要求的；</w:t>
      </w:r>
    </w:p>
    <w:p w14:paraId="74B3FD92">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（3）响应文件未按采购文件要求签署、盖章的；</w:t>
      </w:r>
    </w:p>
    <w:p w14:paraId="4F6D96DA">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（4）明显不符合采购文件中标注“▲”的实质性要求和条件（主要技术规格、商务技术标准或服务要求）的；</w:t>
      </w:r>
    </w:p>
    <w:p w14:paraId="04925611">
      <w:pPr>
        <w:snapToGrid w:val="0"/>
        <w:spacing w:line="360" w:lineRule="auto"/>
        <w:ind w:firstLine="440" w:firstLineChars="20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（5）采购人拟采购的产品属于政府强制采购的节能产品品目清单范围的，供应商未按采购文件要求提供国家确定的认证机构出具的、处于有效期之内的节能产品认证证书的；</w:t>
      </w:r>
    </w:p>
    <w:p w14:paraId="55AE0C61">
      <w:pPr>
        <w:snapToGrid w:val="0"/>
        <w:spacing w:line="360" w:lineRule="auto"/>
        <w:ind w:firstLine="440" w:firstLineChars="20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（6）响应文件中承诺的磋商有效期少于采购文件中载明的磋商有效期的；</w:t>
      </w:r>
    </w:p>
    <w:p w14:paraId="0BF9CE67">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（7）响应文件实质性内容不全或关键字迹模糊无法辨认的；</w:t>
      </w:r>
    </w:p>
    <w:p w14:paraId="26B58FB4">
      <w:pPr>
        <w:snapToGrid w:val="0"/>
        <w:spacing w:line="360" w:lineRule="auto"/>
        <w:ind w:firstLine="440" w:firstLineChars="200"/>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sz w:val="22"/>
          <w:szCs w:val="22"/>
          <w:highlight w:val="none"/>
        </w:rPr>
        <w:t>（8）最终报价超过采购预算或最高限价；</w:t>
      </w:r>
    </w:p>
    <w:p w14:paraId="452182F3">
      <w:pPr>
        <w:snapToGrid w:val="0"/>
        <w:spacing w:line="360" w:lineRule="auto"/>
        <w:ind w:firstLine="440" w:firstLineChars="200"/>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（9）响应文件出现不是唯一的、有选择性报价的；</w:t>
      </w:r>
    </w:p>
    <w:p w14:paraId="11AC431C">
      <w:pPr>
        <w:snapToGrid w:val="0"/>
        <w:spacing w:line="360" w:lineRule="auto"/>
        <w:ind w:firstLine="440" w:firstLineChars="200"/>
        <w:jc w:val="left"/>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（10）供应商对根据修正原则修正后的报价不确认的；</w:t>
      </w:r>
    </w:p>
    <w:p w14:paraId="5D40561F">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（11）响应文件有采购人不能接受的附加条件的；</w:t>
      </w:r>
    </w:p>
    <w:p w14:paraId="74883B3F">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（12）供应商提供虚假材料磋商响应的；</w:t>
      </w:r>
    </w:p>
    <w:p w14:paraId="0C2F08C3">
      <w:pPr>
        <w:snapToGrid w:val="0"/>
        <w:spacing w:line="360" w:lineRule="auto"/>
        <w:ind w:firstLine="110" w:firstLineChars="50"/>
        <w:jc w:val="left"/>
        <w:rPr>
          <w:rFonts w:hint="eastAsia" w:ascii="仿宋" w:hAnsi="仿宋" w:eastAsia="仿宋" w:cs="仿宋"/>
          <w:bCs/>
          <w:color w:val="auto"/>
          <w:sz w:val="22"/>
          <w:szCs w:val="22"/>
          <w:highlight w:val="none"/>
        </w:rPr>
      </w:pPr>
      <w:r>
        <w:rPr>
          <w:rFonts w:hint="eastAsia" w:ascii="仿宋" w:hAnsi="仿宋" w:eastAsia="仿宋" w:cs="仿宋"/>
          <w:bCs/>
          <w:color w:val="auto"/>
          <w:kern w:val="0"/>
          <w:sz w:val="22"/>
          <w:szCs w:val="22"/>
          <w:highlight w:val="none"/>
        </w:rPr>
        <w:t xml:space="preserve">   （13）商务技术文件中出现磋商报价的；</w:t>
      </w:r>
    </w:p>
    <w:p w14:paraId="5AC37F30">
      <w:pPr>
        <w:spacing w:line="360" w:lineRule="auto"/>
        <w:ind w:firstLine="440" w:firstLineChars="20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（14）报价明显低于其他通过符合性审查供应商的报价，有可能影响产品质量或者不能诚信履约的，未能按要求提供书面说明或者提交相关证明材料，不能证明其报价合理性的；</w:t>
      </w:r>
    </w:p>
    <w:p w14:paraId="09333545">
      <w:pPr>
        <w:spacing w:line="360" w:lineRule="auto"/>
        <w:ind w:firstLine="220" w:firstLineChars="10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 xml:space="preserve">  （15）供应商有恶意串通、妨碍其他供应商的竞争行为、损害采购人或者其他供应商的合法权益情形的；</w:t>
      </w:r>
    </w:p>
    <w:p w14:paraId="1B70BAA8">
      <w:pPr>
        <w:spacing w:line="360" w:lineRule="auto"/>
        <w:ind w:firstLine="440" w:firstLineChars="200"/>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（16）响应文件不满足采购文件的其它实质性要求的；</w:t>
      </w:r>
    </w:p>
    <w:p w14:paraId="59505ABE">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（17）</w:t>
      </w:r>
      <w:r>
        <w:rPr>
          <w:rFonts w:hint="eastAsia" w:ascii="仿宋" w:hAnsi="仿宋" w:eastAsia="仿宋" w:cs="仿宋"/>
          <w:bCs/>
          <w:color w:val="auto"/>
          <w:kern w:val="0"/>
          <w:sz w:val="22"/>
          <w:szCs w:val="22"/>
          <w:highlight w:val="none"/>
        </w:rPr>
        <w:t>法律、法规、规章（适用本市的）及省级以上规范性文件（适用本市的）规定的其他无效情形。</w:t>
      </w:r>
    </w:p>
    <w:p w14:paraId="49E4E7C2">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2.2.2</w:t>
      </w:r>
      <w:r>
        <w:rPr>
          <w:rFonts w:hint="eastAsia" w:ascii="仿宋" w:hAnsi="仿宋" w:eastAsia="仿宋" w:cs="仿宋"/>
          <w:b/>
          <w:color w:val="auto"/>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2"/>
          <w:szCs w:val="22"/>
          <w:highlight w:val="none"/>
        </w:rPr>
        <w:t>：</w:t>
      </w:r>
    </w:p>
    <w:p w14:paraId="211FDB1B">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（1）供应商直接或者间接从采购人或者采购代理机构处获得其他供应商的相关情况并修改其响应文件的；</w:t>
      </w:r>
    </w:p>
    <w:p w14:paraId="310BC59A">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（2）供应商按照采购人或者采购代理机构的授意撤换、修改响应文件的；</w:t>
      </w:r>
    </w:p>
    <w:p w14:paraId="0FCC11B5">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（3）供应商之间协商报价、技术方案等响应文件或者响应文件的实质性内容；</w:t>
      </w:r>
    </w:p>
    <w:p w14:paraId="2F18FB01">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（4）属于同一集团、协会、商会等组织成员的供应商按照该组织要求协同参加政府采购活动；</w:t>
      </w:r>
    </w:p>
    <w:p w14:paraId="7E42EA7C">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（5）供应商之间事先约定由某一特定供应商中标、成交；</w:t>
      </w:r>
    </w:p>
    <w:p w14:paraId="6A20FDFB">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（6）供应商之间商定部分供应商放弃参加政府采购活动或者放弃中标、成交；</w:t>
      </w:r>
    </w:p>
    <w:p w14:paraId="6297C1CF">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（7）供应商与采购人或者采购代理机构之间、供应商相互之间，为谋求特定供应商中标、成交或者排斥其他供应商的其他串通行为。</w:t>
      </w:r>
    </w:p>
    <w:p w14:paraId="7AF07E62">
      <w:pPr>
        <w:snapToGrid w:val="0"/>
        <w:spacing w:line="360" w:lineRule="auto"/>
        <w:ind w:firstLine="442" w:firstLineChars="200"/>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2.2.3</w:t>
      </w:r>
      <w:r>
        <w:rPr>
          <w:rFonts w:hint="eastAsia" w:ascii="仿宋" w:hAnsi="仿宋" w:eastAsia="仿宋" w:cs="仿宋"/>
          <w:b/>
          <w:color w:val="auto"/>
          <w:sz w:val="22"/>
          <w:szCs w:val="22"/>
          <w:highlight w:val="none"/>
          <w:u w:val="single"/>
        </w:rPr>
        <w:t>▲有下列情形之一的，视为供应商串通响应，其响应无效</w:t>
      </w:r>
      <w:r>
        <w:rPr>
          <w:rFonts w:hint="eastAsia" w:ascii="仿宋" w:hAnsi="仿宋" w:eastAsia="仿宋" w:cs="仿宋"/>
          <w:b/>
          <w:color w:val="auto"/>
          <w:sz w:val="22"/>
          <w:szCs w:val="22"/>
          <w:highlight w:val="none"/>
        </w:rPr>
        <w:t>：</w:t>
      </w:r>
    </w:p>
    <w:p w14:paraId="52177892">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（1）不同供应商的响应文件由同一单位或者个人编制；</w:t>
      </w:r>
    </w:p>
    <w:p w14:paraId="24E537AC">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（2）不同供应商委托同一单位或者个人办理磋商响应事宜；</w:t>
      </w:r>
    </w:p>
    <w:p w14:paraId="20EB0EDA">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（3）不同供应商的响应文件载明的项目管理成员或者联系人员为同一人；</w:t>
      </w:r>
    </w:p>
    <w:p w14:paraId="32C22782">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（4）不同供应商的响应文件异常一致或者磋商报价呈规律性差异；</w:t>
      </w:r>
    </w:p>
    <w:p w14:paraId="212D7426">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（5）不同供应商的响应文件相互混装；</w:t>
      </w:r>
    </w:p>
    <w:p w14:paraId="50847849">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2.2.4符合性审查其他要求见评审办法前附表。</w:t>
      </w:r>
    </w:p>
    <w:p w14:paraId="5D85ED6F">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2.2.5实质上没有响应采购文件要求的磋商响应将被否决，供应商不得通过修正或撤消不合要求的偏离或保留从而使其响应成为实质上响应的磋商响应。</w:t>
      </w:r>
    </w:p>
    <w:p w14:paraId="07469161">
      <w:pPr>
        <w:widowControl/>
        <w:tabs>
          <w:tab w:val="left" w:pos="900"/>
        </w:tabs>
        <w:snapToGrid w:val="0"/>
        <w:spacing w:line="360" w:lineRule="auto"/>
        <w:ind w:left="858" w:leftChars="260" w:hanging="312" w:hangingChars="142"/>
        <w:jc w:val="left"/>
        <w:rPr>
          <w:rFonts w:hint="eastAsia" w:ascii="仿宋" w:hAnsi="仿宋" w:eastAsia="仿宋" w:cs="仿宋"/>
          <w:color w:val="auto"/>
          <w:sz w:val="22"/>
          <w:szCs w:val="22"/>
          <w:highlight w:val="none"/>
        </w:rPr>
      </w:pPr>
      <w:bookmarkStart w:id="479" w:name="_Toc31606"/>
      <w:bookmarkStart w:id="480" w:name="_Toc5724"/>
      <w:bookmarkStart w:id="481" w:name="_Toc63189379"/>
      <w:bookmarkStart w:id="482" w:name="_Toc55302377"/>
      <w:bookmarkStart w:id="483" w:name="_Toc55375024"/>
      <w:r>
        <w:rPr>
          <w:rFonts w:hint="eastAsia" w:ascii="仿宋" w:hAnsi="仿宋" w:eastAsia="仿宋" w:cs="仿宋"/>
          <w:color w:val="auto"/>
          <w:sz w:val="22"/>
          <w:szCs w:val="22"/>
          <w:highlight w:val="none"/>
        </w:rPr>
        <w:t>2.3比较与评价</w:t>
      </w:r>
      <w:bookmarkEnd w:id="479"/>
    </w:p>
    <w:bookmarkEnd w:id="480"/>
    <w:bookmarkEnd w:id="481"/>
    <w:bookmarkEnd w:id="482"/>
    <w:bookmarkEnd w:id="483"/>
    <w:p w14:paraId="6682F953">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2.3.1分值权重构成，见评审办法前附表。</w:t>
      </w:r>
    </w:p>
    <w:p w14:paraId="235F990D">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2.3.2商务技术评分标准，见评审办法前附表。</w:t>
      </w:r>
    </w:p>
    <w:p w14:paraId="29A18EC5">
      <w:pPr>
        <w:pStyle w:val="14"/>
        <w:snapToGrid w:val="0"/>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2.3.3报价评分标准，见评审办法前附表。</w:t>
      </w:r>
    </w:p>
    <w:p w14:paraId="685BB0C7">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2.3.4评分分值计算保留小数点后两位，小数点后第三位“四舍五入”。</w:t>
      </w:r>
    </w:p>
    <w:p w14:paraId="5522171A">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2.3.5磋商原则及标准，见评审办法前附表。</w:t>
      </w:r>
    </w:p>
    <w:p w14:paraId="282FA9C5">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2.3.6供应商综合得分=商务技术得分+报价得分。</w:t>
      </w:r>
    </w:p>
    <w:p w14:paraId="71D0A0F5">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2.3.7</w:t>
      </w:r>
      <w:r>
        <w:rPr>
          <w:rFonts w:hint="eastAsia" w:ascii="仿宋" w:hAnsi="仿宋" w:eastAsia="仿宋" w:cs="仿宋"/>
          <w:b/>
          <w:color w:val="auto"/>
          <w:sz w:val="22"/>
          <w:szCs w:val="22"/>
          <w:highlight w:val="none"/>
        </w:rPr>
        <w:t>磋商小组发现供应商的报价明显低于其他磋商报价，使得其磋商报价可能低于其个别成本的，应当要求该供应商作出书面说明并提供相应的证明材料。供应商不能合理说明或者不能提供相应证明材料的，磋商小组应当认定该供应商以低于成本报价竞标，并否决其磋商响应</w:t>
      </w:r>
      <w:r>
        <w:rPr>
          <w:rFonts w:hint="eastAsia" w:ascii="仿宋" w:hAnsi="仿宋" w:eastAsia="仿宋" w:cs="仿宋"/>
          <w:color w:val="auto"/>
          <w:sz w:val="22"/>
          <w:szCs w:val="22"/>
          <w:highlight w:val="none"/>
        </w:rPr>
        <w:t>。</w:t>
      </w:r>
    </w:p>
    <w:p w14:paraId="04A380D9">
      <w:pPr>
        <w:widowControl/>
        <w:tabs>
          <w:tab w:val="left" w:pos="900"/>
        </w:tabs>
        <w:snapToGrid w:val="0"/>
        <w:spacing w:line="360" w:lineRule="auto"/>
        <w:ind w:firstLine="440" w:firstLineChars="200"/>
        <w:jc w:val="left"/>
        <w:rPr>
          <w:rFonts w:hint="eastAsia" w:ascii="仿宋" w:hAnsi="仿宋" w:eastAsia="仿宋" w:cs="仿宋"/>
          <w:color w:val="auto"/>
          <w:sz w:val="22"/>
          <w:szCs w:val="22"/>
          <w:highlight w:val="none"/>
        </w:rPr>
      </w:pPr>
      <w:bookmarkStart w:id="484" w:name="_Toc55302378"/>
      <w:bookmarkStart w:id="485" w:name="_Toc5272"/>
      <w:bookmarkStart w:id="486" w:name="_Toc55375025"/>
      <w:bookmarkStart w:id="487" w:name="_Toc11195"/>
      <w:bookmarkStart w:id="488" w:name="_Toc63189380"/>
      <w:r>
        <w:rPr>
          <w:rFonts w:hint="eastAsia" w:ascii="仿宋" w:hAnsi="仿宋" w:eastAsia="仿宋" w:cs="仿宋"/>
          <w:color w:val="auto"/>
          <w:sz w:val="22"/>
          <w:szCs w:val="22"/>
          <w:highlight w:val="none"/>
        </w:rPr>
        <w:t>2.4响应文件的澄清</w:t>
      </w:r>
      <w:bookmarkEnd w:id="484"/>
      <w:bookmarkEnd w:id="485"/>
      <w:bookmarkEnd w:id="486"/>
      <w:bookmarkEnd w:id="487"/>
      <w:bookmarkEnd w:id="488"/>
    </w:p>
    <w:p w14:paraId="7C3E00FE">
      <w:pPr>
        <w:snapToGrid w:val="0"/>
        <w:spacing w:line="360" w:lineRule="auto"/>
        <w:ind w:firstLine="440" w:firstLineChars="200"/>
        <w:jc w:val="lef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2.4.1为有助于响应文件的审查、评价和比较，磋商小组可以在“政采云平台”在线询标或其他有效形式要求供应商对同一份响应文件含义不明确或同类问题表述不一致的内容（采购文件另有规定处理方法的除外）作必要的澄清或说明，供应商应采用在线回复或其他有效形式在询标规定时间内进行澄清或说明（需盖电子签章或实体公章）。</w:t>
      </w:r>
    </w:p>
    <w:p w14:paraId="47ECF745">
      <w:pPr>
        <w:pStyle w:val="21"/>
        <w:snapToGrid w:val="0"/>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2.4.2响应文件报价出现前后不一致的，按照下列规定修正：</w:t>
      </w:r>
    </w:p>
    <w:p w14:paraId="2E4F32A0">
      <w:pPr>
        <w:pStyle w:val="21"/>
        <w:snapToGrid w:val="0"/>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（1）响应文件中报价一览表(报价表)内容与响应文件中相应内容不一致的，以报价一览表(报价表)为准；</w:t>
      </w:r>
    </w:p>
    <w:p w14:paraId="04DF9A09">
      <w:pPr>
        <w:pStyle w:val="21"/>
        <w:snapToGrid w:val="0"/>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（2）大写金额和小写金额不一致的，以大写金额为准；</w:t>
      </w:r>
    </w:p>
    <w:p w14:paraId="3AD7BFF6">
      <w:pPr>
        <w:pStyle w:val="21"/>
        <w:snapToGrid w:val="0"/>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（3）单价金额小数点或者百分比有明显错位的，以报价一览表的总价为准，并修改单价；</w:t>
      </w:r>
    </w:p>
    <w:p w14:paraId="5C9848A5">
      <w:pPr>
        <w:pStyle w:val="21"/>
        <w:snapToGrid w:val="0"/>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（4）总价金额与按单价汇总金额不一致的，以单价金额计算结果为准。</w:t>
      </w:r>
    </w:p>
    <w:p w14:paraId="4FB08124">
      <w:pPr>
        <w:pStyle w:val="21"/>
        <w:snapToGrid w:val="0"/>
        <w:spacing w:before="0"/>
        <w:ind w:firstLine="44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（5）同时出现两种以上不一致的，按照上述规定的顺序修正。修正后的报价经供应商确认后产生约束力。</w:t>
      </w:r>
    </w:p>
    <w:p w14:paraId="24F499A0">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2.4.3澄清、说明或补正不得超出响应文件的范围且不得改变响应文件的实质性内容，并构成响应文件的组成部分。</w:t>
      </w:r>
    </w:p>
    <w:p w14:paraId="47231ED1">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2.4.4磋商小组对供应商提交的澄清、说明或补正有疑问的，可以要求供应商进一步澄清、说明或补正，直至满足磋商小组的要求。</w:t>
      </w:r>
    </w:p>
    <w:p w14:paraId="0CBFEBE1">
      <w:pPr>
        <w:snapToGrid w:val="0"/>
        <w:spacing w:line="360" w:lineRule="auto"/>
        <w:jc w:val="left"/>
        <w:outlineLvl w:val="1"/>
        <w:rPr>
          <w:rStyle w:val="19"/>
          <w:rFonts w:hint="eastAsia" w:ascii="仿宋" w:eastAsia="仿宋" w:cs="仿宋"/>
          <w:color w:val="auto"/>
          <w:sz w:val="22"/>
          <w:szCs w:val="22"/>
          <w:highlight w:val="none"/>
        </w:rPr>
      </w:pPr>
      <w:bookmarkStart w:id="489" w:name="_Toc55302379"/>
      <w:bookmarkStart w:id="490" w:name="_Toc31900"/>
      <w:bookmarkStart w:id="491" w:name="_Toc63189381"/>
      <w:bookmarkStart w:id="492" w:name="_Toc11850"/>
      <w:bookmarkStart w:id="493" w:name="_Toc1029134223"/>
      <w:r>
        <w:rPr>
          <w:rStyle w:val="19"/>
          <w:rFonts w:hint="eastAsia" w:ascii="仿宋" w:eastAsia="仿宋" w:cs="仿宋"/>
          <w:color w:val="auto"/>
          <w:sz w:val="22"/>
          <w:szCs w:val="22"/>
          <w:highlight w:val="none"/>
        </w:rPr>
        <w:t>3.评审结果</w:t>
      </w:r>
      <w:bookmarkEnd w:id="489"/>
      <w:bookmarkEnd w:id="490"/>
      <w:bookmarkEnd w:id="491"/>
      <w:bookmarkEnd w:id="492"/>
    </w:p>
    <w:bookmarkEnd w:id="493"/>
    <w:p w14:paraId="58E562B2">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3.1采用综合评分法的，磋商小组按照供应商综合得分由高到低的顺序推荐成交候选人。</w:t>
      </w:r>
    </w:p>
    <w:p w14:paraId="78CEE8BA">
      <w:pPr>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多家供应商提供相同品牌产品（单一产品采购项目中的该产品或者非单一产品采购项目的核心产品）且通过资格审查、符合性审查的不同供应商参加同一合同项下磋商响应的，按一家供应商计算，评审后得分最高的同品牌供应商获得成交供应商推荐资格；评审得分相同的，采取随机抽取方式确定，其他同品牌供应商不作为成交候选人。</w:t>
      </w:r>
    </w:p>
    <w:p w14:paraId="73B63273">
      <w:pPr>
        <w:snapToGrid w:val="0"/>
        <w:spacing w:line="360" w:lineRule="auto"/>
        <w:ind w:firstLine="440" w:firstLineChars="200"/>
        <w:rPr>
          <w:rFonts w:hint="eastAsia" w:ascii="仿宋" w:hAnsi="仿宋" w:eastAsia="仿宋" w:cs="仿宋"/>
          <w:b/>
          <w:color w:val="auto"/>
          <w:kern w:val="0"/>
          <w:sz w:val="22"/>
          <w:szCs w:val="22"/>
          <w:highlight w:val="none"/>
        </w:rPr>
      </w:pPr>
      <w:r>
        <w:rPr>
          <w:rFonts w:hint="eastAsia" w:ascii="仿宋" w:hAnsi="仿宋" w:eastAsia="仿宋" w:cs="仿宋"/>
          <w:color w:val="auto"/>
          <w:sz w:val="22"/>
          <w:szCs w:val="22"/>
          <w:highlight w:val="none"/>
        </w:rPr>
        <w:t>3.2 磋商小组完成评审后，应当向采购人提交书面评审报告和成交候选人名单。</w:t>
      </w:r>
    </w:p>
    <w:p w14:paraId="1868588F">
      <w:pPr>
        <w:snapToGrid w:val="0"/>
        <w:spacing w:line="360" w:lineRule="auto"/>
        <w:ind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磋商小组根据全体评审小组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5B8F02F">
      <w:pPr>
        <w:snapToGrid w:val="0"/>
        <w:spacing w:line="360" w:lineRule="auto"/>
        <w:jc w:val="left"/>
        <w:outlineLvl w:val="1"/>
        <w:rPr>
          <w:rStyle w:val="19"/>
          <w:rFonts w:hint="eastAsia" w:ascii="仿宋" w:eastAsia="仿宋" w:cs="仿宋"/>
          <w:color w:val="auto"/>
          <w:sz w:val="22"/>
          <w:szCs w:val="22"/>
          <w:highlight w:val="none"/>
        </w:rPr>
      </w:pPr>
      <w:bookmarkStart w:id="494" w:name="_Toc15117"/>
      <w:bookmarkStart w:id="495" w:name="_Toc825593023"/>
      <w:r>
        <w:rPr>
          <w:rStyle w:val="19"/>
          <w:rFonts w:hint="eastAsia" w:ascii="仿宋" w:eastAsia="仿宋" w:cs="仿宋"/>
          <w:color w:val="auto"/>
          <w:sz w:val="22"/>
          <w:szCs w:val="22"/>
          <w:highlight w:val="none"/>
          <w:lang w:val="en-US"/>
        </w:rPr>
        <w:t>4.</w:t>
      </w:r>
      <w:r>
        <w:rPr>
          <w:rStyle w:val="19"/>
          <w:rFonts w:hint="eastAsia" w:ascii="仿宋" w:eastAsia="仿宋" w:cs="仿宋"/>
          <w:color w:val="auto"/>
          <w:sz w:val="22"/>
          <w:szCs w:val="22"/>
          <w:highlight w:val="none"/>
        </w:rPr>
        <w:t>其他</w:t>
      </w:r>
      <w:bookmarkEnd w:id="494"/>
    </w:p>
    <w:bookmarkEnd w:id="495"/>
    <w:p w14:paraId="37FAA496">
      <w:pPr>
        <w:widowControl/>
        <w:shd w:val="clear" w:color="auto" w:fill="FFFFFF"/>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4.1废标</w:t>
      </w:r>
    </w:p>
    <w:p w14:paraId="73E84469">
      <w:pPr>
        <w:widowControl/>
        <w:shd w:val="clear" w:color="auto" w:fill="FFFFFF"/>
        <w:snapToGrid w:val="0"/>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根据《中华人民共和国政府采购法》第三十六条之规定，在采购中，出现下列情形之一的，应予废标：</w:t>
      </w:r>
    </w:p>
    <w:p w14:paraId="4F4C2958">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（1）符合专业条件的供应商或者对采购文件作实质响应的供应商不足3家的；</w:t>
      </w:r>
    </w:p>
    <w:p w14:paraId="15890505">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（2）出现影响采购公正的违法、违规行为的；</w:t>
      </w:r>
    </w:p>
    <w:p w14:paraId="2D9EA91F">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（3）供应商的报价均超过了采购预算，采购人不能支付的；</w:t>
      </w:r>
    </w:p>
    <w:p w14:paraId="4430B255">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（4）因重大变故，采购任务取消的。</w:t>
      </w:r>
    </w:p>
    <w:p w14:paraId="1C90662C">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废标后，采购机构应当将废标理由通知所有供应商。</w:t>
      </w:r>
    </w:p>
    <w:p w14:paraId="20C72AB8">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4.2修改采购文件，重新组织采购活动。</w:t>
      </w:r>
    </w:p>
    <w:p w14:paraId="3BF54116">
      <w:pPr>
        <w:pStyle w:val="7"/>
        <w:snapToGrid w:val="0"/>
        <w:spacing w:line="360" w:lineRule="auto"/>
        <w:ind w:firstLine="4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发现采购文件存在歧义、重大缺陷导致评审工作无法进行，或者采购文件内容违反国家有关强制性规定的，将停止评审工作，并与采购人、采购机构沟通并作书面记录。采购人、采购机构确认后，将修改采购文件，重新组织采购活动。</w:t>
      </w:r>
      <w:bookmarkEnd w:id="470"/>
    </w:p>
    <w:p w14:paraId="51C102B3">
      <w:pPr>
        <w:pStyle w:val="7"/>
        <w:snapToGrid w:val="0"/>
        <w:spacing w:line="360" w:lineRule="auto"/>
        <w:ind w:firstLine="0" w:firstLineChars="0"/>
        <w:rPr>
          <w:rFonts w:hint="eastAsia" w:ascii="仿宋" w:hAnsi="仿宋" w:eastAsia="仿宋" w:cs="仿宋"/>
          <w:color w:val="auto"/>
          <w:highlight w:val="none"/>
        </w:rPr>
      </w:pPr>
    </w:p>
    <w:bookmarkEnd w:id="67"/>
    <w:p w14:paraId="31B95800">
      <w:pPr>
        <w:pStyle w:val="3"/>
        <w:adjustRightInd/>
        <w:spacing w:line="240" w:lineRule="auto"/>
        <w:ind w:left="431" w:hanging="431"/>
        <w:jc w:val="center"/>
        <w:rPr>
          <w:rFonts w:hint="eastAsia" w:ascii="仿宋" w:hAnsi="仿宋" w:eastAsia="仿宋" w:cs="仿宋"/>
          <w:color w:val="auto"/>
          <w:highlight w:val="none"/>
        </w:rPr>
      </w:pPr>
      <w:bookmarkStart w:id="496" w:name="第五部分"/>
      <w:bookmarkStart w:id="497" w:name="_Toc86217003"/>
      <w:r>
        <w:rPr>
          <w:rFonts w:hint="eastAsia" w:ascii="仿宋" w:hAnsi="仿宋" w:eastAsia="仿宋" w:cs="仿宋"/>
          <w:color w:val="auto"/>
          <w:highlight w:val="none"/>
        </w:rPr>
        <w:br w:type="page"/>
      </w:r>
      <w:bookmarkStart w:id="498" w:name="_Toc850094294"/>
      <w:bookmarkStart w:id="499" w:name="_Toc31993"/>
      <w:r>
        <w:rPr>
          <w:rFonts w:hint="eastAsia" w:ascii="仿宋" w:hAnsi="仿宋" w:eastAsia="仿宋" w:cs="仿宋"/>
          <w:color w:val="auto"/>
          <w:highlight w:val="none"/>
        </w:rPr>
        <w:t>第五部分 拟签订的合同文本</w:t>
      </w:r>
      <w:bookmarkEnd w:id="498"/>
      <w:bookmarkEnd w:id="499"/>
    </w:p>
    <w:p w14:paraId="54CC9D42">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6300D801">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项目合同编号：                         密级：</w:t>
      </w:r>
    </w:p>
    <w:p w14:paraId="4698646F">
      <w:pPr>
        <w:widowControl/>
        <w:snapToGrid w:val="0"/>
        <w:spacing w:line="400" w:lineRule="exact"/>
        <w:ind w:firstLine="480" w:firstLineChars="200"/>
        <w:jc w:val="left"/>
        <w:rPr>
          <w:rFonts w:ascii="仿宋" w:hAnsi="仿宋" w:eastAsia="仿宋" w:cs="宋体"/>
          <w:color w:val="auto"/>
          <w:kern w:val="0"/>
          <w:sz w:val="24"/>
          <w:highlight w:val="none"/>
        </w:rPr>
      </w:pPr>
    </w:p>
    <w:p w14:paraId="0E96AF7D">
      <w:pPr>
        <w:widowControl/>
        <w:snapToGrid w:val="0"/>
        <w:spacing w:line="400" w:lineRule="exact"/>
        <w:ind w:firstLine="480" w:firstLineChars="200"/>
        <w:jc w:val="left"/>
        <w:rPr>
          <w:rFonts w:ascii="仿宋" w:hAnsi="仿宋" w:eastAsia="仿宋" w:cs="宋体"/>
          <w:color w:val="auto"/>
          <w:kern w:val="0"/>
          <w:sz w:val="24"/>
          <w:highlight w:val="none"/>
        </w:rPr>
      </w:pPr>
    </w:p>
    <w:p w14:paraId="554F05E1">
      <w:pPr>
        <w:widowControl/>
        <w:snapToGrid w:val="0"/>
        <w:spacing w:line="400" w:lineRule="exact"/>
        <w:ind w:firstLine="560" w:firstLineChars="200"/>
        <w:jc w:val="left"/>
        <w:rPr>
          <w:rFonts w:hint="eastAsia" w:ascii="仿宋" w:hAnsi="仿宋" w:eastAsia="仿宋" w:cs="仿宋"/>
          <w:color w:val="auto"/>
          <w:kern w:val="0"/>
          <w:sz w:val="28"/>
          <w:szCs w:val="28"/>
          <w:highlight w:val="none"/>
        </w:rPr>
      </w:pPr>
    </w:p>
    <w:p w14:paraId="226670B7">
      <w:pPr>
        <w:widowControl/>
        <w:snapToGrid w:val="0"/>
        <w:spacing w:line="400" w:lineRule="exact"/>
        <w:ind w:firstLine="560" w:firstLineChars="200"/>
        <w:jc w:val="left"/>
        <w:rPr>
          <w:rFonts w:hint="eastAsia" w:ascii="仿宋" w:hAnsi="仿宋" w:eastAsia="仿宋" w:cs="仿宋"/>
          <w:color w:val="auto"/>
          <w:kern w:val="0"/>
          <w:sz w:val="28"/>
          <w:szCs w:val="28"/>
          <w:highlight w:val="none"/>
        </w:rPr>
      </w:pPr>
    </w:p>
    <w:p w14:paraId="344ED8C6">
      <w:pPr>
        <w:widowControl/>
        <w:snapToGrid w:val="0"/>
        <w:spacing w:line="400" w:lineRule="exact"/>
        <w:ind w:firstLine="560" w:firstLineChars="200"/>
        <w:jc w:val="center"/>
        <w:outlineLvl w:val="1"/>
        <w:rPr>
          <w:rFonts w:hint="eastAsia" w:ascii="仿宋" w:hAnsi="仿宋" w:eastAsia="仿宋" w:cs="仿宋"/>
          <w:color w:val="auto"/>
          <w:kern w:val="0"/>
          <w:sz w:val="28"/>
          <w:szCs w:val="28"/>
          <w:highlight w:val="none"/>
        </w:rPr>
      </w:pPr>
      <w:bookmarkStart w:id="500" w:name="_Toc8874"/>
      <w:r>
        <w:rPr>
          <w:rFonts w:hint="eastAsia" w:ascii="仿宋" w:hAnsi="仿宋" w:eastAsia="仿宋" w:cs="仿宋"/>
          <w:color w:val="auto"/>
          <w:kern w:val="0"/>
          <w:sz w:val="28"/>
          <w:szCs w:val="28"/>
          <w:highlight w:val="none"/>
        </w:rPr>
        <w:t>温州市公安局科技项目</w:t>
      </w:r>
      <w:bookmarkEnd w:id="500"/>
    </w:p>
    <w:p w14:paraId="1A73AEB1">
      <w:pPr>
        <w:widowControl/>
        <w:snapToGrid w:val="0"/>
        <w:spacing w:line="400" w:lineRule="exact"/>
        <w:ind w:firstLine="560" w:firstLineChars="20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采购合同</w:t>
      </w:r>
    </w:p>
    <w:p w14:paraId="5B28C9FE">
      <w:pPr>
        <w:widowControl/>
        <w:snapToGrid w:val="0"/>
        <w:spacing w:line="400" w:lineRule="exact"/>
        <w:ind w:firstLine="560" w:firstLineChars="200"/>
        <w:jc w:val="left"/>
        <w:rPr>
          <w:rFonts w:hint="eastAsia" w:ascii="仿宋" w:hAnsi="仿宋" w:eastAsia="仿宋" w:cs="仿宋"/>
          <w:color w:val="auto"/>
          <w:kern w:val="0"/>
          <w:sz w:val="28"/>
          <w:szCs w:val="28"/>
          <w:highlight w:val="none"/>
        </w:rPr>
      </w:pPr>
    </w:p>
    <w:p w14:paraId="6CAADCEC">
      <w:pPr>
        <w:widowControl/>
        <w:snapToGrid w:val="0"/>
        <w:spacing w:line="400" w:lineRule="exact"/>
        <w:ind w:firstLine="560" w:firstLineChars="200"/>
        <w:jc w:val="left"/>
        <w:rPr>
          <w:rFonts w:hint="eastAsia" w:ascii="仿宋" w:hAnsi="仿宋" w:eastAsia="仿宋" w:cs="仿宋"/>
          <w:color w:val="auto"/>
          <w:kern w:val="0"/>
          <w:sz w:val="28"/>
          <w:szCs w:val="28"/>
          <w:highlight w:val="none"/>
        </w:rPr>
      </w:pPr>
    </w:p>
    <w:p w14:paraId="42AD4652">
      <w:pPr>
        <w:widowControl/>
        <w:snapToGrid w:val="0"/>
        <w:spacing w:line="400" w:lineRule="exact"/>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项  目 名 称：</w:t>
      </w:r>
      <w:r>
        <w:rPr>
          <w:rFonts w:hint="eastAsia" w:ascii="仿宋" w:hAnsi="仿宋" w:eastAsia="仿宋" w:cs="仿宋"/>
          <w:color w:val="auto"/>
          <w:kern w:val="0"/>
          <w:sz w:val="28"/>
          <w:szCs w:val="28"/>
          <w:highlight w:val="none"/>
          <w:u w:val="single"/>
        </w:rPr>
        <w:t xml:space="preserve">                           </w:t>
      </w:r>
    </w:p>
    <w:p w14:paraId="30F46C8C">
      <w:pPr>
        <w:widowControl/>
        <w:snapToGrid w:val="0"/>
        <w:spacing w:line="400" w:lineRule="exact"/>
        <w:ind w:firstLine="560" w:firstLineChars="200"/>
        <w:jc w:val="left"/>
        <w:rPr>
          <w:rFonts w:hint="eastAsia" w:ascii="仿宋" w:hAnsi="仿宋" w:eastAsia="仿宋" w:cs="仿宋"/>
          <w:color w:val="auto"/>
          <w:kern w:val="0"/>
          <w:sz w:val="28"/>
          <w:szCs w:val="28"/>
          <w:highlight w:val="none"/>
          <w:u w:val="single"/>
        </w:rPr>
      </w:pPr>
    </w:p>
    <w:p w14:paraId="5FFDE005">
      <w:pPr>
        <w:widowControl/>
        <w:snapToGrid w:val="0"/>
        <w:spacing w:line="400" w:lineRule="exact"/>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甲方（盖章）：</w:t>
      </w:r>
      <w:r>
        <w:rPr>
          <w:rFonts w:hint="eastAsia" w:ascii="仿宋" w:hAnsi="仿宋" w:eastAsia="仿宋" w:cs="仿宋"/>
          <w:color w:val="auto"/>
          <w:kern w:val="0"/>
          <w:sz w:val="28"/>
          <w:szCs w:val="28"/>
          <w:highlight w:val="none"/>
          <w:u w:val="single"/>
        </w:rPr>
        <w:t xml:space="preserve">         温州市公安局      </w:t>
      </w:r>
    </w:p>
    <w:p w14:paraId="59A22523">
      <w:pPr>
        <w:rPr>
          <w:rFonts w:hint="eastAsia"/>
          <w:color w:val="auto"/>
          <w:highlight w:val="none"/>
        </w:rPr>
      </w:pPr>
    </w:p>
    <w:p w14:paraId="27C0F3B9">
      <w:pPr>
        <w:widowControl/>
        <w:snapToGrid w:val="0"/>
        <w:spacing w:line="4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乙方（盖章）：</w:t>
      </w:r>
      <w:r>
        <w:rPr>
          <w:rFonts w:hint="eastAsia" w:ascii="仿宋" w:hAnsi="仿宋" w:eastAsia="仿宋" w:cs="仿宋"/>
          <w:color w:val="auto"/>
          <w:kern w:val="0"/>
          <w:sz w:val="28"/>
          <w:szCs w:val="28"/>
          <w:highlight w:val="none"/>
          <w:u w:val="single"/>
        </w:rPr>
        <w:t xml:space="preserve">                           </w:t>
      </w:r>
    </w:p>
    <w:p w14:paraId="2BBA9F70">
      <w:pPr>
        <w:rPr>
          <w:rFonts w:hint="eastAsia" w:ascii="仿宋" w:hAnsi="仿宋" w:eastAsia="仿宋" w:cs="仿宋"/>
          <w:color w:val="auto"/>
          <w:sz w:val="28"/>
          <w:szCs w:val="28"/>
          <w:highlight w:val="none"/>
        </w:rPr>
      </w:pPr>
    </w:p>
    <w:p w14:paraId="00400B5B">
      <w:pPr>
        <w:widowControl/>
        <w:snapToGrid w:val="0"/>
        <w:spacing w:line="400" w:lineRule="exact"/>
        <w:ind w:firstLine="560" w:firstLineChars="200"/>
        <w:jc w:val="lef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签署时间（年月）：</w:t>
      </w:r>
      <w:r>
        <w:rPr>
          <w:rFonts w:hint="eastAsia" w:ascii="仿宋" w:hAnsi="仿宋" w:eastAsia="仿宋" w:cs="仿宋"/>
          <w:color w:val="auto"/>
          <w:kern w:val="0"/>
          <w:sz w:val="28"/>
          <w:szCs w:val="28"/>
          <w:highlight w:val="none"/>
          <w:u w:val="single"/>
        </w:rPr>
        <w:t xml:space="preserve">         年        月  </w:t>
      </w:r>
    </w:p>
    <w:p w14:paraId="18D2B101">
      <w:pPr>
        <w:rPr>
          <w:rFonts w:hint="eastAsia" w:ascii="仿宋" w:hAnsi="仿宋" w:eastAsia="仿宋" w:cs="仿宋"/>
          <w:color w:val="auto"/>
          <w:sz w:val="28"/>
          <w:szCs w:val="28"/>
          <w:highlight w:val="none"/>
        </w:rPr>
      </w:pPr>
    </w:p>
    <w:p w14:paraId="189E056F">
      <w:pPr>
        <w:widowControl/>
        <w:snapToGrid w:val="0"/>
        <w:spacing w:line="400" w:lineRule="exact"/>
        <w:ind w:firstLine="560" w:firstLineChars="200"/>
        <w:jc w:val="left"/>
        <w:rPr>
          <w:rFonts w:hint="eastAsia" w:ascii="仿宋" w:hAnsi="仿宋" w:eastAsia="仿宋" w:cs="仿宋"/>
          <w:color w:val="auto"/>
          <w:kern w:val="0"/>
          <w:sz w:val="28"/>
          <w:szCs w:val="28"/>
          <w:highlight w:val="none"/>
          <w:u w:val="single"/>
        </w:rPr>
        <w:sectPr>
          <w:headerReference r:id="rId10" w:type="default"/>
          <w:footerReference r:id="rId11" w:type="default"/>
          <w:pgSz w:w="12240" w:h="15840"/>
          <w:pgMar w:top="1440" w:right="1080" w:bottom="1440" w:left="1080" w:header="720" w:footer="720" w:gutter="0"/>
          <w:pgNumType w:fmt="decimal"/>
          <w:cols w:space="720" w:num="1"/>
        </w:sectPr>
      </w:pPr>
      <w:r>
        <w:rPr>
          <w:rFonts w:hint="eastAsia" w:ascii="仿宋" w:hAnsi="仿宋" w:eastAsia="仿宋" w:cs="仿宋"/>
          <w:color w:val="auto"/>
          <w:kern w:val="0"/>
          <w:sz w:val="28"/>
          <w:szCs w:val="28"/>
          <w:highlight w:val="none"/>
        </w:rPr>
        <w:t>签 署 地  点：</w:t>
      </w:r>
      <w:r>
        <w:rPr>
          <w:rFonts w:hint="eastAsia" w:ascii="仿宋" w:hAnsi="仿宋" w:eastAsia="仿宋" w:cs="仿宋"/>
          <w:color w:val="auto"/>
          <w:kern w:val="0"/>
          <w:sz w:val="28"/>
          <w:szCs w:val="28"/>
          <w:highlight w:val="none"/>
          <w:u w:val="single"/>
        </w:rPr>
        <w:t xml:space="preserve">       温州市鹿城区        </w:t>
      </w:r>
    </w:p>
    <w:p w14:paraId="1FF3DD53">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一、</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总则</w:t>
      </w:r>
    </w:p>
    <w:p w14:paraId="709AE5CF">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二、</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甲方责任</w:t>
      </w:r>
    </w:p>
    <w:p w14:paraId="1A0FC4A7">
      <w:pPr>
        <w:widowControl/>
        <w:tabs>
          <w:tab w:val="left" w:pos="720"/>
        </w:tabs>
        <w:snapToGrid w:val="0"/>
        <w:spacing w:line="400" w:lineRule="exact"/>
        <w:ind w:left="720" w:firstLine="482" w:firstLineChars="200"/>
        <w:jc w:val="left"/>
        <w:rPr>
          <w:rFonts w:hint="eastAsia" w:ascii="仿宋" w:hAnsi="仿宋" w:eastAsia="仿宋" w:cs="宋体"/>
          <w:b/>
          <w:bCs/>
          <w:color w:val="auto"/>
          <w:kern w:val="0"/>
          <w:sz w:val="24"/>
          <w:highlight w:val="none"/>
        </w:rPr>
      </w:pPr>
      <w:r>
        <w:rPr>
          <w:rFonts w:ascii="仿宋" w:hAnsi="仿宋" w:eastAsia="仿宋"/>
          <w:b/>
          <w:bCs/>
          <w:color w:val="auto"/>
          <w:kern w:val="0"/>
          <w:sz w:val="24"/>
          <w:highlight w:val="none"/>
        </w:rPr>
        <w:t>三、</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乙方责任</w:t>
      </w:r>
    </w:p>
    <w:p w14:paraId="126499A4">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四、</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项目进度</w:t>
      </w:r>
    </w:p>
    <w:p w14:paraId="572741D7">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五、</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项目上线、试运行和验收</w:t>
      </w:r>
    </w:p>
    <w:p w14:paraId="6A0B9C82">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六、</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质保期与售后服务</w:t>
      </w:r>
    </w:p>
    <w:p w14:paraId="21F33EB8">
      <w:pPr>
        <w:widowControl/>
        <w:tabs>
          <w:tab w:val="left" w:pos="720"/>
        </w:tabs>
        <w:snapToGrid w:val="0"/>
        <w:spacing w:line="400" w:lineRule="exact"/>
        <w:ind w:left="720" w:firstLine="482" w:firstLineChars="200"/>
        <w:jc w:val="left"/>
        <w:rPr>
          <w:rFonts w:hint="eastAsia" w:ascii="仿宋" w:hAnsi="仿宋" w:eastAsia="仿宋" w:cs="宋体"/>
          <w:b/>
          <w:bCs/>
          <w:color w:val="auto"/>
          <w:kern w:val="0"/>
          <w:sz w:val="24"/>
          <w:highlight w:val="none"/>
        </w:rPr>
      </w:pPr>
      <w:r>
        <w:rPr>
          <w:rFonts w:ascii="仿宋" w:hAnsi="仿宋" w:eastAsia="仿宋"/>
          <w:b/>
          <w:bCs/>
          <w:color w:val="auto"/>
          <w:kern w:val="0"/>
          <w:sz w:val="24"/>
          <w:highlight w:val="none"/>
        </w:rPr>
        <w:t>七、</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项目合同金额</w:t>
      </w:r>
    </w:p>
    <w:p w14:paraId="7202EF11">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八、</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项目合同支付条款</w:t>
      </w:r>
    </w:p>
    <w:p w14:paraId="180DB9BB">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九、</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项目合同修改</w:t>
      </w:r>
    </w:p>
    <w:p w14:paraId="7729D5FA">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ascii="Calibri" w:hAnsi="Calibri" w:eastAsia="仿宋" w:cs="Calibri"/>
          <w:b/>
          <w:bCs/>
          <w:color w:val="auto"/>
          <w:kern w:val="0"/>
          <w:sz w:val="24"/>
          <w:highlight w:val="none"/>
        </w:rPr>
        <w:t>  </w:t>
      </w:r>
      <w:r>
        <w:rPr>
          <w:rFonts w:hint="eastAsia" w:ascii="仿宋" w:hAnsi="仿宋" w:eastAsia="仿宋"/>
          <w:b/>
          <w:bCs/>
          <w:color w:val="auto"/>
          <w:kern w:val="0"/>
          <w:sz w:val="24"/>
          <w:highlight w:val="none"/>
        </w:rPr>
        <w:t xml:space="preserve"> </w:t>
      </w:r>
      <w:r>
        <w:rPr>
          <w:rFonts w:hint="eastAsia" w:ascii="仿宋" w:hAnsi="仿宋" w:eastAsia="仿宋" w:cs="宋体"/>
          <w:b/>
          <w:bCs/>
          <w:color w:val="auto"/>
          <w:kern w:val="0"/>
          <w:sz w:val="24"/>
          <w:highlight w:val="none"/>
        </w:rPr>
        <w:t>违约责任</w:t>
      </w:r>
    </w:p>
    <w:p w14:paraId="31B3F01A">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十一、</w:t>
      </w:r>
      <w:r>
        <w:rPr>
          <w:rFonts w:hint="eastAsia" w:ascii="仿宋" w:hAnsi="仿宋" w:eastAsia="仿宋" w:cs="宋体"/>
          <w:b/>
          <w:bCs/>
          <w:color w:val="auto"/>
          <w:kern w:val="0"/>
          <w:sz w:val="24"/>
          <w:highlight w:val="none"/>
        </w:rPr>
        <w:t>项目合同终止</w:t>
      </w:r>
    </w:p>
    <w:p w14:paraId="21BE6173">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十二、</w:t>
      </w:r>
      <w:r>
        <w:rPr>
          <w:rFonts w:hint="eastAsia" w:ascii="仿宋" w:hAnsi="仿宋" w:eastAsia="仿宋" w:cs="宋体"/>
          <w:b/>
          <w:bCs/>
          <w:color w:val="auto"/>
          <w:kern w:val="0"/>
          <w:sz w:val="24"/>
          <w:highlight w:val="none"/>
        </w:rPr>
        <w:t>不可抗力</w:t>
      </w:r>
    </w:p>
    <w:p w14:paraId="3633B468">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十三、</w:t>
      </w:r>
      <w:r>
        <w:rPr>
          <w:rFonts w:hint="eastAsia" w:ascii="仿宋" w:hAnsi="仿宋" w:eastAsia="仿宋" w:cs="宋体"/>
          <w:b/>
          <w:bCs/>
          <w:color w:val="auto"/>
          <w:kern w:val="0"/>
          <w:sz w:val="24"/>
          <w:highlight w:val="none"/>
        </w:rPr>
        <w:t>项目保密</w:t>
      </w:r>
    </w:p>
    <w:p w14:paraId="37342683">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四</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争议解决方式</w:t>
      </w:r>
    </w:p>
    <w:p w14:paraId="1B1F7C0D">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五</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项目合同附件清单</w:t>
      </w:r>
    </w:p>
    <w:p w14:paraId="33F16C25">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六</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项目合同生效及其它</w:t>
      </w:r>
    </w:p>
    <w:p w14:paraId="01D2C532">
      <w:pPr>
        <w:widowControl/>
        <w:tabs>
          <w:tab w:val="left" w:pos="720"/>
        </w:tabs>
        <w:snapToGrid w:val="0"/>
        <w:spacing w:line="400" w:lineRule="exact"/>
        <w:ind w:left="720" w:firstLine="482" w:firstLineChars="200"/>
        <w:jc w:val="left"/>
        <w:rPr>
          <w:rFonts w:ascii="仿宋" w:hAnsi="仿宋" w:eastAsia="仿宋" w:cs="宋体"/>
          <w:b/>
          <w:bCs/>
          <w:color w:val="auto"/>
          <w:kern w:val="0"/>
          <w:sz w:val="24"/>
          <w:highlight w:val="none"/>
        </w:rPr>
      </w:pPr>
      <w:r>
        <w:rPr>
          <w:rFonts w:ascii="仿宋" w:hAnsi="仿宋" w:eastAsia="仿宋"/>
          <w:b/>
          <w:bCs/>
          <w:color w:val="auto"/>
          <w:kern w:val="0"/>
          <w:sz w:val="24"/>
          <w:highlight w:val="none"/>
        </w:rPr>
        <w:t>十</w:t>
      </w:r>
      <w:r>
        <w:rPr>
          <w:rFonts w:hint="eastAsia" w:ascii="仿宋" w:hAnsi="仿宋" w:eastAsia="仿宋"/>
          <w:b/>
          <w:bCs/>
          <w:color w:val="auto"/>
          <w:kern w:val="0"/>
          <w:sz w:val="24"/>
          <w:highlight w:val="none"/>
        </w:rPr>
        <w:t>七</w:t>
      </w:r>
      <w:r>
        <w:rPr>
          <w:rFonts w:ascii="仿宋" w:hAnsi="仿宋" w:eastAsia="仿宋"/>
          <w:b/>
          <w:bCs/>
          <w:color w:val="auto"/>
          <w:kern w:val="0"/>
          <w:sz w:val="24"/>
          <w:highlight w:val="none"/>
        </w:rPr>
        <w:t>、</w:t>
      </w:r>
      <w:r>
        <w:rPr>
          <w:rFonts w:hint="eastAsia" w:ascii="仿宋" w:hAnsi="仿宋" w:eastAsia="仿宋" w:cs="宋体"/>
          <w:b/>
          <w:bCs/>
          <w:color w:val="auto"/>
          <w:kern w:val="0"/>
          <w:sz w:val="24"/>
          <w:highlight w:val="none"/>
        </w:rPr>
        <w:t>项目合同签字及签章</w:t>
      </w:r>
    </w:p>
    <w:p w14:paraId="299B18ED">
      <w:pPr>
        <w:widowControl/>
        <w:snapToGrid w:val="0"/>
        <w:spacing w:line="400" w:lineRule="exact"/>
        <w:ind w:firstLine="480" w:firstLineChars="200"/>
        <w:jc w:val="left"/>
        <w:rPr>
          <w:rFonts w:hint="eastAsia" w:ascii="仿宋" w:hAnsi="仿宋" w:eastAsia="仿宋" w:cs="宋体"/>
          <w:color w:val="auto"/>
          <w:kern w:val="0"/>
          <w:sz w:val="24"/>
          <w:highlight w:val="none"/>
        </w:rPr>
      </w:pPr>
    </w:p>
    <w:p w14:paraId="3E6ED977">
      <w:pPr>
        <w:widowControl/>
        <w:snapToGrid w:val="0"/>
        <w:spacing w:line="400" w:lineRule="exact"/>
        <w:ind w:firstLine="480" w:firstLineChars="200"/>
        <w:jc w:val="left"/>
        <w:rPr>
          <w:rFonts w:hint="eastAsia" w:ascii="仿宋" w:hAnsi="仿宋" w:eastAsia="仿宋" w:cs="宋体"/>
          <w:color w:val="auto"/>
          <w:kern w:val="0"/>
          <w:sz w:val="24"/>
          <w:highlight w:val="none"/>
        </w:rPr>
      </w:pPr>
    </w:p>
    <w:p w14:paraId="06AB799A">
      <w:pPr>
        <w:widowControl/>
        <w:snapToGrid w:val="0"/>
        <w:spacing w:line="400" w:lineRule="exact"/>
        <w:ind w:firstLine="480" w:firstLineChars="200"/>
        <w:jc w:val="left"/>
        <w:rPr>
          <w:rFonts w:hint="eastAsia" w:ascii="仿宋" w:hAnsi="仿宋" w:eastAsia="仿宋" w:cs="宋体"/>
          <w:color w:val="auto"/>
          <w:kern w:val="0"/>
          <w:sz w:val="24"/>
          <w:highlight w:val="none"/>
        </w:rPr>
      </w:pPr>
    </w:p>
    <w:p w14:paraId="463707C5">
      <w:pPr>
        <w:widowControl/>
        <w:tabs>
          <w:tab w:val="left" w:pos="495"/>
        </w:tabs>
        <w:snapToGrid w:val="0"/>
        <w:spacing w:line="400" w:lineRule="exact"/>
        <w:ind w:left="495" w:firstLine="480" w:firstLineChars="200"/>
        <w:jc w:val="left"/>
        <w:rPr>
          <w:rFonts w:hint="eastAsia" w:ascii="仿宋" w:hAnsi="仿宋" w:eastAsia="仿宋" w:cs="黑体"/>
          <w:color w:val="auto"/>
          <w:kern w:val="0"/>
          <w:sz w:val="24"/>
          <w:highlight w:val="none"/>
        </w:rPr>
        <w:sectPr>
          <w:footerReference r:id="rId12" w:type="default"/>
          <w:pgSz w:w="12240" w:h="15840"/>
          <w:pgMar w:top="1440" w:right="1080" w:bottom="1440" w:left="1080" w:header="720" w:footer="720" w:gutter="0"/>
          <w:pgNumType w:fmt="decimal"/>
          <w:cols w:space="720" w:num="1"/>
        </w:sectPr>
      </w:pPr>
    </w:p>
    <w:p w14:paraId="607F9AED">
      <w:pPr>
        <w:widowControl/>
        <w:tabs>
          <w:tab w:val="left" w:pos="495"/>
        </w:tabs>
        <w:snapToGrid w:val="0"/>
        <w:spacing w:line="400" w:lineRule="exact"/>
        <w:ind w:left="-2" w:leftChars="-1" w:firstLine="424" w:firstLineChars="177"/>
        <w:jc w:val="left"/>
        <w:rPr>
          <w:rFonts w:ascii="仿宋" w:hAnsi="仿宋" w:eastAsia="仿宋" w:cs="宋体"/>
          <w:color w:val="auto"/>
          <w:kern w:val="0"/>
          <w:sz w:val="24"/>
          <w:highlight w:val="none"/>
        </w:rPr>
      </w:pPr>
      <w:r>
        <w:rPr>
          <w:rFonts w:hint="eastAsia" w:ascii="仿宋" w:hAnsi="仿宋" w:eastAsia="仿宋" w:cs="黑体"/>
          <w:color w:val="auto"/>
          <w:kern w:val="0"/>
          <w:sz w:val="24"/>
          <w:highlight w:val="none"/>
        </w:rPr>
        <w:t>一、</w:t>
      </w:r>
      <w:r>
        <w:rPr>
          <w:rFonts w:hint="eastAsia" w:ascii="仿宋" w:hAnsi="仿宋" w:eastAsia="仿宋" w:cs="宋体"/>
          <w:color w:val="auto"/>
          <w:kern w:val="0"/>
          <w:sz w:val="24"/>
          <w:highlight w:val="none"/>
        </w:rPr>
        <w:t>总则</w:t>
      </w:r>
    </w:p>
    <w:p w14:paraId="1E4524D7">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（一）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年</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月</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日在温州市公安局的</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（招标采购或自行采购）中，甲方接受乙方对本次</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项目的投标，甲、乙双方根据《中华人民共和国民法典》、《中华人民共和国政府采购法》等法律法规和本合同的招标文件、投标文件及其投标中的承诺，经双方协商，同意按下述条款和条件签订本合同，共同遵守；</w:t>
      </w:r>
    </w:p>
    <w:p w14:paraId="6A27EBDB">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（二）项目建设目标：（根据招标文件、投标文件内容填写）；</w:t>
      </w:r>
    </w:p>
    <w:p w14:paraId="403E630F">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（三）项目建设内容：（根据招标文件、投标文件内容填写）。</w:t>
      </w:r>
    </w:p>
    <w:p w14:paraId="0ED4647C">
      <w:pPr>
        <w:widowControl/>
        <w:tabs>
          <w:tab w:val="left" w:pos="495"/>
        </w:tabs>
        <w:snapToGrid w:val="0"/>
        <w:spacing w:line="400" w:lineRule="exact"/>
        <w:ind w:left="-2" w:leftChars="-1" w:firstLine="424" w:firstLineChars="177"/>
        <w:jc w:val="left"/>
        <w:rPr>
          <w:rFonts w:ascii="仿宋" w:hAnsi="仿宋" w:eastAsia="仿宋" w:cs="宋体"/>
          <w:color w:val="auto"/>
          <w:kern w:val="0"/>
          <w:sz w:val="24"/>
          <w:highlight w:val="none"/>
        </w:rPr>
      </w:pPr>
    </w:p>
    <w:p w14:paraId="0448B131">
      <w:pPr>
        <w:widowControl/>
        <w:tabs>
          <w:tab w:val="left" w:pos="495"/>
        </w:tabs>
        <w:snapToGrid w:val="0"/>
        <w:spacing w:line="400" w:lineRule="exact"/>
        <w:ind w:left="-2" w:leftChars="-1" w:firstLine="424" w:firstLineChars="177"/>
        <w:jc w:val="left"/>
        <w:outlineLvl w:val="1"/>
        <w:rPr>
          <w:rFonts w:ascii="仿宋" w:hAnsi="仿宋" w:eastAsia="仿宋" w:cs="宋体"/>
          <w:color w:val="auto"/>
          <w:kern w:val="0"/>
          <w:sz w:val="24"/>
          <w:highlight w:val="none"/>
        </w:rPr>
      </w:pPr>
      <w:bookmarkStart w:id="501" w:name="_Toc1453"/>
      <w:r>
        <w:rPr>
          <w:rFonts w:hint="eastAsia" w:ascii="仿宋" w:hAnsi="仿宋" w:eastAsia="仿宋" w:cs="宋体"/>
          <w:color w:val="auto"/>
          <w:kern w:val="0"/>
          <w:sz w:val="24"/>
          <w:highlight w:val="none"/>
        </w:rPr>
        <w:t>二、甲方责任</w:t>
      </w:r>
      <w:bookmarkEnd w:id="501"/>
    </w:p>
    <w:p w14:paraId="48A57192">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（一）甲方提出项目建设任务和需求，负责项目的总体组织工作，并保留根据实际工作需求，提出对项目建设方案进行适当修改的权利；</w:t>
      </w:r>
    </w:p>
    <w:p w14:paraId="4DE053DB">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（二）甲方应为调研、安装、测试、调试等乙方工作提供必要的工作环境及协助人员；</w:t>
      </w:r>
    </w:p>
    <w:p w14:paraId="693B032C">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（三）甲方负责组织由乙方提供的技术培训工作；</w:t>
      </w:r>
    </w:p>
    <w:p w14:paraId="536D8C6E">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（四）甲方负责协调使用方和乙方的关系，并提供使用方的联系方式；</w:t>
      </w:r>
    </w:p>
    <w:p w14:paraId="6C0675D6">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（五）甲方对乙方向甲方提供的内部资料予以保密，且不向任何第三方泄露乙方的商业机密和技术机密。</w:t>
      </w:r>
    </w:p>
    <w:p w14:paraId="6A6C565E">
      <w:pPr>
        <w:widowControl/>
        <w:snapToGrid w:val="0"/>
        <w:spacing w:before="156" w:line="400" w:lineRule="exact"/>
        <w:ind w:firstLine="422" w:firstLineChars="176"/>
        <w:jc w:val="left"/>
        <w:outlineLvl w:val="1"/>
        <w:rPr>
          <w:rFonts w:hint="eastAsia" w:ascii="仿宋" w:hAnsi="仿宋" w:eastAsia="仿宋" w:cs="宋体"/>
          <w:color w:val="auto"/>
          <w:kern w:val="0"/>
          <w:sz w:val="24"/>
          <w:highlight w:val="none"/>
        </w:rPr>
      </w:pPr>
      <w:bookmarkStart w:id="502" w:name="_Toc23821"/>
      <w:r>
        <w:rPr>
          <w:rFonts w:hint="eastAsia" w:ascii="仿宋" w:hAnsi="仿宋" w:eastAsia="仿宋" w:cs="黑体"/>
          <w:color w:val="auto"/>
          <w:kern w:val="0"/>
          <w:sz w:val="24"/>
          <w:highlight w:val="none"/>
        </w:rPr>
        <w:t>三、</w:t>
      </w:r>
      <w:r>
        <w:rPr>
          <w:rFonts w:hint="eastAsia" w:ascii="仿宋" w:hAnsi="仿宋" w:eastAsia="仿宋" w:cs="宋体"/>
          <w:color w:val="auto"/>
          <w:kern w:val="0"/>
          <w:sz w:val="24"/>
          <w:highlight w:val="none"/>
        </w:rPr>
        <w:t>乙方责任</w:t>
      </w:r>
      <w:bookmarkEnd w:id="502"/>
    </w:p>
    <w:p w14:paraId="4BAB25EE">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（一）乙方应根据项目招标文件的要求细化项目建设需求，并根据投标文件进行项目建设，负责项目的具体实施工作。项目建设需符合国产化要求；</w:t>
      </w:r>
    </w:p>
    <w:p w14:paraId="6B98E1B8">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（二）乙方根据招标文件的基本技术要求与甲方共同确定项目所需的系统软件、硬件的数量及规格要求进行项目建设；</w:t>
      </w:r>
    </w:p>
    <w:p w14:paraId="0217EDEE">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（三）乙方保证按合同规定时间完工，并在工程结束时提交完整的相应技术文档及用户手册，并积极配合甲方对工程项目进行验收；</w:t>
      </w:r>
    </w:p>
    <w:p w14:paraId="5D13E9B5">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（四）乙方向甲方提供</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年的</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（原厂商或者非原厂商）免费维护和保修服务（详见附件《技术支持和售后服务方案》）（其中硬件不少于5年，软件及系统不少于3年），免费维护和保修服务从项目验收合格之日的次日起起计算；</w:t>
      </w:r>
    </w:p>
    <w:p w14:paraId="355DAAE6">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（五）乙方为甲方提供本项目中的所有设备系统使用、管理及维护等方面的</w:t>
      </w:r>
      <w:r>
        <w:rPr>
          <w:rFonts w:hint="eastAsia" w:ascii="仿宋" w:hAnsi="仿宋" w:eastAsia="仿宋" w:cs="仿宋_GB2312"/>
          <w:color w:val="auto"/>
          <w:kern w:val="0"/>
          <w:sz w:val="24"/>
          <w:highlight w:val="none"/>
          <w:u w:val="single"/>
        </w:rPr>
        <w:t>免费</w:t>
      </w:r>
      <w:r>
        <w:rPr>
          <w:rFonts w:hint="eastAsia" w:ascii="仿宋" w:hAnsi="仿宋" w:eastAsia="仿宋" w:cs="仿宋_GB2312"/>
          <w:color w:val="auto"/>
          <w:kern w:val="0"/>
          <w:sz w:val="24"/>
          <w:highlight w:val="none"/>
        </w:rPr>
        <w:t>培训（详见附件《技术支持和售后服务方案》及乙方投标文件））；</w:t>
      </w:r>
    </w:p>
    <w:p w14:paraId="1022961E">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乙方自行负责为其工作人员配备符合工作、劳动条件的设备、装置、器具、保障其饮食起居等问题，在任何情况下乙方对其工作人员的人身安全、施工安全等负全部责任，甲方对此概不负责。如因情况紧急等原因甲方先行承担的，有权向乙方追偿；</w:t>
      </w:r>
    </w:p>
    <w:p w14:paraId="2B1CCF97">
      <w:pPr>
        <w:widowControl/>
        <w:snapToGrid w:val="0"/>
        <w:spacing w:line="400" w:lineRule="exact"/>
        <w:ind w:firstLine="424" w:firstLineChars="177"/>
        <w:jc w:val="left"/>
        <w:rPr>
          <w:rFonts w:hint="eastAsia" w:ascii="仿宋" w:hAnsi="仿宋" w:eastAsia="仿宋" w:cs="仿宋_GB2312"/>
          <w:color w:val="auto"/>
          <w:kern w:val="0"/>
          <w:sz w:val="24"/>
          <w:highlight w:val="none"/>
        </w:rPr>
        <w:sectPr>
          <w:footerReference r:id="rId13" w:type="default"/>
          <w:pgSz w:w="12240" w:h="15840"/>
          <w:pgMar w:top="1440" w:right="1080" w:bottom="1440" w:left="1080" w:header="720" w:footer="720" w:gutter="0"/>
          <w:pgNumType w:fmt="decimal"/>
          <w:cols w:space="720" w:num="1"/>
        </w:sectPr>
      </w:pPr>
    </w:p>
    <w:p w14:paraId="78C4EE67">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七）乙方应满足上述产品质量标准，并保证该软件硬件的运行不影响甲方内部网络信息安全性和保密性，因乙方没有履行上述义务造成甲方被第三方追责或损失的，乙方应承担全部责任，甲方先行赔偿的，有权按赔偿金额及损失向乙方追偿；</w:t>
      </w:r>
    </w:p>
    <w:p w14:paraId="39E8604D">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（八）本合同第十三条约定的项目保密责任；</w:t>
      </w:r>
    </w:p>
    <w:p w14:paraId="216E8E26">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（九）本项目中定制开发的软件知识产权及使用权归甲方所有。</w:t>
      </w:r>
    </w:p>
    <w:p w14:paraId="61CFE701">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6E4C6E2B">
      <w:pPr>
        <w:widowControl/>
        <w:tabs>
          <w:tab w:val="left" w:pos="495"/>
        </w:tabs>
        <w:snapToGrid w:val="0"/>
        <w:spacing w:line="400" w:lineRule="exact"/>
        <w:ind w:firstLine="422" w:firstLineChars="176"/>
        <w:jc w:val="left"/>
        <w:outlineLvl w:val="1"/>
        <w:rPr>
          <w:rFonts w:hint="eastAsia" w:ascii="仿宋" w:hAnsi="仿宋" w:eastAsia="仿宋" w:cs="宋体"/>
          <w:color w:val="auto"/>
          <w:kern w:val="0"/>
          <w:sz w:val="24"/>
          <w:highlight w:val="none"/>
        </w:rPr>
      </w:pPr>
      <w:bookmarkStart w:id="503" w:name="_Toc8096"/>
      <w:r>
        <w:rPr>
          <w:rFonts w:hint="eastAsia" w:ascii="仿宋" w:hAnsi="仿宋" w:eastAsia="仿宋" w:cs="宋体"/>
          <w:color w:val="auto"/>
          <w:kern w:val="0"/>
          <w:sz w:val="24"/>
          <w:highlight w:val="none"/>
        </w:rPr>
        <w:t>四、项目工期与进度表（请填写招标文件要求的合同工期与进度计划）</w:t>
      </w:r>
      <w:bookmarkEnd w:id="503"/>
    </w:p>
    <w:p w14:paraId="3BD10A79">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本项目总工期为</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天（包括不少于3个月试运行），工期以合同签订日起计算，项目验收合格日截止。参考项目进度表如下：</w:t>
      </w:r>
    </w:p>
    <w:p w14:paraId="392812D4">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14:paraId="120833D9">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14:paraId="70E74D3B">
      <w:pPr>
        <w:widowControl/>
        <w:tabs>
          <w:tab w:val="left" w:pos="495"/>
        </w:tabs>
        <w:snapToGrid w:val="0"/>
        <w:spacing w:line="400" w:lineRule="exact"/>
        <w:ind w:firstLine="480" w:firstLineChars="200"/>
        <w:jc w:val="left"/>
        <w:rPr>
          <w:rFonts w:ascii="仿宋" w:hAnsi="仿宋" w:eastAsia="仿宋" w:cs="仿宋_GB2312"/>
          <w:color w:val="auto"/>
          <w:kern w:val="0"/>
          <w:sz w:val="24"/>
          <w:highlight w:val="none"/>
        </w:rPr>
      </w:pPr>
    </w:p>
    <w:p w14:paraId="3AADFDAE">
      <w:pPr>
        <w:widowControl/>
        <w:snapToGrid w:val="0"/>
        <w:spacing w:line="400" w:lineRule="exact"/>
        <w:ind w:firstLine="422" w:firstLineChars="176"/>
        <w:jc w:val="left"/>
        <w:outlineLvl w:val="1"/>
        <w:rPr>
          <w:rFonts w:ascii="仿宋" w:hAnsi="仿宋" w:eastAsia="仿宋" w:cs="宋体"/>
          <w:color w:val="auto"/>
          <w:kern w:val="0"/>
          <w:sz w:val="24"/>
          <w:highlight w:val="none"/>
        </w:rPr>
      </w:pPr>
      <w:bookmarkStart w:id="504" w:name="_Toc24576"/>
      <w:r>
        <w:rPr>
          <w:rFonts w:hint="eastAsia" w:ascii="仿宋" w:hAnsi="仿宋" w:eastAsia="仿宋" w:cs="宋体"/>
          <w:color w:val="auto"/>
          <w:kern w:val="0"/>
          <w:sz w:val="24"/>
          <w:highlight w:val="none"/>
        </w:rPr>
        <w:t>五、项目上线、试运行和验收</w:t>
      </w:r>
      <w:bookmarkEnd w:id="504"/>
    </w:p>
    <w:p w14:paraId="1A4AB2C0">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乙方应在项目设备安装调试后、系统上线前，进行完整设备及系统测试后，向甲方提供详细的设备及系统上线方案，由甲方确认。在甲方确认无误后，乙方应负责按设备及系统上线方案进行系统的安装调试工作。在安装、调试过程中，乙方应对甲方技术人员所提出的问题给予满意的答复，并提供安装调试过程中的各种文档资料，以便于甲方能掌握操作方法和维修方法。项目上线后，乙方应向甲方提供安装、调试报告，报告中应包括安装调试结果和安装调试过程中出现的问题及解决办法等内容；</w:t>
      </w:r>
    </w:p>
    <w:p w14:paraId="36D4E852">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项目上线、设备及系统的安装调试工作完成后，乙方应向甲方申请项目初验（参照《温州市市本级党政机关信息化项目建设指南（试行）》）。项目通过初验后应进行至少为期3个月的试运行，乙方应派遣技术人员（应明确人数及资质要求）免费在现场进行技术服务，负责设备及系统试运行阶段的服务工作；</w:t>
      </w:r>
    </w:p>
    <w:p w14:paraId="193067C1">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在试运行期间，由于各种原因造成某些技术指标达不到要求，乙方应负责解决，如属于设备质量问题，达不到合同技术指标的，乙方应包换、包退。因包括但不限于调换、退货产生的一切费用由乙方承担，如因此而造成进度延期的，按延期违约责任向甲方支付违约金，给甲方造成损失的，乙方也应全额赔偿，且试运行期相应顺延；</w:t>
      </w:r>
    </w:p>
    <w:p w14:paraId="7ADD218F">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（四）项目试运行结束后，对照附件的项目验收主要指标和标准组织验收；</w:t>
      </w:r>
    </w:p>
    <w:p w14:paraId="6361F21C">
      <w:pPr>
        <w:widowControl/>
        <w:snapToGrid w:val="0"/>
        <w:spacing w:line="46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（五）乙方应在项目验收时将该项目定制开发系统的全部源代码无偿交付甲方。</w:t>
      </w:r>
    </w:p>
    <w:p w14:paraId="1C49A440">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（六）乙方应在工程结束    日内时向甲方提交一式    份完整的相应技术文档及用户手册。</w:t>
      </w:r>
    </w:p>
    <w:p w14:paraId="51E1FC0A">
      <w:pPr>
        <w:widowControl/>
        <w:snapToGrid w:val="0"/>
        <w:spacing w:line="400" w:lineRule="exact"/>
        <w:ind w:firstLine="422" w:firstLineChars="176"/>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（七）</w:t>
      </w:r>
      <w:bookmarkStart w:id="505" w:name="_Hlk106701834"/>
      <w:r>
        <w:rPr>
          <w:rFonts w:hint="eastAsia" w:ascii="仿宋" w:hAnsi="仿宋" w:eastAsia="仿宋" w:cs="仿宋_GB2312"/>
          <w:color w:val="auto"/>
          <w:kern w:val="0"/>
          <w:sz w:val="24"/>
          <w:highlight w:val="none"/>
        </w:rPr>
        <w:t>履约验收费用（包含第三方检测及评审费用）由乙方承担</w:t>
      </w:r>
      <w:bookmarkEnd w:id="505"/>
      <w:r>
        <w:rPr>
          <w:rFonts w:hint="eastAsia" w:ascii="仿宋" w:hAnsi="仿宋" w:eastAsia="仿宋" w:cs="仿宋_GB2312"/>
          <w:color w:val="auto"/>
          <w:kern w:val="0"/>
          <w:sz w:val="24"/>
          <w:highlight w:val="none"/>
        </w:rPr>
        <w:t>，因乙方原因造成验收不通过的，再次验收的费用仍由乙方承担。</w:t>
      </w:r>
    </w:p>
    <w:p w14:paraId="4A71F6D2">
      <w:pPr>
        <w:widowControl/>
        <w:snapToGrid w:val="0"/>
        <w:spacing w:line="400" w:lineRule="exact"/>
        <w:ind w:firstLine="422" w:firstLineChars="176"/>
        <w:jc w:val="left"/>
        <w:rPr>
          <w:color w:val="auto"/>
          <w:highlight w:val="none"/>
        </w:rPr>
      </w:pPr>
      <w:r>
        <w:rPr>
          <w:rFonts w:hint="eastAsia" w:ascii="仿宋" w:hAnsi="仿宋" w:eastAsia="仿宋" w:cs="仿宋"/>
          <w:color w:val="auto"/>
          <w:sz w:val="24"/>
          <w:highlight w:val="none"/>
        </w:rPr>
        <w:t>（八）温州市公安局采购项目在履约验收完毕后需由局相关部门进行“决（结）算前审计”，通过“决（结）算前审计”后，采购项目视为最终通过履约验收；“决（结）算前审计”不通过的，需根据审计意见整改并经审计确认后，再次开展履约验收直至合格，产生的履约验收费用均由</w:t>
      </w:r>
      <w:r>
        <w:rPr>
          <w:rFonts w:hint="eastAsia" w:ascii="仿宋" w:hAnsi="仿宋" w:eastAsia="仿宋" w:cs="仿宋_GB2312"/>
          <w:color w:val="auto"/>
          <w:kern w:val="0"/>
          <w:sz w:val="24"/>
          <w:highlight w:val="none"/>
        </w:rPr>
        <w:t>乙方</w:t>
      </w:r>
      <w:r>
        <w:rPr>
          <w:rFonts w:hint="eastAsia" w:ascii="仿宋" w:hAnsi="仿宋" w:eastAsia="仿宋" w:cs="仿宋"/>
          <w:color w:val="auto"/>
          <w:sz w:val="24"/>
          <w:highlight w:val="none"/>
        </w:rPr>
        <w:t>承担。</w:t>
      </w:r>
    </w:p>
    <w:p w14:paraId="29EC0143">
      <w:pPr>
        <w:widowControl/>
        <w:snapToGrid w:val="0"/>
        <w:spacing w:line="400" w:lineRule="exact"/>
        <w:ind w:firstLine="422" w:firstLineChars="176"/>
        <w:jc w:val="left"/>
        <w:outlineLvl w:val="1"/>
        <w:rPr>
          <w:rFonts w:ascii="仿宋" w:hAnsi="仿宋" w:eastAsia="仿宋" w:cs="仿宋_GB2312"/>
          <w:color w:val="auto"/>
          <w:kern w:val="0"/>
          <w:sz w:val="24"/>
          <w:highlight w:val="none"/>
        </w:rPr>
      </w:pPr>
      <w:bookmarkStart w:id="506" w:name="_Toc8201"/>
      <w:r>
        <w:rPr>
          <w:rFonts w:hint="eastAsia" w:ascii="仿宋" w:hAnsi="仿宋" w:eastAsia="仿宋" w:cs="仿宋_GB2312"/>
          <w:color w:val="auto"/>
          <w:kern w:val="0"/>
          <w:sz w:val="24"/>
          <w:highlight w:val="none"/>
        </w:rPr>
        <w:t>六、维保期与售后服务</w:t>
      </w:r>
      <w:bookmarkEnd w:id="506"/>
    </w:p>
    <w:p w14:paraId="7A8112FE">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（一）本项目的免费维保期参照第三</w:t>
      </w:r>
      <w:r>
        <w:rPr>
          <w:rFonts w:hint="eastAsia" w:ascii="仿宋" w:hAnsi="仿宋" w:eastAsia="仿宋" w:cs="仿宋_GB2312"/>
          <w:color w:val="auto"/>
          <w:kern w:val="0"/>
          <w:sz w:val="24"/>
          <w:highlight w:val="none"/>
          <w:lang w:eastAsia="zh-CN"/>
        </w:rPr>
        <w:t>条第</w:t>
      </w:r>
      <w:r>
        <w:rPr>
          <w:rFonts w:hint="eastAsia" w:ascii="仿宋" w:hAnsi="仿宋" w:eastAsia="仿宋" w:cs="仿宋_GB2312"/>
          <w:color w:val="auto"/>
          <w:kern w:val="0"/>
          <w:sz w:val="24"/>
          <w:highlight w:val="none"/>
        </w:rPr>
        <w:t>(四）</w:t>
      </w:r>
      <w:r>
        <w:rPr>
          <w:rFonts w:hint="eastAsia" w:ascii="仿宋" w:hAnsi="仿宋" w:eastAsia="仿宋" w:cs="仿宋_GB2312"/>
          <w:color w:val="auto"/>
          <w:kern w:val="0"/>
          <w:sz w:val="24"/>
          <w:highlight w:val="none"/>
          <w:lang w:eastAsia="zh-CN"/>
        </w:rPr>
        <w:t>款</w:t>
      </w:r>
      <w:r>
        <w:rPr>
          <w:rFonts w:hint="eastAsia" w:ascii="仿宋" w:hAnsi="仿宋" w:eastAsia="仿宋" w:cs="仿宋_GB2312"/>
          <w:color w:val="auto"/>
          <w:kern w:val="0"/>
          <w:sz w:val="24"/>
          <w:highlight w:val="none"/>
        </w:rPr>
        <w:t>；</w:t>
      </w:r>
    </w:p>
    <w:p w14:paraId="3A22CA40">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（二）乙方应按附件《技术支持和售后服务方案》的内容为甲方提供免费技术培训和售后服务。</w:t>
      </w:r>
    </w:p>
    <w:p w14:paraId="79B64C89">
      <w:pPr>
        <w:widowControl/>
        <w:snapToGrid w:val="0"/>
        <w:spacing w:line="400" w:lineRule="exact"/>
        <w:ind w:firstLine="422" w:firstLineChars="176"/>
        <w:jc w:val="left"/>
        <w:rPr>
          <w:rFonts w:ascii="仿宋" w:hAnsi="仿宋" w:eastAsia="仿宋" w:cs="宋体"/>
          <w:color w:val="auto"/>
          <w:kern w:val="0"/>
          <w:sz w:val="24"/>
          <w:highlight w:val="none"/>
        </w:rPr>
      </w:pPr>
    </w:p>
    <w:p w14:paraId="523C297D">
      <w:pPr>
        <w:widowControl/>
        <w:snapToGrid w:val="0"/>
        <w:spacing w:line="400" w:lineRule="exact"/>
        <w:ind w:firstLine="422" w:firstLineChars="176"/>
        <w:jc w:val="left"/>
        <w:outlineLvl w:val="1"/>
        <w:rPr>
          <w:rFonts w:ascii="仿宋" w:hAnsi="仿宋" w:eastAsia="仿宋" w:cs="宋体"/>
          <w:color w:val="auto"/>
          <w:kern w:val="0"/>
          <w:sz w:val="24"/>
          <w:highlight w:val="none"/>
        </w:rPr>
      </w:pPr>
      <w:bookmarkStart w:id="507" w:name="_Toc20514"/>
      <w:r>
        <w:rPr>
          <w:rFonts w:hint="eastAsia" w:ascii="仿宋" w:hAnsi="仿宋" w:eastAsia="仿宋" w:cs="宋体"/>
          <w:color w:val="auto"/>
          <w:kern w:val="0"/>
          <w:sz w:val="24"/>
          <w:highlight w:val="none"/>
        </w:rPr>
        <w:t>七、项目合同金额</w:t>
      </w:r>
      <w:bookmarkEnd w:id="507"/>
    </w:p>
    <w:p w14:paraId="4B7DFDF9">
      <w:pPr>
        <w:widowControl/>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（一）本合同中提及金额均为含税价；</w:t>
      </w:r>
    </w:p>
    <w:p w14:paraId="18F6ABAD">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（二）合同总金额为：人民币：</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元（大写：</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元整）；</w:t>
      </w:r>
    </w:p>
    <w:p w14:paraId="7F7218B2">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（三）合同详细价格清单。</w:t>
      </w:r>
    </w:p>
    <w:tbl>
      <w:tblPr>
        <w:tblStyle w:val="1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3263"/>
        <w:gridCol w:w="877"/>
        <w:gridCol w:w="1080"/>
        <w:gridCol w:w="1193"/>
        <w:gridCol w:w="1695"/>
      </w:tblGrid>
      <w:tr w14:paraId="5BA0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double" w:color="auto" w:sz="4" w:space="0"/>
              <w:left w:val="double" w:color="auto" w:sz="4" w:space="0"/>
            </w:tcBorders>
            <w:noWrap w:val="0"/>
            <w:vAlign w:val="center"/>
          </w:tcPr>
          <w:p w14:paraId="211357E0">
            <w:pPr>
              <w:widowControl/>
              <w:spacing w:line="400" w:lineRule="exact"/>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设备名称</w:t>
            </w:r>
          </w:p>
        </w:tc>
        <w:tc>
          <w:tcPr>
            <w:tcW w:w="3263" w:type="dxa"/>
            <w:tcBorders>
              <w:top w:val="double" w:color="auto" w:sz="4" w:space="0"/>
            </w:tcBorders>
            <w:noWrap w:val="0"/>
            <w:vAlign w:val="center"/>
          </w:tcPr>
          <w:p w14:paraId="7BBABD41">
            <w:pPr>
              <w:widowControl/>
              <w:spacing w:line="400" w:lineRule="exact"/>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型号规格等说明</w:t>
            </w:r>
          </w:p>
        </w:tc>
        <w:tc>
          <w:tcPr>
            <w:tcW w:w="877" w:type="dxa"/>
            <w:tcBorders>
              <w:top w:val="double" w:color="auto" w:sz="4" w:space="0"/>
            </w:tcBorders>
            <w:noWrap w:val="0"/>
            <w:vAlign w:val="center"/>
          </w:tcPr>
          <w:p w14:paraId="165DA2EE">
            <w:pPr>
              <w:widowControl/>
              <w:spacing w:line="400" w:lineRule="exact"/>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数量</w:t>
            </w:r>
          </w:p>
        </w:tc>
        <w:tc>
          <w:tcPr>
            <w:tcW w:w="1080" w:type="dxa"/>
            <w:tcBorders>
              <w:top w:val="double" w:color="auto" w:sz="4" w:space="0"/>
            </w:tcBorders>
            <w:noWrap w:val="0"/>
            <w:vAlign w:val="center"/>
          </w:tcPr>
          <w:p w14:paraId="1D8930A4">
            <w:pPr>
              <w:widowControl/>
              <w:spacing w:line="400" w:lineRule="exact"/>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单价</w:t>
            </w:r>
          </w:p>
        </w:tc>
        <w:tc>
          <w:tcPr>
            <w:tcW w:w="1193" w:type="dxa"/>
            <w:tcBorders>
              <w:top w:val="double" w:color="auto" w:sz="4" w:space="0"/>
            </w:tcBorders>
            <w:noWrap w:val="0"/>
            <w:vAlign w:val="center"/>
          </w:tcPr>
          <w:p w14:paraId="64AA9712">
            <w:pPr>
              <w:widowControl/>
              <w:spacing w:line="400" w:lineRule="exact"/>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总价</w:t>
            </w:r>
          </w:p>
        </w:tc>
        <w:tc>
          <w:tcPr>
            <w:tcW w:w="1695" w:type="dxa"/>
            <w:tcBorders>
              <w:top w:val="double" w:color="auto" w:sz="4" w:space="0"/>
              <w:right w:val="double" w:color="auto" w:sz="4" w:space="0"/>
            </w:tcBorders>
            <w:noWrap w:val="0"/>
            <w:vAlign w:val="center"/>
          </w:tcPr>
          <w:p w14:paraId="7E579DCE">
            <w:pPr>
              <w:widowControl/>
              <w:spacing w:line="400" w:lineRule="exact"/>
              <w:jc w:val="center"/>
              <w:rPr>
                <w:rFonts w:hint="eastAsia" w:ascii="仿宋" w:hAnsi="仿宋" w:eastAsia="仿宋" w:cs="仿宋_GB2312"/>
                <w:caps/>
                <w:color w:val="auto"/>
                <w:kern w:val="0"/>
                <w:sz w:val="24"/>
                <w:highlight w:val="none"/>
              </w:rPr>
            </w:pPr>
            <w:r>
              <w:rPr>
                <w:rFonts w:hint="eastAsia" w:ascii="仿宋" w:hAnsi="仿宋" w:eastAsia="仿宋" w:cs="仿宋_GB2312"/>
                <w:caps/>
                <w:color w:val="auto"/>
                <w:kern w:val="0"/>
                <w:sz w:val="24"/>
                <w:highlight w:val="none"/>
              </w:rPr>
              <w:t>保修期限</w:t>
            </w:r>
          </w:p>
        </w:tc>
      </w:tr>
      <w:tr w14:paraId="1F2E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14:paraId="425FF1D6">
            <w:pPr>
              <w:spacing w:line="400" w:lineRule="exact"/>
              <w:ind w:firstLine="480" w:firstLineChars="200"/>
              <w:jc w:val="center"/>
              <w:rPr>
                <w:rFonts w:hint="eastAsia" w:ascii="仿宋" w:hAnsi="仿宋" w:eastAsia="仿宋" w:cs="仿宋_GB2312"/>
                <w:color w:val="auto"/>
                <w:sz w:val="24"/>
                <w:highlight w:val="none"/>
              </w:rPr>
            </w:pPr>
          </w:p>
        </w:tc>
        <w:tc>
          <w:tcPr>
            <w:tcW w:w="3263" w:type="dxa"/>
            <w:noWrap w:val="0"/>
            <w:vAlign w:val="center"/>
          </w:tcPr>
          <w:p w14:paraId="72F5F744">
            <w:pPr>
              <w:spacing w:line="400" w:lineRule="exact"/>
              <w:ind w:firstLine="480" w:firstLineChars="200"/>
              <w:jc w:val="center"/>
              <w:rPr>
                <w:rFonts w:hint="eastAsia" w:ascii="仿宋" w:hAnsi="仿宋" w:eastAsia="仿宋" w:cs="仿宋_GB2312"/>
                <w:color w:val="auto"/>
                <w:sz w:val="24"/>
                <w:highlight w:val="none"/>
              </w:rPr>
            </w:pPr>
          </w:p>
        </w:tc>
        <w:tc>
          <w:tcPr>
            <w:tcW w:w="877" w:type="dxa"/>
            <w:noWrap w:val="0"/>
            <w:vAlign w:val="center"/>
          </w:tcPr>
          <w:p w14:paraId="13462E5D">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14:paraId="7931EA19">
            <w:pPr>
              <w:spacing w:line="400" w:lineRule="exact"/>
              <w:ind w:firstLine="480" w:firstLineChars="200"/>
              <w:jc w:val="center"/>
              <w:rPr>
                <w:rFonts w:hint="eastAsia" w:ascii="仿宋" w:hAnsi="仿宋" w:eastAsia="仿宋" w:cs="仿宋_GB2312"/>
                <w:color w:val="auto"/>
                <w:sz w:val="24"/>
                <w:highlight w:val="none"/>
              </w:rPr>
            </w:pPr>
          </w:p>
        </w:tc>
        <w:tc>
          <w:tcPr>
            <w:tcW w:w="1193" w:type="dxa"/>
            <w:noWrap w:val="0"/>
            <w:vAlign w:val="center"/>
          </w:tcPr>
          <w:p w14:paraId="2AD08529">
            <w:pPr>
              <w:spacing w:line="400" w:lineRule="exact"/>
              <w:ind w:firstLine="480" w:firstLineChars="200"/>
              <w:jc w:val="center"/>
              <w:rPr>
                <w:rFonts w:hint="eastAsia" w:ascii="仿宋" w:hAnsi="仿宋" w:eastAsia="仿宋" w:cs="仿宋_GB2312"/>
                <w:color w:val="auto"/>
                <w:sz w:val="24"/>
                <w:highlight w:val="none"/>
              </w:rPr>
            </w:pPr>
          </w:p>
        </w:tc>
        <w:tc>
          <w:tcPr>
            <w:tcW w:w="1695" w:type="dxa"/>
            <w:tcBorders>
              <w:right w:val="double" w:color="auto" w:sz="4" w:space="0"/>
            </w:tcBorders>
            <w:noWrap w:val="0"/>
            <w:vAlign w:val="center"/>
          </w:tcPr>
          <w:p w14:paraId="691BFA0C">
            <w:pPr>
              <w:pStyle w:val="8"/>
              <w:tabs>
                <w:tab w:val="left" w:pos="8540"/>
              </w:tabs>
              <w:spacing w:line="400" w:lineRule="exact"/>
              <w:ind w:firstLine="480" w:firstLineChars="200"/>
              <w:jc w:val="center"/>
              <w:rPr>
                <w:rFonts w:hint="eastAsia" w:ascii="仿宋" w:hAnsi="仿宋" w:eastAsia="仿宋" w:cs="仿宋_GB2312"/>
                <w:color w:val="auto"/>
                <w:sz w:val="24"/>
                <w:szCs w:val="24"/>
                <w:highlight w:val="none"/>
              </w:rPr>
            </w:pPr>
          </w:p>
        </w:tc>
      </w:tr>
      <w:tr w14:paraId="1B83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14:paraId="5A66E485">
            <w:pPr>
              <w:spacing w:line="400" w:lineRule="exact"/>
              <w:ind w:firstLine="480" w:firstLineChars="200"/>
              <w:jc w:val="center"/>
              <w:rPr>
                <w:rFonts w:hint="eastAsia" w:ascii="仿宋" w:hAnsi="仿宋" w:eastAsia="仿宋" w:cs="仿宋_GB2312"/>
                <w:color w:val="auto"/>
                <w:sz w:val="24"/>
                <w:highlight w:val="none"/>
              </w:rPr>
            </w:pPr>
          </w:p>
        </w:tc>
        <w:tc>
          <w:tcPr>
            <w:tcW w:w="3263" w:type="dxa"/>
            <w:noWrap w:val="0"/>
            <w:vAlign w:val="center"/>
          </w:tcPr>
          <w:p w14:paraId="16C74A76">
            <w:pPr>
              <w:spacing w:line="400" w:lineRule="exact"/>
              <w:ind w:firstLine="480" w:firstLineChars="200"/>
              <w:jc w:val="center"/>
              <w:rPr>
                <w:rFonts w:hint="eastAsia" w:ascii="仿宋" w:hAnsi="仿宋" w:eastAsia="仿宋" w:cs="仿宋_GB2312"/>
                <w:color w:val="auto"/>
                <w:sz w:val="24"/>
                <w:highlight w:val="none"/>
              </w:rPr>
            </w:pPr>
          </w:p>
        </w:tc>
        <w:tc>
          <w:tcPr>
            <w:tcW w:w="877" w:type="dxa"/>
            <w:noWrap w:val="0"/>
            <w:vAlign w:val="center"/>
          </w:tcPr>
          <w:p w14:paraId="2ACD9EC5">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14:paraId="79E64CD4">
            <w:pPr>
              <w:spacing w:line="400" w:lineRule="exact"/>
              <w:ind w:firstLine="480" w:firstLineChars="200"/>
              <w:jc w:val="center"/>
              <w:rPr>
                <w:rFonts w:hint="eastAsia" w:ascii="仿宋" w:hAnsi="仿宋" w:eastAsia="仿宋" w:cs="仿宋_GB2312"/>
                <w:color w:val="auto"/>
                <w:sz w:val="24"/>
                <w:highlight w:val="none"/>
              </w:rPr>
            </w:pPr>
          </w:p>
        </w:tc>
        <w:tc>
          <w:tcPr>
            <w:tcW w:w="1193" w:type="dxa"/>
            <w:noWrap w:val="0"/>
            <w:vAlign w:val="center"/>
          </w:tcPr>
          <w:p w14:paraId="68C4EBB2">
            <w:pPr>
              <w:spacing w:line="400" w:lineRule="exact"/>
              <w:ind w:firstLine="480" w:firstLineChars="200"/>
              <w:jc w:val="center"/>
              <w:rPr>
                <w:rFonts w:hint="eastAsia" w:ascii="仿宋" w:hAnsi="仿宋" w:eastAsia="仿宋" w:cs="仿宋_GB2312"/>
                <w:color w:val="auto"/>
                <w:sz w:val="24"/>
                <w:highlight w:val="none"/>
              </w:rPr>
            </w:pPr>
          </w:p>
        </w:tc>
        <w:tc>
          <w:tcPr>
            <w:tcW w:w="1695" w:type="dxa"/>
            <w:tcBorders>
              <w:right w:val="double" w:color="auto" w:sz="4" w:space="0"/>
            </w:tcBorders>
            <w:noWrap w:val="0"/>
            <w:vAlign w:val="center"/>
          </w:tcPr>
          <w:p w14:paraId="1EB73247">
            <w:pPr>
              <w:pStyle w:val="8"/>
              <w:tabs>
                <w:tab w:val="left" w:pos="8540"/>
              </w:tabs>
              <w:spacing w:line="400" w:lineRule="exact"/>
              <w:ind w:firstLine="480" w:firstLineChars="200"/>
              <w:jc w:val="center"/>
              <w:rPr>
                <w:rFonts w:hint="eastAsia" w:ascii="仿宋" w:hAnsi="仿宋" w:eastAsia="仿宋" w:cs="仿宋_GB2312"/>
                <w:color w:val="auto"/>
                <w:sz w:val="24"/>
                <w:szCs w:val="24"/>
                <w:highlight w:val="none"/>
              </w:rPr>
            </w:pPr>
          </w:p>
        </w:tc>
      </w:tr>
      <w:tr w14:paraId="46AD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14:paraId="0B83231B">
            <w:pPr>
              <w:spacing w:line="400" w:lineRule="exact"/>
              <w:ind w:firstLine="480" w:firstLineChars="200"/>
              <w:jc w:val="center"/>
              <w:rPr>
                <w:rFonts w:hint="eastAsia" w:ascii="仿宋" w:hAnsi="仿宋" w:eastAsia="仿宋" w:cs="仿宋_GB2312"/>
                <w:color w:val="auto"/>
                <w:sz w:val="24"/>
                <w:highlight w:val="none"/>
              </w:rPr>
            </w:pPr>
          </w:p>
        </w:tc>
        <w:tc>
          <w:tcPr>
            <w:tcW w:w="3263" w:type="dxa"/>
            <w:noWrap w:val="0"/>
            <w:vAlign w:val="center"/>
          </w:tcPr>
          <w:p w14:paraId="5EC9713F">
            <w:pPr>
              <w:spacing w:line="400" w:lineRule="exact"/>
              <w:ind w:firstLine="480" w:firstLineChars="200"/>
              <w:jc w:val="center"/>
              <w:rPr>
                <w:rFonts w:hint="eastAsia" w:ascii="仿宋" w:hAnsi="仿宋" w:eastAsia="仿宋" w:cs="仿宋_GB2312"/>
                <w:color w:val="auto"/>
                <w:sz w:val="24"/>
                <w:highlight w:val="none"/>
              </w:rPr>
            </w:pPr>
          </w:p>
        </w:tc>
        <w:tc>
          <w:tcPr>
            <w:tcW w:w="877" w:type="dxa"/>
            <w:noWrap w:val="0"/>
            <w:vAlign w:val="center"/>
          </w:tcPr>
          <w:p w14:paraId="16846996">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14:paraId="6C4C3797">
            <w:pPr>
              <w:spacing w:line="400" w:lineRule="exact"/>
              <w:ind w:firstLine="480" w:firstLineChars="200"/>
              <w:jc w:val="center"/>
              <w:rPr>
                <w:rFonts w:hint="eastAsia" w:ascii="仿宋" w:hAnsi="仿宋" w:eastAsia="仿宋" w:cs="仿宋_GB2312"/>
                <w:color w:val="auto"/>
                <w:sz w:val="24"/>
                <w:highlight w:val="none"/>
              </w:rPr>
            </w:pPr>
          </w:p>
        </w:tc>
        <w:tc>
          <w:tcPr>
            <w:tcW w:w="1193" w:type="dxa"/>
            <w:noWrap w:val="0"/>
            <w:vAlign w:val="center"/>
          </w:tcPr>
          <w:p w14:paraId="22573CD3">
            <w:pPr>
              <w:spacing w:line="400" w:lineRule="exact"/>
              <w:ind w:firstLine="480" w:firstLineChars="200"/>
              <w:jc w:val="center"/>
              <w:rPr>
                <w:rFonts w:hint="eastAsia" w:ascii="仿宋" w:hAnsi="仿宋" w:eastAsia="仿宋" w:cs="仿宋_GB2312"/>
                <w:color w:val="auto"/>
                <w:sz w:val="24"/>
                <w:highlight w:val="none"/>
              </w:rPr>
            </w:pPr>
          </w:p>
        </w:tc>
        <w:tc>
          <w:tcPr>
            <w:tcW w:w="1695" w:type="dxa"/>
            <w:tcBorders>
              <w:right w:val="double" w:color="auto" w:sz="4" w:space="0"/>
            </w:tcBorders>
            <w:noWrap w:val="0"/>
            <w:vAlign w:val="center"/>
          </w:tcPr>
          <w:p w14:paraId="0B893E52">
            <w:pPr>
              <w:pStyle w:val="8"/>
              <w:tabs>
                <w:tab w:val="left" w:pos="8540"/>
              </w:tabs>
              <w:spacing w:line="400" w:lineRule="exact"/>
              <w:ind w:firstLine="480" w:firstLineChars="200"/>
              <w:jc w:val="center"/>
              <w:rPr>
                <w:rFonts w:hint="eastAsia" w:ascii="仿宋" w:hAnsi="仿宋" w:eastAsia="仿宋" w:cs="仿宋_GB2312"/>
                <w:color w:val="auto"/>
                <w:sz w:val="24"/>
                <w:szCs w:val="24"/>
                <w:highlight w:val="none"/>
              </w:rPr>
            </w:pPr>
          </w:p>
        </w:tc>
      </w:tr>
      <w:tr w14:paraId="7600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left w:val="double" w:color="auto" w:sz="4" w:space="0"/>
            </w:tcBorders>
            <w:noWrap w:val="0"/>
            <w:vAlign w:val="center"/>
          </w:tcPr>
          <w:p w14:paraId="6D791813">
            <w:pPr>
              <w:spacing w:line="400" w:lineRule="exact"/>
              <w:ind w:firstLine="480" w:firstLineChars="200"/>
              <w:jc w:val="center"/>
              <w:rPr>
                <w:rFonts w:hint="eastAsia" w:ascii="仿宋" w:hAnsi="仿宋" w:eastAsia="仿宋" w:cs="仿宋_GB2312"/>
                <w:color w:val="auto"/>
                <w:sz w:val="24"/>
                <w:highlight w:val="none"/>
              </w:rPr>
            </w:pPr>
          </w:p>
        </w:tc>
        <w:tc>
          <w:tcPr>
            <w:tcW w:w="3263" w:type="dxa"/>
            <w:noWrap w:val="0"/>
            <w:vAlign w:val="center"/>
          </w:tcPr>
          <w:p w14:paraId="6B633E84">
            <w:pPr>
              <w:spacing w:line="400" w:lineRule="exact"/>
              <w:ind w:firstLine="480" w:firstLineChars="200"/>
              <w:jc w:val="center"/>
              <w:rPr>
                <w:rFonts w:hint="eastAsia" w:ascii="仿宋" w:hAnsi="仿宋" w:eastAsia="仿宋" w:cs="仿宋_GB2312"/>
                <w:color w:val="auto"/>
                <w:sz w:val="24"/>
                <w:highlight w:val="none"/>
              </w:rPr>
            </w:pPr>
          </w:p>
        </w:tc>
        <w:tc>
          <w:tcPr>
            <w:tcW w:w="877" w:type="dxa"/>
            <w:noWrap w:val="0"/>
            <w:vAlign w:val="center"/>
          </w:tcPr>
          <w:p w14:paraId="20B3524A">
            <w:pPr>
              <w:spacing w:line="400" w:lineRule="exact"/>
              <w:ind w:firstLine="480" w:firstLineChars="200"/>
              <w:jc w:val="center"/>
              <w:rPr>
                <w:rFonts w:hint="eastAsia" w:ascii="仿宋" w:hAnsi="仿宋" w:eastAsia="仿宋" w:cs="仿宋_GB2312"/>
                <w:color w:val="auto"/>
                <w:sz w:val="24"/>
                <w:highlight w:val="none"/>
              </w:rPr>
            </w:pPr>
          </w:p>
        </w:tc>
        <w:tc>
          <w:tcPr>
            <w:tcW w:w="1080" w:type="dxa"/>
            <w:noWrap w:val="0"/>
            <w:vAlign w:val="center"/>
          </w:tcPr>
          <w:p w14:paraId="074E2436">
            <w:pPr>
              <w:spacing w:line="400" w:lineRule="exact"/>
              <w:ind w:firstLine="480" w:firstLineChars="200"/>
              <w:jc w:val="center"/>
              <w:rPr>
                <w:rFonts w:hint="eastAsia" w:ascii="仿宋" w:hAnsi="仿宋" w:eastAsia="仿宋" w:cs="仿宋_GB2312"/>
                <w:color w:val="auto"/>
                <w:sz w:val="24"/>
                <w:highlight w:val="none"/>
              </w:rPr>
            </w:pPr>
          </w:p>
        </w:tc>
        <w:tc>
          <w:tcPr>
            <w:tcW w:w="1193" w:type="dxa"/>
            <w:noWrap w:val="0"/>
            <w:vAlign w:val="center"/>
          </w:tcPr>
          <w:p w14:paraId="329F4854">
            <w:pPr>
              <w:spacing w:line="400" w:lineRule="exact"/>
              <w:ind w:firstLine="480" w:firstLineChars="200"/>
              <w:jc w:val="center"/>
              <w:rPr>
                <w:rFonts w:hint="eastAsia" w:ascii="仿宋" w:hAnsi="仿宋" w:eastAsia="仿宋" w:cs="仿宋_GB2312"/>
                <w:color w:val="auto"/>
                <w:sz w:val="24"/>
                <w:highlight w:val="none"/>
              </w:rPr>
            </w:pPr>
          </w:p>
        </w:tc>
        <w:tc>
          <w:tcPr>
            <w:tcW w:w="1695" w:type="dxa"/>
            <w:tcBorders>
              <w:right w:val="double" w:color="auto" w:sz="4" w:space="0"/>
            </w:tcBorders>
            <w:noWrap w:val="0"/>
            <w:vAlign w:val="center"/>
          </w:tcPr>
          <w:p w14:paraId="4068CC6A">
            <w:pPr>
              <w:pStyle w:val="8"/>
              <w:tabs>
                <w:tab w:val="left" w:pos="8540"/>
              </w:tabs>
              <w:spacing w:line="400" w:lineRule="exact"/>
              <w:ind w:firstLine="480" w:firstLineChars="200"/>
              <w:jc w:val="center"/>
              <w:rPr>
                <w:rFonts w:hint="eastAsia" w:ascii="仿宋" w:hAnsi="仿宋" w:eastAsia="仿宋" w:cs="仿宋_GB2312"/>
                <w:color w:val="auto"/>
                <w:sz w:val="24"/>
                <w:szCs w:val="24"/>
                <w:highlight w:val="none"/>
              </w:rPr>
            </w:pPr>
          </w:p>
        </w:tc>
      </w:tr>
      <w:tr w14:paraId="47BE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5" w:type="dxa"/>
            <w:tcBorders>
              <w:left w:val="double" w:color="auto" w:sz="4" w:space="0"/>
              <w:bottom w:val="double" w:color="auto" w:sz="4" w:space="0"/>
            </w:tcBorders>
            <w:noWrap w:val="0"/>
            <w:vAlign w:val="center"/>
          </w:tcPr>
          <w:p w14:paraId="556AB1AA">
            <w:pPr>
              <w:pStyle w:val="8"/>
              <w:tabs>
                <w:tab w:val="left" w:pos="8540"/>
              </w:tabs>
              <w:spacing w:line="400" w:lineRule="exact"/>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合计总价</w:t>
            </w:r>
          </w:p>
        </w:tc>
        <w:tc>
          <w:tcPr>
            <w:tcW w:w="5220" w:type="dxa"/>
            <w:gridSpan w:val="3"/>
            <w:tcBorders>
              <w:bottom w:val="double" w:color="auto" w:sz="4" w:space="0"/>
            </w:tcBorders>
            <w:noWrap w:val="0"/>
            <w:vAlign w:val="center"/>
          </w:tcPr>
          <w:p w14:paraId="755AF24D">
            <w:pPr>
              <w:pStyle w:val="8"/>
              <w:tabs>
                <w:tab w:val="left" w:pos="8540"/>
              </w:tabs>
              <w:spacing w:line="400" w:lineRule="exact"/>
              <w:ind w:firstLine="480" w:firstLineChars="200"/>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（大写）</w:t>
            </w:r>
          </w:p>
        </w:tc>
        <w:tc>
          <w:tcPr>
            <w:tcW w:w="2888" w:type="dxa"/>
            <w:gridSpan w:val="2"/>
            <w:tcBorders>
              <w:bottom w:val="double" w:color="auto" w:sz="4" w:space="0"/>
              <w:right w:val="double" w:color="auto" w:sz="4" w:space="0"/>
            </w:tcBorders>
            <w:noWrap w:val="0"/>
            <w:vAlign w:val="center"/>
          </w:tcPr>
          <w:p w14:paraId="472A7554">
            <w:pPr>
              <w:pStyle w:val="8"/>
              <w:tabs>
                <w:tab w:val="left" w:pos="8540"/>
              </w:tabs>
              <w:spacing w:line="400" w:lineRule="exact"/>
              <w:ind w:firstLine="480" w:firstLineChars="200"/>
              <w:jc w:val="center"/>
              <w:rPr>
                <w:rFonts w:hint="eastAsia"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p>
        </w:tc>
      </w:tr>
    </w:tbl>
    <w:p w14:paraId="4914EDFA">
      <w:pPr>
        <w:widowControl/>
        <w:snapToGrid w:val="0"/>
        <w:spacing w:line="400" w:lineRule="exact"/>
        <w:ind w:firstLine="422" w:firstLineChars="176"/>
        <w:jc w:val="left"/>
        <w:rPr>
          <w:rFonts w:ascii="仿宋" w:hAnsi="仿宋" w:eastAsia="仿宋" w:cs="宋体"/>
          <w:color w:val="auto"/>
          <w:kern w:val="0"/>
          <w:sz w:val="24"/>
          <w:highlight w:val="none"/>
        </w:rPr>
      </w:pPr>
    </w:p>
    <w:p w14:paraId="67587355">
      <w:pPr>
        <w:widowControl/>
        <w:numPr>
          <w:ilvl w:val="0"/>
          <w:numId w:val="5"/>
        </w:numPr>
        <w:snapToGrid w:val="0"/>
        <w:spacing w:line="400" w:lineRule="exact"/>
        <w:ind w:firstLine="422" w:firstLineChars="176"/>
        <w:jc w:val="left"/>
        <w:outlineLvl w:val="1"/>
        <w:rPr>
          <w:color w:val="auto"/>
          <w:highlight w:val="none"/>
        </w:rPr>
      </w:pPr>
      <w:bookmarkStart w:id="508" w:name="_Toc21546"/>
      <w:r>
        <w:rPr>
          <w:rFonts w:hint="eastAsia" w:ascii="仿宋" w:hAnsi="仿宋" w:eastAsia="仿宋" w:cs="宋体"/>
          <w:color w:val="auto"/>
          <w:kern w:val="0"/>
          <w:sz w:val="24"/>
          <w:highlight w:val="none"/>
        </w:rPr>
        <w:t>项目合同支付条款</w:t>
      </w:r>
      <w:bookmarkEnd w:id="508"/>
    </w:p>
    <w:p w14:paraId="2ED238D0">
      <w:pPr>
        <w:pStyle w:val="14"/>
        <w:spacing w:line="240" w:lineRule="auto"/>
        <w:ind w:firstLine="480" w:firstLineChars="200"/>
        <w:rPr>
          <w:color w:val="auto"/>
          <w:highlight w:val="none"/>
        </w:rPr>
      </w:pPr>
      <w:r>
        <w:rPr>
          <w:rFonts w:hint="eastAsia" w:ascii="仿宋" w:hAnsi="仿宋" w:eastAsia="仿宋" w:cs="仿宋"/>
          <w:color w:val="auto"/>
          <w:highlight w:val="none"/>
        </w:rPr>
        <w:t>在满足合同约定支付条件且财政资金到位的前提下，按如下方式支付。</w:t>
      </w:r>
    </w:p>
    <w:p w14:paraId="6E6D24A0">
      <w:pPr>
        <w:widowControl/>
        <w:snapToGrid w:val="0"/>
        <w:spacing w:line="400" w:lineRule="exact"/>
        <w:ind w:firstLine="424" w:firstLineChars="177"/>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（一）第一笔款：合同签订生效后，甲方在收到乙方提供的下列单据</w:t>
      </w:r>
      <w:r>
        <w:rPr>
          <w:rFonts w:ascii="仿宋" w:hAnsi="仿宋" w:eastAsia="仿宋" w:cs="宋体"/>
          <w:color w:val="auto"/>
          <w:kern w:val="0"/>
          <w:sz w:val="24"/>
          <w:highlight w:val="none"/>
        </w:rPr>
        <w:t>7</w:t>
      </w:r>
      <w:r>
        <w:rPr>
          <w:rFonts w:hint="eastAsia" w:ascii="仿宋" w:hAnsi="仿宋" w:eastAsia="仿宋" w:cs="宋体"/>
          <w:color w:val="auto"/>
          <w:kern w:val="0"/>
          <w:sz w:val="24"/>
          <w:highlight w:val="none"/>
        </w:rPr>
        <w:t xml:space="preserve">个工作日内，向乙方支付合同总价的 </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40</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，即人民币：</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 xml:space="preserve"> 元（大写：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元整）；</w:t>
      </w:r>
    </w:p>
    <w:p w14:paraId="7A6F5E33">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下列单据包括：</w:t>
      </w:r>
    </w:p>
    <w:p w14:paraId="45FAF910">
      <w:pPr>
        <w:widowControl/>
        <w:snapToGrid w:val="0"/>
        <w:spacing w:line="400" w:lineRule="exact"/>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1.等额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(普通或者专用)增值税发票一份；</w:t>
      </w:r>
    </w:p>
    <w:p w14:paraId="5BAEB530">
      <w:pPr>
        <w:widowControl/>
        <w:snapToGrid w:val="0"/>
        <w:spacing w:line="400" w:lineRule="exact"/>
        <w:ind w:firstLine="424" w:firstLineChars="177"/>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（二）第二笔款：项目完成安装、调试上线、初验合格后，甲方在收到乙方提供的下列单据7个工作日内，向乙方支付合同总价的</w:t>
      </w:r>
      <w:r>
        <w:rPr>
          <w:rFonts w:ascii="仿宋" w:hAnsi="仿宋" w:eastAsia="仿宋" w:cs="宋体"/>
          <w:color w:val="auto"/>
          <w:kern w:val="0"/>
          <w:sz w:val="24"/>
          <w:highlight w:val="none"/>
        </w:rPr>
        <w:t xml:space="preserve"> </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30</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，即人民币：</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 xml:space="preserve"> 元（大写：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元整）；</w:t>
      </w:r>
    </w:p>
    <w:p w14:paraId="33DC9F0A">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下列单据包括：</w:t>
      </w:r>
    </w:p>
    <w:p w14:paraId="10B60E05">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1.等额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(普通或者专用) 增值税发票一份；</w:t>
      </w:r>
    </w:p>
    <w:p w14:paraId="2DF729D9">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2.项目审批通过的《温州市公安局信息化项目试运行许可审批表》；</w:t>
      </w:r>
    </w:p>
    <w:p w14:paraId="42F6ACD6">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3.甲乙双方出具的《货物验收单》（定制软件类除外）；</w:t>
      </w:r>
    </w:p>
    <w:p w14:paraId="197CBB92">
      <w:pPr>
        <w:widowControl/>
        <w:snapToGrid w:val="0"/>
        <w:spacing w:line="400" w:lineRule="exact"/>
        <w:ind w:firstLine="480" w:firstLineChars="200"/>
        <w:jc w:val="left"/>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.甲方出具的初验报告。</w:t>
      </w:r>
    </w:p>
    <w:p w14:paraId="7E0CD56E">
      <w:pPr>
        <w:widowControl/>
        <w:snapToGrid w:val="0"/>
        <w:spacing w:line="400" w:lineRule="exact"/>
        <w:ind w:firstLine="424" w:firstLineChars="177"/>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（三）第三笔款：甲方在项目通过不少于3月的试运行并经验收合格后，在收到乙方提供的下列单据</w:t>
      </w:r>
      <w:r>
        <w:rPr>
          <w:rFonts w:ascii="仿宋" w:hAnsi="仿宋" w:eastAsia="仿宋" w:cs="宋体"/>
          <w:color w:val="auto"/>
          <w:kern w:val="0"/>
          <w:sz w:val="24"/>
          <w:highlight w:val="none"/>
        </w:rPr>
        <w:t>7</w:t>
      </w:r>
      <w:r>
        <w:rPr>
          <w:rFonts w:hint="eastAsia" w:ascii="仿宋" w:hAnsi="仿宋" w:eastAsia="仿宋" w:cs="宋体"/>
          <w:color w:val="auto"/>
          <w:kern w:val="0"/>
          <w:sz w:val="24"/>
          <w:highlight w:val="none"/>
        </w:rPr>
        <w:t>个工作日内，向乙方支付合同总价的</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30</w:t>
      </w:r>
      <w:r>
        <w:rPr>
          <w:rFonts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，即人民币：</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 xml:space="preserve"> 元（大写：</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元整）；</w:t>
      </w:r>
    </w:p>
    <w:p w14:paraId="532E956A">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下列单据包括：</w:t>
      </w:r>
    </w:p>
    <w:p w14:paraId="7BB1C5F1">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 等额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(普通或者专用)增值税发票一份；</w:t>
      </w:r>
    </w:p>
    <w:p w14:paraId="4EC3DAB5">
      <w:pPr>
        <w:widowControl/>
        <w:snapToGrid w:val="0"/>
        <w:spacing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2.试运行情况报告；</w:t>
      </w:r>
    </w:p>
    <w:p w14:paraId="6B9F3888">
      <w:pPr>
        <w:widowControl/>
        <w:snapToGrid w:val="0"/>
        <w:spacing w:line="400" w:lineRule="exact"/>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3.甲方出具的验收报告。</w:t>
      </w:r>
    </w:p>
    <w:p w14:paraId="1F845538">
      <w:pPr>
        <w:widowControl/>
        <w:snapToGrid w:val="0"/>
        <w:spacing w:line="400" w:lineRule="exact"/>
        <w:ind w:firstLine="480" w:firstLineChars="200"/>
        <w:jc w:val="left"/>
        <w:rPr>
          <w:rFonts w:eastAsia="仿宋"/>
          <w:color w:val="auto"/>
          <w:highlight w:val="none"/>
        </w:rPr>
      </w:pPr>
      <w:r>
        <w:rPr>
          <w:rFonts w:hint="eastAsia" w:ascii="仿宋" w:hAnsi="仿宋" w:eastAsia="仿宋" w:cs="宋体"/>
          <w:color w:val="auto"/>
          <w:kern w:val="0"/>
          <w:sz w:val="24"/>
          <w:highlight w:val="none"/>
        </w:rPr>
        <w:t>（四）双方约定本项目不收取履约保证金。</w:t>
      </w:r>
    </w:p>
    <w:p w14:paraId="7B296419">
      <w:pPr>
        <w:widowControl/>
        <w:snapToGrid w:val="0"/>
        <w:spacing w:line="400" w:lineRule="exact"/>
        <w:ind w:firstLine="480" w:firstLineChars="200"/>
        <w:jc w:val="left"/>
        <w:rPr>
          <w:rFonts w:hint="eastAsia" w:ascii="仿宋" w:hAnsi="仿宋" w:eastAsia="仿宋" w:cs="宋体"/>
          <w:color w:val="auto"/>
          <w:kern w:val="0"/>
          <w:sz w:val="24"/>
          <w:highlight w:val="none"/>
        </w:rPr>
      </w:pPr>
    </w:p>
    <w:p w14:paraId="3A2023B1">
      <w:pPr>
        <w:widowControl/>
        <w:snapToGrid w:val="0"/>
        <w:spacing w:line="400" w:lineRule="exact"/>
        <w:ind w:firstLine="422" w:firstLineChars="176"/>
        <w:jc w:val="left"/>
        <w:outlineLvl w:val="1"/>
        <w:rPr>
          <w:rFonts w:ascii="仿宋" w:hAnsi="仿宋" w:eastAsia="仿宋" w:cs="宋体"/>
          <w:color w:val="auto"/>
          <w:kern w:val="0"/>
          <w:sz w:val="24"/>
          <w:highlight w:val="none"/>
        </w:rPr>
      </w:pPr>
      <w:bookmarkStart w:id="509" w:name="_Toc7243"/>
      <w:r>
        <w:rPr>
          <w:rFonts w:hint="eastAsia" w:ascii="仿宋" w:hAnsi="仿宋" w:eastAsia="仿宋" w:cs="宋体"/>
          <w:color w:val="auto"/>
          <w:kern w:val="0"/>
          <w:sz w:val="24"/>
          <w:highlight w:val="none"/>
        </w:rPr>
        <w:t>九、项目合同修改</w:t>
      </w:r>
      <w:bookmarkEnd w:id="509"/>
    </w:p>
    <w:p w14:paraId="48EFBB42">
      <w:pPr>
        <w:widowControl/>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建设过程中原则上不能进行合同变更、修改和补充。若确需变更，经合同双方协商一致后，由项目建设部门向温州市公安局科技信息化局提交变更申请，并经相关部门论证、审核。只有在双方授权的代表签署书面文件后才有效，并作为附件成为本合同不可分割的组成部分。</w:t>
      </w:r>
    </w:p>
    <w:p w14:paraId="70EB99EC">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68AB7D2C">
      <w:pPr>
        <w:widowControl/>
        <w:snapToGrid w:val="0"/>
        <w:spacing w:line="400" w:lineRule="exact"/>
        <w:ind w:firstLine="422" w:firstLineChars="176"/>
        <w:jc w:val="left"/>
        <w:outlineLvl w:val="1"/>
        <w:rPr>
          <w:rFonts w:ascii="仿宋" w:hAnsi="仿宋" w:eastAsia="仿宋" w:cs="宋体"/>
          <w:color w:val="auto"/>
          <w:kern w:val="0"/>
          <w:sz w:val="24"/>
          <w:highlight w:val="none"/>
        </w:rPr>
      </w:pPr>
      <w:bookmarkStart w:id="510" w:name="_Toc21421"/>
      <w:r>
        <w:rPr>
          <w:rFonts w:hint="eastAsia" w:ascii="仿宋" w:hAnsi="仿宋" w:eastAsia="仿宋" w:cs="宋体"/>
          <w:color w:val="auto"/>
          <w:kern w:val="0"/>
          <w:sz w:val="24"/>
          <w:highlight w:val="none"/>
        </w:rPr>
        <w:t>十、违约责任</w:t>
      </w:r>
      <w:bookmarkEnd w:id="510"/>
    </w:p>
    <w:p w14:paraId="1F737BD6">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（一）在履行合同的过程中，如果乙方遇到除不可抗力因素外的情形将不能按照合同规定的时间完成系统实施和提供服务时，应当在情况发生时</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日内以书面形式将拖延的事实、可能拖延的时间和原因通知甲方。甲方在收到乙方通知后，应在</w:t>
      </w:r>
      <w:r>
        <w:rPr>
          <w:rFonts w:ascii="仿宋" w:hAnsi="仿宋" w:eastAsia="仿宋" w:cs="仿宋_GB2312"/>
          <w:color w:val="auto"/>
          <w:kern w:val="0"/>
          <w:sz w:val="24"/>
          <w:highlight w:val="none"/>
          <w:u w:val="single"/>
        </w:rPr>
        <w:t xml:space="preserve"> 7</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日内对情况进行评价，并确定是否酌情延长交货时间和提供服务以及是否收取误期赔偿费。延期应由双方书面确认；</w:t>
      </w:r>
    </w:p>
    <w:p w14:paraId="60393C44">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（二）除了合同条款第十二条的情况外，除非延期是根据合同条款第十条第（一）的规定取得甲方的同意而不收取误期赔偿费之外，若乙方违反本合同约定提供服务，</w:t>
      </w:r>
      <w:r>
        <w:rPr>
          <w:rFonts w:hint="eastAsia" w:ascii="仿宋" w:hAnsi="仿宋" w:eastAsia="仿宋" w:cs="仿宋"/>
          <w:color w:val="auto"/>
          <w:sz w:val="24"/>
          <w:highlight w:val="none"/>
        </w:rPr>
        <w:t>甲方可要求乙方支付违约金，违约金按每迟延一日按合同总价的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%；违约金计算数额达到前述最高限额之日起，甲方有权在要求乙方支付违约金的同时，书面通知乙方解除本合同；</w:t>
      </w:r>
    </w:p>
    <w:p w14:paraId="12F38BD4">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w:t>
      </w:r>
      <w:r>
        <w:rPr>
          <w:rFonts w:hint="eastAsia" w:ascii="仿宋" w:hAnsi="仿宋" w:eastAsia="仿宋" w:cs="仿宋"/>
          <w:color w:val="auto"/>
          <w:sz w:val="24"/>
          <w:highlight w:val="none"/>
        </w:rPr>
        <w:t>除不可抗力外，因甲方单方原因没有按照本合同约定的付款方式付款，那么乙方可要求甲方支付违约金，违约金按每迟延一日按合同总价的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AAF22D9">
      <w:pPr>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四）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要求按本合同总价</w:t>
      </w:r>
      <w:r>
        <w:rPr>
          <w:rFonts w:ascii="仿宋" w:hAnsi="仿宋" w:eastAsia="仿宋" w:cs="仿宋"/>
          <w:color w:val="auto"/>
          <w:sz w:val="24"/>
          <w:highlight w:val="none"/>
          <w:u w:val="singl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%支付违约金并赔偿损失。</w:t>
      </w:r>
    </w:p>
    <w:p w14:paraId="259A58A8">
      <w:pPr>
        <w:spacing w:line="400" w:lineRule="exac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（五） 任何一方按照前述约定要求违约方支付违约金的同时，仍有权要求违约方继续履行合同、采取补救措施，当违约金不足以弥补所造成的损失时，可要求违约方按照实际损失进行赔偿；任何一方按照前述约定要求解除本合同的同时，仍有权要求违约方支付违约金，当违约金不足以弥补所造成的损失时，可要求违约方按照实际损失进行赔偿；且守约方行使的任何权利救济方式均不视为其放弃了其他法定或者约定的权利救济方式；</w:t>
      </w:r>
    </w:p>
    <w:p w14:paraId="49496FC9">
      <w:pPr>
        <w:spacing w:line="400" w:lineRule="exac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（六）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1513C25">
      <w:pPr>
        <w:spacing w:line="400" w:lineRule="exac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 xml:space="preserve">（七） </w:t>
      </w:r>
      <w:r>
        <w:rPr>
          <w:rFonts w:hint="eastAsia" w:ascii="仿宋" w:hAnsi="仿宋" w:eastAsia="仿宋" w:cs="仿宋_GB2312"/>
          <w:color w:val="auto"/>
          <w:kern w:val="0"/>
          <w:sz w:val="24"/>
          <w:highlight w:val="none"/>
        </w:rPr>
        <w:t>在履行合同的过程中，</w:t>
      </w:r>
      <w:r>
        <w:rPr>
          <w:rFonts w:hint="eastAsia" w:ascii="仿宋" w:hAnsi="仿宋" w:eastAsia="仿宋" w:cs="仿宋"/>
          <w:color w:val="auto"/>
          <w:sz w:val="24"/>
          <w:highlight w:val="none"/>
        </w:rPr>
        <w:t>乙方不得转包项目，乙方不可以分包该项目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否则甲方可以书面通知违约方解除本合同，并要求乙方支付本合同总价</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%的违约金并赔偿损失。</w:t>
      </w:r>
    </w:p>
    <w:p w14:paraId="22B7BE73">
      <w:pPr>
        <w:spacing w:line="400" w:lineRule="exact"/>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（八）如果出现政府采购监督管理部门在处理投诉事项期间，书面通知甲方暂停采购活动的情形，或者询问或质疑事项可能影响中标结果的，导致甲方中止履行合同的情形，均不视为甲方违约；</w:t>
      </w:r>
    </w:p>
    <w:p w14:paraId="22816B86">
      <w:pPr>
        <w:widowControl/>
        <w:snapToGrid w:val="0"/>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九）乙方应提供项目所需的软件硬件符合国家、部门、行业相关技术标准的证明，且不侵犯任何第三方包括但不限于知识产权等任何权益，并保证该软件硬件的运行不影响甲方内部网络信息安全性和保密性问题，因乙方没有履行上述义务造成甲方被第三方追责或损失的，所有责任与损失均由乙方承担，如甲方先行承担的，有权向乙方追偿。乙方应当同时用相同功能的合法软件硬件进行替换，或者取得相关授权，确保能够继续履行本合同所规定的各项权利，并且乙方应当赔偿甲方由此而造成的损失。</w:t>
      </w:r>
    </w:p>
    <w:p w14:paraId="1A2F9432">
      <w:pPr>
        <w:widowControl/>
        <w:snapToGrid w:val="0"/>
        <w:spacing w:line="400" w:lineRule="exact"/>
        <w:ind w:firstLine="424" w:firstLineChars="177"/>
        <w:jc w:val="left"/>
        <w:rPr>
          <w:rFonts w:hint="eastAsia" w:ascii="仿宋" w:hAnsi="仿宋" w:eastAsia="仿宋" w:cs="仿宋_GB2312"/>
          <w:color w:val="auto"/>
          <w:kern w:val="0"/>
          <w:sz w:val="24"/>
          <w:highlight w:val="none"/>
        </w:rPr>
      </w:pPr>
    </w:p>
    <w:p w14:paraId="0FEA662D">
      <w:pPr>
        <w:widowControl/>
        <w:snapToGrid w:val="0"/>
        <w:spacing w:line="400" w:lineRule="exact"/>
        <w:ind w:firstLine="424" w:firstLineChars="176"/>
        <w:jc w:val="left"/>
        <w:outlineLvl w:val="1"/>
        <w:rPr>
          <w:rFonts w:ascii="仿宋" w:hAnsi="仿宋" w:eastAsia="仿宋" w:cs="宋体"/>
          <w:b/>
          <w:bCs/>
          <w:color w:val="auto"/>
          <w:kern w:val="0"/>
          <w:sz w:val="24"/>
          <w:highlight w:val="none"/>
        </w:rPr>
      </w:pPr>
      <w:bookmarkStart w:id="511" w:name="_Toc6370"/>
      <w:r>
        <w:rPr>
          <w:rFonts w:hint="eastAsia" w:ascii="仿宋" w:hAnsi="仿宋" w:eastAsia="仿宋" w:cs="宋体"/>
          <w:b/>
          <w:bCs/>
          <w:color w:val="auto"/>
          <w:kern w:val="0"/>
          <w:sz w:val="24"/>
          <w:highlight w:val="none"/>
        </w:rPr>
        <w:t>十一、项目合同终止</w:t>
      </w:r>
      <w:bookmarkEnd w:id="511"/>
    </w:p>
    <w:p w14:paraId="6768A5EA">
      <w:pPr>
        <w:widowControl/>
        <w:numPr>
          <w:ilvl w:val="0"/>
          <w:numId w:val="6"/>
        </w:numPr>
        <w:snapToGrid w:val="0"/>
        <w:spacing w:line="400" w:lineRule="exact"/>
        <w:ind w:left="0" w:firstLine="424" w:firstLineChars="177"/>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双方当事人不得擅自中止或者终止合同； </w:t>
      </w:r>
    </w:p>
    <w:p w14:paraId="4383E6A3">
      <w:pPr>
        <w:widowControl/>
        <w:numPr>
          <w:ilvl w:val="0"/>
          <w:numId w:val="6"/>
        </w:numPr>
        <w:snapToGrid w:val="0"/>
        <w:spacing w:line="400" w:lineRule="exact"/>
        <w:ind w:left="0" w:firstLine="424" w:firstLineChars="177"/>
        <w:jc w:val="left"/>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合同继续履行将损害国家利益和社会公共利益的，双方当事人应当中止或者终止合同。有过错的一方应当承担赔偿责任，双方当事人都有过错的，各自承担相应的责任；</w:t>
      </w:r>
    </w:p>
    <w:p w14:paraId="26741450">
      <w:pPr>
        <w:numPr>
          <w:ilvl w:val="0"/>
          <w:numId w:val="6"/>
        </w:numPr>
        <w:spacing w:line="400" w:lineRule="exact"/>
        <w:ind w:left="142" w:firstLine="283" w:firstLineChars="118"/>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F5FAFB">
      <w:pPr>
        <w:widowControl/>
        <w:snapToGrid w:val="0"/>
        <w:spacing w:line="400" w:lineRule="exact"/>
        <w:ind w:firstLine="482" w:firstLineChars="200"/>
        <w:jc w:val="left"/>
        <w:rPr>
          <w:rFonts w:hint="eastAsia" w:ascii="仿宋" w:hAnsi="仿宋" w:eastAsia="仿宋" w:cs="宋体"/>
          <w:b/>
          <w:bCs/>
          <w:color w:val="auto"/>
          <w:kern w:val="0"/>
          <w:sz w:val="24"/>
          <w:highlight w:val="none"/>
        </w:rPr>
      </w:pPr>
    </w:p>
    <w:p w14:paraId="6B3B80F0">
      <w:pPr>
        <w:widowControl/>
        <w:snapToGrid w:val="0"/>
        <w:spacing w:line="400" w:lineRule="exact"/>
        <w:ind w:firstLine="424" w:firstLineChars="176"/>
        <w:jc w:val="left"/>
        <w:outlineLvl w:val="1"/>
        <w:rPr>
          <w:rFonts w:ascii="仿宋" w:hAnsi="仿宋" w:eastAsia="仿宋" w:cs="宋体"/>
          <w:b/>
          <w:bCs/>
          <w:color w:val="auto"/>
          <w:kern w:val="0"/>
          <w:sz w:val="24"/>
          <w:highlight w:val="none"/>
        </w:rPr>
      </w:pPr>
      <w:bookmarkStart w:id="512" w:name="_Toc30499"/>
      <w:r>
        <w:rPr>
          <w:rFonts w:hint="eastAsia" w:ascii="仿宋" w:hAnsi="仿宋" w:eastAsia="仿宋" w:cs="宋体"/>
          <w:b/>
          <w:bCs/>
          <w:color w:val="auto"/>
          <w:kern w:val="0"/>
          <w:sz w:val="24"/>
          <w:highlight w:val="none"/>
        </w:rPr>
        <w:t>十二、不可抗力</w:t>
      </w:r>
      <w:bookmarkEnd w:id="512"/>
    </w:p>
    <w:p w14:paraId="501AF53B">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合同规定的不可抗力事件是指甲乙双方在缔结合同时所不能预见的，并且它的发生及其后果是无法避免和无法克服的事件，诸如战争和严重的风灾、水灾、雪灾、地震等自然灾害，以及政策性等不由双方控制的，也包括双方同意的其他不可抗力事件；</w:t>
      </w:r>
    </w:p>
    <w:p w14:paraId="154899F5">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（二）签约双方任一方由于受不可抗力事件的影响而不能执行合同时，履行合同的期限应予以延长，其延长的期限应相当于事件所影响的时间；</w:t>
      </w:r>
    </w:p>
    <w:p w14:paraId="55BEDCA0">
      <w:pPr>
        <w:spacing w:line="400" w:lineRule="exact"/>
        <w:ind w:firstLine="424" w:firstLineChars="177"/>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因不可抗力事件受阻一方应在不可抗力事件发生后尽快用书面方式或电报、传真通知对方，并于事件发生后7天内将有关国家职能机关或具有国家授权认定的机构出具的证明文件及其他说明材料用特快专递或挂号信寄给对方审阅确认，一旦不可抗力事件的影响预计持续</w:t>
      </w:r>
      <w:r>
        <w:rPr>
          <w:rFonts w:ascii="仿宋" w:hAnsi="仿宋" w:eastAsia="仿宋" w:cs="仿宋_GB2312"/>
          <w:color w:val="auto"/>
          <w:kern w:val="0"/>
          <w:sz w:val="24"/>
          <w:highlight w:val="none"/>
        </w:rPr>
        <w:t>60</w:t>
      </w:r>
      <w:r>
        <w:rPr>
          <w:rFonts w:hint="eastAsia" w:ascii="仿宋" w:hAnsi="仿宋" w:eastAsia="仿宋" w:cs="仿宋_GB2312"/>
          <w:color w:val="auto"/>
          <w:kern w:val="0"/>
          <w:sz w:val="24"/>
          <w:highlight w:val="none"/>
        </w:rPr>
        <w:t>天以上，双方应通过友好协商</w:t>
      </w:r>
      <w:r>
        <w:rPr>
          <w:rFonts w:ascii="仿宋" w:hAnsi="仿宋" w:eastAsia="仿宋" w:cs="仿宋_GB2312"/>
          <w:color w:val="auto"/>
          <w:kern w:val="0"/>
          <w:sz w:val="24"/>
          <w:highlight w:val="none"/>
        </w:rPr>
        <w:t>15</w:t>
      </w:r>
      <w:r>
        <w:rPr>
          <w:rFonts w:hint="eastAsia" w:ascii="仿宋" w:hAnsi="仿宋" w:eastAsia="仿宋" w:cs="仿宋_GB2312"/>
          <w:color w:val="auto"/>
          <w:kern w:val="0"/>
          <w:sz w:val="24"/>
          <w:highlight w:val="none"/>
        </w:rPr>
        <w:t>天的时间内达成进一步履行合同的协议，如不能达成共识，按本合同第十四条约定解决。</w:t>
      </w:r>
    </w:p>
    <w:p w14:paraId="11ECC3ED">
      <w:pPr>
        <w:spacing w:line="400" w:lineRule="exact"/>
        <w:ind w:firstLine="426" w:firstLineChars="177"/>
        <w:outlineLvl w:val="1"/>
        <w:rPr>
          <w:rFonts w:ascii="仿宋" w:hAnsi="仿宋" w:eastAsia="仿宋" w:cs="宋体"/>
          <w:b/>
          <w:bCs/>
          <w:color w:val="auto"/>
          <w:kern w:val="0"/>
          <w:sz w:val="24"/>
          <w:highlight w:val="none"/>
        </w:rPr>
      </w:pPr>
      <w:bookmarkStart w:id="513" w:name="_Toc17141"/>
      <w:r>
        <w:rPr>
          <w:rFonts w:hint="eastAsia" w:ascii="仿宋" w:hAnsi="仿宋" w:eastAsia="仿宋" w:cs="宋体"/>
          <w:b/>
          <w:bCs/>
          <w:color w:val="auto"/>
          <w:kern w:val="0"/>
          <w:sz w:val="24"/>
          <w:highlight w:val="none"/>
        </w:rPr>
        <w:t>十三、项目保密</w:t>
      </w:r>
      <w:bookmarkEnd w:id="513"/>
    </w:p>
    <w:p w14:paraId="1EAFAF2C">
      <w:pPr>
        <w:widowControl/>
        <w:tabs>
          <w:tab w:val="left" w:pos="0"/>
        </w:tabs>
        <w:spacing w:line="400" w:lineRule="exact"/>
        <w:ind w:firstLine="424" w:firstLineChars="177"/>
        <w:jc w:val="left"/>
        <w:rPr>
          <w:rFonts w:ascii="仿宋" w:hAnsi="仿宋" w:eastAsia="仿宋"/>
          <w:color w:val="auto"/>
          <w:sz w:val="24"/>
          <w:highlight w:val="none"/>
        </w:rPr>
      </w:pPr>
      <w:bookmarkStart w:id="514" w:name="_Hlk95233671"/>
      <w:r>
        <w:rPr>
          <w:rFonts w:hint="eastAsia" w:ascii="仿宋" w:hAnsi="仿宋" w:eastAsia="仿宋"/>
          <w:color w:val="auto"/>
          <w:sz w:val="24"/>
          <w:highlight w:val="none"/>
          <w:shd w:val="clear" w:color="auto" w:fill="FFFFFF"/>
        </w:rPr>
        <w:t>（一）甲方向乙方提供的所有资料，仅供本项目小组人员参考使用，乙方须严守资料中所涉秘密、妥善保管，及时销毁、不得遗失、不得向本项目小组以外的单位或个人转借、复印等，不得用于与本项目研发、运行无关的用途。乙方更换本项目小组成员时应获得甲方书面同意，并立即向项目小组成员收回甲方提供的所以资料，否则</w:t>
      </w:r>
      <w:bookmarkEnd w:id="514"/>
      <w:r>
        <w:rPr>
          <w:rFonts w:hint="eastAsia" w:ascii="仿宋" w:hAnsi="仿宋" w:eastAsia="仿宋" w:cs="仿宋_GB2312"/>
          <w:color w:val="auto"/>
          <w:kern w:val="0"/>
          <w:sz w:val="24"/>
          <w:highlight w:val="none"/>
        </w:rPr>
        <w:t>乙方应承担违约责任，向甲方支付违约金，违约金数额为本合同总价的</w:t>
      </w:r>
      <w:r>
        <w:rPr>
          <w:rFonts w:ascii="仿宋" w:hAnsi="仿宋" w:eastAsia="仿宋" w:cs="仿宋_GB2312"/>
          <w:color w:val="auto"/>
          <w:kern w:val="0"/>
          <w:sz w:val="24"/>
          <w:highlight w:val="none"/>
        </w:rPr>
        <w:t>20%</w:t>
      </w:r>
      <w:r>
        <w:rPr>
          <w:rFonts w:hint="eastAsia" w:ascii="仿宋" w:hAnsi="仿宋" w:eastAsia="仿宋" w:cs="仿宋_GB2312"/>
          <w:color w:val="auto"/>
          <w:kern w:val="0"/>
          <w:sz w:val="24"/>
          <w:highlight w:val="none"/>
        </w:rPr>
        <w:t>；</w:t>
      </w:r>
    </w:p>
    <w:p w14:paraId="6B11ABF5">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（二）乙方发现甲方的保密事项已经泄露或可能泄露时，应当立即采取补救措施，并及时书面报告甲方；</w:t>
      </w:r>
    </w:p>
    <w:p w14:paraId="2431D724">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（三）本项目完成后15天内，乙方应主动退还本项目过程中甲方提供的全部资料并销毁相关数据；</w:t>
      </w:r>
    </w:p>
    <w:p w14:paraId="07A0E971">
      <w:pPr>
        <w:widowControl/>
        <w:tabs>
          <w:tab w:val="left" w:pos="56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（四）乙方在接受和退还涉密内容的资料时建立登记制度；</w:t>
      </w:r>
    </w:p>
    <w:p w14:paraId="32C78DFD">
      <w:pPr>
        <w:widowControl/>
        <w:tabs>
          <w:tab w:val="left" w:pos="56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（五）乙方造成的泄失密事件，乙方应承担违约责任，向甲方支付违约金，违约金数额为本合同总价的</w:t>
      </w:r>
      <w:r>
        <w:rPr>
          <w:rFonts w:ascii="仿宋" w:hAnsi="仿宋" w:eastAsia="仿宋" w:cs="仿宋_GB2312"/>
          <w:color w:val="auto"/>
          <w:kern w:val="0"/>
          <w:sz w:val="24"/>
          <w:highlight w:val="none"/>
        </w:rPr>
        <w:t>20%</w:t>
      </w:r>
      <w:r>
        <w:rPr>
          <w:rFonts w:hint="eastAsia" w:ascii="仿宋" w:hAnsi="仿宋" w:eastAsia="仿宋" w:cs="仿宋_GB2312"/>
          <w:color w:val="auto"/>
          <w:kern w:val="0"/>
          <w:sz w:val="24"/>
          <w:highlight w:val="none"/>
        </w:rPr>
        <w:t>，若泄密事件造成甲方的实际经济损失大于违约金数额，乙方除赔偿甲方违约金外还应额外赔偿甲方的实际经济损失；构成刑事犯罪的，还应依法追究刑事责任；</w:t>
      </w:r>
    </w:p>
    <w:p w14:paraId="216F30B2">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六）本项目所有文档及本项目所接触的双方资料，未经对方授权代表书面许可，不得向与合同无关的其他方泄漏任何技术文件或与合同有关的数据，包括合同本身。不论本协议或合同是否期满、变更、解除、终止，本条款均有效；</w:t>
      </w:r>
    </w:p>
    <w:p w14:paraId="1EE3A72C">
      <w:pPr>
        <w:widowControl/>
        <w:tabs>
          <w:tab w:val="left" w:pos="0"/>
        </w:tabs>
        <w:spacing w:line="400" w:lineRule="exact"/>
        <w:ind w:firstLine="424" w:firstLineChars="177"/>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（七）乙方应与甲方签订安全保密协议（附件六），甲方有权对乙方进行资格审查，开展安全教育，落实安全监管措施，指派具有相应技术能力的人员对乙方操作行为全程监督、严格审计。</w:t>
      </w:r>
    </w:p>
    <w:p w14:paraId="6E95AE3B">
      <w:pPr>
        <w:widowControl/>
        <w:tabs>
          <w:tab w:val="left" w:pos="0"/>
        </w:tabs>
        <w:spacing w:line="400" w:lineRule="exact"/>
        <w:ind w:firstLine="424" w:firstLineChars="177"/>
        <w:jc w:val="left"/>
        <w:rPr>
          <w:rFonts w:hint="eastAsia" w:ascii="仿宋" w:hAnsi="仿宋" w:eastAsia="仿宋" w:cs="仿宋_GB2312"/>
          <w:color w:val="auto"/>
          <w:kern w:val="0"/>
          <w:sz w:val="24"/>
          <w:highlight w:val="none"/>
        </w:rPr>
      </w:pPr>
    </w:p>
    <w:p w14:paraId="50F3B445">
      <w:pPr>
        <w:spacing w:line="400" w:lineRule="exact"/>
        <w:ind w:firstLine="424" w:firstLineChars="176"/>
        <w:outlineLvl w:val="1"/>
        <w:rPr>
          <w:rFonts w:hint="eastAsia" w:ascii="仿宋" w:hAnsi="仿宋" w:eastAsia="仿宋" w:cs="黑体"/>
          <w:b/>
          <w:color w:val="auto"/>
          <w:kern w:val="0"/>
          <w:sz w:val="24"/>
          <w:highlight w:val="none"/>
        </w:rPr>
      </w:pPr>
      <w:bookmarkStart w:id="515" w:name="_Toc6960"/>
      <w:r>
        <w:rPr>
          <w:rFonts w:hint="eastAsia" w:ascii="仿宋" w:hAnsi="仿宋" w:eastAsia="仿宋" w:cs="黑体"/>
          <w:b/>
          <w:color w:val="auto"/>
          <w:kern w:val="0"/>
          <w:sz w:val="24"/>
          <w:highlight w:val="none"/>
        </w:rPr>
        <w:t>十四、争议解决方式</w:t>
      </w:r>
      <w:bookmarkEnd w:id="515"/>
    </w:p>
    <w:p w14:paraId="45313128">
      <w:pPr>
        <w:spacing w:line="400" w:lineRule="exact"/>
        <w:ind w:firstLine="424" w:firstLineChars="177"/>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（一）合同的实施或与合同有关的一切争端应通过双方友好协商解决。如果友好协商自争端出现之日起60天后还不能解决，任何一方都可依法提交甲方所在地有管辖权的人民法院解决；</w:t>
      </w:r>
    </w:p>
    <w:p w14:paraId="6EDD02CE">
      <w:pPr>
        <w:spacing w:line="400" w:lineRule="exact"/>
        <w:ind w:firstLine="424" w:firstLineChars="177"/>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（二）由此产生的所有费用，包括但不限于诉讼费、律师费、公告费、保全费、差旅费等一切费用由败诉方承担；</w:t>
      </w:r>
    </w:p>
    <w:p w14:paraId="675A65FF">
      <w:pPr>
        <w:spacing w:line="400" w:lineRule="exact"/>
        <w:ind w:firstLine="424" w:firstLineChars="177"/>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（三）在诉讼期间，除正在进行诉讼的部分以外，双方应继续执行合同的其余部分；</w:t>
      </w:r>
    </w:p>
    <w:p w14:paraId="42A37B8B">
      <w:pPr>
        <w:spacing w:line="400" w:lineRule="exact"/>
        <w:ind w:firstLine="424" w:firstLineChars="177"/>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（四）本合同适用中华人民共和国法律。</w:t>
      </w:r>
    </w:p>
    <w:p w14:paraId="7250A98C">
      <w:pPr>
        <w:spacing w:line="400" w:lineRule="exact"/>
        <w:ind w:firstLine="426" w:firstLineChars="177"/>
        <w:rPr>
          <w:rFonts w:hint="eastAsia" w:ascii="仿宋" w:hAnsi="仿宋" w:eastAsia="仿宋" w:cs="仿宋_GB2312"/>
          <w:b/>
          <w:color w:val="auto"/>
          <w:kern w:val="0"/>
          <w:sz w:val="24"/>
          <w:highlight w:val="none"/>
        </w:rPr>
      </w:pPr>
    </w:p>
    <w:p w14:paraId="7B212518">
      <w:pPr>
        <w:widowControl/>
        <w:snapToGrid w:val="0"/>
        <w:spacing w:line="400" w:lineRule="exact"/>
        <w:ind w:firstLine="424" w:firstLineChars="176"/>
        <w:jc w:val="left"/>
        <w:outlineLvl w:val="1"/>
        <w:rPr>
          <w:rFonts w:ascii="仿宋" w:hAnsi="仿宋" w:eastAsia="仿宋" w:cs="宋体"/>
          <w:b/>
          <w:bCs/>
          <w:color w:val="auto"/>
          <w:kern w:val="0"/>
          <w:sz w:val="24"/>
          <w:highlight w:val="none"/>
        </w:rPr>
      </w:pPr>
      <w:bookmarkStart w:id="516" w:name="_Toc20765"/>
      <w:r>
        <w:rPr>
          <w:rFonts w:hint="eastAsia" w:ascii="仿宋" w:hAnsi="仿宋" w:eastAsia="仿宋" w:cs="宋体"/>
          <w:b/>
          <w:bCs/>
          <w:color w:val="auto"/>
          <w:kern w:val="0"/>
          <w:sz w:val="24"/>
          <w:highlight w:val="none"/>
        </w:rPr>
        <w:t>十五、项目合同附件清单</w:t>
      </w:r>
      <w:bookmarkEnd w:id="516"/>
    </w:p>
    <w:p w14:paraId="0F16C5B5">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附件一：招标文件（谈判文件）</w:t>
      </w:r>
    </w:p>
    <w:p w14:paraId="28957C86">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附件二：乙方投标书（响应文件）</w:t>
      </w:r>
    </w:p>
    <w:p w14:paraId="62D46226">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附件三：《技术支持和售后服务方案》</w:t>
      </w:r>
    </w:p>
    <w:p w14:paraId="38B9DFCB">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附件四：</w:t>
      </w:r>
      <w:r>
        <w:rPr>
          <w:rFonts w:hint="eastAsia" w:ascii="仿宋" w:hAnsi="仿宋" w:eastAsia="仿宋" w:cs="仿宋"/>
          <w:color w:val="auto"/>
          <w:sz w:val="24"/>
          <w:highlight w:val="none"/>
        </w:rPr>
        <w:t>验收主要指标和标准</w:t>
      </w:r>
    </w:p>
    <w:p w14:paraId="07314A69">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附件五：</w:t>
      </w:r>
      <w:r>
        <w:rPr>
          <w:rFonts w:hint="eastAsia" w:ascii="新宋体" w:hAnsi="新宋体" w:eastAsia="新宋体" w:cs="仿宋_GB2312"/>
          <w:color w:val="auto"/>
          <w:sz w:val="22"/>
          <w:szCs w:val="22"/>
          <w:highlight w:val="none"/>
        </w:rPr>
        <w:t>项</w:t>
      </w:r>
      <w:r>
        <w:rPr>
          <w:rFonts w:hint="eastAsia" w:ascii="仿宋" w:hAnsi="仿宋" w:eastAsia="仿宋" w:cs="仿宋"/>
          <w:color w:val="auto"/>
          <w:sz w:val="24"/>
          <w:highlight w:val="none"/>
        </w:rPr>
        <w:t>目管理小组与驻场人员名单成员（包含但不限于驻场人员姓名、资质证书、身份证号码、联系方式、职务、社保证明等）</w:t>
      </w:r>
    </w:p>
    <w:p w14:paraId="61529B80">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附件六：保密协议</w:t>
      </w:r>
    </w:p>
    <w:p w14:paraId="2B8463EB">
      <w:pPr>
        <w:widowControl/>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（可按项目实际</w:t>
      </w:r>
      <w:r>
        <w:rPr>
          <w:rFonts w:hint="eastAsia" w:ascii="仿宋" w:hAnsi="仿宋" w:eastAsia="仿宋" w:cs="仿宋_GB2312"/>
          <w:b/>
          <w:bCs/>
          <w:color w:val="auto"/>
          <w:kern w:val="0"/>
          <w:sz w:val="24"/>
          <w:highlight w:val="none"/>
        </w:rPr>
        <w:t>增加</w:t>
      </w:r>
      <w:r>
        <w:rPr>
          <w:rFonts w:hint="eastAsia" w:ascii="仿宋" w:hAnsi="仿宋" w:eastAsia="仿宋" w:cs="仿宋_GB2312"/>
          <w:color w:val="auto"/>
          <w:kern w:val="0"/>
          <w:sz w:val="24"/>
          <w:highlight w:val="none"/>
        </w:rPr>
        <w:t>附件内容）</w:t>
      </w:r>
    </w:p>
    <w:p w14:paraId="4BB36377">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244C54F4">
      <w:pPr>
        <w:widowControl/>
        <w:snapToGrid w:val="0"/>
        <w:spacing w:line="400" w:lineRule="exact"/>
        <w:ind w:firstLine="424" w:firstLineChars="176"/>
        <w:jc w:val="left"/>
        <w:outlineLvl w:val="1"/>
        <w:rPr>
          <w:rFonts w:ascii="仿宋" w:hAnsi="仿宋" w:eastAsia="仿宋" w:cs="宋体"/>
          <w:b/>
          <w:bCs/>
          <w:color w:val="auto"/>
          <w:kern w:val="0"/>
          <w:sz w:val="24"/>
          <w:highlight w:val="none"/>
        </w:rPr>
      </w:pPr>
      <w:bookmarkStart w:id="517" w:name="_Toc24170"/>
      <w:r>
        <w:rPr>
          <w:rFonts w:hint="eastAsia" w:ascii="仿宋" w:hAnsi="仿宋" w:eastAsia="仿宋" w:cs="宋体"/>
          <w:b/>
          <w:bCs/>
          <w:color w:val="auto"/>
          <w:kern w:val="0"/>
          <w:sz w:val="24"/>
          <w:highlight w:val="none"/>
        </w:rPr>
        <w:t>十六、项目合同生效及其它</w:t>
      </w:r>
      <w:bookmarkEnd w:id="517"/>
    </w:p>
    <w:p w14:paraId="083ECFC4">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（一）本合同自双方授权代表签字并加盖公章之日起生效；</w:t>
      </w:r>
    </w:p>
    <w:p w14:paraId="6E427CB3">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（二）本合同一式</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份（不少于陆份），甲方执</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份，乙方执</w:t>
      </w:r>
      <w:r>
        <w:rPr>
          <w:rFonts w:hint="eastAsia" w:ascii="仿宋" w:hAnsi="仿宋" w:eastAsia="仿宋" w:cs="仿宋_GB2312"/>
          <w:color w:val="auto"/>
          <w:kern w:val="0"/>
          <w:sz w:val="24"/>
          <w:highlight w:val="none"/>
          <w:u w:val="single"/>
        </w:rPr>
        <w:t xml:space="preserve"> </w:t>
      </w:r>
      <w:r>
        <w:rPr>
          <w:rFonts w:ascii="仿宋" w:hAnsi="仿宋" w:eastAsia="仿宋" w:cs="仿宋_GB2312"/>
          <w:color w:val="auto"/>
          <w:kern w:val="0"/>
          <w:sz w:val="24"/>
          <w:highlight w:val="none"/>
          <w:u w:val="single"/>
        </w:rPr>
        <w:t xml:space="preserve"> </w:t>
      </w:r>
      <w:r>
        <w:rPr>
          <w:rFonts w:hint="eastAsia" w:ascii="仿宋" w:hAnsi="仿宋" w:eastAsia="仿宋" w:cs="仿宋_GB2312"/>
          <w:color w:val="auto"/>
          <w:kern w:val="0"/>
          <w:sz w:val="24"/>
          <w:highlight w:val="none"/>
        </w:rPr>
        <w:t>份。</w:t>
      </w:r>
      <w:r>
        <w:rPr>
          <w:rFonts w:hint="eastAsia" w:ascii="仿宋" w:hAnsi="仿宋" w:eastAsia="仿宋" w:cs="仿宋_GB2312"/>
          <w:bCs/>
          <w:color w:val="auto"/>
          <w:kern w:val="0"/>
          <w:sz w:val="24"/>
          <w:highlight w:val="none"/>
        </w:rPr>
        <w:t>本项目合同附件及招标文件、乙方投标书等是合同不可分</w:t>
      </w:r>
      <w:r>
        <w:rPr>
          <w:rFonts w:hint="eastAsia" w:ascii="仿宋" w:hAnsi="仿宋" w:eastAsia="仿宋" w:cs="仿宋_GB2312"/>
          <w:color w:val="auto"/>
          <w:kern w:val="0"/>
          <w:sz w:val="24"/>
          <w:highlight w:val="none"/>
        </w:rPr>
        <w:t>割的一部分，具有同等法律效力；</w:t>
      </w:r>
    </w:p>
    <w:p w14:paraId="76296087">
      <w:pPr>
        <w:widowControl/>
        <w:snapToGrid w:val="0"/>
        <w:spacing w:line="400" w:lineRule="exact"/>
        <w:ind w:firstLine="424" w:firstLineChars="177"/>
        <w:jc w:val="left"/>
        <w:rPr>
          <w:rFonts w:ascii="仿宋" w:hAnsi="仿宋" w:eastAsia="仿宋" w:cs="仿宋_GB2312"/>
          <w:bCs/>
          <w:color w:val="auto"/>
          <w:kern w:val="0"/>
          <w:sz w:val="24"/>
          <w:highlight w:val="none"/>
        </w:rPr>
      </w:pPr>
      <w:r>
        <w:rPr>
          <w:rFonts w:hint="eastAsia" w:ascii="仿宋" w:hAnsi="仿宋" w:eastAsia="仿宋" w:cs="仿宋_GB2312"/>
          <w:bCs/>
          <w:color w:val="auto"/>
          <w:kern w:val="0"/>
          <w:sz w:val="24"/>
          <w:highlight w:val="none"/>
        </w:rPr>
        <w:t>（三）本合同终止日期为设备及系统保修期的结束日期，到期后自行终止；</w:t>
      </w:r>
    </w:p>
    <w:p w14:paraId="4F993BE6">
      <w:pPr>
        <w:widowControl/>
        <w:snapToGrid w:val="0"/>
        <w:spacing w:line="400" w:lineRule="exact"/>
        <w:ind w:firstLine="424" w:firstLineChars="177"/>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（四）送达条款。</w:t>
      </w:r>
    </w:p>
    <w:p w14:paraId="5E4E1D67">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16.4.1 本合同项下任何一方向对方发出的通知、信件、数据电文等，应当发送至本合同（首部/附件/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1F97FFF8">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16.4.2 任何一方当事人向对/他方所发出的信件，自信件【尽量约定为邮政特快专递】交邮后的第7日视为送达；发出的短信/传真/微信/电子邮件，自前述电子文件内容在发送方正确填写地址且未被系统退回的情况下，视为进入对方数据电文接收系统即视为送达。若送达日为非工作日, 则视为在下一工作日送达。</w:t>
      </w:r>
    </w:p>
    <w:p w14:paraId="2E1C9300">
      <w:pPr>
        <w:widowControl/>
        <w:snapToGrid w:val="0"/>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16.4.3 本合同（首部/附件/第1.1条）约定的地址、联系人及电子通信终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4E328CDA">
      <w:pPr>
        <w:widowControl/>
        <w:snapToGrid w:val="0"/>
        <w:spacing w:line="400" w:lineRule="exact"/>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16.4.4 合同送达条款与争议解决条款均为独立条款，不受合同整体或其他条款的效力的影响。</w:t>
      </w:r>
    </w:p>
    <w:p w14:paraId="20C9DEA0">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5292797B">
      <w:pPr>
        <w:widowControl/>
        <w:snapToGrid w:val="0"/>
        <w:spacing w:line="400" w:lineRule="exact"/>
        <w:ind w:firstLine="480" w:firstLineChars="200"/>
        <w:jc w:val="left"/>
        <w:rPr>
          <w:rFonts w:ascii="仿宋" w:hAnsi="仿宋" w:eastAsia="仿宋" w:cs="仿宋_GB2312"/>
          <w:bCs/>
          <w:color w:val="auto"/>
          <w:kern w:val="0"/>
          <w:sz w:val="24"/>
          <w:highlight w:val="none"/>
        </w:rPr>
      </w:pPr>
      <w:r>
        <w:rPr>
          <w:rFonts w:hint="eastAsia" w:ascii="仿宋" w:hAnsi="仿宋" w:eastAsia="仿宋" w:cs="仿宋_GB2312"/>
          <w:bCs/>
          <w:color w:val="auto"/>
          <w:kern w:val="0"/>
          <w:sz w:val="24"/>
          <w:highlight w:val="none"/>
        </w:rPr>
        <w:t>(以下无正文，为签章及附件)</w:t>
      </w:r>
    </w:p>
    <w:p w14:paraId="343F36DE">
      <w:pPr>
        <w:widowControl/>
        <w:snapToGrid w:val="0"/>
        <w:spacing w:line="400" w:lineRule="exact"/>
        <w:ind w:firstLine="424" w:firstLineChars="176"/>
        <w:jc w:val="left"/>
        <w:outlineLvl w:val="1"/>
        <w:rPr>
          <w:rFonts w:hint="eastAsia" w:ascii="仿宋" w:hAnsi="仿宋" w:eastAsia="仿宋" w:cs="仿宋_GB2312"/>
          <w:bCs/>
          <w:color w:val="auto"/>
          <w:kern w:val="0"/>
          <w:sz w:val="24"/>
          <w:highlight w:val="none"/>
        </w:rPr>
      </w:pPr>
      <w:bookmarkStart w:id="518" w:name="_Toc10354"/>
      <w:r>
        <w:rPr>
          <w:rFonts w:hint="eastAsia" w:ascii="仿宋" w:hAnsi="仿宋" w:eastAsia="仿宋" w:cs="宋体"/>
          <w:b/>
          <w:bCs/>
          <w:color w:val="auto"/>
          <w:kern w:val="0"/>
          <w:sz w:val="24"/>
          <w:highlight w:val="none"/>
        </w:rPr>
        <w:t>十七、项目合同签字并盖章</w:t>
      </w:r>
      <w:bookmarkEnd w:id="518"/>
    </w:p>
    <w:p w14:paraId="73E97F79">
      <w:pPr>
        <w:widowControl/>
        <w:spacing w:line="400" w:lineRule="exact"/>
        <w:jc w:val="left"/>
        <w:rPr>
          <w:rFonts w:hint="eastAsia" w:ascii="仿宋" w:hAnsi="仿宋" w:eastAsia="仿宋" w:cs="宋体"/>
          <w:b/>
          <w:bCs/>
          <w:color w:val="auto"/>
          <w:kern w:val="0"/>
          <w:sz w:val="24"/>
          <w:highlight w:val="none"/>
        </w:rPr>
      </w:pPr>
    </w:p>
    <w:p w14:paraId="4C4C1579">
      <w:pPr>
        <w:widowControl/>
        <w:spacing w:line="400" w:lineRule="exact"/>
        <w:ind w:left="5280" w:firstLine="480" w:firstLineChars="200"/>
        <w:jc w:val="left"/>
        <w:rPr>
          <w:rFonts w:hint="eastAsia" w:ascii="仿宋" w:hAnsi="仿宋" w:eastAsia="仿宋" w:cs="宋体"/>
          <w:color w:val="auto"/>
          <w:kern w:val="0"/>
          <w:sz w:val="24"/>
          <w:highlight w:val="none"/>
        </w:rPr>
      </w:pPr>
    </w:p>
    <w:p w14:paraId="70ABAAA3">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甲方：温州市公安局                   乙方： </w:t>
      </w:r>
    </w:p>
    <w:p w14:paraId="793D8287">
      <w:pPr>
        <w:widowControl/>
        <w:spacing w:line="400" w:lineRule="exact"/>
        <w:ind w:firstLine="480" w:firstLineChars="200"/>
        <w:jc w:val="left"/>
        <w:rPr>
          <w:rFonts w:hint="eastAsia" w:ascii="仿宋" w:hAnsi="仿宋" w:eastAsia="仿宋" w:cs="仿宋_GB2312"/>
          <w:color w:val="auto"/>
          <w:kern w:val="0"/>
          <w:sz w:val="24"/>
          <w:highlight w:val="none"/>
        </w:rPr>
      </w:pPr>
    </w:p>
    <w:p w14:paraId="7F41DC73">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法定（委托）代表人（签字）：         法定（委托）代表人（签字）：</w:t>
      </w:r>
    </w:p>
    <w:p w14:paraId="2CD0E4E7">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项目联系人：                         项目联系人：</w:t>
      </w:r>
    </w:p>
    <w:p w14:paraId="716AFBDC">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通信地址：                           通信地址： </w:t>
      </w:r>
    </w:p>
    <w:p w14:paraId="30BC555C">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电话：                               电话：</w:t>
      </w:r>
    </w:p>
    <w:p w14:paraId="758FAC16">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传真：                               传真：</w:t>
      </w:r>
    </w:p>
    <w:p w14:paraId="2BB64A6F">
      <w:pPr>
        <w:widowControl/>
        <w:spacing w:line="400" w:lineRule="exact"/>
        <w:ind w:firstLine="480" w:firstLineChars="200"/>
        <w:jc w:val="left"/>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签字日期：    年   月   日       签字日期：    年   月   日</w:t>
      </w:r>
    </w:p>
    <w:p w14:paraId="1D3A976B">
      <w:pPr>
        <w:widowControl/>
        <w:spacing w:line="400" w:lineRule="exact"/>
        <w:ind w:firstLine="482" w:firstLineChars="200"/>
        <w:jc w:val="center"/>
        <w:rPr>
          <w:rFonts w:ascii="仿宋" w:hAnsi="仿宋" w:eastAsia="仿宋" w:cs="宋体"/>
          <w:b/>
          <w:bCs/>
          <w:color w:val="auto"/>
          <w:kern w:val="0"/>
          <w:sz w:val="24"/>
          <w:highlight w:val="none"/>
        </w:rPr>
      </w:pPr>
      <w:bookmarkStart w:id="519" w:name="_Toc63837503"/>
    </w:p>
    <w:p w14:paraId="3762BDA0">
      <w:pPr>
        <w:widowControl/>
        <w:spacing w:line="400" w:lineRule="exact"/>
        <w:ind w:firstLine="482" w:firstLineChars="200"/>
        <w:rPr>
          <w:rFonts w:hint="eastAsia" w:ascii="仿宋" w:hAnsi="仿宋" w:eastAsia="仿宋" w:cs="宋体"/>
          <w:b/>
          <w:bCs/>
          <w:color w:val="auto"/>
          <w:kern w:val="0"/>
          <w:sz w:val="24"/>
          <w:highlight w:val="none"/>
        </w:rPr>
      </w:pPr>
    </w:p>
    <w:p w14:paraId="52DF3ABB">
      <w:pPr>
        <w:widowControl/>
        <w:spacing w:line="400" w:lineRule="exact"/>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br w:type="page"/>
      </w:r>
      <w:r>
        <w:rPr>
          <w:rFonts w:hint="eastAsia" w:ascii="仿宋" w:hAnsi="仿宋" w:eastAsia="仿宋" w:cs="宋体"/>
          <w:color w:val="auto"/>
          <w:kern w:val="0"/>
          <w:sz w:val="24"/>
          <w:highlight w:val="none"/>
        </w:rPr>
        <w:t>附件一</w:t>
      </w:r>
    </w:p>
    <w:p w14:paraId="6E3899B1">
      <w:pPr>
        <w:widowControl/>
        <w:spacing w:line="400" w:lineRule="exact"/>
        <w:ind w:firstLine="480" w:firstLineChars="200"/>
        <w:jc w:val="left"/>
        <w:rPr>
          <w:rFonts w:ascii="仿宋" w:hAnsi="仿宋" w:eastAsia="仿宋" w:cs="宋体"/>
          <w:color w:val="auto"/>
          <w:kern w:val="0"/>
          <w:sz w:val="24"/>
          <w:highlight w:val="none"/>
        </w:rPr>
      </w:pPr>
    </w:p>
    <w:p w14:paraId="262F3905">
      <w:pPr>
        <w:widowControl/>
        <w:spacing w:line="400" w:lineRule="exact"/>
        <w:ind w:firstLine="480" w:firstLineChars="200"/>
        <w:jc w:val="left"/>
        <w:rPr>
          <w:rFonts w:hint="eastAsia" w:ascii="仿宋" w:hAnsi="仿宋" w:eastAsia="仿宋" w:cs="宋体"/>
          <w:color w:val="auto"/>
          <w:kern w:val="0"/>
          <w:sz w:val="24"/>
          <w:highlight w:val="none"/>
        </w:rPr>
      </w:pPr>
    </w:p>
    <w:p w14:paraId="59AFF322">
      <w:pPr>
        <w:widowControl/>
        <w:spacing w:line="400" w:lineRule="exact"/>
        <w:ind w:firstLine="480" w:firstLineChars="200"/>
        <w:jc w:val="center"/>
        <w:rPr>
          <w:rFonts w:hint="eastAsia" w:ascii="仿宋" w:hAnsi="仿宋" w:eastAsia="仿宋" w:cs="宋体"/>
          <w:color w:val="auto"/>
          <w:kern w:val="0"/>
          <w:sz w:val="24"/>
          <w:highlight w:val="none"/>
        </w:rPr>
      </w:pPr>
    </w:p>
    <w:p w14:paraId="34608274">
      <w:pPr>
        <w:widowControl/>
        <w:spacing w:line="400" w:lineRule="exact"/>
        <w:ind w:firstLine="480" w:firstLineChars="20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招标文件</w:t>
      </w:r>
    </w:p>
    <w:p w14:paraId="4E52245F">
      <w:pPr>
        <w:widowControl/>
        <w:spacing w:line="400" w:lineRule="exact"/>
        <w:ind w:firstLine="480" w:firstLineChars="20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（文本另附，本页盖章即可）</w:t>
      </w:r>
    </w:p>
    <w:p w14:paraId="663EC923">
      <w:pPr>
        <w:widowControl/>
        <w:spacing w:before="120" w:line="40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w:t>
      </w:r>
    </w:p>
    <w:p w14:paraId="349E9D6A">
      <w:pPr>
        <w:widowControl/>
        <w:spacing w:before="120" w:line="400" w:lineRule="exact"/>
        <w:ind w:firstLine="480" w:firstLineChars="200"/>
        <w:jc w:val="left"/>
        <w:rPr>
          <w:rFonts w:ascii="仿宋" w:hAnsi="仿宋" w:eastAsia="仿宋" w:cs="宋体"/>
          <w:color w:val="auto"/>
          <w:kern w:val="0"/>
          <w:sz w:val="24"/>
          <w:highlight w:val="none"/>
        </w:rPr>
      </w:pPr>
    </w:p>
    <w:p w14:paraId="089AAAF5">
      <w:pPr>
        <w:widowControl/>
        <w:spacing w:before="120" w:line="400" w:lineRule="exact"/>
        <w:ind w:firstLine="480" w:firstLineChars="200"/>
        <w:jc w:val="left"/>
        <w:rPr>
          <w:rFonts w:ascii="仿宋" w:hAnsi="仿宋" w:eastAsia="仿宋" w:cs="宋体"/>
          <w:color w:val="auto"/>
          <w:kern w:val="0"/>
          <w:sz w:val="24"/>
          <w:highlight w:val="none"/>
        </w:rPr>
      </w:pPr>
    </w:p>
    <w:p w14:paraId="53552631">
      <w:pPr>
        <w:widowControl/>
        <w:spacing w:before="120" w:line="400" w:lineRule="exact"/>
        <w:ind w:firstLine="480" w:firstLineChars="200"/>
        <w:jc w:val="left"/>
        <w:rPr>
          <w:rFonts w:ascii="仿宋" w:hAnsi="仿宋" w:eastAsia="仿宋" w:cs="宋体"/>
          <w:color w:val="auto"/>
          <w:kern w:val="0"/>
          <w:sz w:val="24"/>
          <w:highlight w:val="none"/>
        </w:rPr>
      </w:pPr>
    </w:p>
    <w:p w14:paraId="1D84A663">
      <w:pPr>
        <w:widowControl/>
        <w:spacing w:before="120" w:line="400" w:lineRule="exact"/>
        <w:ind w:firstLine="480" w:firstLineChars="200"/>
        <w:jc w:val="left"/>
        <w:rPr>
          <w:rFonts w:ascii="仿宋" w:hAnsi="仿宋" w:eastAsia="仿宋" w:cs="宋体"/>
          <w:color w:val="auto"/>
          <w:kern w:val="0"/>
          <w:sz w:val="24"/>
          <w:highlight w:val="none"/>
        </w:rPr>
      </w:pPr>
    </w:p>
    <w:p w14:paraId="1DC5FEFF">
      <w:pPr>
        <w:widowControl/>
        <w:spacing w:before="120" w:line="400" w:lineRule="exact"/>
        <w:ind w:firstLine="480" w:firstLineChars="200"/>
        <w:jc w:val="left"/>
        <w:rPr>
          <w:rFonts w:ascii="仿宋" w:hAnsi="仿宋" w:eastAsia="仿宋" w:cs="宋体"/>
          <w:color w:val="auto"/>
          <w:kern w:val="0"/>
          <w:sz w:val="24"/>
          <w:highlight w:val="none"/>
        </w:rPr>
      </w:pPr>
    </w:p>
    <w:p w14:paraId="5258D73A">
      <w:pPr>
        <w:widowControl/>
        <w:spacing w:before="120" w:line="400" w:lineRule="exact"/>
        <w:ind w:firstLine="480" w:firstLineChars="200"/>
        <w:jc w:val="left"/>
        <w:rPr>
          <w:rFonts w:ascii="仿宋" w:hAnsi="仿宋" w:eastAsia="仿宋" w:cs="宋体"/>
          <w:color w:val="auto"/>
          <w:kern w:val="0"/>
          <w:sz w:val="24"/>
          <w:highlight w:val="none"/>
        </w:rPr>
      </w:pPr>
    </w:p>
    <w:p w14:paraId="0B27553F">
      <w:pPr>
        <w:widowControl/>
        <w:spacing w:before="120" w:line="400" w:lineRule="exact"/>
        <w:ind w:firstLine="480" w:firstLineChars="200"/>
        <w:jc w:val="left"/>
        <w:rPr>
          <w:rFonts w:ascii="仿宋" w:hAnsi="仿宋" w:eastAsia="仿宋" w:cs="宋体"/>
          <w:color w:val="auto"/>
          <w:kern w:val="0"/>
          <w:sz w:val="24"/>
          <w:highlight w:val="none"/>
        </w:rPr>
      </w:pPr>
    </w:p>
    <w:p w14:paraId="3C3BC73E">
      <w:pPr>
        <w:widowControl/>
        <w:spacing w:before="120" w:line="400" w:lineRule="exact"/>
        <w:ind w:firstLine="480" w:firstLineChars="200"/>
        <w:jc w:val="left"/>
        <w:rPr>
          <w:rFonts w:ascii="仿宋" w:hAnsi="仿宋" w:eastAsia="仿宋" w:cs="宋体"/>
          <w:color w:val="auto"/>
          <w:kern w:val="0"/>
          <w:sz w:val="24"/>
          <w:highlight w:val="none"/>
        </w:rPr>
      </w:pPr>
    </w:p>
    <w:p w14:paraId="7D12B202">
      <w:pPr>
        <w:widowControl/>
        <w:spacing w:before="120" w:line="400" w:lineRule="exact"/>
        <w:ind w:firstLine="480" w:firstLineChars="200"/>
        <w:jc w:val="left"/>
        <w:rPr>
          <w:rFonts w:ascii="仿宋" w:hAnsi="仿宋" w:eastAsia="仿宋" w:cs="宋体"/>
          <w:color w:val="auto"/>
          <w:kern w:val="0"/>
          <w:sz w:val="24"/>
          <w:highlight w:val="none"/>
        </w:rPr>
      </w:pPr>
    </w:p>
    <w:p w14:paraId="5FA08FC3">
      <w:pPr>
        <w:widowControl/>
        <w:spacing w:before="120" w:line="400" w:lineRule="exact"/>
        <w:ind w:firstLine="480" w:firstLineChars="20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＿＿＿＿＿＿＿公司（印章）</w:t>
      </w:r>
    </w:p>
    <w:p w14:paraId="3E92628A">
      <w:pPr>
        <w:widowControl/>
        <w:spacing w:before="120" w:line="400" w:lineRule="exact"/>
        <w:ind w:firstLine="480" w:firstLineChars="200"/>
        <w:jc w:val="left"/>
        <w:rPr>
          <w:rFonts w:ascii="仿宋" w:hAnsi="仿宋" w:eastAsia="仿宋" w:cs="宋体"/>
          <w:color w:val="auto"/>
          <w:kern w:val="0"/>
          <w:sz w:val="24"/>
          <w:highlight w:val="none"/>
        </w:rPr>
      </w:pPr>
    </w:p>
    <w:p w14:paraId="19B7334B">
      <w:pPr>
        <w:widowControl/>
        <w:spacing w:before="120" w:line="400" w:lineRule="exact"/>
        <w:ind w:firstLine="480" w:firstLineChars="200"/>
        <w:jc w:val="left"/>
        <w:rPr>
          <w:rFonts w:ascii="仿宋" w:hAnsi="仿宋" w:eastAsia="仿宋" w:cs="宋体"/>
          <w:color w:val="auto"/>
          <w:kern w:val="0"/>
          <w:sz w:val="24"/>
          <w:highlight w:val="none"/>
        </w:rPr>
      </w:pPr>
    </w:p>
    <w:p w14:paraId="2A9E5055">
      <w:pPr>
        <w:widowControl/>
        <w:spacing w:before="120" w:line="400" w:lineRule="exact"/>
        <w:ind w:firstLine="480" w:firstLineChars="200"/>
        <w:jc w:val="left"/>
        <w:rPr>
          <w:rFonts w:ascii="仿宋" w:hAnsi="仿宋" w:eastAsia="仿宋" w:cs="宋体"/>
          <w:color w:val="auto"/>
          <w:kern w:val="0"/>
          <w:sz w:val="24"/>
          <w:highlight w:val="none"/>
        </w:rPr>
      </w:pPr>
    </w:p>
    <w:p w14:paraId="6A46B818">
      <w:pPr>
        <w:widowControl/>
        <w:spacing w:before="120" w:line="400" w:lineRule="exact"/>
        <w:ind w:firstLine="480" w:firstLineChars="200"/>
        <w:jc w:val="left"/>
        <w:rPr>
          <w:rFonts w:ascii="仿宋" w:hAnsi="仿宋" w:eastAsia="仿宋" w:cs="宋体"/>
          <w:color w:val="auto"/>
          <w:kern w:val="0"/>
          <w:sz w:val="24"/>
          <w:highlight w:val="none"/>
        </w:rPr>
      </w:pPr>
    </w:p>
    <w:p w14:paraId="2BBA6D93">
      <w:pPr>
        <w:widowControl/>
        <w:spacing w:before="120" w:line="400" w:lineRule="exact"/>
        <w:ind w:firstLine="480" w:firstLineChars="200"/>
        <w:jc w:val="left"/>
        <w:rPr>
          <w:rFonts w:ascii="仿宋" w:hAnsi="仿宋" w:eastAsia="仿宋" w:cs="宋体"/>
          <w:color w:val="auto"/>
          <w:kern w:val="0"/>
          <w:sz w:val="24"/>
          <w:highlight w:val="none"/>
        </w:rPr>
      </w:pPr>
    </w:p>
    <w:p w14:paraId="62E184E6">
      <w:pPr>
        <w:widowControl/>
        <w:spacing w:before="120" w:line="400" w:lineRule="exact"/>
        <w:ind w:firstLine="480" w:firstLineChars="200"/>
        <w:jc w:val="left"/>
        <w:rPr>
          <w:rFonts w:hint="eastAsia" w:ascii="仿宋" w:hAnsi="仿宋" w:eastAsia="仿宋" w:cs="宋体"/>
          <w:color w:val="auto"/>
          <w:kern w:val="0"/>
          <w:sz w:val="24"/>
          <w:highlight w:val="none"/>
        </w:rPr>
      </w:pPr>
    </w:p>
    <w:p w14:paraId="58E401C4">
      <w:pPr>
        <w:widowControl/>
        <w:spacing w:before="120" w:line="400" w:lineRule="exact"/>
        <w:ind w:firstLine="480" w:firstLineChars="200"/>
        <w:jc w:val="left"/>
        <w:rPr>
          <w:rFonts w:ascii="仿宋" w:hAnsi="仿宋" w:eastAsia="仿宋" w:cs="宋体"/>
          <w:color w:val="auto"/>
          <w:kern w:val="0"/>
          <w:sz w:val="24"/>
          <w:highlight w:val="none"/>
        </w:rPr>
      </w:pPr>
    </w:p>
    <w:p w14:paraId="564DF506">
      <w:pPr>
        <w:widowControl/>
        <w:spacing w:before="120" w:line="400" w:lineRule="exact"/>
        <w:jc w:val="left"/>
        <w:rPr>
          <w:rFonts w:hint="eastAsia" w:ascii="仿宋" w:hAnsi="仿宋" w:eastAsia="仿宋" w:cs="宋体"/>
          <w:color w:val="auto"/>
          <w:kern w:val="0"/>
          <w:sz w:val="24"/>
          <w:highlight w:val="none"/>
        </w:rPr>
      </w:pPr>
    </w:p>
    <w:p w14:paraId="03647B1C">
      <w:pPr>
        <w:widowControl/>
        <w:spacing w:line="400" w:lineRule="exact"/>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附件二</w:t>
      </w:r>
    </w:p>
    <w:p w14:paraId="79948B01">
      <w:pPr>
        <w:widowControl/>
        <w:spacing w:line="400" w:lineRule="exact"/>
        <w:ind w:firstLine="480" w:firstLineChars="200"/>
        <w:jc w:val="center"/>
        <w:rPr>
          <w:rFonts w:ascii="仿宋" w:hAnsi="仿宋" w:eastAsia="仿宋" w:cs="宋体"/>
          <w:color w:val="auto"/>
          <w:kern w:val="0"/>
          <w:sz w:val="24"/>
          <w:highlight w:val="none"/>
        </w:rPr>
      </w:pPr>
    </w:p>
    <w:p w14:paraId="0C4DE37A">
      <w:pPr>
        <w:widowControl/>
        <w:spacing w:line="400" w:lineRule="exact"/>
        <w:ind w:firstLine="480" w:firstLineChars="200"/>
        <w:jc w:val="center"/>
        <w:rPr>
          <w:rFonts w:ascii="仿宋" w:hAnsi="仿宋" w:eastAsia="仿宋" w:cs="宋体"/>
          <w:color w:val="auto"/>
          <w:kern w:val="0"/>
          <w:sz w:val="24"/>
          <w:highlight w:val="none"/>
        </w:rPr>
      </w:pPr>
    </w:p>
    <w:p w14:paraId="7567DC72">
      <w:pPr>
        <w:widowControl/>
        <w:spacing w:line="400" w:lineRule="exact"/>
        <w:ind w:firstLine="480" w:firstLineChars="200"/>
        <w:jc w:val="center"/>
        <w:rPr>
          <w:rFonts w:hint="eastAsia" w:ascii="仿宋" w:hAnsi="仿宋" w:eastAsia="仿宋" w:cs="宋体"/>
          <w:color w:val="auto"/>
          <w:kern w:val="0"/>
          <w:sz w:val="24"/>
          <w:highlight w:val="none"/>
        </w:rPr>
      </w:pPr>
    </w:p>
    <w:p w14:paraId="1000B8D7">
      <w:pPr>
        <w:widowControl/>
        <w:spacing w:line="400" w:lineRule="exact"/>
        <w:ind w:firstLine="480" w:firstLineChars="20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乙方投标书</w:t>
      </w:r>
    </w:p>
    <w:p w14:paraId="3CE2F9CD">
      <w:pPr>
        <w:widowControl/>
        <w:spacing w:line="400" w:lineRule="exact"/>
        <w:ind w:firstLine="480" w:firstLineChars="20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（文本另附，本页盖章即可）</w:t>
      </w:r>
    </w:p>
    <w:p w14:paraId="45A64A4B">
      <w:pPr>
        <w:widowControl/>
        <w:spacing w:line="400" w:lineRule="exact"/>
        <w:ind w:firstLine="480" w:firstLineChars="200"/>
        <w:jc w:val="center"/>
        <w:rPr>
          <w:rFonts w:ascii="仿宋" w:hAnsi="仿宋" w:eastAsia="仿宋" w:cs="宋体"/>
          <w:color w:val="auto"/>
          <w:kern w:val="0"/>
          <w:sz w:val="24"/>
          <w:highlight w:val="none"/>
        </w:rPr>
      </w:pPr>
    </w:p>
    <w:p w14:paraId="120ECDAE">
      <w:pPr>
        <w:widowControl/>
        <w:spacing w:line="400" w:lineRule="exact"/>
        <w:ind w:firstLine="480" w:firstLineChars="200"/>
        <w:jc w:val="center"/>
        <w:rPr>
          <w:rFonts w:ascii="仿宋" w:hAnsi="仿宋" w:eastAsia="仿宋" w:cs="宋体"/>
          <w:color w:val="auto"/>
          <w:kern w:val="0"/>
          <w:sz w:val="24"/>
          <w:highlight w:val="none"/>
        </w:rPr>
      </w:pPr>
    </w:p>
    <w:p w14:paraId="64193E76">
      <w:pPr>
        <w:widowControl/>
        <w:spacing w:line="400" w:lineRule="exact"/>
        <w:ind w:firstLine="480" w:firstLineChars="200"/>
        <w:jc w:val="center"/>
        <w:rPr>
          <w:rFonts w:ascii="仿宋" w:hAnsi="仿宋" w:eastAsia="仿宋" w:cs="宋体"/>
          <w:color w:val="auto"/>
          <w:kern w:val="0"/>
          <w:sz w:val="24"/>
          <w:highlight w:val="none"/>
        </w:rPr>
      </w:pPr>
    </w:p>
    <w:p w14:paraId="68DF4189">
      <w:pPr>
        <w:widowControl/>
        <w:spacing w:line="400" w:lineRule="exact"/>
        <w:ind w:firstLine="480" w:firstLineChars="200"/>
        <w:jc w:val="center"/>
        <w:rPr>
          <w:rFonts w:ascii="仿宋" w:hAnsi="仿宋" w:eastAsia="仿宋" w:cs="宋体"/>
          <w:color w:val="auto"/>
          <w:kern w:val="0"/>
          <w:sz w:val="24"/>
          <w:highlight w:val="none"/>
        </w:rPr>
      </w:pPr>
    </w:p>
    <w:p w14:paraId="219442CE">
      <w:pPr>
        <w:widowControl/>
        <w:spacing w:line="400" w:lineRule="exact"/>
        <w:ind w:firstLine="480" w:firstLineChars="200"/>
        <w:jc w:val="center"/>
        <w:rPr>
          <w:rFonts w:ascii="仿宋" w:hAnsi="仿宋" w:eastAsia="仿宋" w:cs="宋体"/>
          <w:color w:val="auto"/>
          <w:kern w:val="0"/>
          <w:sz w:val="24"/>
          <w:highlight w:val="none"/>
        </w:rPr>
      </w:pPr>
    </w:p>
    <w:p w14:paraId="1A1140AF">
      <w:pPr>
        <w:widowControl/>
        <w:spacing w:line="400" w:lineRule="exact"/>
        <w:ind w:firstLine="480" w:firstLineChars="200"/>
        <w:jc w:val="center"/>
        <w:rPr>
          <w:rFonts w:ascii="仿宋" w:hAnsi="仿宋" w:eastAsia="仿宋" w:cs="宋体"/>
          <w:color w:val="auto"/>
          <w:kern w:val="0"/>
          <w:sz w:val="24"/>
          <w:highlight w:val="none"/>
        </w:rPr>
      </w:pPr>
    </w:p>
    <w:p w14:paraId="55F2C7D0">
      <w:pPr>
        <w:widowControl/>
        <w:spacing w:line="400" w:lineRule="exact"/>
        <w:ind w:firstLine="480" w:firstLineChars="200"/>
        <w:jc w:val="center"/>
        <w:rPr>
          <w:rFonts w:ascii="仿宋" w:hAnsi="仿宋" w:eastAsia="仿宋" w:cs="宋体"/>
          <w:color w:val="auto"/>
          <w:kern w:val="0"/>
          <w:sz w:val="24"/>
          <w:highlight w:val="none"/>
        </w:rPr>
      </w:pPr>
    </w:p>
    <w:p w14:paraId="420100F5">
      <w:pPr>
        <w:widowControl/>
        <w:spacing w:line="400" w:lineRule="exact"/>
        <w:ind w:firstLine="480" w:firstLineChars="200"/>
        <w:jc w:val="center"/>
        <w:rPr>
          <w:rFonts w:ascii="仿宋" w:hAnsi="仿宋" w:eastAsia="仿宋" w:cs="宋体"/>
          <w:color w:val="auto"/>
          <w:kern w:val="0"/>
          <w:sz w:val="24"/>
          <w:highlight w:val="none"/>
        </w:rPr>
      </w:pPr>
    </w:p>
    <w:p w14:paraId="4B88C2B7">
      <w:pPr>
        <w:widowControl/>
        <w:spacing w:line="400" w:lineRule="exact"/>
        <w:ind w:firstLine="480" w:firstLineChars="200"/>
        <w:jc w:val="center"/>
        <w:rPr>
          <w:rFonts w:ascii="仿宋" w:hAnsi="仿宋" w:eastAsia="仿宋" w:cs="宋体"/>
          <w:color w:val="auto"/>
          <w:kern w:val="0"/>
          <w:sz w:val="24"/>
          <w:highlight w:val="none"/>
        </w:rPr>
      </w:pPr>
    </w:p>
    <w:p w14:paraId="7A0A7145">
      <w:pPr>
        <w:widowControl/>
        <w:spacing w:line="400" w:lineRule="exact"/>
        <w:ind w:firstLine="480" w:firstLineChars="200"/>
        <w:jc w:val="center"/>
        <w:rPr>
          <w:rFonts w:hint="eastAsia" w:ascii="仿宋" w:hAnsi="仿宋" w:eastAsia="仿宋" w:cs="宋体"/>
          <w:color w:val="auto"/>
          <w:kern w:val="0"/>
          <w:sz w:val="24"/>
          <w:highlight w:val="none"/>
        </w:rPr>
      </w:pPr>
    </w:p>
    <w:p w14:paraId="0BA7C89A">
      <w:pPr>
        <w:widowControl/>
        <w:spacing w:line="400" w:lineRule="exact"/>
        <w:ind w:firstLine="480" w:firstLineChars="200"/>
        <w:jc w:val="center"/>
        <w:rPr>
          <w:rFonts w:ascii="仿宋" w:hAnsi="仿宋" w:eastAsia="仿宋" w:cs="宋体"/>
          <w:color w:val="auto"/>
          <w:kern w:val="0"/>
          <w:sz w:val="24"/>
          <w:highlight w:val="none"/>
        </w:rPr>
      </w:pPr>
    </w:p>
    <w:p w14:paraId="026D3BA5">
      <w:pPr>
        <w:widowControl/>
        <w:spacing w:line="400" w:lineRule="exact"/>
        <w:ind w:firstLine="480" w:firstLineChars="200"/>
        <w:jc w:val="center"/>
        <w:rPr>
          <w:rFonts w:ascii="仿宋" w:hAnsi="仿宋" w:eastAsia="仿宋" w:cs="宋体"/>
          <w:color w:val="auto"/>
          <w:kern w:val="0"/>
          <w:sz w:val="24"/>
          <w:highlight w:val="none"/>
        </w:rPr>
      </w:pPr>
    </w:p>
    <w:p w14:paraId="59D7A2DC">
      <w:pPr>
        <w:widowControl/>
        <w:spacing w:line="400" w:lineRule="exact"/>
        <w:ind w:firstLine="480" w:firstLineChars="200"/>
        <w:jc w:val="center"/>
        <w:rPr>
          <w:rFonts w:hint="eastAsia" w:ascii="仿宋" w:hAnsi="仿宋" w:eastAsia="仿宋" w:cs="宋体"/>
          <w:color w:val="auto"/>
          <w:kern w:val="0"/>
          <w:sz w:val="24"/>
          <w:highlight w:val="none"/>
        </w:rPr>
      </w:pPr>
    </w:p>
    <w:p w14:paraId="63EF4345">
      <w:pPr>
        <w:widowControl/>
        <w:spacing w:before="120" w:line="400" w:lineRule="exact"/>
        <w:ind w:firstLine="480" w:firstLineChars="20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＿＿＿＿＿＿＿公司（印章）</w:t>
      </w:r>
    </w:p>
    <w:p w14:paraId="083D1662">
      <w:pPr>
        <w:widowControl/>
        <w:spacing w:before="120" w:line="400" w:lineRule="exact"/>
        <w:ind w:firstLine="480" w:firstLineChars="200"/>
        <w:jc w:val="left"/>
        <w:rPr>
          <w:rFonts w:ascii="仿宋" w:hAnsi="仿宋" w:eastAsia="仿宋" w:cs="宋体"/>
          <w:color w:val="auto"/>
          <w:kern w:val="0"/>
          <w:sz w:val="24"/>
          <w:highlight w:val="none"/>
        </w:rPr>
      </w:pPr>
    </w:p>
    <w:p w14:paraId="54F803EA">
      <w:pPr>
        <w:widowControl/>
        <w:spacing w:before="120" w:line="400" w:lineRule="exact"/>
        <w:ind w:firstLine="480" w:firstLineChars="200"/>
        <w:jc w:val="left"/>
        <w:rPr>
          <w:rFonts w:ascii="仿宋" w:hAnsi="仿宋" w:eastAsia="仿宋" w:cs="宋体"/>
          <w:color w:val="auto"/>
          <w:kern w:val="0"/>
          <w:sz w:val="24"/>
          <w:highlight w:val="none"/>
        </w:rPr>
      </w:pPr>
    </w:p>
    <w:p w14:paraId="46954FDF">
      <w:pPr>
        <w:widowControl/>
        <w:spacing w:before="120" w:line="400" w:lineRule="exact"/>
        <w:ind w:firstLine="480" w:firstLineChars="200"/>
        <w:jc w:val="left"/>
        <w:rPr>
          <w:rFonts w:ascii="仿宋" w:hAnsi="仿宋" w:eastAsia="仿宋" w:cs="宋体"/>
          <w:color w:val="auto"/>
          <w:kern w:val="0"/>
          <w:sz w:val="24"/>
          <w:highlight w:val="none"/>
        </w:rPr>
      </w:pPr>
    </w:p>
    <w:p w14:paraId="35D0E8F8">
      <w:pPr>
        <w:widowControl/>
        <w:spacing w:before="120" w:line="400" w:lineRule="exact"/>
        <w:ind w:firstLine="480" w:firstLineChars="200"/>
        <w:jc w:val="left"/>
        <w:rPr>
          <w:rFonts w:ascii="仿宋" w:hAnsi="仿宋" w:eastAsia="仿宋" w:cs="宋体"/>
          <w:color w:val="auto"/>
          <w:kern w:val="0"/>
          <w:sz w:val="24"/>
          <w:highlight w:val="none"/>
        </w:rPr>
      </w:pPr>
    </w:p>
    <w:p w14:paraId="54D9F2B5">
      <w:pPr>
        <w:widowControl/>
        <w:spacing w:before="120" w:line="400" w:lineRule="exact"/>
        <w:ind w:firstLine="480" w:firstLineChars="200"/>
        <w:jc w:val="left"/>
        <w:rPr>
          <w:rFonts w:ascii="仿宋" w:hAnsi="仿宋" w:eastAsia="仿宋" w:cs="宋体"/>
          <w:color w:val="auto"/>
          <w:kern w:val="0"/>
          <w:sz w:val="24"/>
          <w:highlight w:val="none"/>
        </w:rPr>
      </w:pPr>
    </w:p>
    <w:p w14:paraId="0A917CFE">
      <w:pPr>
        <w:widowControl/>
        <w:spacing w:before="120" w:line="400" w:lineRule="exact"/>
        <w:ind w:firstLine="480" w:firstLineChars="200"/>
        <w:jc w:val="left"/>
        <w:rPr>
          <w:rFonts w:ascii="仿宋" w:hAnsi="仿宋" w:eastAsia="仿宋" w:cs="宋体"/>
          <w:color w:val="auto"/>
          <w:kern w:val="0"/>
          <w:sz w:val="24"/>
          <w:highlight w:val="none"/>
        </w:rPr>
      </w:pPr>
    </w:p>
    <w:p w14:paraId="44A252F4">
      <w:pPr>
        <w:widowControl/>
        <w:spacing w:before="120" w:line="400" w:lineRule="exact"/>
        <w:ind w:firstLine="480" w:firstLineChars="200"/>
        <w:jc w:val="left"/>
        <w:rPr>
          <w:rFonts w:ascii="仿宋" w:hAnsi="仿宋" w:eastAsia="仿宋" w:cs="宋体"/>
          <w:color w:val="auto"/>
          <w:kern w:val="0"/>
          <w:sz w:val="24"/>
          <w:highlight w:val="none"/>
        </w:rPr>
      </w:pPr>
    </w:p>
    <w:p w14:paraId="11ECC6D6">
      <w:pPr>
        <w:widowControl/>
        <w:spacing w:before="120" w:line="400" w:lineRule="exact"/>
        <w:ind w:firstLine="480" w:firstLineChars="200"/>
        <w:jc w:val="left"/>
        <w:rPr>
          <w:rFonts w:ascii="仿宋" w:hAnsi="仿宋" w:eastAsia="仿宋" w:cs="宋体"/>
          <w:color w:val="auto"/>
          <w:kern w:val="0"/>
          <w:sz w:val="24"/>
          <w:highlight w:val="none"/>
        </w:rPr>
      </w:pPr>
    </w:p>
    <w:p w14:paraId="6E06F6ED">
      <w:pPr>
        <w:widowControl/>
        <w:snapToGrid w:val="0"/>
        <w:spacing w:line="40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附件三</w:t>
      </w:r>
    </w:p>
    <w:p w14:paraId="6666D00B">
      <w:pPr>
        <w:widowControl/>
        <w:snapToGrid w:val="0"/>
        <w:spacing w:line="400" w:lineRule="exact"/>
        <w:ind w:firstLine="480" w:firstLineChars="200"/>
        <w:rPr>
          <w:rFonts w:hint="eastAsia" w:ascii="仿宋" w:hAnsi="仿宋" w:eastAsia="仿宋" w:cs="宋体"/>
          <w:color w:val="auto"/>
          <w:kern w:val="0"/>
          <w:sz w:val="24"/>
          <w:highlight w:val="none"/>
        </w:rPr>
      </w:pPr>
    </w:p>
    <w:p w14:paraId="02ADC72C">
      <w:pPr>
        <w:widowControl/>
        <w:snapToGrid w:val="0"/>
        <w:spacing w:line="400" w:lineRule="exact"/>
        <w:ind w:firstLine="480" w:firstLineChars="200"/>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技术支持与售后服务方案（技术培训应包含培训人数、培训天数、培训次数、培训内容、培训目的等）</w:t>
      </w:r>
    </w:p>
    <w:p w14:paraId="55606B56">
      <w:pPr>
        <w:widowControl/>
        <w:snapToGrid w:val="0"/>
        <w:spacing w:line="400" w:lineRule="exact"/>
        <w:ind w:firstLine="480" w:firstLineChars="200"/>
        <w:jc w:val="center"/>
        <w:rPr>
          <w:rFonts w:hint="eastAsia" w:ascii="仿宋" w:hAnsi="仿宋" w:eastAsia="仿宋" w:cs="宋体"/>
          <w:color w:val="auto"/>
          <w:kern w:val="0"/>
          <w:sz w:val="24"/>
          <w:highlight w:val="none"/>
        </w:rPr>
      </w:pPr>
    </w:p>
    <w:p w14:paraId="4D31E1C8">
      <w:pPr>
        <w:widowControl/>
        <w:snapToGrid w:val="0"/>
        <w:spacing w:line="400" w:lineRule="exact"/>
        <w:ind w:firstLine="480" w:firstLineChars="200"/>
        <w:jc w:val="center"/>
        <w:rPr>
          <w:rFonts w:ascii="仿宋" w:hAnsi="仿宋" w:eastAsia="仿宋" w:cs="宋体"/>
          <w:color w:val="auto"/>
          <w:kern w:val="0"/>
          <w:sz w:val="24"/>
          <w:highlight w:val="none"/>
        </w:rPr>
      </w:pPr>
    </w:p>
    <w:p w14:paraId="0E8F489D">
      <w:pPr>
        <w:widowControl/>
        <w:snapToGrid w:val="0"/>
        <w:spacing w:line="400" w:lineRule="exact"/>
        <w:ind w:firstLine="480" w:firstLineChars="200"/>
        <w:jc w:val="center"/>
        <w:rPr>
          <w:rFonts w:ascii="仿宋" w:hAnsi="仿宋" w:eastAsia="仿宋" w:cs="宋体"/>
          <w:color w:val="auto"/>
          <w:kern w:val="0"/>
          <w:sz w:val="24"/>
          <w:highlight w:val="none"/>
        </w:rPr>
      </w:pPr>
    </w:p>
    <w:p w14:paraId="20375044">
      <w:pPr>
        <w:widowControl/>
        <w:snapToGrid w:val="0"/>
        <w:spacing w:line="400" w:lineRule="exact"/>
        <w:ind w:firstLine="480" w:firstLineChars="200"/>
        <w:jc w:val="center"/>
        <w:rPr>
          <w:rFonts w:ascii="仿宋" w:hAnsi="仿宋" w:eastAsia="仿宋" w:cs="宋体"/>
          <w:color w:val="auto"/>
          <w:kern w:val="0"/>
          <w:sz w:val="24"/>
          <w:highlight w:val="none"/>
        </w:rPr>
      </w:pPr>
    </w:p>
    <w:p w14:paraId="1490F84B">
      <w:pPr>
        <w:widowControl/>
        <w:snapToGrid w:val="0"/>
        <w:spacing w:line="400" w:lineRule="exact"/>
        <w:ind w:firstLine="480" w:firstLineChars="200"/>
        <w:jc w:val="center"/>
        <w:rPr>
          <w:rFonts w:ascii="仿宋" w:hAnsi="仿宋" w:eastAsia="仿宋" w:cs="宋体"/>
          <w:color w:val="auto"/>
          <w:kern w:val="0"/>
          <w:sz w:val="24"/>
          <w:highlight w:val="none"/>
        </w:rPr>
      </w:pPr>
    </w:p>
    <w:p w14:paraId="1E7FA875">
      <w:pPr>
        <w:widowControl/>
        <w:snapToGrid w:val="0"/>
        <w:spacing w:line="400" w:lineRule="exact"/>
        <w:ind w:firstLine="480" w:firstLineChars="200"/>
        <w:jc w:val="center"/>
        <w:rPr>
          <w:rFonts w:ascii="仿宋" w:hAnsi="仿宋" w:eastAsia="仿宋" w:cs="宋体"/>
          <w:color w:val="auto"/>
          <w:kern w:val="0"/>
          <w:sz w:val="24"/>
          <w:highlight w:val="none"/>
        </w:rPr>
      </w:pPr>
    </w:p>
    <w:p w14:paraId="26701055">
      <w:pPr>
        <w:widowControl/>
        <w:snapToGrid w:val="0"/>
        <w:spacing w:line="400" w:lineRule="exact"/>
        <w:ind w:firstLine="480" w:firstLineChars="200"/>
        <w:jc w:val="center"/>
        <w:rPr>
          <w:rFonts w:ascii="仿宋" w:hAnsi="仿宋" w:eastAsia="仿宋" w:cs="宋体"/>
          <w:color w:val="auto"/>
          <w:kern w:val="0"/>
          <w:sz w:val="24"/>
          <w:highlight w:val="none"/>
        </w:rPr>
      </w:pPr>
    </w:p>
    <w:p w14:paraId="04F8CE93">
      <w:pPr>
        <w:widowControl/>
        <w:snapToGrid w:val="0"/>
        <w:spacing w:line="400" w:lineRule="exact"/>
        <w:ind w:firstLine="480" w:firstLineChars="200"/>
        <w:jc w:val="center"/>
        <w:rPr>
          <w:rFonts w:ascii="仿宋" w:hAnsi="仿宋" w:eastAsia="仿宋" w:cs="宋体"/>
          <w:color w:val="auto"/>
          <w:kern w:val="0"/>
          <w:sz w:val="24"/>
          <w:highlight w:val="none"/>
        </w:rPr>
      </w:pPr>
    </w:p>
    <w:p w14:paraId="3D2FC035">
      <w:pPr>
        <w:widowControl/>
        <w:snapToGrid w:val="0"/>
        <w:spacing w:line="400" w:lineRule="exact"/>
        <w:ind w:firstLine="480" w:firstLineChars="200"/>
        <w:jc w:val="center"/>
        <w:rPr>
          <w:rFonts w:ascii="仿宋" w:hAnsi="仿宋" w:eastAsia="仿宋" w:cs="宋体"/>
          <w:color w:val="auto"/>
          <w:kern w:val="0"/>
          <w:sz w:val="24"/>
          <w:highlight w:val="none"/>
        </w:rPr>
      </w:pPr>
    </w:p>
    <w:p w14:paraId="5775BBF6">
      <w:pPr>
        <w:widowControl/>
        <w:snapToGrid w:val="0"/>
        <w:spacing w:line="400" w:lineRule="exact"/>
        <w:ind w:firstLine="480" w:firstLineChars="200"/>
        <w:jc w:val="center"/>
        <w:rPr>
          <w:rFonts w:ascii="仿宋" w:hAnsi="仿宋" w:eastAsia="仿宋" w:cs="宋体"/>
          <w:color w:val="auto"/>
          <w:kern w:val="0"/>
          <w:sz w:val="24"/>
          <w:highlight w:val="none"/>
        </w:rPr>
      </w:pPr>
    </w:p>
    <w:p w14:paraId="1532A171">
      <w:pPr>
        <w:widowControl/>
        <w:snapToGrid w:val="0"/>
        <w:spacing w:line="400" w:lineRule="exact"/>
        <w:ind w:firstLine="480" w:firstLineChars="200"/>
        <w:jc w:val="center"/>
        <w:rPr>
          <w:rFonts w:ascii="仿宋" w:hAnsi="仿宋" w:eastAsia="仿宋" w:cs="宋体"/>
          <w:color w:val="auto"/>
          <w:kern w:val="0"/>
          <w:sz w:val="24"/>
          <w:highlight w:val="none"/>
        </w:rPr>
      </w:pPr>
    </w:p>
    <w:p w14:paraId="700AB275">
      <w:pPr>
        <w:widowControl/>
        <w:snapToGrid w:val="0"/>
        <w:spacing w:line="400" w:lineRule="exact"/>
        <w:ind w:firstLine="480" w:firstLineChars="200"/>
        <w:jc w:val="center"/>
        <w:rPr>
          <w:rFonts w:ascii="仿宋" w:hAnsi="仿宋" w:eastAsia="仿宋" w:cs="宋体"/>
          <w:color w:val="auto"/>
          <w:kern w:val="0"/>
          <w:sz w:val="24"/>
          <w:highlight w:val="none"/>
        </w:rPr>
      </w:pPr>
    </w:p>
    <w:p w14:paraId="61908AE2">
      <w:pPr>
        <w:widowControl/>
        <w:snapToGrid w:val="0"/>
        <w:spacing w:line="400" w:lineRule="exact"/>
        <w:ind w:firstLine="480" w:firstLineChars="200"/>
        <w:jc w:val="center"/>
        <w:rPr>
          <w:rFonts w:ascii="仿宋" w:hAnsi="仿宋" w:eastAsia="仿宋" w:cs="宋体"/>
          <w:color w:val="auto"/>
          <w:kern w:val="0"/>
          <w:sz w:val="24"/>
          <w:highlight w:val="none"/>
        </w:rPr>
      </w:pPr>
    </w:p>
    <w:p w14:paraId="323B889F">
      <w:pPr>
        <w:widowControl/>
        <w:snapToGrid w:val="0"/>
        <w:spacing w:line="400" w:lineRule="exact"/>
        <w:ind w:firstLine="480" w:firstLineChars="200"/>
        <w:jc w:val="center"/>
        <w:rPr>
          <w:rFonts w:ascii="仿宋" w:hAnsi="仿宋" w:eastAsia="仿宋" w:cs="宋体"/>
          <w:color w:val="auto"/>
          <w:kern w:val="0"/>
          <w:sz w:val="24"/>
          <w:highlight w:val="none"/>
        </w:rPr>
      </w:pPr>
    </w:p>
    <w:p w14:paraId="4674C310">
      <w:pPr>
        <w:widowControl/>
        <w:snapToGrid w:val="0"/>
        <w:spacing w:line="400" w:lineRule="exact"/>
        <w:ind w:firstLine="480" w:firstLineChars="200"/>
        <w:jc w:val="center"/>
        <w:rPr>
          <w:rFonts w:hint="eastAsia" w:ascii="仿宋" w:hAnsi="仿宋" w:eastAsia="仿宋" w:cs="宋体"/>
          <w:color w:val="auto"/>
          <w:kern w:val="0"/>
          <w:sz w:val="24"/>
          <w:highlight w:val="none"/>
        </w:rPr>
      </w:pPr>
    </w:p>
    <w:p w14:paraId="2822B1E1">
      <w:pPr>
        <w:widowControl/>
        <w:snapToGrid w:val="0"/>
        <w:spacing w:line="400" w:lineRule="exact"/>
        <w:ind w:firstLine="480" w:firstLineChars="200"/>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＿＿＿公司（印章）</w:t>
      </w:r>
    </w:p>
    <w:p w14:paraId="19DCF3EC">
      <w:pPr>
        <w:widowControl/>
        <w:snapToGrid w:val="0"/>
        <w:spacing w:line="400" w:lineRule="exact"/>
        <w:ind w:firstLine="480" w:firstLineChars="200"/>
        <w:rPr>
          <w:rFonts w:ascii="仿宋" w:hAnsi="仿宋" w:eastAsia="仿宋" w:cs="宋体"/>
          <w:color w:val="auto"/>
          <w:kern w:val="0"/>
          <w:sz w:val="24"/>
          <w:highlight w:val="none"/>
        </w:rPr>
      </w:pPr>
    </w:p>
    <w:p w14:paraId="5250125C">
      <w:pPr>
        <w:widowControl/>
        <w:snapToGrid w:val="0"/>
        <w:spacing w:line="400" w:lineRule="exact"/>
        <w:ind w:firstLine="480" w:firstLineChars="200"/>
        <w:rPr>
          <w:rFonts w:ascii="仿宋" w:hAnsi="仿宋" w:eastAsia="仿宋" w:cs="宋体"/>
          <w:color w:val="auto"/>
          <w:kern w:val="0"/>
          <w:sz w:val="24"/>
          <w:highlight w:val="none"/>
        </w:rPr>
      </w:pPr>
    </w:p>
    <w:p w14:paraId="01304120">
      <w:pPr>
        <w:widowControl/>
        <w:snapToGrid w:val="0"/>
        <w:spacing w:line="400" w:lineRule="exact"/>
        <w:ind w:firstLine="480" w:firstLineChars="200"/>
        <w:rPr>
          <w:rFonts w:ascii="仿宋" w:hAnsi="仿宋" w:eastAsia="仿宋" w:cs="宋体"/>
          <w:color w:val="auto"/>
          <w:kern w:val="0"/>
          <w:sz w:val="24"/>
          <w:highlight w:val="none"/>
        </w:rPr>
      </w:pPr>
    </w:p>
    <w:p w14:paraId="0464D767">
      <w:pPr>
        <w:widowControl/>
        <w:snapToGrid w:val="0"/>
        <w:spacing w:line="400" w:lineRule="exact"/>
        <w:rPr>
          <w:rFonts w:hint="eastAsia" w:ascii="仿宋" w:hAnsi="仿宋" w:eastAsia="仿宋" w:cs="宋体"/>
          <w:color w:val="auto"/>
          <w:kern w:val="0"/>
          <w:sz w:val="24"/>
          <w:highlight w:val="none"/>
        </w:rPr>
      </w:pPr>
    </w:p>
    <w:p w14:paraId="06947909">
      <w:pPr>
        <w:widowControl/>
        <w:snapToGrid w:val="0"/>
        <w:spacing w:line="400" w:lineRule="exact"/>
        <w:rPr>
          <w:rFonts w:hint="eastAsia" w:ascii="仿宋" w:hAnsi="仿宋" w:eastAsia="仿宋" w:cs="宋体"/>
          <w:color w:val="auto"/>
          <w:kern w:val="0"/>
          <w:sz w:val="24"/>
          <w:highlight w:val="none"/>
        </w:rPr>
      </w:pPr>
    </w:p>
    <w:p w14:paraId="712DF350">
      <w:pPr>
        <w:widowControl/>
        <w:snapToGrid w:val="0"/>
        <w:spacing w:line="400" w:lineRule="exact"/>
        <w:rPr>
          <w:rFonts w:hint="eastAsia" w:ascii="仿宋" w:hAnsi="仿宋" w:eastAsia="仿宋" w:cs="宋体"/>
          <w:color w:val="auto"/>
          <w:kern w:val="0"/>
          <w:sz w:val="24"/>
          <w:highlight w:val="none"/>
        </w:rPr>
      </w:pPr>
    </w:p>
    <w:p w14:paraId="40DAE725">
      <w:pPr>
        <w:widowControl/>
        <w:snapToGrid w:val="0"/>
        <w:spacing w:line="400" w:lineRule="exact"/>
        <w:rPr>
          <w:rFonts w:hint="eastAsia" w:ascii="仿宋" w:hAnsi="仿宋" w:eastAsia="仿宋" w:cs="宋体"/>
          <w:color w:val="auto"/>
          <w:kern w:val="0"/>
          <w:sz w:val="24"/>
          <w:highlight w:val="none"/>
        </w:rPr>
      </w:pPr>
    </w:p>
    <w:p w14:paraId="215543F9">
      <w:pPr>
        <w:widowControl/>
        <w:snapToGrid w:val="0"/>
        <w:spacing w:line="400" w:lineRule="exact"/>
        <w:rPr>
          <w:rFonts w:hint="eastAsia" w:ascii="仿宋" w:hAnsi="仿宋" w:eastAsia="仿宋" w:cs="宋体"/>
          <w:color w:val="auto"/>
          <w:kern w:val="0"/>
          <w:sz w:val="24"/>
          <w:highlight w:val="none"/>
        </w:rPr>
      </w:pPr>
    </w:p>
    <w:p w14:paraId="3FFC54A8">
      <w:pPr>
        <w:widowControl/>
        <w:snapToGrid w:val="0"/>
        <w:spacing w:line="400" w:lineRule="exact"/>
        <w:rPr>
          <w:rFonts w:hint="eastAsia" w:ascii="仿宋" w:hAnsi="仿宋" w:eastAsia="仿宋" w:cs="宋体"/>
          <w:color w:val="auto"/>
          <w:kern w:val="0"/>
          <w:sz w:val="24"/>
          <w:highlight w:val="none"/>
        </w:rPr>
      </w:pPr>
    </w:p>
    <w:p w14:paraId="3EDC5294">
      <w:pPr>
        <w:widowControl/>
        <w:snapToGrid w:val="0"/>
        <w:spacing w:line="400" w:lineRule="exact"/>
        <w:rPr>
          <w:rFonts w:hint="eastAsia" w:ascii="仿宋" w:hAnsi="仿宋" w:eastAsia="仿宋" w:cs="宋体"/>
          <w:color w:val="auto"/>
          <w:kern w:val="0"/>
          <w:sz w:val="24"/>
          <w:highlight w:val="none"/>
        </w:rPr>
      </w:pPr>
    </w:p>
    <w:p w14:paraId="23338877">
      <w:pPr>
        <w:widowControl/>
        <w:snapToGrid w:val="0"/>
        <w:spacing w:line="400" w:lineRule="exact"/>
        <w:rPr>
          <w:rFonts w:hint="eastAsia" w:ascii="仿宋" w:hAnsi="仿宋" w:eastAsia="仿宋" w:cs="宋体"/>
          <w:color w:val="auto"/>
          <w:kern w:val="0"/>
          <w:sz w:val="24"/>
          <w:highlight w:val="none"/>
        </w:rPr>
      </w:pPr>
    </w:p>
    <w:p w14:paraId="3879C073">
      <w:pPr>
        <w:widowControl/>
        <w:snapToGrid w:val="0"/>
        <w:spacing w:line="400" w:lineRule="exac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附件四</w:t>
      </w:r>
    </w:p>
    <w:p w14:paraId="5D0FBE6C">
      <w:pPr>
        <w:widowControl/>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验收主要指标和标准（参考格式根据项目软、硬件选择）</w:t>
      </w:r>
    </w:p>
    <w:p w14:paraId="3394F7DD">
      <w:pPr>
        <w:spacing w:line="360" w:lineRule="auto"/>
        <w:jc w:val="left"/>
        <w:rPr>
          <w:rFonts w:hint="eastAsia" w:ascii="仿宋" w:hAnsi="仿宋" w:eastAsia="仿宋" w:cs="仿宋"/>
          <w:b/>
          <w:bCs/>
          <w:color w:val="auto"/>
          <w:sz w:val="24"/>
          <w:highlight w:val="none"/>
        </w:rPr>
      </w:pPr>
    </w:p>
    <w:p w14:paraId="13E081E5">
      <w:pPr>
        <w:spacing w:line="360" w:lineRule="auto"/>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（一）软件履约验收内容（参考格式）</w:t>
      </w:r>
    </w:p>
    <w:p w14:paraId="510D367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1、初验内容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1"/>
        <w:gridCol w:w="6415"/>
      </w:tblGrid>
      <w:tr w14:paraId="6B22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14:paraId="016B1011">
            <w:pPr>
              <w:rPr>
                <w:rFonts w:hint="eastAsia" w:ascii="仿宋" w:hAnsi="仿宋" w:eastAsia="仿宋" w:cs="仿宋"/>
                <w:color w:val="auto"/>
                <w:highlight w:val="none"/>
              </w:rPr>
            </w:pPr>
            <w:r>
              <w:rPr>
                <w:rFonts w:hint="eastAsia" w:ascii="仿宋" w:hAnsi="仿宋" w:eastAsia="仿宋" w:cs="仿宋"/>
                <w:color w:val="auto"/>
                <w:sz w:val="24"/>
                <w:highlight w:val="none"/>
              </w:rPr>
              <w:t>序号</w:t>
            </w:r>
          </w:p>
        </w:tc>
        <w:tc>
          <w:tcPr>
            <w:tcW w:w="1411" w:type="dxa"/>
            <w:noWrap/>
            <w:vAlign w:val="center"/>
          </w:tcPr>
          <w:p w14:paraId="7DD16753">
            <w:pPr>
              <w:rPr>
                <w:rFonts w:hint="eastAsia" w:ascii="仿宋" w:hAnsi="仿宋" w:eastAsia="仿宋" w:cs="仿宋"/>
                <w:color w:val="auto"/>
                <w:highlight w:val="none"/>
              </w:rPr>
            </w:pPr>
            <w:r>
              <w:rPr>
                <w:rFonts w:hint="eastAsia" w:ascii="仿宋" w:hAnsi="仿宋" w:eastAsia="仿宋" w:cs="仿宋"/>
                <w:color w:val="auto"/>
                <w:sz w:val="24"/>
                <w:highlight w:val="none"/>
              </w:rPr>
              <w:t>验收内容</w:t>
            </w:r>
          </w:p>
        </w:tc>
        <w:tc>
          <w:tcPr>
            <w:tcW w:w="6415" w:type="dxa"/>
            <w:noWrap w:val="0"/>
            <w:vAlign w:val="center"/>
          </w:tcPr>
          <w:p w14:paraId="584FF74A">
            <w:pPr>
              <w:rPr>
                <w:rFonts w:hint="eastAsia" w:ascii="仿宋" w:hAnsi="仿宋" w:eastAsia="仿宋" w:cs="仿宋"/>
                <w:color w:val="auto"/>
                <w:highlight w:val="none"/>
              </w:rPr>
            </w:pPr>
            <w:r>
              <w:rPr>
                <w:rFonts w:hint="eastAsia" w:ascii="仿宋" w:hAnsi="仿宋" w:eastAsia="仿宋" w:cs="仿宋"/>
                <w:color w:val="auto"/>
                <w:sz w:val="24"/>
                <w:highlight w:val="none"/>
              </w:rPr>
              <w:t>验收标准</w:t>
            </w:r>
          </w:p>
        </w:tc>
      </w:tr>
      <w:tr w14:paraId="20C3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6" w:type="dxa"/>
            <w:vMerge w:val="restart"/>
            <w:noWrap/>
            <w:vAlign w:val="center"/>
          </w:tcPr>
          <w:p w14:paraId="329C6022">
            <w:pPr>
              <w:rPr>
                <w:rFonts w:hint="eastAsia" w:ascii="仿宋" w:hAnsi="仿宋" w:eastAsia="仿宋" w:cs="仿宋"/>
                <w:color w:val="auto"/>
                <w:highlight w:val="none"/>
              </w:rPr>
            </w:pPr>
            <w:r>
              <w:rPr>
                <w:rFonts w:hint="eastAsia" w:ascii="仿宋" w:hAnsi="仿宋" w:eastAsia="仿宋" w:cs="仿宋"/>
                <w:color w:val="auto"/>
                <w:sz w:val="24"/>
                <w:highlight w:val="none"/>
              </w:rPr>
              <w:t>1</w:t>
            </w:r>
          </w:p>
        </w:tc>
        <w:tc>
          <w:tcPr>
            <w:tcW w:w="1411" w:type="dxa"/>
            <w:vMerge w:val="restart"/>
            <w:noWrap/>
            <w:vAlign w:val="center"/>
          </w:tcPr>
          <w:p w14:paraId="27BEA295">
            <w:pPr>
              <w:rPr>
                <w:rFonts w:hint="eastAsia" w:ascii="仿宋" w:hAnsi="仿宋" w:eastAsia="仿宋" w:cs="仿宋"/>
                <w:color w:val="auto"/>
                <w:highlight w:val="none"/>
              </w:rPr>
            </w:pPr>
            <w:r>
              <w:rPr>
                <w:rFonts w:hint="eastAsia" w:ascii="仿宋" w:hAnsi="仿宋" w:eastAsia="仿宋" w:cs="仿宋"/>
                <w:color w:val="auto"/>
                <w:sz w:val="24"/>
                <w:highlight w:val="none"/>
              </w:rPr>
              <w:t>质量</w:t>
            </w:r>
          </w:p>
        </w:tc>
        <w:tc>
          <w:tcPr>
            <w:tcW w:w="6415" w:type="dxa"/>
            <w:noWrap w:val="0"/>
            <w:vAlign w:val="center"/>
          </w:tcPr>
          <w:p w14:paraId="7E7F9592">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合同定制开发软件功能全部开发和部署完成，软件功能齐全，符合合同要求，软件功能通过采购人、监理方测试。</w:t>
            </w:r>
          </w:p>
        </w:tc>
      </w:tr>
      <w:tr w14:paraId="5749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6" w:type="dxa"/>
            <w:vMerge w:val="continue"/>
            <w:noWrap/>
            <w:vAlign w:val="center"/>
          </w:tcPr>
          <w:p w14:paraId="4B39B2F7">
            <w:pPr>
              <w:rPr>
                <w:rFonts w:hint="eastAsia" w:ascii="仿宋" w:hAnsi="仿宋" w:eastAsia="仿宋" w:cs="仿宋"/>
                <w:color w:val="auto"/>
                <w:highlight w:val="none"/>
              </w:rPr>
            </w:pPr>
          </w:p>
        </w:tc>
        <w:tc>
          <w:tcPr>
            <w:tcW w:w="1411" w:type="dxa"/>
            <w:vMerge w:val="continue"/>
            <w:noWrap/>
            <w:vAlign w:val="center"/>
          </w:tcPr>
          <w:p w14:paraId="3BD5897E">
            <w:pPr>
              <w:rPr>
                <w:rFonts w:hint="eastAsia" w:ascii="仿宋" w:hAnsi="仿宋" w:eastAsia="仿宋" w:cs="仿宋"/>
                <w:color w:val="auto"/>
                <w:highlight w:val="none"/>
              </w:rPr>
            </w:pPr>
          </w:p>
        </w:tc>
        <w:tc>
          <w:tcPr>
            <w:tcW w:w="6415" w:type="dxa"/>
            <w:noWrap w:val="0"/>
            <w:vAlign w:val="center"/>
          </w:tcPr>
          <w:p w14:paraId="61916EEB">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对原有系统功能升级扩展，符合合同要求。</w:t>
            </w:r>
          </w:p>
        </w:tc>
      </w:tr>
      <w:tr w14:paraId="73EF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14:paraId="06C4F1DE">
            <w:pPr>
              <w:rPr>
                <w:rFonts w:hint="eastAsia" w:ascii="仿宋" w:hAnsi="仿宋" w:eastAsia="仿宋" w:cs="仿宋"/>
                <w:color w:val="auto"/>
                <w:highlight w:val="none"/>
              </w:rPr>
            </w:pPr>
          </w:p>
        </w:tc>
        <w:tc>
          <w:tcPr>
            <w:tcW w:w="1411" w:type="dxa"/>
            <w:vMerge w:val="continue"/>
            <w:noWrap/>
            <w:vAlign w:val="center"/>
          </w:tcPr>
          <w:p w14:paraId="74D86705">
            <w:pPr>
              <w:rPr>
                <w:rFonts w:hint="eastAsia" w:ascii="仿宋" w:hAnsi="仿宋" w:eastAsia="仿宋" w:cs="仿宋"/>
                <w:color w:val="auto"/>
                <w:highlight w:val="none"/>
              </w:rPr>
            </w:pPr>
          </w:p>
        </w:tc>
        <w:tc>
          <w:tcPr>
            <w:tcW w:w="6415" w:type="dxa"/>
            <w:noWrap w:val="0"/>
            <w:vAlign w:val="center"/>
          </w:tcPr>
          <w:p w14:paraId="089C06E2">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整体系统功能实现符合合同和用户实际使用需求，并发挥一定使用成效。</w:t>
            </w:r>
          </w:p>
        </w:tc>
      </w:tr>
      <w:tr w14:paraId="1BD8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14:paraId="6B4F6364">
            <w:pPr>
              <w:rPr>
                <w:rFonts w:hint="eastAsia" w:ascii="仿宋" w:hAnsi="仿宋" w:eastAsia="仿宋" w:cs="仿宋"/>
                <w:color w:val="auto"/>
                <w:highlight w:val="none"/>
              </w:rPr>
            </w:pPr>
            <w:r>
              <w:rPr>
                <w:rFonts w:hint="eastAsia" w:ascii="仿宋" w:hAnsi="仿宋" w:eastAsia="仿宋" w:cs="仿宋"/>
                <w:color w:val="auto"/>
                <w:sz w:val="24"/>
                <w:highlight w:val="none"/>
              </w:rPr>
              <w:t>2</w:t>
            </w:r>
          </w:p>
        </w:tc>
        <w:tc>
          <w:tcPr>
            <w:tcW w:w="1411" w:type="dxa"/>
            <w:vMerge w:val="restart"/>
            <w:noWrap/>
            <w:vAlign w:val="center"/>
          </w:tcPr>
          <w:p w14:paraId="3C5FE71A">
            <w:pPr>
              <w:rPr>
                <w:rFonts w:hint="eastAsia" w:ascii="仿宋" w:hAnsi="仿宋" w:eastAsia="仿宋" w:cs="仿宋"/>
                <w:color w:val="auto"/>
                <w:highlight w:val="none"/>
              </w:rPr>
            </w:pPr>
            <w:r>
              <w:rPr>
                <w:rFonts w:hint="eastAsia" w:ascii="仿宋" w:hAnsi="仿宋" w:eastAsia="仿宋" w:cs="仿宋"/>
                <w:color w:val="auto"/>
                <w:sz w:val="24"/>
                <w:highlight w:val="none"/>
              </w:rPr>
              <w:t>进度</w:t>
            </w:r>
          </w:p>
        </w:tc>
        <w:tc>
          <w:tcPr>
            <w:tcW w:w="6415" w:type="dxa"/>
            <w:noWrap w:val="0"/>
            <w:vAlign w:val="center"/>
          </w:tcPr>
          <w:p w14:paraId="49B9450B">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项目按合同工期要求完成建设，并在规定的时间内完成项目各项建设内容。</w:t>
            </w:r>
          </w:p>
        </w:tc>
      </w:tr>
      <w:tr w14:paraId="2956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96" w:type="dxa"/>
            <w:vMerge w:val="continue"/>
            <w:noWrap/>
            <w:vAlign w:val="center"/>
          </w:tcPr>
          <w:p w14:paraId="191CAA20">
            <w:pPr>
              <w:rPr>
                <w:rFonts w:hint="eastAsia" w:ascii="仿宋" w:hAnsi="仿宋" w:eastAsia="仿宋" w:cs="仿宋"/>
                <w:color w:val="auto"/>
                <w:highlight w:val="none"/>
              </w:rPr>
            </w:pPr>
          </w:p>
        </w:tc>
        <w:tc>
          <w:tcPr>
            <w:tcW w:w="1411" w:type="dxa"/>
            <w:vMerge w:val="continue"/>
            <w:noWrap/>
            <w:vAlign w:val="center"/>
          </w:tcPr>
          <w:p w14:paraId="668914EE">
            <w:pPr>
              <w:rPr>
                <w:rFonts w:hint="eastAsia" w:ascii="仿宋" w:hAnsi="仿宋" w:eastAsia="仿宋" w:cs="仿宋"/>
                <w:color w:val="auto"/>
                <w:highlight w:val="none"/>
              </w:rPr>
            </w:pPr>
          </w:p>
        </w:tc>
        <w:tc>
          <w:tcPr>
            <w:tcW w:w="6415" w:type="dxa"/>
            <w:noWrap w:val="0"/>
            <w:vAlign w:val="center"/>
          </w:tcPr>
          <w:p w14:paraId="3E314FC7">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项目有有效的进度控制方式，有效的把控整个项目建设进度，阶段工作任务不延迟。</w:t>
            </w:r>
          </w:p>
        </w:tc>
      </w:tr>
      <w:tr w14:paraId="0895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14:paraId="1ECF233F">
            <w:pPr>
              <w:rPr>
                <w:rFonts w:hint="eastAsia" w:ascii="仿宋" w:hAnsi="仿宋" w:eastAsia="仿宋" w:cs="仿宋"/>
                <w:color w:val="auto"/>
                <w:highlight w:val="none"/>
              </w:rPr>
            </w:pPr>
            <w:r>
              <w:rPr>
                <w:rFonts w:hint="eastAsia" w:ascii="仿宋" w:hAnsi="仿宋" w:eastAsia="仿宋" w:cs="仿宋"/>
                <w:color w:val="auto"/>
                <w:sz w:val="24"/>
                <w:highlight w:val="none"/>
              </w:rPr>
              <w:t>3</w:t>
            </w:r>
          </w:p>
        </w:tc>
        <w:tc>
          <w:tcPr>
            <w:tcW w:w="1411" w:type="dxa"/>
            <w:vMerge w:val="restart"/>
            <w:noWrap/>
            <w:vAlign w:val="center"/>
          </w:tcPr>
          <w:p w14:paraId="7CAE862D">
            <w:pPr>
              <w:rPr>
                <w:rFonts w:hint="eastAsia" w:ascii="仿宋" w:hAnsi="仿宋" w:eastAsia="仿宋" w:cs="仿宋"/>
                <w:color w:val="auto"/>
                <w:highlight w:val="none"/>
              </w:rPr>
            </w:pPr>
            <w:r>
              <w:rPr>
                <w:rFonts w:hint="eastAsia" w:ascii="仿宋" w:hAnsi="仿宋" w:eastAsia="仿宋" w:cs="仿宋"/>
                <w:color w:val="auto"/>
                <w:sz w:val="24"/>
                <w:highlight w:val="none"/>
              </w:rPr>
              <w:t>安全和保密</w:t>
            </w:r>
          </w:p>
        </w:tc>
        <w:tc>
          <w:tcPr>
            <w:tcW w:w="6415" w:type="dxa"/>
            <w:noWrap w:val="0"/>
            <w:vAlign w:val="center"/>
          </w:tcPr>
          <w:p w14:paraId="3608C440">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在项目建设期间，安全、文明施工措施到位，未发生重大安全事故。</w:t>
            </w:r>
          </w:p>
        </w:tc>
      </w:tr>
      <w:tr w14:paraId="53CF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14:paraId="5463E738">
            <w:pPr>
              <w:rPr>
                <w:rFonts w:hint="eastAsia" w:ascii="仿宋" w:hAnsi="仿宋" w:eastAsia="仿宋" w:cs="仿宋"/>
                <w:color w:val="auto"/>
                <w:highlight w:val="none"/>
              </w:rPr>
            </w:pPr>
          </w:p>
        </w:tc>
        <w:tc>
          <w:tcPr>
            <w:tcW w:w="1411" w:type="dxa"/>
            <w:vMerge w:val="continue"/>
            <w:noWrap/>
            <w:vAlign w:val="center"/>
          </w:tcPr>
          <w:p w14:paraId="1BA94F26">
            <w:pPr>
              <w:rPr>
                <w:rFonts w:hint="eastAsia" w:ascii="仿宋" w:hAnsi="仿宋" w:eastAsia="仿宋" w:cs="仿宋"/>
                <w:color w:val="auto"/>
                <w:highlight w:val="none"/>
              </w:rPr>
            </w:pPr>
          </w:p>
        </w:tc>
        <w:tc>
          <w:tcPr>
            <w:tcW w:w="6415" w:type="dxa"/>
            <w:noWrap w:val="0"/>
            <w:vAlign w:val="center"/>
          </w:tcPr>
          <w:p w14:paraId="4F23A0AE">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公司签订保密协议，保密措施完善，签订个人保密承诺书。未发生敏感数据、资料丢失和泄漏问题。</w:t>
            </w:r>
          </w:p>
        </w:tc>
      </w:tr>
      <w:tr w14:paraId="39F5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restart"/>
            <w:noWrap/>
            <w:vAlign w:val="center"/>
          </w:tcPr>
          <w:p w14:paraId="61B4F5EC">
            <w:pPr>
              <w:rPr>
                <w:rFonts w:hint="eastAsia" w:ascii="仿宋" w:hAnsi="仿宋" w:eastAsia="仿宋" w:cs="仿宋"/>
                <w:color w:val="auto"/>
                <w:highlight w:val="none"/>
              </w:rPr>
            </w:pPr>
            <w:r>
              <w:rPr>
                <w:rFonts w:hint="eastAsia" w:ascii="仿宋" w:hAnsi="仿宋" w:eastAsia="仿宋" w:cs="仿宋"/>
                <w:color w:val="auto"/>
                <w:sz w:val="24"/>
                <w:highlight w:val="none"/>
              </w:rPr>
              <w:t>4</w:t>
            </w:r>
          </w:p>
        </w:tc>
        <w:tc>
          <w:tcPr>
            <w:tcW w:w="1411" w:type="dxa"/>
            <w:vMerge w:val="restart"/>
            <w:noWrap/>
            <w:vAlign w:val="center"/>
          </w:tcPr>
          <w:p w14:paraId="0A5496CB">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人员管理 </w:t>
            </w:r>
          </w:p>
        </w:tc>
        <w:tc>
          <w:tcPr>
            <w:tcW w:w="6415" w:type="dxa"/>
            <w:noWrap w:val="0"/>
            <w:vAlign w:val="center"/>
          </w:tcPr>
          <w:p w14:paraId="0B824F8A">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在项目建设期间，按合同和投标文件投入相应资质的项目管理和技术人员。</w:t>
            </w:r>
          </w:p>
        </w:tc>
      </w:tr>
      <w:tr w14:paraId="172E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Merge w:val="continue"/>
            <w:noWrap/>
            <w:vAlign w:val="center"/>
          </w:tcPr>
          <w:p w14:paraId="631B6976">
            <w:pPr>
              <w:rPr>
                <w:rFonts w:hint="eastAsia" w:ascii="仿宋" w:hAnsi="仿宋" w:eastAsia="仿宋" w:cs="仿宋"/>
                <w:color w:val="auto"/>
                <w:highlight w:val="none"/>
              </w:rPr>
            </w:pPr>
          </w:p>
        </w:tc>
        <w:tc>
          <w:tcPr>
            <w:tcW w:w="1411" w:type="dxa"/>
            <w:vMerge w:val="continue"/>
            <w:noWrap/>
            <w:vAlign w:val="center"/>
          </w:tcPr>
          <w:p w14:paraId="2ACE1BBF">
            <w:pPr>
              <w:rPr>
                <w:rFonts w:hint="eastAsia" w:ascii="仿宋" w:hAnsi="仿宋" w:eastAsia="仿宋" w:cs="仿宋"/>
                <w:color w:val="auto"/>
                <w:highlight w:val="none"/>
              </w:rPr>
            </w:pPr>
          </w:p>
        </w:tc>
        <w:tc>
          <w:tcPr>
            <w:tcW w:w="6415" w:type="dxa"/>
            <w:noWrap w:val="0"/>
            <w:vAlign w:val="center"/>
          </w:tcPr>
          <w:p w14:paraId="4C3F2EC7">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在项目建设期间，项目人员及时到位，不存在脱岗等问题，请假应有正常手续。</w:t>
            </w:r>
          </w:p>
        </w:tc>
      </w:tr>
      <w:tr w14:paraId="404F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14:paraId="5415EA78">
            <w:pPr>
              <w:rPr>
                <w:rFonts w:hint="eastAsia" w:ascii="仿宋" w:hAnsi="仿宋" w:eastAsia="仿宋" w:cs="仿宋"/>
                <w:color w:val="auto"/>
                <w:highlight w:val="none"/>
              </w:rPr>
            </w:pPr>
            <w:r>
              <w:rPr>
                <w:rFonts w:hint="eastAsia" w:ascii="仿宋" w:hAnsi="仿宋" w:eastAsia="仿宋" w:cs="仿宋"/>
                <w:color w:val="auto"/>
                <w:sz w:val="24"/>
                <w:highlight w:val="none"/>
              </w:rPr>
              <w:t>5</w:t>
            </w:r>
          </w:p>
        </w:tc>
        <w:tc>
          <w:tcPr>
            <w:tcW w:w="1411" w:type="dxa"/>
            <w:noWrap/>
            <w:vAlign w:val="center"/>
          </w:tcPr>
          <w:p w14:paraId="1B525656">
            <w:pPr>
              <w:rPr>
                <w:rFonts w:hint="eastAsia" w:ascii="仿宋" w:hAnsi="仿宋" w:eastAsia="仿宋" w:cs="仿宋"/>
                <w:color w:val="auto"/>
                <w:highlight w:val="none"/>
              </w:rPr>
            </w:pPr>
            <w:r>
              <w:rPr>
                <w:rFonts w:hint="eastAsia" w:ascii="仿宋" w:hAnsi="仿宋" w:eastAsia="仿宋" w:cs="仿宋"/>
                <w:color w:val="auto"/>
                <w:sz w:val="24"/>
                <w:highlight w:val="none"/>
              </w:rPr>
              <w:t>验收小组现场演示</w:t>
            </w:r>
          </w:p>
        </w:tc>
        <w:tc>
          <w:tcPr>
            <w:tcW w:w="6415" w:type="dxa"/>
            <w:noWrap w:val="0"/>
            <w:vAlign w:val="center"/>
          </w:tcPr>
          <w:p w14:paraId="53A198DE">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验收时，验收小组现场组织对项目系统演示。</w:t>
            </w:r>
          </w:p>
        </w:tc>
      </w:tr>
      <w:tr w14:paraId="5C82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14:paraId="683F3941">
            <w:pPr>
              <w:rPr>
                <w:rFonts w:hint="eastAsia" w:ascii="仿宋" w:hAnsi="仿宋" w:eastAsia="仿宋" w:cs="仿宋"/>
                <w:color w:val="auto"/>
                <w:highlight w:val="none"/>
              </w:rPr>
            </w:pPr>
            <w:r>
              <w:rPr>
                <w:rFonts w:hint="eastAsia" w:ascii="仿宋" w:hAnsi="仿宋" w:eastAsia="仿宋" w:cs="仿宋"/>
                <w:color w:val="auto"/>
                <w:sz w:val="24"/>
                <w:highlight w:val="none"/>
              </w:rPr>
              <w:t>6</w:t>
            </w:r>
          </w:p>
        </w:tc>
        <w:tc>
          <w:tcPr>
            <w:tcW w:w="1411" w:type="dxa"/>
            <w:noWrap/>
            <w:vAlign w:val="center"/>
          </w:tcPr>
          <w:p w14:paraId="20BE79F7">
            <w:pPr>
              <w:rPr>
                <w:rFonts w:hint="eastAsia" w:ascii="仿宋" w:hAnsi="仿宋" w:eastAsia="仿宋" w:cs="仿宋"/>
                <w:color w:val="auto"/>
                <w:highlight w:val="none"/>
              </w:rPr>
            </w:pPr>
            <w:r>
              <w:rPr>
                <w:rFonts w:hint="eastAsia" w:ascii="仿宋" w:hAnsi="仿宋" w:eastAsia="仿宋" w:cs="仿宋"/>
                <w:color w:val="auto"/>
                <w:sz w:val="24"/>
                <w:highlight w:val="none"/>
              </w:rPr>
              <w:t>初验资料</w:t>
            </w:r>
          </w:p>
        </w:tc>
        <w:tc>
          <w:tcPr>
            <w:tcW w:w="6415" w:type="dxa"/>
            <w:noWrap w:val="0"/>
            <w:vAlign w:val="center"/>
          </w:tcPr>
          <w:p w14:paraId="55B4F5B3">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项目初验资料种类齐全，各类审批流程手续和各类资料真实、完整，符合信息化项目资料规范要求。</w:t>
            </w:r>
          </w:p>
        </w:tc>
      </w:tr>
      <w:tr w14:paraId="3C1E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noWrap/>
            <w:vAlign w:val="center"/>
          </w:tcPr>
          <w:p w14:paraId="5C5693EF">
            <w:pPr>
              <w:rPr>
                <w:rFonts w:hint="eastAsia" w:ascii="仿宋" w:hAnsi="仿宋" w:eastAsia="仿宋" w:cs="仿宋"/>
                <w:color w:val="auto"/>
                <w:highlight w:val="none"/>
              </w:rPr>
            </w:pPr>
            <w:r>
              <w:rPr>
                <w:rFonts w:hint="eastAsia" w:ascii="仿宋" w:hAnsi="仿宋" w:eastAsia="仿宋" w:cs="仿宋"/>
                <w:color w:val="auto"/>
                <w:sz w:val="24"/>
                <w:highlight w:val="none"/>
              </w:rPr>
              <w:t>7</w:t>
            </w:r>
          </w:p>
        </w:tc>
        <w:tc>
          <w:tcPr>
            <w:tcW w:w="1411" w:type="dxa"/>
            <w:noWrap w:val="0"/>
            <w:vAlign w:val="center"/>
          </w:tcPr>
          <w:p w14:paraId="076B3806">
            <w:pPr>
              <w:rPr>
                <w:rFonts w:hint="eastAsia" w:ascii="仿宋" w:hAnsi="仿宋" w:eastAsia="仿宋" w:cs="仿宋"/>
                <w:color w:val="auto"/>
                <w:highlight w:val="none"/>
              </w:rPr>
            </w:pPr>
            <w:r>
              <w:rPr>
                <w:rFonts w:hint="eastAsia" w:ascii="仿宋" w:hAnsi="仿宋" w:eastAsia="仿宋" w:cs="仿宋"/>
                <w:color w:val="auto"/>
                <w:sz w:val="24"/>
                <w:highlight w:val="none"/>
              </w:rPr>
              <w:t>其他工作</w:t>
            </w:r>
          </w:p>
        </w:tc>
        <w:tc>
          <w:tcPr>
            <w:tcW w:w="6415" w:type="dxa"/>
            <w:noWrap w:val="0"/>
            <w:vAlign w:val="center"/>
          </w:tcPr>
          <w:p w14:paraId="7BE95EBF">
            <w:pPr>
              <w:spacing w:line="500" w:lineRule="exact"/>
              <w:rPr>
                <w:rFonts w:hint="eastAsia" w:ascii="仿宋" w:hAnsi="仿宋" w:eastAsia="仿宋" w:cs="仿宋"/>
                <w:color w:val="auto"/>
                <w:highlight w:val="none"/>
              </w:rPr>
            </w:pPr>
            <w:r>
              <w:rPr>
                <w:rFonts w:hint="eastAsia" w:ascii="仿宋" w:hAnsi="仿宋" w:eastAsia="仿宋" w:cs="仿宋"/>
                <w:color w:val="auto"/>
                <w:sz w:val="24"/>
                <w:highlight w:val="none"/>
              </w:rPr>
              <w:t>履行项目采购文件、投标文件、合同条款中涉及的其他承诺的情况。</w:t>
            </w:r>
          </w:p>
        </w:tc>
      </w:tr>
    </w:tbl>
    <w:p w14:paraId="651DA8E4">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2、初验资料</w:t>
      </w:r>
    </w:p>
    <w:p w14:paraId="1840512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（1）招标文件；</w:t>
      </w:r>
    </w:p>
    <w:p w14:paraId="71F072DC">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w:t>
      </w:r>
    </w:p>
    <w:p w14:paraId="06ACE335">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（3）项目合同；</w:t>
      </w:r>
    </w:p>
    <w:p w14:paraId="04D66493">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（4）单位保密协议、个人保密承诺书、日常保密教育台账；</w:t>
      </w:r>
    </w:p>
    <w:p w14:paraId="53C87CEC">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（5）项目实施方案：内容包括项目人员组织架构、质量保证措施、进度保证措施、进度计划等。</w:t>
      </w:r>
    </w:p>
    <w:p w14:paraId="131B156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（6）需求规格说明书：由投标人编制并盖章；</w:t>
      </w:r>
    </w:p>
    <w:p w14:paraId="1C6E23A3">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（7）定制开发软件：概要设计、详细设计、数据库设计、数据接口文档，由投标人编制并盖章；</w:t>
      </w:r>
    </w:p>
    <w:p w14:paraId="0269EEC9">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bidi="zh-CN"/>
        </w:rPr>
        <w:t>工程款支付申请</w:t>
      </w:r>
      <w:r>
        <w:rPr>
          <w:rFonts w:hint="eastAsia" w:ascii="仿宋" w:hAnsi="仿宋" w:eastAsia="仿宋" w:cs="仿宋"/>
          <w:color w:val="auto"/>
          <w:sz w:val="24"/>
          <w:highlight w:val="none"/>
        </w:rPr>
        <w:t>：由投标人编制并签字盖章，监理单位审核通过后出具支付证书由监理单位签字盖章；</w:t>
      </w:r>
    </w:p>
    <w:p w14:paraId="08FAD007">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（9）初验申请表：由投标人编制并签字盖章，经监理单位和采购人确认后，由监理单位，采购人签字并盖章；</w:t>
      </w:r>
    </w:p>
    <w:p w14:paraId="4486BD71">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（10）初验报告：初验时专家组签字；</w:t>
      </w:r>
    </w:p>
    <w:p w14:paraId="3A81B19B">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（11）初验总结报告：由投标人编制并盖章；</w:t>
      </w:r>
    </w:p>
    <w:p w14:paraId="1BB740B6">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（12）系统演示记录：由验收小组签字；</w:t>
      </w:r>
    </w:p>
    <w:p w14:paraId="62889D5F">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（13）其他项目所需的资料</w:t>
      </w:r>
    </w:p>
    <w:p w14:paraId="392F84F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3、终验内容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11"/>
        <w:gridCol w:w="6415"/>
      </w:tblGrid>
      <w:tr w14:paraId="0BD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ign w:val="center"/>
          </w:tcPr>
          <w:p w14:paraId="07CE66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1" w:type="dxa"/>
            <w:noWrap/>
            <w:vAlign w:val="center"/>
          </w:tcPr>
          <w:p w14:paraId="7D9C8167">
            <w:pP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验收内容</w:t>
            </w:r>
          </w:p>
        </w:tc>
        <w:tc>
          <w:tcPr>
            <w:tcW w:w="6415" w:type="dxa"/>
            <w:noWrap w:val="0"/>
            <w:vAlign w:val="center"/>
          </w:tcPr>
          <w:p w14:paraId="22297B7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验收标准</w:t>
            </w:r>
          </w:p>
        </w:tc>
      </w:tr>
      <w:tr w14:paraId="33F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ign w:val="center"/>
          </w:tcPr>
          <w:p w14:paraId="1E6E6A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1" w:type="dxa"/>
            <w:vMerge w:val="restart"/>
            <w:noWrap/>
            <w:vAlign w:val="center"/>
          </w:tcPr>
          <w:p w14:paraId="2E135131">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w:t>
            </w:r>
          </w:p>
        </w:tc>
        <w:tc>
          <w:tcPr>
            <w:tcW w:w="6415" w:type="dxa"/>
            <w:noWrap w:val="0"/>
            <w:vAlign w:val="center"/>
          </w:tcPr>
          <w:p w14:paraId="344CCCA3">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合同定制开发软件功能全部开发和部署完成，软件功能齐全，符合合同要求，软件功能通过采购人、监理单位测试。</w:t>
            </w:r>
          </w:p>
        </w:tc>
      </w:tr>
      <w:tr w14:paraId="2DBE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6" w:type="dxa"/>
            <w:vMerge w:val="continue"/>
            <w:noWrap/>
            <w:vAlign w:val="center"/>
          </w:tcPr>
          <w:p w14:paraId="18DDF131">
            <w:pPr>
              <w:rPr>
                <w:rFonts w:hint="eastAsia" w:ascii="仿宋" w:hAnsi="仿宋" w:eastAsia="仿宋" w:cs="仿宋"/>
                <w:color w:val="auto"/>
                <w:sz w:val="24"/>
                <w:highlight w:val="none"/>
              </w:rPr>
            </w:pPr>
          </w:p>
        </w:tc>
        <w:tc>
          <w:tcPr>
            <w:tcW w:w="1411" w:type="dxa"/>
            <w:vMerge w:val="continue"/>
            <w:noWrap/>
            <w:vAlign w:val="center"/>
          </w:tcPr>
          <w:p w14:paraId="6F5B8C78">
            <w:pPr>
              <w:rPr>
                <w:rFonts w:hint="eastAsia" w:ascii="仿宋" w:hAnsi="仿宋" w:eastAsia="仿宋" w:cs="仿宋"/>
                <w:color w:val="auto"/>
                <w:sz w:val="24"/>
                <w:highlight w:val="none"/>
              </w:rPr>
            </w:pPr>
          </w:p>
        </w:tc>
        <w:tc>
          <w:tcPr>
            <w:tcW w:w="6415" w:type="dxa"/>
            <w:noWrap w:val="0"/>
            <w:vAlign w:val="center"/>
          </w:tcPr>
          <w:p w14:paraId="0A559BE3">
            <w:pPr>
              <w:rPr>
                <w:rFonts w:hint="eastAsia" w:ascii="仿宋" w:hAnsi="仿宋" w:eastAsia="仿宋" w:cs="仿宋"/>
                <w:color w:val="auto"/>
                <w:sz w:val="24"/>
                <w:highlight w:val="none"/>
              </w:rPr>
            </w:pPr>
            <w:r>
              <w:rPr>
                <w:rFonts w:hint="eastAsia" w:ascii="仿宋" w:hAnsi="仿宋" w:eastAsia="仿宋" w:cs="仿宋"/>
                <w:color w:val="auto"/>
                <w:sz w:val="24"/>
                <w:highlight w:val="none"/>
              </w:rPr>
              <w:t>对原有系统功能升级扩展，符合合同要求。</w:t>
            </w:r>
          </w:p>
        </w:tc>
      </w:tr>
      <w:tr w14:paraId="6A2A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27707A18">
            <w:pPr>
              <w:rPr>
                <w:rFonts w:hint="eastAsia" w:ascii="仿宋" w:hAnsi="仿宋" w:eastAsia="仿宋" w:cs="仿宋"/>
                <w:color w:val="auto"/>
                <w:sz w:val="24"/>
                <w:highlight w:val="none"/>
              </w:rPr>
            </w:pPr>
          </w:p>
        </w:tc>
        <w:tc>
          <w:tcPr>
            <w:tcW w:w="1411" w:type="dxa"/>
            <w:vMerge w:val="continue"/>
            <w:noWrap/>
            <w:vAlign w:val="center"/>
          </w:tcPr>
          <w:p w14:paraId="40E928E9">
            <w:pPr>
              <w:rPr>
                <w:rFonts w:hint="eastAsia" w:ascii="仿宋" w:hAnsi="仿宋" w:eastAsia="仿宋" w:cs="仿宋"/>
                <w:color w:val="auto"/>
                <w:sz w:val="24"/>
                <w:highlight w:val="none"/>
              </w:rPr>
            </w:pPr>
          </w:p>
        </w:tc>
        <w:tc>
          <w:tcPr>
            <w:tcW w:w="6415" w:type="dxa"/>
            <w:noWrap w:val="0"/>
            <w:vAlign w:val="center"/>
          </w:tcPr>
          <w:p w14:paraId="659A449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在初验的基础上，对初验发现的问题和专家建议全部整改完成。</w:t>
            </w:r>
          </w:p>
        </w:tc>
      </w:tr>
      <w:tr w14:paraId="3B04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727D0456">
            <w:pPr>
              <w:rPr>
                <w:rFonts w:hint="eastAsia" w:ascii="仿宋" w:hAnsi="仿宋" w:eastAsia="仿宋" w:cs="仿宋"/>
                <w:color w:val="auto"/>
                <w:sz w:val="24"/>
                <w:highlight w:val="none"/>
              </w:rPr>
            </w:pPr>
          </w:p>
        </w:tc>
        <w:tc>
          <w:tcPr>
            <w:tcW w:w="1411" w:type="dxa"/>
            <w:vMerge w:val="continue"/>
            <w:noWrap/>
            <w:vAlign w:val="center"/>
          </w:tcPr>
          <w:p w14:paraId="7550ED74">
            <w:pPr>
              <w:rPr>
                <w:rFonts w:hint="eastAsia" w:ascii="仿宋" w:hAnsi="仿宋" w:eastAsia="仿宋" w:cs="仿宋"/>
                <w:color w:val="auto"/>
                <w:sz w:val="24"/>
                <w:highlight w:val="none"/>
              </w:rPr>
            </w:pPr>
          </w:p>
        </w:tc>
        <w:tc>
          <w:tcPr>
            <w:tcW w:w="6415" w:type="dxa"/>
            <w:noWrap w:val="0"/>
            <w:vAlign w:val="center"/>
          </w:tcPr>
          <w:p w14:paraId="378EDDCF">
            <w:pPr>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系统试运行期间，试运行记录完整、真实，软件运行正常，未发生重大故障。</w:t>
            </w:r>
          </w:p>
        </w:tc>
      </w:tr>
      <w:tr w14:paraId="54B2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18D720B5">
            <w:pPr>
              <w:rPr>
                <w:rFonts w:hint="eastAsia" w:ascii="仿宋" w:hAnsi="仿宋" w:eastAsia="仿宋" w:cs="仿宋"/>
                <w:color w:val="auto"/>
                <w:sz w:val="24"/>
                <w:highlight w:val="none"/>
              </w:rPr>
            </w:pPr>
          </w:p>
        </w:tc>
        <w:tc>
          <w:tcPr>
            <w:tcW w:w="1411" w:type="dxa"/>
            <w:vMerge w:val="continue"/>
            <w:noWrap/>
            <w:vAlign w:val="center"/>
          </w:tcPr>
          <w:p w14:paraId="0BB36F8D">
            <w:pPr>
              <w:rPr>
                <w:rFonts w:hint="eastAsia" w:ascii="仿宋" w:hAnsi="仿宋" w:eastAsia="仿宋" w:cs="仿宋"/>
                <w:color w:val="auto"/>
                <w:sz w:val="24"/>
                <w:highlight w:val="none"/>
              </w:rPr>
            </w:pPr>
          </w:p>
        </w:tc>
        <w:tc>
          <w:tcPr>
            <w:tcW w:w="6415" w:type="dxa"/>
            <w:noWrap w:val="0"/>
            <w:vAlign w:val="center"/>
          </w:tcPr>
          <w:p w14:paraId="0D1FE5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整体系统功能实现符合合同和用户实际使用需求，并发挥一定使用成效。</w:t>
            </w:r>
          </w:p>
        </w:tc>
      </w:tr>
      <w:tr w14:paraId="75D7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24B531FE">
            <w:pPr>
              <w:rPr>
                <w:rFonts w:hint="eastAsia" w:ascii="仿宋" w:hAnsi="仿宋" w:eastAsia="仿宋" w:cs="仿宋"/>
                <w:color w:val="auto"/>
                <w:sz w:val="24"/>
                <w:highlight w:val="none"/>
              </w:rPr>
            </w:pPr>
          </w:p>
        </w:tc>
        <w:tc>
          <w:tcPr>
            <w:tcW w:w="1411" w:type="dxa"/>
            <w:vMerge w:val="continue"/>
            <w:noWrap/>
            <w:vAlign w:val="center"/>
          </w:tcPr>
          <w:p w14:paraId="7B971FDB">
            <w:pPr>
              <w:rPr>
                <w:rFonts w:hint="eastAsia" w:ascii="仿宋" w:hAnsi="仿宋" w:eastAsia="仿宋" w:cs="仿宋"/>
                <w:color w:val="auto"/>
                <w:sz w:val="24"/>
                <w:highlight w:val="none"/>
              </w:rPr>
            </w:pPr>
          </w:p>
        </w:tc>
        <w:tc>
          <w:tcPr>
            <w:tcW w:w="6415" w:type="dxa"/>
            <w:noWrap w:val="0"/>
            <w:vAlign w:val="center"/>
          </w:tcPr>
          <w:p w14:paraId="778649E8">
            <w:pP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通过第三方软件测评，软件功能、性能各项指标合格，符合合同要求。</w:t>
            </w:r>
          </w:p>
        </w:tc>
      </w:tr>
      <w:tr w14:paraId="47A5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ign w:val="center"/>
          </w:tcPr>
          <w:p w14:paraId="5B6B5918">
            <w:pP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1" w:type="dxa"/>
            <w:vMerge w:val="restart"/>
            <w:noWrap/>
            <w:vAlign w:val="center"/>
          </w:tcPr>
          <w:p w14:paraId="10480B55">
            <w:pPr>
              <w:rPr>
                <w:rFonts w:hint="eastAsia" w:ascii="仿宋" w:hAnsi="仿宋" w:eastAsia="仿宋" w:cs="仿宋"/>
                <w:color w:val="auto"/>
                <w:sz w:val="24"/>
                <w:highlight w:val="none"/>
              </w:rPr>
            </w:pPr>
            <w:r>
              <w:rPr>
                <w:rFonts w:hint="eastAsia" w:ascii="仿宋" w:hAnsi="仿宋" w:eastAsia="仿宋" w:cs="仿宋"/>
                <w:color w:val="auto"/>
                <w:sz w:val="24"/>
                <w:highlight w:val="none"/>
              </w:rPr>
              <w:t>进度</w:t>
            </w:r>
          </w:p>
        </w:tc>
        <w:tc>
          <w:tcPr>
            <w:tcW w:w="6415" w:type="dxa"/>
            <w:noWrap w:val="0"/>
            <w:vAlign w:val="center"/>
          </w:tcPr>
          <w:p w14:paraId="5FC7627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项目按合同工期要求完成建设，并在规定的时间内完成项目各项建设内容。</w:t>
            </w:r>
          </w:p>
        </w:tc>
      </w:tr>
      <w:tr w14:paraId="6F94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416BF73E">
            <w:pPr>
              <w:rPr>
                <w:rFonts w:hint="eastAsia" w:ascii="仿宋" w:hAnsi="仿宋" w:eastAsia="仿宋" w:cs="仿宋"/>
                <w:color w:val="auto"/>
                <w:sz w:val="24"/>
                <w:highlight w:val="none"/>
              </w:rPr>
            </w:pPr>
          </w:p>
        </w:tc>
        <w:tc>
          <w:tcPr>
            <w:tcW w:w="1411" w:type="dxa"/>
            <w:vMerge w:val="continue"/>
            <w:noWrap/>
            <w:vAlign w:val="center"/>
          </w:tcPr>
          <w:p w14:paraId="5C3A4BCF">
            <w:pPr>
              <w:rPr>
                <w:rFonts w:hint="eastAsia" w:ascii="仿宋" w:hAnsi="仿宋" w:eastAsia="仿宋" w:cs="仿宋"/>
                <w:color w:val="auto"/>
                <w:sz w:val="24"/>
                <w:highlight w:val="none"/>
              </w:rPr>
            </w:pPr>
          </w:p>
        </w:tc>
        <w:tc>
          <w:tcPr>
            <w:tcW w:w="6415" w:type="dxa"/>
            <w:noWrap w:val="0"/>
            <w:vAlign w:val="center"/>
          </w:tcPr>
          <w:p w14:paraId="33C12D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项目有有效的进度控制方式，有效的把控整个项目建设进度，阶段工作任务不延迟。</w:t>
            </w:r>
          </w:p>
        </w:tc>
      </w:tr>
      <w:tr w14:paraId="2706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3FE8F31F">
            <w:pPr>
              <w:rPr>
                <w:rFonts w:hint="eastAsia" w:ascii="仿宋" w:hAnsi="仿宋" w:eastAsia="仿宋" w:cs="仿宋"/>
                <w:color w:val="auto"/>
                <w:sz w:val="24"/>
                <w:highlight w:val="none"/>
              </w:rPr>
            </w:pPr>
          </w:p>
        </w:tc>
        <w:tc>
          <w:tcPr>
            <w:tcW w:w="1411" w:type="dxa"/>
            <w:vMerge w:val="continue"/>
            <w:noWrap/>
            <w:vAlign w:val="center"/>
          </w:tcPr>
          <w:p w14:paraId="6388615B">
            <w:pPr>
              <w:rPr>
                <w:rFonts w:hint="eastAsia" w:ascii="仿宋" w:hAnsi="仿宋" w:eastAsia="仿宋" w:cs="仿宋"/>
                <w:color w:val="auto"/>
                <w:sz w:val="24"/>
                <w:highlight w:val="none"/>
              </w:rPr>
            </w:pPr>
          </w:p>
        </w:tc>
        <w:tc>
          <w:tcPr>
            <w:tcW w:w="6415" w:type="dxa"/>
            <w:noWrap w:val="0"/>
            <w:vAlign w:val="center"/>
          </w:tcPr>
          <w:p w14:paraId="0799BA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终验前，系统试运行时间应不少于3个月。项目按合同工期要求完成建设，并在规定的时间内交付用户使用。</w:t>
            </w:r>
          </w:p>
        </w:tc>
      </w:tr>
      <w:tr w14:paraId="25D2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0F8E7903">
            <w:pPr>
              <w:rPr>
                <w:rFonts w:hint="eastAsia" w:ascii="仿宋" w:hAnsi="仿宋" w:eastAsia="仿宋" w:cs="仿宋"/>
                <w:color w:val="auto"/>
                <w:sz w:val="24"/>
                <w:highlight w:val="none"/>
              </w:rPr>
            </w:pPr>
          </w:p>
        </w:tc>
        <w:tc>
          <w:tcPr>
            <w:tcW w:w="1411" w:type="dxa"/>
            <w:vMerge w:val="continue"/>
            <w:noWrap/>
            <w:vAlign w:val="center"/>
          </w:tcPr>
          <w:p w14:paraId="349300C8">
            <w:pPr>
              <w:rPr>
                <w:rFonts w:hint="eastAsia" w:ascii="仿宋" w:hAnsi="仿宋" w:eastAsia="仿宋" w:cs="仿宋"/>
                <w:color w:val="auto"/>
                <w:sz w:val="24"/>
                <w:highlight w:val="none"/>
              </w:rPr>
            </w:pPr>
          </w:p>
        </w:tc>
        <w:tc>
          <w:tcPr>
            <w:tcW w:w="6415" w:type="dxa"/>
            <w:noWrap w:val="0"/>
            <w:vAlign w:val="center"/>
          </w:tcPr>
          <w:p w14:paraId="2B5B401E">
            <w:pPr>
              <w:rPr>
                <w:rFonts w:hint="eastAsia" w:ascii="仿宋" w:hAnsi="仿宋" w:eastAsia="仿宋" w:cs="仿宋"/>
                <w:color w:val="auto"/>
                <w:sz w:val="24"/>
                <w:highlight w:val="none"/>
              </w:rPr>
            </w:pPr>
            <w:r>
              <w:rPr>
                <w:rFonts w:hint="eastAsia" w:ascii="仿宋" w:hAnsi="仿宋" w:eastAsia="仿宋" w:cs="仿宋"/>
                <w:color w:val="auto"/>
                <w:sz w:val="24"/>
                <w:highlight w:val="none"/>
              </w:rPr>
              <w:t>系统试运行期间，如有出现故障，及时解决，未影响用户正常使用。</w:t>
            </w:r>
          </w:p>
        </w:tc>
      </w:tr>
      <w:tr w14:paraId="46DB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6" w:type="dxa"/>
            <w:vMerge w:val="restart"/>
            <w:noWrap/>
            <w:vAlign w:val="center"/>
          </w:tcPr>
          <w:p w14:paraId="2E656B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11" w:type="dxa"/>
            <w:vMerge w:val="restart"/>
            <w:noWrap/>
            <w:vAlign w:val="center"/>
          </w:tcPr>
          <w:p w14:paraId="1CEACDD3">
            <w:pPr>
              <w:rPr>
                <w:rFonts w:hint="eastAsia" w:ascii="仿宋" w:hAnsi="仿宋" w:eastAsia="仿宋" w:cs="仿宋"/>
                <w:color w:val="auto"/>
                <w:sz w:val="24"/>
                <w:highlight w:val="none"/>
              </w:rPr>
            </w:pPr>
            <w:r>
              <w:rPr>
                <w:rFonts w:hint="eastAsia" w:ascii="仿宋" w:hAnsi="仿宋" w:eastAsia="仿宋" w:cs="仿宋"/>
                <w:color w:val="auto"/>
                <w:sz w:val="24"/>
                <w:highlight w:val="none"/>
              </w:rPr>
              <w:t>保密工作</w:t>
            </w:r>
          </w:p>
        </w:tc>
        <w:tc>
          <w:tcPr>
            <w:tcW w:w="6415" w:type="dxa"/>
            <w:noWrap w:val="0"/>
            <w:vAlign w:val="center"/>
          </w:tcPr>
          <w:p w14:paraId="0498B1A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满足采购人的保密规定实施，签订单位保密协议、个人保密承诺书。</w:t>
            </w:r>
          </w:p>
        </w:tc>
      </w:tr>
      <w:tr w14:paraId="6317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96" w:type="dxa"/>
            <w:noWrap/>
            <w:vAlign w:val="center"/>
          </w:tcPr>
          <w:p w14:paraId="703DA90D">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11" w:type="dxa"/>
            <w:noWrap/>
            <w:vAlign w:val="center"/>
          </w:tcPr>
          <w:p w14:paraId="38A28477">
            <w:pP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网络安全与责任管理</w:t>
            </w:r>
          </w:p>
        </w:tc>
        <w:tc>
          <w:tcPr>
            <w:tcW w:w="6415" w:type="dxa"/>
            <w:noWrap w:val="0"/>
            <w:vAlign w:val="center"/>
          </w:tcPr>
          <w:p w14:paraId="36E47E8D">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（1）明确投标人法定代表人为合作事项网络安全第一责任人，具体承担合作事项的部门主要负责人为直接责任人。</w:t>
            </w:r>
          </w:p>
          <w:p w14:paraId="0BF1C16A">
            <w:pPr>
              <w:rPr>
                <w:rFonts w:hint="eastAsia" w:ascii="仿宋" w:hAnsi="仿宋" w:eastAsia="仿宋" w:cs="仿宋"/>
                <w:color w:val="auto"/>
                <w:sz w:val="24"/>
                <w:highlight w:val="none"/>
              </w:rPr>
            </w:pPr>
            <w:r>
              <w:rPr>
                <w:rFonts w:hint="eastAsia" w:ascii="仿宋" w:hAnsi="仿宋" w:eastAsia="仿宋" w:cs="仿宋"/>
                <w:color w:val="auto"/>
                <w:sz w:val="24"/>
                <w:highlight w:val="none"/>
              </w:rPr>
              <w:t>（2）不得转包合同任务。</w:t>
            </w:r>
          </w:p>
          <w:p w14:paraId="7F244F10">
            <w:pP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（3）投标人应制订与合作事项相关的网络安全保障方案和网络安全事件应急预案。</w:t>
            </w:r>
          </w:p>
          <w:p w14:paraId="694FCC5E">
            <w:pPr>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（4）投标人发现网络安全漏洞、缺陷或者其他严重网络安全风险，应及时向采购人报告。</w:t>
            </w:r>
          </w:p>
          <w:p w14:paraId="3BBE0E02">
            <w:pPr>
              <w:rPr>
                <w:rFonts w:hint="eastAsia" w:ascii="仿宋" w:hAnsi="仿宋" w:eastAsia="仿宋" w:cs="仿宋"/>
                <w:color w:val="auto"/>
                <w:sz w:val="24"/>
                <w:highlight w:val="none"/>
              </w:rPr>
            </w:pPr>
            <w:r>
              <w:rPr>
                <w:rFonts w:hint="eastAsia" w:ascii="仿宋" w:hAnsi="仿宋" w:eastAsia="仿宋" w:cs="仿宋"/>
                <w:color w:val="auto"/>
                <w:sz w:val="24"/>
                <w:highlight w:val="none"/>
              </w:rPr>
              <w:t>（5）处理合作事项的信息平台应当优先采用安全可信的硬件和软件产品。</w:t>
            </w:r>
          </w:p>
          <w:p w14:paraId="03D079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（6）发生可能影响合作事项的网络安全重大事项，包括负责人及重要工作人员变更、业务转型、合并重组和投资并购等，投标人应提前向采购人报告。</w:t>
            </w:r>
          </w:p>
          <w:p w14:paraId="5B7C1344">
            <w:pPr>
              <w:rPr>
                <w:rFonts w:hint="eastAsia" w:ascii="仿宋" w:hAnsi="仿宋" w:eastAsia="仿宋" w:cs="仿宋"/>
                <w:color w:val="auto"/>
                <w:sz w:val="24"/>
                <w:highlight w:val="none"/>
              </w:rPr>
            </w:pPr>
            <w:r>
              <w:rPr>
                <w:rFonts w:hint="eastAsia" w:ascii="仿宋" w:hAnsi="仿宋" w:eastAsia="仿宋" w:cs="仿宋"/>
                <w:color w:val="auto"/>
                <w:sz w:val="24"/>
                <w:highlight w:val="none"/>
              </w:rPr>
              <w:t>（7）采用社会公共网络平台实施合作事项时，严禁涉及国家秘密和警务工作秘密。</w:t>
            </w:r>
          </w:p>
          <w:p w14:paraId="1900A605">
            <w:pPr>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（8）投标人应每年向采购人提交网络安全报告。</w:t>
            </w:r>
          </w:p>
          <w:p w14:paraId="7037B516">
            <w:pPr>
              <w:rPr>
                <w:rFonts w:hint="eastAsia" w:ascii="仿宋" w:hAnsi="仿宋" w:eastAsia="仿宋" w:cs="仿宋"/>
                <w:color w:val="auto"/>
                <w:sz w:val="24"/>
                <w:highlight w:val="none"/>
              </w:rPr>
            </w:pPr>
            <w:r>
              <w:rPr>
                <w:rFonts w:hint="eastAsia" w:ascii="仿宋" w:hAnsi="仿宋" w:eastAsia="仿宋" w:cs="仿宋"/>
                <w:color w:val="auto"/>
                <w:sz w:val="24"/>
                <w:highlight w:val="none"/>
              </w:rPr>
              <w:t>（9）其他应当落实的网络安全责任和义务。</w:t>
            </w:r>
          </w:p>
        </w:tc>
      </w:tr>
      <w:tr w14:paraId="45F3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ign w:val="center"/>
          </w:tcPr>
          <w:p w14:paraId="08FCFA1A">
            <w:pP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411" w:type="dxa"/>
            <w:vMerge w:val="restart"/>
            <w:noWrap/>
            <w:vAlign w:val="center"/>
          </w:tcPr>
          <w:p w14:paraId="389A0F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培训</w:t>
            </w:r>
          </w:p>
        </w:tc>
        <w:tc>
          <w:tcPr>
            <w:tcW w:w="6415" w:type="dxa"/>
            <w:noWrap w:val="0"/>
            <w:vAlign w:val="center"/>
          </w:tcPr>
          <w:p w14:paraId="6E4183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（1）有效组织开展培训工作，培训内容齐全、完整，并形成完善的培训记录并提供用户使用手册。</w:t>
            </w:r>
          </w:p>
        </w:tc>
      </w:tr>
      <w:tr w14:paraId="45B8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41E60538">
            <w:pPr>
              <w:rPr>
                <w:rFonts w:hint="eastAsia" w:ascii="仿宋" w:hAnsi="仿宋" w:eastAsia="仿宋" w:cs="仿宋"/>
                <w:color w:val="auto"/>
                <w:sz w:val="24"/>
                <w:highlight w:val="none"/>
              </w:rPr>
            </w:pPr>
          </w:p>
        </w:tc>
        <w:tc>
          <w:tcPr>
            <w:tcW w:w="1411" w:type="dxa"/>
            <w:vMerge w:val="continue"/>
            <w:noWrap/>
            <w:vAlign w:val="center"/>
          </w:tcPr>
          <w:p w14:paraId="2538AC3E">
            <w:pPr>
              <w:rPr>
                <w:rFonts w:hint="eastAsia" w:ascii="仿宋" w:hAnsi="仿宋" w:eastAsia="仿宋" w:cs="仿宋"/>
                <w:color w:val="auto"/>
                <w:sz w:val="24"/>
                <w:highlight w:val="none"/>
              </w:rPr>
            </w:pPr>
          </w:p>
        </w:tc>
        <w:tc>
          <w:tcPr>
            <w:tcW w:w="6415" w:type="dxa"/>
            <w:noWrap w:val="0"/>
            <w:vAlign w:val="center"/>
          </w:tcPr>
          <w:p w14:paraId="747777F4">
            <w:pPr>
              <w:rPr>
                <w:rFonts w:hint="eastAsia" w:ascii="仿宋" w:hAnsi="仿宋" w:eastAsia="仿宋" w:cs="仿宋"/>
                <w:color w:val="auto"/>
                <w:sz w:val="24"/>
                <w:highlight w:val="none"/>
              </w:rPr>
            </w:pPr>
            <w:r>
              <w:rPr>
                <w:rFonts w:hint="eastAsia" w:ascii="仿宋" w:hAnsi="仿宋" w:eastAsia="仿宋" w:cs="仿宋"/>
                <w:color w:val="auto"/>
                <w:sz w:val="24"/>
                <w:highlight w:val="none"/>
              </w:rPr>
              <w:t>（2）培训人数、场次符合培训需求要求</w:t>
            </w:r>
          </w:p>
        </w:tc>
      </w:tr>
      <w:tr w14:paraId="63BE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514E3924">
            <w:pPr>
              <w:rPr>
                <w:rFonts w:hint="eastAsia" w:ascii="仿宋" w:hAnsi="仿宋" w:eastAsia="仿宋" w:cs="仿宋"/>
                <w:color w:val="auto"/>
                <w:sz w:val="24"/>
                <w:highlight w:val="none"/>
              </w:rPr>
            </w:pPr>
          </w:p>
        </w:tc>
        <w:tc>
          <w:tcPr>
            <w:tcW w:w="1411" w:type="dxa"/>
            <w:vMerge w:val="continue"/>
            <w:noWrap/>
            <w:vAlign w:val="center"/>
          </w:tcPr>
          <w:p w14:paraId="500CF476">
            <w:pPr>
              <w:rPr>
                <w:rFonts w:hint="eastAsia" w:ascii="仿宋" w:hAnsi="仿宋" w:eastAsia="仿宋" w:cs="仿宋"/>
                <w:color w:val="auto"/>
                <w:sz w:val="24"/>
                <w:highlight w:val="none"/>
              </w:rPr>
            </w:pPr>
          </w:p>
        </w:tc>
        <w:tc>
          <w:tcPr>
            <w:tcW w:w="6415" w:type="dxa"/>
            <w:noWrap w:val="0"/>
            <w:vAlign w:val="center"/>
          </w:tcPr>
          <w:p w14:paraId="7D900E3C">
            <w:pPr>
              <w:rPr>
                <w:rFonts w:hint="eastAsia" w:ascii="仿宋" w:hAnsi="仿宋" w:eastAsia="仿宋" w:cs="仿宋"/>
                <w:color w:val="auto"/>
                <w:sz w:val="24"/>
                <w:highlight w:val="none"/>
              </w:rPr>
            </w:pPr>
            <w:r>
              <w:rPr>
                <w:rFonts w:hint="eastAsia" w:ascii="仿宋" w:hAnsi="仿宋" w:eastAsia="仿宋" w:cs="仿宋"/>
                <w:color w:val="auto"/>
                <w:sz w:val="24"/>
                <w:highlight w:val="none"/>
              </w:rPr>
              <w:t>（3）培训结果良好，受训人员对系统的了解、操作程度良好，反馈良好。</w:t>
            </w:r>
          </w:p>
        </w:tc>
      </w:tr>
      <w:tr w14:paraId="1319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ign w:val="center"/>
          </w:tcPr>
          <w:p w14:paraId="4BBB46C8">
            <w:pP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411" w:type="dxa"/>
            <w:noWrap/>
            <w:vAlign w:val="center"/>
          </w:tcPr>
          <w:p w14:paraId="4187E66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运维服务方案</w:t>
            </w:r>
          </w:p>
        </w:tc>
        <w:tc>
          <w:tcPr>
            <w:tcW w:w="6415" w:type="dxa"/>
            <w:noWrap w:val="0"/>
            <w:vAlign w:val="center"/>
          </w:tcPr>
          <w:p w14:paraId="1825DC26">
            <w:pPr>
              <w:rPr>
                <w:rFonts w:hint="eastAsia" w:ascii="仿宋" w:hAnsi="仿宋" w:eastAsia="仿宋" w:cs="仿宋"/>
                <w:color w:val="auto"/>
                <w:sz w:val="24"/>
                <w:highlight w:val="none"/>
              </w:rPr>
            </w:pPr>
            <w:r>
              <w:rPr>
                <w:rFonts w:hint="eastAsia" w:ascii="仿宋" w:hAnsi="仿宋" w:eastAsia="仿宋" w:cs="仿宋"/>
                <w:color w:val="auto"/>
                <w:sz w:val="24"/>
                <w:highlight w:val="none"/>
              </w:rPr>
              <w:t>制定详细的运维服务方案，确保能有效执行合同运维要求。</w:t>
            </w:r>
          </w:p>
        </w:tc>
      </w:tr>
      <w:tr w14:paraId="700A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ign w:val="center"/>
          </w:tcPr>
          <w:p w14:paraId="320BCC97">
            <w:pP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411" w:type="dxa"/>
            <w:vMerge w:val="restart"/>
            <w:noWrap/>
            <w:vAlign w:val="center"/>
          </w:tcPr>
          <w:p w14:paraId="68FDD1C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人员管理 </w:t>
            </w:r>
          </w:p>
        </w:tc>
        <w:tc>
          <w:tcPr>
            <w:tcW w:w="6415" w:type="dxa"/>
            <w:noWrap w:val="0"/>
            <w:vAlign w:val="center"/>
          </w:tcPr>
          <w:p w14:paraId="2E5A91C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在项目试运行期间，按合同和投标文件投入相应资质的项目管理和技术人员。</w:t>
            </w:r>
          </w:p>
        </w:tc>
      </w:tr>
      <w:tr w14:paraId="5278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ign w:val="center"/>
          </w:tcPr>
          <w:p w14:paraId="55F7BA6C">
            <w:pPr>
              <w:rPr>
                <w:rFonts w:hint="eastAsia" w:ascii="仿宋" w:hAnsi="仿宋" w:eastAsia="仿宋" w:cs="仿宋"/>
                <w:color w:val="auto"/>
                <w:sz w:val="24"/>
                <w:highlight w:val="none"/>
              </w:rPr>
            </w:pPr>
          </w:p>
        </w:tc>
        <w:tc>
          <w:tcPr>
            <w:tcW w:w="1411" w:type="dxa"/>
            <w:vMerge w:val="continue"/>
            <w:noWrap/>
            <w:vAlign w:val="center"/>
          </w:tcPr>
          <w:p w14:paraId="024F5A0C">
            <w:pPr>
              <w:rPr>
                <w:rFonts w:hint="eastAsia" w:ascii="仿宋" w:hAnsi="仿宋" w:eastAsia="仿宋" w:cs="仿宋"/>
                <w:color w:val="auto"/>
                <w:sz w:val="24"/>
                <w:highlight w:val="none"/>
              </w:rPr>
            </w:pPr>
          </w:p>
        </w:tc>
        <w:tc>
          <w:tcPr>
            <w:tcW w:w="6415" w:type="dxa"/>
            <w:noWrap w:val="0"/>
            <w:vAlign w:val="center"/>
          </w:tcPr>
          <w:p w14:paraId="1D46FABE">
            <w:pPr>
              <w:rPr>
                <w:rFonts w:hint="eastAsia" w:ascii="仿宋" w:hAnsi="仿宋" w:eastAsia="仿宋" w:cs="仿宋"/>
                <w:color w:val="auto"/>
                <w:sz w:val="24"/>
                <w:highlight w:val="none"/>
              </w:rPr>
            </w:pPr>
            <w:r>
              <w:rPr>
                <w:rFonts w:hint="eastAsia" w:ascii="仿宋" w:hAnsi="仿宋" w:eastAsia="仿宋" w:cs="仿宋"/>
                <w:color w:val="auto"/>
                <w:sz w:val="24"/>
                <w:highlight w:val="none"/>
              </w:rPr>
              <w:t>在项目试运行期间，项目人员及时到位，不存在脱岗等问题，请假应有正常手续。</w:t>
            </w:r>
          </w:p>
        </w:tc>
      </w:tr>
      <w:tr w14:paraId="5224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ign w:val="center"/>
          </w:tcPr>
          <w:p w14:paraId="1300835E">
            <w:pP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411" w:type="dxa"/>
            <w:noWrap/>
            <w:vAlign w:val="center"/>
          </w:tcPr>
          <w:p w14:paraId="6680D24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验收小组现场演示</w:t>
            </w:r>
          </w:p>
        </w:tc>
        <w:tc>
          <w:tcPr>
            <w:tcW w:w="6415" w:type="dxa"/>
            <w:noWrap w:val="0"/>
            <w:vAlign w:val="center"/>
          </w:tcPr>
          <w:p w14:paraId="7BC165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验收时，验收小组现场组织对项目系统演示。</w:t>
            </w:r>
          </w:p>
        </w:tc>
      </w:tr>
      <w:tr w14:paraId="0E32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ign w:val="center"/>
          </w:tcPr>
          <w:p w14:paraId="5D8B78E0">
            <w:pP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411" w:type="dxa"/>
            <w:noWrap/>
            <w:vAlign w:val="center"/>
          </w:tcPr>
          <w:p w14:paraId="0CA9D5C6">
            <w:pPr>
              <w:rPr>
                <w:rFonts w:hint="eastAsia" w:ascii="仿宋" w:hAnsi="仿宋" w:eastAsia="仿宋" w:cs="仿宋"/>
                <w:color w:val="auto"/>
                <w:sz w:val="24"/>
                <w:highlight w:val="none"/>
              </w:rPr>
            </w:pPr>
            <w:r>
              <w:rPr>
                <w:rFonts w:hint="eastAsia" w:ascii="仿宋" w:hAnsi="仿宋" w:eastAsia="仿宋" w:cs="仿宋"/>
                <w:color w:val="auto"/>
                <w:sz w:val="24"/>
                <w:highlight w:val="none"/>
              </w:rPr>
              <w:t>终验资料</w:t>
            </w:r>
          </w:p>
        </w:tc>
        <w:tc>
          <w:tcPr>
            <w:tcW w:w="6415" w:type="dxa"/>
            <w:noWrap w:val="0"/>
            <w:vAlign w:val="center"/>
          </w:tcPr>
          <w:p w14:paraId="36D19238">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项目终验资料种类齐全，各类审批流程手续和各类资料真实、完整，符合信息化项目资料规范要求。</w:t>
            </w:r>
          </w:p>
        </w:tc>
      </w:tr>
      <w:tr w14:paraId="7A3D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ign w:val="center"/>
          </w:tcPr>
          <w:p w14:paraId="598171D2">
            <w:pP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411" w:type="dxa"/>
            <w:noWrap w:val="0"/>
            <w:vAlign w:val="center"/>
          </w:tcPr>
          <w:p w14:paraId="01F9BB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其他工作</w:t>
            </w:r>
          </w:p>
        </w:tc>
        <w:tc>
          <w:tcPr>
            <w:tcW w:w="6415" w:type="dxa"/>
            <w:noWrap w:val="0"/>
            <w:vAlign w:val="center"/>
          </w:tcPr>
          <w:p w14:paraId="2362A71F">
            <w:pPr>
              <w:rPr>
                <w:rFonts w:hint="eastAsia" w:ascii="仿宋" w:hAnsi="仿宋" w:eastAsia="仿宋" w:cs="仿宋"/>
                <w:color w:val="auto"/>
                <w:sz w:val="24"/>
                <w:highlight w:val="none"/>
              </w:rPr>
            </w:pPr>
            <w:r>
              <w:rPr>
                <w:rFonts w:hint="eastAsia" w:ascii="仿宋" w:hAnsi="仿宋" w:eastAsia="仿宋" w:cs="仿宋"/>
                <w:color w:val="auto"/>
                <w:sz w:val="24"/>
                <w:highlight w:val="none"/>
              </w:rPr>
              <w:t>履行项目采购文件、投标文件、合同条款中涉及的其他承诺的情况。</w:t>
            </w:r>
          </w:p>
        </w:tc>
      </w:tr>
    </w:tbl>
    <w:p w14:paraId="6153993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4、终验材料</w:t>
      </w:r>
    </w:p>
    <w:p w14:paraId="2F6A1C0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（1）招标文件</w:t>
      </w:r>
    </w:p>
    <w:p w14:paraId="7143664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（2）投标文件</w:t>
      </w:r>
    </w:p>
    <w:p w14:paraId="5E86C84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（3）项目合同</w:t>
      </w:r>
    </w:p>
    <w:p w14:paraId="7247031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（4）单位保密协议、个人保密承诺书、日常保密教育台账、网络安全保障方案、网络安全事件应急预案、网络安全报告。</w:t>
      </w:r>
    </w:p>
    <w:p w14:paraId="083F685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（5）项目实施方案：内容包括项目人员组织架构、质量保证措施、进度保证措施、进度计划等。</w:t>
      </w:r>
    </w:p>
    <w:p w14:paraId="666E9F6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（6）需求规格说明书：经需求调研后形成需求规格说明书，由投标人编制并盖章；</w:t>
      </w:r>
    </w:p>
    <w:p w14:paraId="361E0349">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（7）定制开发软件：概要设计、详细设计、数据库设计、数据接口文档，由投标人编制并盖章；</w:t>
      </w:r>
    </w:p>
    <w:p w14:paraId="39CFB1C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（8）测试报告：根据测试方案和测试用例，经采购人、监理单位现场测试后，由投标人和监理单位签字确认；</w:t>
      </w:r>
    </w:p>
    <w:p w14:paraId="5C75AA6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（9）工程款支付申请：由投标人编制并签字盖章，监理单位审核通过后出具支付证书由监理单位签字盖章；</w:t>
      </w:r>
    </w:p>
    <w:p w14:paraId="5B337E1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（10）《信息化建设项目变更审批表》（如有）；</w:t>
      </w:r>
    </w:p>
    <w:p w14:paraId="1F6F452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（11）初验整改报告（如有）；</w:t>
      </w:r>
    </w:p>
    <w:p w14:paraId="5E1FE9A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（12）初验报告：初验时专家组签字；</w:t>
      </w:r>
    </w:p>
    <w:p w14:paraId="688BB7C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（13）培训方案：由投标人编制并盖章；</w:t>
      </w:r>
    </w:p>
    <w:p w14:paraId="7918AD5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（14）培训记录：由培训参与人员签字；</w:t>
      </w:r>
    </w:p>
    <w:p w14:paraId="110BF7E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（15）试运行记录、试运总结报告：由投标人编制并签字盖章；</w:t>
      </w:r>
    </w:p>
    <w:p w14:paraId="084F093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（16）三级等保测评报告、第三方软件（功能）测评报告、</w:t>
      </w:r>
      <w:r>
        <w:rPr>
          <w:rFonts w:hint="eastAsia" w:ascii="仿宋" w:hAnsi="仿宋" w:eastAsia="仿宋" w:cs="仿宋"/>
          <w:color w:val="auto"/>
          <w:sz w:val="22"/>
          <w:szCs w:val="28"/>
          <w:highlight w:val="none"/>
        </w:rPr>
        <w:t>XC</w:t>
      </w:r>
      <w:r>
        <w:rPr>
          <w:rFonts w:hint="eastAsia" w:ascii="仿宋" w:hAnsi="仿宋" w:eastAsia="仿宋" w:cs="仿宋"/>
          <w:color w:val="auto"/>
          <w:sz w:val="24"/>
          <w:highlight w:val="none"/>
          <w:lang w:bidi="zh-CN"/>
        </w:rPr>
        <w:t>符合性测评报告、商用密码安全性评估报告；</w:t>
      </w:r>
    </w:p>
    <w:p w14:paraId="6F8110B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（17）终验申请表：由投标人编制并签字盖章，经监理单位和采购人确认后，由监理方，采购人签字并盖章；</w:t>
      </w:r>
    </w:p>
    <w:p w14:paraId="2AD5B3A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（18）终验总结报告</w:t>
      </w:r>
    </w:p>
    <w:p w14:paraId="6D870C3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（19）用户使用报告</w:t>
      </w:r>
    </w:p>
    <w:p w14:paraId="69EE448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（20）运维保障方案：由投标人编制并签字盖章；</w:t>
      </w:r>
    </w:p>
    <w:p w14:paraId="743014F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（21）软件交付清单：由投标人编制并盖章，经验收通过后采购人、监理方核对无误后签字并盖章；</w:t>
      </w:r>
    </w:p>
    <w:p w14:paraId="685807B6">
      <w:pPr>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bidi="zh-CN"/>
        </w:rPr>
        <w:t>（22）系统演示记录：由验收小组签字；</w:t>
      </w:r>
    </w:p>
    <w:p w14:paraId="3948026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履约验收标准</w:t>
      </w:r>
    </w:p>
    <w:p w14:paraId="1E0D93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根据采购文件确定的技术指标或者服务要求确定验收指标和标准。未进行相应约定的，应当符合国家强制性规定、政策要求、安全标准、行业或企业有关标准等。</w:t>
      </w:r>
    </w:p>
    <w:p w14:paraId="71454EE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履约验收其他事项</w:t>
      </w:r>
    </w:p>
    <w:p w14:paraId="2BB3B4F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按照相关法律法规规定组织对投标人履约的验收。验收方成员应当在验收书上签字，并承担相应的法律责任。如果发现与合同中要求不符，投标人须承担由此发生的一切损失和费用，并接受相应的处理。</w:t>
      </w:r>
    </w:p>
    <w:p w14:paraId="0D494BA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2、本项目为信息化项目，根据当地要求及验收所需相应材料,由市公安局科信局按照市政府履约验收相关管理办法的程序,结合市局相关内控制度组织开展终验。</w:t>
      </w:r>
    </w:p>
    <w:p w14:paraId="5812CA8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格按照采购合同开展履约验收。采购人委托采购代理机构组织验收。采购人委托第三方成立验收小组。投标人应配合采购人组织的专项验收。验收小组由5人组成：采购人1名，专家4名（第三方机构在政采云政企区专家库相关专业中随机抽取产生）。验收时，按照采购合同的约定对每一项技术、服务、安全标准的履约情况进行确认，验收小组现场对系统运行情况进行现场演示。出具验收报告并经验收小组全体成员签字。验收结果分为通过和不通过。验收结果为通过的，如存在待改进完善的问题，投标人应及时整改到位；验收结果为不通过的，投标人应及时整改并重新提出验收申请。若因投标人原因验收不通过，并造成项目未能在合同约定时限内完成终验，按合同条款执行。采购人根据验收报告形成验收意见并经采购人与投标人签字盖章，并在财政指定媒体上公示无异议后生效。验收结果与采购合同约定的资金支付及履约保证金返还条件挂钩。履约验收的各项资料应当存档备查。</w:t>
      </w:r>
    </w:p>
    <w:p w14:paraId="3038F1A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4、验收产生的费用首次验收费用由采购人承担，如首次验收不合格，后续验收费用由投标人支付。</w:t>
      </w:r>
    </w:p>
    <w:p w14:paraId="07E75763">
      <w:pPr>
        <w:pStyle w:val="8"/>
        <w:spacing w:line="360" w:lineRule="auto"/>
        <w:ind w:firstLine="480" w:firstLineChars="200"/>
        <w:rPr>
          <w:rFonts w:hint="eastAsia" w:ascii="仿宋" w:hAnsi="仿宋" w:eastAsia="仿宋" w:cs="仿宋"/>
          <w:color w:val="auto"/>
          <w:sz w:val="24"/>
          <w:szCs w:val="24"/>
          <w:highlight w:val="none"/>
        </w:rPr>
      </w:pPr>
    </w:p>
    <w:p w14:paraId="0377642B">
      <w:pPr>
        <w:spacing w:line="360" w:lineRule="auto"/>
        <w:jc w:val="left"/>
        <w:rPr>
          <w:rFonts w:hint="eastAsia" w:ascii="仿宋" w:hAnsi="仿宋" w:eastAsia="仿宋" w:cs="仿宋"/>
          <w:b/>
          <w:bCs/>
          <w:color w:val="auto"/>
          <w:sz w:val="24"/>
          <w:highlight w:val="none"/>
        </w:rPr>
      </w:pPr>
    </w:p>
    <w:p w14:paraId="2674B943">
      <w:pPr>
        <w:spacing w:line="500" w:lineRule="exact"/>
        <w:ind w:firstLine="482" w:firstLineChars="200"/>
        <w:jc w:val="left"/>
        <w:rPr>
          <w:rFonts w:hint="eastAsia" w:ascii="仿宋" w:hAnsi="仿宋" w:eastAsia="仿宋" w:cs="仿宋"/>
          <w:color w:val="auto"/>
          <w:sz w:val="24"/>
          <w:highlight w:val="none"/>
          <w:lang w:bidi="zh-CN"/>
        </w:rPr>
      </w:pPr>
      <w:r>
        <w:rPr>
          <w:rFonts w:hint="eastAsia" w:ascii="仿宋" w:hAnsi="仿宋" w:eastAsia="仿宋" w:cs="仿宋"/>
          <w:b/>
          <w:bCs/>
          <w:color w:val="auto"/>
          <w:sz w:val="24"/>
          <w:highlight w:val="none"/>
        </w:rPr>
        <w:t>（二）硬件履约验收内容（参考格式）</w:t>
      </w:r>
    </w:p>
    <w:p w14:paraId="48AB0E1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1、履约验收主体</w:t>
      </w:r>
    </w:p>
    <w:p w14:paraId="3525974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采购单位：XXX </w:t>
      </w:r>
    </w:p>
    <w:p w14:paraId="3CA7E82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是否选择代理机构：</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是</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52"/>
      </w:r>
      <w:r>
        <w:rPr>
          <w:rFonts w:hint="eastAsia" w:ascii="仿宋" w:hAnsi="仿宋" w:eastAsia="仿宋" w:cs="仿宋"/>
          <w:color w:val="auto"/>
          <w:sz w:val="24"/>
          <w:highlight w:val="none"/>
          <w:lang w:bidi="zh-CN"/>
        </w:rPr>
        <w:t>否</w:t>
      </w:r>
    </w:p>
    <w:p w14:paraId="562D9BF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是否邀请本项目的其他供应商：</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是</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52"/>
      </w:r>
      <w:r>
        <w:rPr>
          <w:rFonts w:hint="eastAsia" w:ascii="仿宋" w:hAnsi="仿宋" w:eastAsia="仿宋" w:cs="仿宋"/>
          <w:color w:val="auto"/>
          <w:sz w:val="24"/>
          <w:highlight w:val="none"/>
          <w:lang w:bidi="zh-CN"/>
        </w:rPr>
        <w:t>否</w:t>
      </w:r>
    </w:p>
    <w:p w14:paraId="5F0AB9F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是否邀请专家：</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是</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52"/>
      </w:r>
      <w:r>
        <w:rPr>
          <w:rFonts w:hint="eastAsia" w:ascii="仿宋" w:hAnsi="仿宋" w:eastAsia="仿宋" w:cs="仿宋"/>
          <w:color w:val="auto"/>
          <w:sz w:val="24"/>
          <w:highlight w:val="none"/>
          <w:lang w:bidi="zh-CN"/>
        </w:rPr>
        <w:t>否</w:t>
      </w:r>
    </w:p>
    <w:p w14:paraId="1A847D6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是否邀请服务对象：</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是</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52"/>
      </w:r>
      <w:r>
        <w:rPr>
          <w:rFonts w:hint="eastAsia" w:ascii="仿宋" w:hAnsi="仿宋" w:eastAsia="仿宋" w:cs="仿宋"/>
          <w:color w:val="auto"/>
          <w:sz w:val="24"/>
          <w:highlight w:val="none"/>
          <w:lang w:bidi="zh-CN"/>
        </w:rPr>
        <w:t>否</w:t>
      </w:r>
    </w:p>
    <w:p w14:paraId="08EF07E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其他：无</w:t>
      </w:r>
    </w:p>
    <w:p w14:paraId="6DB4BDA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2、履约验收时间： 完成全部产品生产、供货后（具体验收时间以采购人最终确定并及时通知供应商为准）。</w:t>
      </w:r>
    </w:p>
    <w:p w14:paraId="6885A1A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3、履约验收方式：</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简易程序</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一般程序</w:t>
      </w:r>
    </w:p>
    <w:p w14:paraId="7C763F9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4、履约验收程序：</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sym w:font="Wingdings 2" w:char="0052"/>
      </w:r>
      <w:r>
        <w:rPr>
          <w:rFonts w:hint="eastAsia" w:ascii="仿宋" w:hAnsi="仿宋" w:eastAsia="仿宋" w:cs="仿宋"/>
          <w:color w:val="auto"/>
          <w:sz w:val="24"/>
          <w:highlight w:val="none"/>
          <w:lang w:bidi="zh-CN"/>
        </w:rPr>
        <w:t>一次性验收</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t xml:space="preserve">  </w:t>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分段验收</w:t>
      </w:r>
      <w:r>
        <w:rPr>
          <w:rFonts w:hint="eastAsia" w:ascii="仿宋" w:hAnsi="仿宋" w:eastAsia="仿宋" w:cs="仿宋"/>
          <w:color w:val="auto"/>
          <w:sz w:val="24"/>
          <w:highlight w:val="none"/>
          <w:lang w:bidi="zh-CN"/>
        </w:rPr>
        <w:tab/>
      </w:r>
      <w:r>
        <w:rPr>
          <w:rFonts w:hint="eastAsia" w:ascii="仿宋" w:hAnsi="仿宋" w:eastAsia="仿宋" w:cs="仿宋"/>
          <w:color w:val="auto"/>
          <w:sz w:val="24"/>
          <w:highlight w:val="none"/>
          <w:lang w:bidi="zh-CN"/>
        </w:rPr>
        <w:t xml:space="preserve"> </w:t>
      </w:r>
      <w:r>
        <w:rPr>
          <w:rFonts w:hint="eastAsia" w:ascii="仿宋" w:hAnsi="仿宋" w:eastAsia="仿宋" w:cs="仿宋"/>
          <w:color w:val="auto"/>
          <w:sz w:val="24"/>
          <w:highlight w:val="none"/>
          <w:lang w:bidi="zh-CN"/>
        </w:rPr>
        <w:sym w:font="Wingdings 2" w:char="00A3"/>
      </w:r>
      <w:r>
        <w:rPr>
          <w:rFonts w:hint="eastAsia" w:ascii="仿宋" w:hAnsi="仿宋" w:eastAsia="仿宋" w:cs="仿宋"/>
          <w:color w:val="auto"/>
          <w:sz w:val="24"/>
          <w:highlight w:val="none"/>
          <w:lang w:bidi="zh-CN"/>
        </w:rPr>
        <w:t>分期验收</w:t>
      </w:r>
    </w:p>
    <w:p w14:paraId="6AB9758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5、履约验收内容：</w:t>
      </w:r>
    </w:p>
    <w:p w14:paraId="5AF88224">
      <w:pPr>
        <w:spacing w:line="500" w:lineRule="exact"/>
        <w:ind w:firstLine="480" w:firstLineChars="200"/>
        <w:jc w:val="left"/>
        <w:rPr>
          <w:rFonts w:hint="eastAsia" w:ascii="仿宋" w:hAnsi="仿宋" w:eastAsia="仿宋" w:cs="仿宋"/>
          <w:color w:val="auto"/>
          <w:sz w:val="24"/>
          <w:highlight w:val="none"/>
          <w:lang w:bidi="zh-CN"/>
        </w:rPr>
      </w:pPr>
      <w:bookmarkStart w:id="520" w:name="_Hlk130567802"/>
      <w:r>
        <w:rPr>
          <w:rFonts w:hint="eastAsia" w:ascii="仿宋" w:hAnsi="仿宋" w:eastAsia="仿宋" w:cs="仿宋"/>
          <w:color w:val="auto"/>
          <w:sz w:val="24"/>
          <w:highlight w:val="none"/>
          <w:lang w:bidi="zh-CN"/>
        </w:rPr>
        <w:t>（一）采购人参照当地标准规定组织对供应商履约的验收。验收方成员应当在验收书上签字，并承担相应的法律责任。如果发现与合同中要求不符，供应商须承担由此发生的一切损失和费用，并接受相应的处理。</w:t>
      </w:r>
    </w:p>
    <w:p w14:paraId="7E151B8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二）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挂钩。履约验收的各项资料应当存档备查。</w:t>
      </w:r>
    </w:p>
    <w:p w14:paraId="51166FE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（三）验收合格的项目，采购人将根据采购合同的约定及时向供应商支付采购资金。验收不合格的项目，采购人将依法及时处理。采购合同的履行、违约责任和解决争议的方式等适用《中华人民共和国民法典》。</w:t>
      </w:r>
    </w:p>
    <w:p w14:paraId="0C861A2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（四）验收产生的费用首次验收费用由采购人承担，如首次验收不合格，后续验收费用由供应商支付。</w:t>
      </w:r>
    </w:p>
    <w:p w14:paraId="4047DBF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（五）验收内容及资料要求：</w:t>
      </w:r>
    </w:p>
    <w:p w14:paraId="5C667FF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根据采购需求确定的技术指标或者服务要求确定验收指标和标准。未进行相应约定的，应当符合国家强制性规定、政策要求、安全标准、行业或企业有关标准等。</w:t>
      </w:r>
    </w:p>
    <w:p w14:paraId="240CA3D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5.1验收内容</w:t>
      </w:r>
    </w:p>
    <w:bookmarkEnd w:id="520"/>
    <w:tbl>
      <w:tblPr>
        <w:tblStyle w:val="15"/>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67"/>
        <w:gridCol w:w="6870"/>
      </w:tblGrid>
      <w:tr w14:paraId="6B52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33980CF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序号</w:t>
            </w:r>
          </w:p>
        </w:tc>
        <w:tc>
          <w:tcPr>
            <w:tcW w:w="1667" w:type="dxa"/>
            <w:tcBorders>
              <w:top w:val="single" w:color="auto" w:sz="4" w:space="0"/>
              <w:left w:val="single" w:color="auto" w:sz="4" w:space="0"/>
              <w:bottom w:val="single" w:color="auto" w:sz="4" w:space="0"/>
              <w:right w:val="single" w:color="auto" w:sz="4" w:space="0"/>
            </w:tcBorders>
            <w:noWrap/>
            <w:vAlign w:val="center"/>
          </w:tcPr>
          <w:p w14:paraId="3605EC7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验收内容</w:t>
            </w:r>
          </w:p>
        </w:tc>
        <w:tc>
          <w:tcPr>
            <w:tcW w:w="6870" w:type="dxa"/>
            <w:tcBorders>
              <w:top w:val="single" w:color="auto" w:sz="4" w:space="0"/>
              <w:left w:val="single" w:color="auto" w:sz="4" w:space="0"/>
              <w:bottom w:val="single" w:color="auto" w:sz="4" w:space="0"/>
              <w:right w:val="single" w:color="auto" w:sz="4" w:space="0"/>
            </w:tcBorders>
            <w:noWrap/>
            <w:vAlign w:val="center"/>
          </w:tcPr>
          <w:p w14:paraId="53B0B79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 验收标准</w:t>
            </w:r>
          </w:p>
        </w:tc>
      </w:tr>
      <w:tr w14:paraId="56ED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33BC408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w:t>
            </w:r>
          </w:p>
        </w:tc>
        <w:tc>
          <w:tcPr>
            <w:tcW w:w="1667" w:type="dxa"/>
            <w:tcBorders>
              <w:top w:val="single" w:color="auto" w:sz="4" w:space="0"/>
              <w:left w:val="single" w:color="auto" w:sz="4" w:space="0"/>
              <w:bottom w:val="single" w:color="auto" w:sz="4" w:space="0"/>
              <w:right w:val="single" w:color="auto" w:sz="4" w:space="0"/>
            </w:tcBorders>
            <w:noWrap/>
            <w:vAlign w:val="center"/>
          </w:tcPr>
          <w:p w14:paraId="33F837F9">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质量</w:t>
            </w:r>
          </w:p>
        </w:tc>
        <w:tc>
          <w:tcPr>
            <w:tcW w:w="6870" w:type="dxa"/>
            <w:tcBorders>
              <w:top w:val="single" w:color="auto" w:sz="4" w:space="0"/>
              <w:left w:val="single" w:color="auto" w:sz="4" w:space="0"/>
              <w:bottom w:val="single" w:color="auto" w:sz="4" w:space="0"/>
              <w:right w:val="single" w:color="auto" w:sz="4" w:space="0"/>
            </w:tcBorders>
            <w:noWrap/>
            <w:vAlign w:val="center"/>
          </w:tcPr>
          <w:p w14:paraId="778BD4C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提供的产品生产日期、品牌型号、数量等与合同相符，质量符合国家标准，提供产品合格证原件、质量保证书原件、质保承诺函、三包凭证等。</w:t>
            </w:r>
          </w:p>
        </w:tc>
      </w:tr>
      <w:tr w14:paraId="7048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04046EE9">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w:t>
            </w:r>
          </w:p>
        </w:tc>
        <w:tc>
          <w:tcPr>
            <w:tcW w:w="1667" w:type="dxa"/>
            <w:tcBorders>
              <w:top w:val="single" w:color="auto" w:sz="4" w:space="0"/>
              <w:left w:val="single" w:color="auto" w:sz="4" w:space="0"/>
              <w:bottom w:val="single" w:color="auto" w:sz="4" w:space="0"/>
              <w:right w:val="single" w:color="auto" w:sz="4" w:space="0"/>
            </w:tcBorders>
            <w:noWrap/>
            <w:vAlign w:val="center"/>
          </w:tcPr>
          <w:p w14:paraId="0630DDC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时间</w:t>
            </w:r>
          </w:p>
        </w:tc>
        <w:tc>
          <w:tcPr>
            <w:tcW w:w="6870" w:type="dxa"/>
            <w:tcBorders>
              <w:top w:val="single" w:color="auto" w:sz="4" w:space="0"/>
              <w:left w:val="single" w:color="auto" w:sz="4" w:space="0"/>
              <w:bottom w:val="single" w:color="auto" w:sz="4" w:space="0"/>
              <w:right w:val="single" w:color="auto" w:sz="4" w:space="0"/>
            </w:tcBorders>
            <w:noWrap/>
            <w:vAlign w:val="center"/>
          </w:tcPr>
          <w:p w14:paraId="3D28BA1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是否按既定工期完成项目。</w:t>
            </w:r>
          </w:p>
        </w:tc>
      </w:tr>
      <w:tr w14:paraId="1886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42CE79A9">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w:t>
            </w:r>
          </w:p>
        </w:tc>
        <w:tc>
          <w:tcPr>
            <w:tcW w:w="1667" w:type="dxa"/>
            <w:tcBorders>
              <w:top w:val="single" w:color="auto" w:sz="4" w:space="0"/>
              <w:left w:val="single" w:color="auto" w:sz="4" w:space="0"/>
              <w:bottom w:val="single" w:color="auto" w:sz="4" w:space="0"/>
              <w:right w:val="single" w:color="auto" w:sz="4" w:space="0"/>
            </w:tcBorders>
            <w:noWrap/>
            <w:vAlign w:val="center"/>
          </w:tcPr>
          <w:p w14:paraId="383ABAE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样品对比</w:t>
            </w:r>
          </w:p>
        </w:tc>
        <w:tc>
          <w:tcPr>
            <w:tcW w:w="6870" w:type="dxa"/>
            <w:tcBorders>
              <w:top w:val="single" w:color="auto" w:sz="4" w:space="0"/>
              <w:left w:val="single" w:color="auto" w:sz="4" w:space="0"/>
              <w:bottom w:val="single" w:color="auto" w:sz="4" w:space="0"/>
              <w:right w:val="single" w:color="auto" w:sz="4" w:space="0"/>
            </w:tcBorders>
            <w:noWrap/>
            <w:vAlign w:val="center"/>
          </w:tcPr>
          <w:p w14:paraId="1524F41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采购人现场核对产品与样品参数、性能是否一致。</w:t>
            </w:r>
          </w:p>
        </w:tc>
      </w:tr>
      <w:tr w14:paraId="10EF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1960971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w:t>
            </w:r>
          </w:p>
        </w:tc>
        <w:tc>
          <w:tcPr>
            <w:tcW w:w="1667" w:type="dxa"/>
            <w:tcBorders>
              <w:top w:val="single" w:color="auto" w:sz="4" w:space="0"/>
              <w:left w:val="single" w:color="auto" w:sz="4" w:space="0"/>
              <w:bottom w:val="single" w:color="auto" w:sz="4" w:space="0"/>
              <w:right w:val="single" w:color="auto" w:sz="4" w:space="0"/>
            </w:tcBorders>
            <w:noWrap/>
            <w:vAlign w:val="center"/>
          </w:tcPr>
          <w:p w14:paraId="5A75F02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第三方检测</w:t>
            </w:r>
          </w:p>
        </w:tc>
        <w:tc>
          <w:tcPr>
            <w:tcW w:w="6870" w:type="dxa"/>
            <w:tcBorders>
              <w:top w:val="single" w:color="auto" w:sz="4" w:space="0"/>
              <w:left w:val="single" w:color="auto" w:sz="4" w:space="0"/>
              <w:bottom w:val="single" w:color="auto" w:sz="4" w:space="0"/>
              <w:right w:val="single" w:color="auto" w:sz="4" w:space="0"/>
            </w:tcBorders>
            <w:noWrap/>
            <w:vAlign w:val="center"/>
          </w:tcPr>
          <w:p w14:paraId="58DA721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核对产品是否与采购文件要求的性能一致。</w:t>
            </w:r>
          </w:p>
        </w:tc>
      </w:tr>
      <w:tr w14:paraId="696C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6518FCA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w:t>
            </w:r>
          </w:p>
        </w:tc>
        <w:tc>
          <w:tcPr>
            <w:tcW w:w="1667" w:type="dxa"/>
            <w:tcBorders>
              <w:top w:val="single" w:color="auto" w:sz="4" w:space="0"/>
              <w:left w:val="single" w:color="auto" w:sz="4" w:space="0"/>
              <w:bottom w:val="single" w:color="auto" w:sz="4" w:space="0"/>
              <w:right w:val="single" w:color="auto" w:sz="4" w:space="0"/>
            </w:tcBorders>
            <w:noWrap/>
            <w:vAlign w:val="center"/>
          </w:tcPr>
          <w:p w14:paraId="03934AD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送货</w:t>
            </w:r>
          </w:p>
        </w:tc>
        <w:tc>
          <w:tcPr>
            <w:tcW w:w="6870" w:type="dxa"/>
            <w:tcBorders>
              <w:top w:val="single" w:color="auto" w:sz="4" w:space="0"/>
              <w:left w:val="single" w:color="auto" w:sz="4" w:space="0"/>
              <w:bottom w:val="single" w:color="auto" w:sz="4" w:space="0"/>
              <w:right w:val="single" w:color="auto" w:sz="4" w:space="0"/>
            </w:tcBorders>
            <w:noWrap/>
            <w:vAlign w:val="center"/>
          </w:tcPr>
          <w:p w14:paraId="6974C42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项目按送货要求在规定的时间内送货。</w:t>
            </w:r>
          </w:p>
        </w:tc>
      </w:tr>
      <w:tr w14:paraId="29D8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42E6D5E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6</w:t>
            </w:r>
          </w:p>
        </w:tc>
        <w:tc>
          <w:tcPr>
            <w:tcW w:w="1667" w:type="dxa"/>
            <w:tcBorders>
              <w:top w:val="single" w:color="auto" w:sz="4" w:space="0"/>
              <w:left w:val="single" w:color="auto" w:sz="4" w:space="0"/>
              <w:bottom w:val="single" w:color="auto" w:sz="4" w:space="0"/>
              <w:right w:val="single" w:color="auto" w:sz="4" w:space="0"/>
            </w:tcBorders>
            <w:noWrap/>
            <w:vAlign w:val="center"/>
          </w:tcPr>
          <w:p w14:paraId="15D83DE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保密要求</w:t>
            </w:r>
          </w:p>
        </w:tc>
        <w:tc>
          <w:tcPr>
            <w:tcW w:w="6870" w:type="dxa"/>
            <w:tcBorders>
              <w:top w:val="single" w:color="auto" w:sz="4" w:space="0"/>
              <w:left w:val="single" w:color="auto" w:sz="4" w:space="0"/>
              <w:bottom w:val="single" w:color="auto" w:sz="4" w:space="0"/>
              <w:right w:val="single" w:color="auto" w:sz="4" w:space="0"/>
            </w:tcBorders>
            <w:noWrap/>
            <w:vAlign w:val="center"/>
          </w:tcPr>
          <w:p w14:paraId="1245985E">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满足采购需求，签订个人保密承诺书、保密协议，开展安全保密教育，履行相关保密义务和责任。</w:t>
            </w:r>
          </w:p>
        </w:tc>
      </w:tr>
      <w:tr w14:paraId="45F3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6AF11C5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7</w:t>
            </w:r>
          </w:p>
        </w:tc>
        <w:tc>
          <w:tcPr>
            <w:tcW w:w="1667" w:type="dxa"/>
            <w:tcBorders>
              <w:top w:val="single" w:color="auto" w:sz="4" w:space="0"/>
              <w:left w:val="single" w:color="auto" w:sz="4" w:space="0"/>
              <w:bottom w:val="single" w:color="auto" w:sz="4" w:space="0"/>
              <w:right w:val="single" w:color="auto" w:sz="4" w:space="0"/>
            </w:tcBorders>
            <w:noWrap/>
            <w:vAlign w:val="center"/>
          </w:tcPr>
          <w:p w14:paraId="1DD3412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服务人员</w:t>
            </w:r>
          </w:p>
        </w:tc>
        <w:tc>
          <w:tcPr>
            <w:tcW w:w="6870" w:type="dxa"/>
            <w:tcBorders>
              <w:top w:val="single" w:color="auto" w:sz="4" w:space="0"/>
              <w:left w:val="single" w:color="auto" w:sz="4" w:space="0"/>
              <w:bottom w:val="single" w:color="auto" w:sz="4" w:space="0"/>
              <w:right w:val="single" w:color="auto" w:sz="4" w:space="0"/>
            </w:tcBorders>
            <w:noWrap/>
            <w:vAlign w:val="center"/>
          </w:tcPr>
          <w:p w14:paraId="4C5732C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实施期间，按合同投入相应的项目负责人、其他人员及其服务质量满足采购需求。</w:t>
            </w:r>
          </w:p>
        </w:tc>
      </w:tr>
      <w:tr w14:paraId="1734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2DAB110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8</w:t>
            </w:r>
          </w:p>
        </w:tc>
        <w:tc>
          <w:tcPr>
            <w:tcW w:w="1667" w:type="dxa"/>
            <w:tcBorders>
              <w:top w:val="single" w:color="auto" w:sz="4" w:space="0"/>
              <w:left w:val="single" w:color="auto" w:sz="4" w:space="0"/>
              <w:bottom w:val="single" w:color="auto" w:sz="4" w:space="0"/>
              <w:right w:val="single" w:color="auto" w:sz="4" w:space="0"/>
            </w:tcBorders>
            <w:noWrap/>
            <w:vAlign w:val="center"/>
          </w:tcPr>
          <w:p w14:paraId="0D67209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中小企业要求</w:t>
            </w:r>
          </w:p>
        </w:tc>
        <w:tc>
          <w:tcPr>
            <w:tcW w:w="6870" w:type="dxa"/>
            <w:tcBorders>
              <w:top w:val="single" w:color="auto" w:sz="4" w:space="0"/>
              <w:left w:val="single" w:color="auto" w:sz="4" w:space="0"/>
              <w:bottom w:val="single" w:color="auto" w:sz="4" w:space="0"/>
              <w:right w:val="single" w:color="auto" w:sz="4" w:space="0"/>
            </w:tcBorders>
            <w:noWrap/>
            <w:vAlign w:val="center"/>
          </w:tcPr>
          <w:p w14:paraId="58EE50C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货物全部由符合政策要求的小微企业制造（小微企业100%）</w:t>
            </w:r>
          </w:p>
        </w:tc>
      </w:tr>
      <w:tr w14:paraId="1FB6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 w:type="dxa"/>
            <w:tcBorders>
              <w:top w:val="single" w:color="auto" w:sz="4" w:space="0"/>
              <w:left w:val="single" w:color="auto" w:sz="4" w:space="0"/>
              <w:bottom w:val="single" w:color="auto" w:sz="4" w:space="0"/>
              <w:right w:val="single" w:color="auto" w:sz="4" w:space="0"/>
            </w:tcBorders>
            <w:noWrap/>
            <w:vAlign w:val="center"/>
          </w:tcPr>
          <w:p w14:paraId="1C19F75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9</w:t>
            </w:r>
          </w:p>
        </w:tc>
        <w:tc>
          <w:tcPr>
            <w:tcW w:w="1667" w:type="dxa"/>
            <w:tcBorders>
              <w:top w:val="single" w:color="auto" w:sz="4" w:space="0"/>
              <w:left w:val="single" w:color="auto" w:sz="4" w:space="0"/>
              <w:bottom w:val="single" w:color="auto" w:sz="4" w:space="0"/>
              <w:right w:val="single" w:color="auto" w:sz="4" w:space="0"/>
            </w:tcBorders>
            <w:noWrap/>
            <w:vAlign w:val="center"/>
          </w:tcPr>
          <w:p w14:paraId="38FE21A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其他工作</w:t>
            </w:r>
          </w:p>
        </w:tc>
        <w:tc>
          <w:tcPr>
            <w:tcW w:w="6870" w:type="dxa"/>
            <w:tcBorders>
              <w:top w:val="single" w:color="auto" w:sz="4" w:space="0"/>
              <w:left w:val="single" w:color="auto" w:sz="4" w:space="0"/>
              <w:bottom w:val="single" w:color="auto" w:sz="4" w:space="0"/>
              <w:right w:val="single" w:color="auto" w:sz="4" w:space="0"/>
            </w:tcBorders>
            <w:noWrap/>
            <w:vAlign w:val="center"/>
          </w:tcPr>
          <w:p w14:paraId="6670743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履行项目采购文件、响应文件、合同条款中涉及的其他承诺的情况</w:t>
            </w:r>
          </w:p>
        </w:tc>
      </w:tr>
    </w:tbl>
    <w:p w14:paraId="1AC9EEA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5.2验收资料要求</w:t>
      </w:r>
    </w:p>
    <w:p w14:paraId="193483B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验收资料要求包括（不限于）以下内容：</w:t>
      </w:r>
    </w:p>
    <w:p w14:paraId="06A42A1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（一）采购文件；</w:t>
      </w:r>
    </w:p>
    <w:p w14:paraId="3A80CC1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（二）响应文件；</w:t>
      </w:r>
    </w:p>
    <w:p w14:paraId="1AA826B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（三）采购合同；</w:t>
      </w:r>
    </w:p>
    <w:p w14:paraId="0ACE465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四）到货核验单（经采购经办人、复核人、中标人三方签字盖章）、验收小组现场清点记录、产品生产日期凭证、产品拍照照片、产品说明书、产品合格证原件、质量保证书原件、产品的检测报告、质保承诺函、三包凭证等；</w:t>
      </w:r>
    </w:p>
    <w:p w14:paraId="3B69137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（五）货物或服务质量、性能、参数证明资料；</w:t>
      </w:r>
    </w:p>
    <w:p w14:paraId="052848A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（六）人员清单、人员社保缴纳证明、人员变更审批表（如有）；</w:t>
      </w:r>
    </w:p>
    <w:p w14:paraId="38D63CE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（七）单位保密协议、个人保密承诺书；</w:t>
      </w:r>
    </w:p>
    <w:p w14:paraId="5DDA890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（八）其他需提供的相关材料：小微企业证明材料。</w:t>
      </w:r>
    </w:p>
    <w:p w14:paraId="5D0871ED">
      <w:pPr>
        <w:spacing w:line="400" w:lineRule="exact"/>
        <w:rPr>
          <w:rFonts w:hint="eastAsia" w:ascii="仿宋" w:hAnsi="仿宋" w:eastAsia="仿宋"/>
          <w:color w:val="auto"/>
          <w:sz w:val="24"/>
          <w:highlight w:val="none"/>
        </w:rPr>
      </w:pPr>
      <w:r>
        <w:rPr>
          <w:rFonts w:hint="eastAsia" w:ascii="仿宋" w:hAnsi="仿宋" w:eastAsia="仿宋" w:cs="黑体"/>
          <w:color w:val="auto"/>
          <w:sz w:val="24"/>
          <w:highlight w:val="none"/>
        </w:rPr>
        <w:t>附件五：项目管理小组成员</w:t>
      </w:r>
      <w:r>
        <w:rPr>
          <w:rFonts w:hint="eastAsia" w:ascii="仿宋" w:hAnsi="仿宋" w:eastAsia="仿宋"/>
          <w:color w:val="auto"/>
          <w:sz w:val="24"/>
          <w:highlight w:val="none"/>
        </w:rPr>
        <w:t xml:space="preserve"> </w:t>
      </w:r>
    </w:p>
    <w:p w14:paraId="2BCD1E57">
      <w:pPr>
        <w:spacing w:line="400" w:lineRule="exact"/>
        <w:ind w:firstLine="480" w:firstLineChars="200"/>
        <w:rPr>
          <w:rFonts w:hint="eastAsia" w:ascii="仿宋" w:hAnsi="仿宋" w:eastAsia="仿宋"/>
          <w:color w:val="auto"/>
          <w:sz w:val="24"/>
          <w:highlight w:val="none"/>
        </w:rPr>
      </w:pPr>
    </w:p>
    <w:p w14:paraId="10D0AC45">
      <w:pPr>
        <w:spacing w:line="400" w:lineRule="exact"/>
        <w:ind w:firstLine="480" w:firstLineChars="200"/>
        <w:rPr>
          <w:rFonts w:hint="eastAsia" w:ascii="仿宋" w:hAnsi="仿宋" w:eastAsia="仿宋"/>
          <w:color w:val="auto"/>
          <w:sz w:val="24"/>
          <w:highlight w:val="none"/>
        </w:rPr>
      </w:pPr>
    </w:p>
    <w:p w14:paraId="67B2DFBF">
      <w:pPr>
        <w:numPr>
          <w:ilvl w:val="0"/>
          <w:numId w:val="7"/>
        </w:numPr>
        <w:spacing w:line="400" w:lineRule="exact"/>
        <w:rPr>
          <w:rFonts w:ascii="仿宋" w:hAnsi="仿宋" w:eastAsia="仿宋"/>
          <w:color w:val="auto"/>
          <w:sz w:val="24"/>
          <w:highlight w:val="none"/>
        </w:rPr>
      </w:pPr>
      <w:r>
        <w:rPr>
          <w:rFonts w:hint="eastAsia" w:ascii="仿宋" w:hAnsi="仿宋" w:eastAsia="仿宋"/>
          <w:color w:val="auto"/>
          <w:sz w:val="24"/>
          <w:highlight w:val="none"/>
        </w:rPr>
        <w:t xml:space="preserve">甲方成员：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531"/>
        <w:gridCol w:w="1532"/>
      </w:tblGrid>
      <w:tr w14:paraId="6E37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5E3133D8">
            <w:pPr>
              <w:spacing w:line="40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1531" w:type="dxa"/>
            <w:noWrap w:val="0"/>
            <w:vAlign w:val="top"/>
          </w:tcPr>
          <w:p w14:paraId="2A11CFAD">
            <w:pPr>
              <w:spacing w:line="400" w:lineRule="exact"/>
              <w:rPr>
                <w:rFonts w:ascii="仿宋" w:hAnsi="仿宋" w:eastAsia="仿宋"/>
                <w:color w:val="auto"/>
                <w:sz w:val="24"/>
                <w:highlight w:val="none"/>
              </w:rPr>
            </w:pPr>
            <w:r>
              <w:rPr>
                <w:rFonts w:hint="eastAsia" w:ascii="仿宋" w:hAnsi="仿宋" w:eastAsia="仿宋"/>
                <w:color w:val="auto"/>
                <w:sz w:val="24"/>
                <w:highlight w:val="none"/>
              </w:rPr>
              <w:t>姓名</w:t>
            </w:r>
          </w:p>
        </w:tc>
        <w:tc>
          <w:tcPr>
            <w:tcW w:w="1531" w:type="dxa"/>
            <w:noWrap w:val="0"/>
            <w:vAlign w:val="top"/>
          </w:tcPr>
          <w:p w14:paraId="17529900">
            <w:pPr>
              <w:spacing w:line="400" w:lineRule="exact"/>
              <w:rPr>
                <w:rFonts w:ascii="仿宋" w:hAnsi="仿宋" w:eastAsia="仿宋"/>
                <w:color w:val="auto"/>
                <w:sz w:val="24"/>
                <w:highlight w:val="none"/>
              </w:rPr>
            </w:pPr>
            <w:r>
              <w:rPr>
                <w:rFonts w:hint="eastAsia" w:ascii="仿宋" w:hAnsi="仿宋" w:eastAsia="仿宋"/>
                <w:color w:val="auto"/>
                <w:sz w:val="24"/>
                <w:highlight w:val="none"/>
              </w:rPr>
              <w:t>职务/职称</w:t>
            </w:r>
          </w:p>
        </w:tc>
        <w:tc>
          <w:tcPr>
            <w:tcW w:w="1531" w:type="dxa"/>
            <w:noWrap w:val="0"/>
            <w:vAlign w:val="top"/>
          </w:tcPr>
          <w:p w14:paraId="390D5737">
            <w:pPr>
              <w:spacing w:line="400" w:lineRule="exact"/>
              <w:rPr>
                <w:rFonts w:ascii="仿宋" w:hAnsi="仿宋" w:eastAsia="仿宋"/>
                <w:color w:val="auto"/>
                <w:sz w:val="24"/>
                <w:highlight w:val="none"/>
              </w:rPr>
            </w:pPr>
            <w:r>
              <w:rPr>
                <w:rFonts w:hint="eastAsia" w:ascii="仿宋" w:hAnsi="仿宋" w:eastAsia="仿宋"/>
                <w:color w:val="auto"/>
                <w:sz w:val="24"/>
                <w:highlight w:val="none"/>
              </w:rPr>
              <w:t>负责内容</w:t>
            </w:r>
          </w:p>
        </w:tc>
        <w:tc>
          <w:tcPr>
            <w:tcW w:w="1532" w:type="dxa"/>
            <w:noWrap w:val="0"/>
            <w:vAlign w:val="top"/>
          </w:tcPr>
          <w:p w14:paraId="79B9F4B3">
            <w:pPr>
              <w:spacing w:line="400" w:lineRule="exact"/>
              <w:rPr>
                <w:rFonts w:ascii="仿宋" w:hAnsi="仿宋" w:eastAsia="仿宋"/>
                <w:color w:val="auto"/>
                <w:sz w:val="24"/>
                <w:highlight w:val="none"/>
              </w:rPr>
            </w:pPr>
            <w:r>
              <w:rPr>
                <w:rFonts w:hint="eastAsia" w:ascii="仿宋" w:hAnsi="仿宋" w:eastAsia="仿宋"/>
                <w:color w:val="auto"/>
                <w:sz w:val="24"/>
                <w:highlight w:val="none"/>
              </w:rPr>
              <w:t>联系方式</w:t>
            </w:r>
          </w:p>
        </w:tc>
      </w:tr>
      <w:tr w14:paraId="0A6E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5448C90C">
            <w:pPr>
              <w:spacing w:line="400" w:lineRule="exact"/>
              <w:rPr>
                <w:rFonts w:ascii="仿宋" w:hAnsi="仿宋" w:eastAsia="仿宋"/>
                <w:color w:val="auto"/>
                <w:sz w:val="24"/>
                <w:highlight w:val="none"/>
              </w:rPr>
            </w:pPr>
          </w:p>
        </w:tc>
        <w:tc>
          <w:tcPr>
            <w:tcW w:w="1531" w:type="dxa"/>
            <w:noWrap w:val="0"/>
            <w:vAlign w:val="top"/>
          </w:tcPr>
          <w:p w14:paraId="3B35FA7C">
            <w:pPr>
              <w:spacing w:line="400" w:lineRule="exact"/>
              <w:rPr>
                <w:rFonts w:ascii="仿宋" w:hAnsi="仿宋" w:eastAsia="仿宋"/>
                <w:color w:val="auto"/>
                <w:sz w:val="24"/>
                <w:highlight w:val="none"/>
              </w:rPr>
            </w:pPr>
          </w:p>
        </w:tc>
        <w:tc>
          <w:tcPr>
            <w:tcW w:w="1531" w:type="dxa"/>
            <w:noWrap w:val="0"/>
            <w:vAlign w:val="top"/>
          </w:tcPr>
          <w:p w14:paraId="03E8574E">
            <w:pPr>
              <w:spacing w:line="400" w:lineRule="exact"/>
              <w:rPr>
                <w:rFonts w:ascii="仿宋" w:hAnsi="仿宋" w:eastAsia="仿宋"/>
                <w:color w:val="auto"/>
                <w:sz w:val="24"/>
                <w:highlight w:val="none"/>
              </w:rPr>
            </w:pPr>
          </w:p>
        </w:tc>
        <w:tc>
          <w:tcPr>
            <w:tcW w:w="1531" w:type="dxa"/>
            <w:noWrap w:val="0"/>
            <w:vAlign w:val="top"/>
          </w:tcPr>
          <w:p w14:paraId="3F8F4E21">
            <w:pPr>
              <w:spacing w:line="400" w:lineRule="exact"/>
              <w:rPr>
                <w:rFonts w:ascii="仿宋" w:hAnsi="仿宋" w:eastAsia="仿宋"/>
                <w:color w:val="auto"/>
                <w:sz w:val="24"/>
                <w:highlight w:val="none"/>
              </w:rPr>
            </w:pPr>
          </w:p>
        </w:tc>
        <w:tc>
          <w:tcPr>
            <w:tcW w:w="1532" w:type="dxa"/>
            <w:noWrap w:val="0"/>
            <w:vAlign w:val="top"/>
          </w:tcPr>
          <w:p w14:paraId="0F7D44FE">
            <w:pPr>
              <w:spacing w:line="400" w:lineRule="exact"/>
              <w:rPr>
                <w:rFonts w:ascii="仿宋" w:hAnsi="仿宋" w:eastAsia="仿宋"/>
                <w:color w:val="auto"/>
                <w:sz w:val="24"/>
                <w:highlight w:val="none"/>
              </w:rPr>
            </w:pPr>
          </w:p>
        </w:tc>
      </w:tr>
      <w:tr w14:paraId="1522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52B935B0">
            <w:pPr>
              <w:spacing w:line="400" w:lineRule="exact"/>
              <w:rPr>
                <w:rFonts w:ascii="仿宋" w:hAnsi="仿宋" w:eastAsia="仿宋"/>
                <w:color w:val="auto"/>
                <w:sz w:val="24"/>
                <w:highlight w:val="none"/>
              </w:rPr>
            </w:pPr>
          </w:p>
        </w:tc>
        <w:tc>
          <w:tcPr>
            <w:tcW w:w="1531" w:type="dxa"/>
            <w:noWrap w:val="0"/>
            <w:vAlign w:val="top"/>
          </w:tcPr>
          <w:p w14:paraId="09CF3290">
            <w:pPr>
              <w:spacing w:line="400" w:lineRule="exact"/>
              <w:rPr>
                <w:rFonts w:ascii="仿宋" w:hAnsi="仿宋" w:eastAsia="仿宋"/>
                <w:color w:val="auto"/>
                <w:sz w:val="24"/>
                <w:highlight w:val="none"/>
              </w:rPr>
            </w:pPr>
          </w:p>
        </w:tc>
        <w:tc>
          <w:tcPr>
            <w:tcW w:w="1531" w:type="dxa"/>
            <w:noWrap w:val="0"/>
            <w:vAlign w:val="top"/>
          </w:tcPr>
          <w:p w14:paraId="5A9A3945">
            <w:pPr>
              <w:spacing w:line="400" w:lineRule="exact"/>
              <w:rPr>
                <w:rFonts w:ascii="仿宋" w:hAnsi="仿宋" w:eastAsia="仿宋"/>
                <w:color w:val="auto"/>
                <w:sz w:val="24"/>
                <w:highlight w:val="none"/>
              </w:rPr>
            </w:pPr>
          </w:p>
        </w:tc>
        <w:tc>
          <w:tcPr>
            <w:tcW w:w="1531" w:type="dxa"/>
            <w:noWrap w:val="0"/>
            <w:vAlign w:val="top"/>
          </w:tcPr>
          <w:p w14:paraId="561C9AB5">
            <w:pPr>
              <w:spacing w:line="400" w:lineRule="exact"/>
              <w:rPr>
                <w:rFonts w:ascii="仿宋" w:hAnsi="仿宋" w:eastAsia="仿宋"/>
                <w:color w:val="auto"/>
                <w:sz w:val="24"/>
                <w:highlight w:val="none"/>
              </w:rPr>
            </w:pPr>
          </w:p>
        </w:tc>
        <w:tc>
          <w:tcPr>
            <w:tcW w:w="1532" w:type="dxa"/>
            <w:noWrap w:val="0"/>
            <w:vAlign w:val="top"/>
          </w:tcPr>
          <w:p w14:paraId="38DA7CBD">
            <w:pPr>
              <w:spacing w:line="400" w:lineRule="exact"/>
              <w:rPr>
                <w:rFonts w:ascii="仿宋" w:hAnsi="仿宋" w:eastAsia="仿宋"/>
                <w:color w:val="auto"/>
                <w:sz w:val="24"/>
                <w:highlight w:val="none"/>
              </w:rPr>
            </w:pPr>
          </w:p>
        </w:tc>
      </w:tr>
      <w:tr w14:paraId="1B01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443E16BB">
            <w:pPr>
              <w:spacing w:line="400" w:lineRule="exact"/>
              <w:rPr>
                <w:rFonts w:ascii="仿宋" w:hAnsi="仿宋" w:eastAsia="仿宋"/>
                <w:color w:val="auto"/>
                <w:sz w:val="24"/>
                <w:highlight w:val="none"/>
              </w:rPr>
            </w:pPr>
          </w:p>
        </w:tc>
        <w:tc>
          <w:tcPr>
            <w:tcW w:w="1531" w:type="dxa"/>
            <w:noWrap w:val="0"/>
            <w:vAlign w:val="top"/>
          </w:tcPr>
          <w:p w14:paraId="5CA07CC3">
            <w:pPr>
              <w:spacing w:line="400" w:lineRule="exact"/>
              <w:rPr>
                <w:rFonts w:ascii="仿宋" w:hAnsi="仿宋" w:eastAsia="仿宋"/>
                <w:color w:val="auto"/>
                <w:sz w:val="24"/>
                <w:highlight w:val="none"/>
              </w:rPr>
            </w:pPr>
          </w:p>
        </w:tc>
        <w:tc>
          <w:tcPr>
            <w:tcW w:w="1531" w:type="dxa"/>
            <w:noWrap w:val="0"/>
            <w:vAlign w:val="top"/>
          </w:tcPr>
          <w:p w14:paraId="6EA18C21">
            <w:pPr>
              <w:spacing w:line="400" w:lineRule="exact"/>
              <w:rPr>
                <w:rFonts w:ascii="仿宋" w:hAnsi="仿宋" w:eastAsia="仿宋"/>
                <w:color w:val="auto"/>
                <w:sz w:val="24"/>
                <w:highlight w:val="none"/>
              </w:rPr>
            </w:pPr>
          </w:p>
        </w:tc>
        <w:tc>
          <w:tcPr>
            <w:tcW w:w="1531" w:type="dxa"/>
            <w:noWrap w:val="0"/>
            <w:vAlign w:val="top"/>
          </w:tcPr>
          <w:p w14:paraId="5072B69E">
            <w:pPr>
              <w:spacing w:line="400" w:lineRule="exact"/>
              <w:rPr>
                <w:rFonts w:ascii="仿宋" w:hAnsi="仿宋" w:eastAsia="仿宋"/>
                <w:color w:val="auto"/>
                <w:sz w:val="24"/>
                <w:highlight w:val="none"/>
              </w:rPr>
            </w:pPr>
          </w:p>
        </w:tc>
        <w:tc>
          <w:tcPr>
            <w:tcW w:w="1532" w:type="dxa"/>
            <w:noWrap w:val="0"/>
            <w:vAlign w:val="top"/>
          </w:tcPr>
          <w:p w14:paraId="105F8322">
            <w:pPr>
              <w:spacing w:line="400" w:lineRule="exact"/>
              <w:rPr>
                <w:rFonts w:ascii="仿宋" w:hAnsi="仿宋" w:eastAsia="仿宋"/>
                <w:color w:val="auto"/>
                <w:sz w:val="24"/>
                <w:highlight w:val="none"/>
              </w:rPr>
            </w:pPr>
          </w:p>
        </w:tc>
      </w:tr>
    </w:tbl>
    <w:p w14:paraId="45DC7ADA">
      <w:pPr>
        <w:spacing w:line="400" w:lineRule="exact"/>
        <w:rPr>
          <w:rFonts w:hint="eastAsia" w:ascii="仿宋" w:hAnsi="仿宋" w:eastAsia="仿宋"/>
          <w:color w:val="auto"/>
          <w:sz w:val="24"/>
          <w:highlight w:val="none"/>
        </w:rPr>
      </w:pPr>
    </w:p>
    <w:p w14:paraId="1400CEB7">
      <w:pPr>
        <w:spacing w:line="400" w:lineRule="exact"/>
        <w:ind w:left="480"/>
        <w:rPr>
          <w:rFonts w:hint="eastAsia" w:ascii="仿宋" w:hAnsi="仿宋" w:eastAsia="仿宋"/>
          <w:color w:val="auto"/>
          <w:sz w:val="24"/>
          <w:highlight w:val="none"/>
        </w:rPr>
      </w:pPr>
      <w:r>
        <w:rPr>
          <w:rFonts w:hint="eastAsia" w:ascii="仿宋" w:hAnsi="仿宋" w:eastAsia="仿宋"/>
          <w:color w:val="auto"/>
          <w:sz w:val="24"/>
          <w:highlight w:val="none"/>
        </w:rPr>
        <w:t>（二）乙方成员：</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31"/>
        <w:gridCol w:w="1531"/>
        <w:gridCol w:w="1531"/>
        <w:gridCol w:w="1532"/>
      </w:tblGrid>
      <w:tr w14:paraId="39F5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5D1ABB26">
            <w:pPr>
              <w:spacing w:line="40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1531" w:type="dxa"/>
            <w:noWrap w:val="0"/>
            <w:vAlign w:val="top"/>
          </w:tcPr>
          <w:p w14:paraId="5ECE9007">
            <w:pPr>
              <w:spacing w:line="400" w:lineRule="exact"/>
              <w:rPr>
                <w:rFonts w:ascii="仿宋" w:hAnsi="仿宋" w:eastAsia="仿宋"/>
                <w:color w:val="auto"/>
                <w:sz w:val="24"/>
                <w:highlight w:val="none"/>
              </w:rPr>
            </w:pPr>
            <w:r>
              <w:rPr>
                <w:rFonts w:hint="eastAsia" w:ascii="仿宋" w:hAnsi="仿宋" w:eastAsia="仿宋"/>
                <w:color w:val="auto"/>
                <w:sz w:val="24"/>
                <w:highlight w:val="none"/>
              </w:rPr>
              <w:t>姓名</w:t>
            </w:r>
          </w:p>
        </w:tc>
        <w:tc>
          <w:tcPr>
            <w:tcW w:w="1531" w:type="dxa"/>
            <w:noWrap w:val="0"/>
            <w:vAlign w:val="top"/>
          </w:tcPr>
          <w:p w14:paraId="71311B64">
            <w:pPr>
              <w:spacing w:line="400" w:lineRule="exact"/>
              <w:rPr>
                <w:rFonts w:ascii="仿宋" w:hAnsi="仿宋" w:eastAsia="仿宋"/>
                <w:color w:val="auto"/>
                <w:sz w:val="24"/>
                <w:highlight w:val="none"/>
              </w:rPr>
            </w:pPr>
            <w:r>
              <w:rPr>
                <w:rFonts w:hint="eastAsia" w:ascii="仿宋" w:hAnsi="仿宋" w:eastAsia="仿宋"/>
                <w:color w:val="auto"/>
                <w:sz w:val="24"/>
                <w:highlight w:val="none"/>
              </w:rPr>
              <w:t>职务/职称</w:t>
            </w:r>
          </w:p>
        </w:tc>
        <w:tc>
          <w:tcPr>
            <w:tcW w:w="1531" w:type="dxa"/>
            <w:noWrap w:val="0"/>
            <w:vAlign w:val="top"/>
          </w:tcPr>
          <w:p w14:paraId="1DD53AFD">
            <w:pPr>
              <w:spacing w:line="400" w:lineRule="exact"/>
              <w:rPr>
                <w:rFonts w:ascii="仿宋" w:hAnsi="仿宋" w:eastAsia="仿宋"/>
                <w:color w:val="auto"/>
                <w:sz w:val="24"/>
                <w:highlight w:val="none"/>
              </w:rPr>
            </w:pPr>
            <w:r>
              <w:rPr>
                <w:rFonts w:hint="eastAsia" w:ascii="仿宋" w:hAnsi="仿宋" w:eastAsia="仿宋"/>
                <w:color w:val="auto"/>
                <w:sz w:val="24"/>
                <w:highlight w:val="none"/>
              </w:rPr>
              <w:t>负责内容</w:t>
            </w:r>
          </w:p>
        </w:tc>
        <w:tc>
          <w:tcPr>
            <w:tcW w:w="1532" w:type="dxa"/>
            <w:noWrap w:val="0"/>
            <w:vAlign w:val="top"/>
          </w:tcPr>
          <w:p w14:paraId="14F2793E">
            <w:pPr>
              <w:spacing w:line="400" w:lineRule="exact"/>
              <w:rPr>
                <w:rFonts w:ascii="仿宋" w:hAnsi="仿宋" w:eastAsia="仿宋"/>
                <w:color w:val="auto"/>
                <w:sz w:val="24"/>
                <w:highlight w:val="none"/>
              </w:rPr>
            </w:pPr>
            <w:r>
              <w:rPr>
                <w:rFonts w:hint="eastAsia" w:ascii="仿宋" w:hAnsi="仿宋" w:eastAsia="仿宋"/>
                <w:color w:val="auto"/>
                <w:sz w:val="24"/>
                <w:highlight w:val="none"/>
              </w:rPr>
              <w:t>联系方式</w:t>
            </w:r>
          </w:p>
        </w:tc>
      </w:tr>
      <w:tr w14:paraId="19FE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5B0D7850">
            <w:pPr>
              <w:spacing w:line="400" w:lineRule="exact"/>
              <w:rPr>
                <w:rFonts w:ascii="仿宋" w:hAnsi="仿宋" w:eastAsia="仿宋"/>
                <w:color w:val="auto"/>
                <w:sz w:val="24"/>
                <w:highlight w:val="none"/>
              </w:rPr>
            </w:pPr>
          </w:p>
        </w:tc>
        <w:tc>
          <w:tcPr>
            <w:tcW w:w="1531" w:type="dxa"/>
            <w:noWrap w:val="0"/>
            <w:vAlign w:val="top"/>
          </w:tcPr>
          <w:p w14:paraId="2595B2A6">
            <w:pPr>
              <w:spacing w:line="400" w:lineRule="exact"/>
              <w:rPr>
                <w:rFonts w:ascii="仿宋" w:hAnsi="仿宋" w:eastAsia="仿宋"/>
                <w:color w:val="auto"/>
                <w:sz w:val="24"/>
                <w:highlight w:val="none"/>
              </w:rPr>
            </w:pPr>
          </w:p>
        </w:tc>
        <w:tc>
          <w:tcPr>
            <w:tcW w:w="1531" w:type="dxa"/>
            <w:noWrap w:val="0"/>
            <w:vAlign w:val="top"/>
          </w:tcPr>
          <w:p w14:paraId="6251B5F1">
            <w:pPr>
              <w:spacing w:line="400" w:lineRule="exact"/>
              <w:rPr>
                <w:rFonts w:ascii="仿宋" w:hAnsi="仿宋" w:eastAsia="仿宋"/>
                <w:color w:val="auto"/>
                <w:sz w:val="24"/>
                <w:highlight w:val="none"/>
              </w:rPr>
            </w:pPr>
          </w:p>
        </w:tc>
        <w:tc>
          <w:tcPr>
            <w:tcW w:w="1531" w:type="dxa"/>
            <w:noWrap w:val="0"/>
            <w:vAlign w:val="top"/>
          </w:tcPr>
          <w:p w14:paraId="2814F4B3">
            <w:pPr>
              <w:spacing w:line="400" w:lineRule="exact"/>
              <w:rPr>
                <w:rFonts w:ascii="仿宋" w:hAnsi="仿宋" w:eastAsia="仿宋"/>
                <w:color w:val="auto"/>
                <w:sz w:val="24"/>
                <w:highlight w:val="none"/>
              </w:rPr>
            </w:pPr>
          </w:p>
        </w:tc>
        <w:tc>
          <w:tcPr>
            <w:tcW w:w="1532" w:type="dxa"/>
            <w:noWrap w:val="0"/>
            <w:vAlign w:val="top"/>
          </w:tcPr>
          <w:p w14:paraId="54B2EB1A">
            <w:pPr>
              <w:spacing w:line="400" w:lineRule="exact"/>
              <w:rPr>
                <w:rFonts w:ascii="仿宋" w:hAnsi="仿宋" w:eastAsia="仿宋"/>
                <w:color w:val="auto"/>
                <w:sz w:val="24"/>
                <w:highlight w:val="none"/>
              </w:rPr>
            </w:pPr>
          </w:p>
        </w:tc>
      </w:tr>
      <w:tr w14:paraId="0B5D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5EBA8362">
            <w:pPr>
              <w:spacing w:line="400" w:lineRule="exact"/>
              <w:rPr>
                <w:rFonts w:ascii="仿宋" w:hAnsi="仿宋" w:eastAsia="仿宋"/>
                <w:color w:val="auto"/>
                <w:sz w:val="24"/>
                <w:highlight w:val="none"/>
              </w:rPr>
            </w:pPr>
          </w:p>
        </w:tc>
        <w:tc>
          <w:tcPr>
            <w:tcW w:w="1531" w:type="dxa"/>
            <w:noWrap w:val="0"/>
            <w:vAlign w:val="top"/>
          </w:tcPr>
          <w:p w14:paraId="55B01E13">
            <w:pPr>
              <w:spacing w:line="400" w:lineRule="exact"/>
              <w:rPr>
                <w:rFonts w:ascii="仿宋" w:hAnsi="仿宋" w:eastAsia="仿宋"/>
                <w:color w:val="auto"/>
                <w:sz w:val="24"/>
                <w:highlight w:val="none"/>
              </w:rPr>
            </w:pPr>
          </w:p>
        </w:tc>
        <w:tc>
          <w:tcPr>
            <w:tcW w:w="1531" w:type="dxa"/>
            <w:noWrap w:val="0"/>
            <w:vAlign w:val="top"/>
          </w:tcPr>
          <w:p w14:paraId="2E1C86D1">
            <w:pPr>
              <w:spacing w:line="400" w:lineRule="exact"/>
              <w:rPr>
                <w:rFonts w:ascii="仿宋" w:hAnsi="仿宋" w:eastAsia="仿宋"/>
                <w:color w:val="auto"/>
                <w:sz w:val="24"/>
                <w:highlight w:val="none"/>
              </w:rPr>
            </w:pPr>
          </w:p>
        </w:tc>
        <w:tc>
          <w:tcPr>
            <w:tcW w:w="1531" w:type="dxa"/>
            <w:noWrap w:val="0"/>
            <w:vAlign w:val="top"/>
          </w:tcPr>
          <w:p w14:paraId="7C0CA506">
            <w:pPr>
              <w:spacing w:line="400" w:lineRule="exact"/>
              <w:rPr>
                <w:rFonts w:ascii="仿宋" w:hAnsi="仿宋" w:eastAsia="仿宋"/>
                <w:color w:val="auto"/>
                <w:sz w:val="24"/>
                <w:highlight w:val="none"/>
              </w:rPr>
            </w:pPr>
          </w:p>
        </w:tc>
        <w:tc>
          <w:tcPr>
            <w:tcW w:w="1532" w:type="dxa"/>
            <w:noWrap w:val="0"/>
            <w:vAlign w:val="top"/>
          </w:tcPr>
          <w:p w14:paraId="05EA5D3F">
            <w:pPr>
              <w:spacing w:line="400" w:lineRule="exact"/>
              <w:rPr>
                <w:rFonts w:ascii="仿宋" w:hAnsi="仿宋" w:eastAsia="仿宋"/>
                <w:color w:val="auto"/>
                <w:sz w:val="24"/>
                <w:highlight w:val="none"/>
              </w:rPr>
            </w:pPr>
          </w:p>
        </w:tc>
      </w:tr>
      <w:tr w14:paraId="6F62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noWrap w:val="0"/>
            <w:vAlign w:val="top"/>
          </w:tcPr>
          <w:p w14:paraId="1959082C">
            <w:pPr>
              <w:spacing w:line="400" w:lineRule="exact"/>
              <w:rPr>
                <w:rFonts w:ascii="仿宋" w:hAnsi="仿宋" w:eastAsia="仿宋"/>
                <w:color w:val="auto"/>
                <w:sz w:val="24"/>
                <w:highlight w:val="none"/>
              </w:rPr>
            </w:pPr>
          </w:p>
        </w:tc>
        <w:tc>
          <w:tcPr>
            <w:tcW w:w="1531" w:type="dxa"/>
            <w:noWrap w:val="0"/>
            <w:vAlign w:val="top"/>
          </w:tcPr>
          <w:p w14:paraId="1B1FC7B8">
            <w:pPr>
              <w:spacing w:line="400" w:lineRule="exact"/>
              <w:rPr>
                <w:rFonts w:ascii="仿宋" w:hAnsi="仿宋" w:eastAsia="仿宋"/>
                <w:color w:val="auto"/>
                <w:sz w:val="24"/>
                <w:highlight w:val="none"/>
              </w:rPr>
            </w:pPr>
          </w:p>
        </w:tc>
        <w:tc>
          <w:tcPr>
            <w:tcW w:w="1531" w:type="dxa"/>
            <w:noWrap w:val="0"/>
            <w:vAlign w:val="top"/>
          </w:tcPr>
          <w:p w14:paraId="3E6707E6">
            <w:pPr>
              <w:spacing w:line="400" w:lineRule="exact"/>
              <w:rPr>
                <w:rFonts w:ascii="仿宋" w:hAnsi="仿宋" w:eastAsia="仿宋"/>
                <w:color w:val="auto"/>
                <w:sz w:val="24"/>
                <w:highlight w:val="none"/>
              </w:rPr>
            </w:pPr>
          </w:p>
        </w:tc>
        <w:tc>
          <w:tcPr>
            <w:tcW w:w="1531" w:type="dxa"/>
            <w:noWrap w:val="0"/>
            <w:vAlign w:val="top"/>
          </w:tcPr>
          <w:p w14:paraId="323225D3">
            <w:pPr>
              <w:spacing w:line="400" w:lineRule="exact"/>
              <w:rPr>
                <w:rFonts w:ascii="仿宋" w:hAnsi="仿宋" w:eastAsia="仿宋"/>
                <w:color w:val="auto"/>
                <w:sz w:val="24"/>
                <w:highlight w:val="none"/>
              </w:rPr>
            </w:pPr>
          </w:p>
        </w:tc>
        <w:tc>
          <w:tcPr>
            <w:tcW w:w="1532" w:type="dxa"/>
            <w:noWrap w:val="0"/>
            <w:vAlign w:val="top"/>
          </w:tcPr>
          <w:p w14:paraId="1110C9B7">
            <w:pPr>
              <w:spacing w:line="400" w:lineRule="exact"/>
              <w:rPr>
                <w:rFonts w:ascii="仿宋" w:hAnsi="仿宋" w:eastAsia="仿宋"/>
                <w:color w:val="auto"/>
                <w:sz w:val="24"/>
                <w:highlight w:val="none"/>
              </w:rPr>
            </w:pPr>
          </w:p>
        </w:tc>
      </w:tr>
    </w:tbl>
    <w:p w14:paraId="39D2AC37">
      <w:pPr>
        <w:spacing w:line="400" w:lineRule="exact"/>
        <w:ind w:firstLine="480" w:firstLineChars="200"/>
        <w:rPr>
          <w:rFonts w:ascii="仿宋" w:hAnsi="仿宋" w:eastAsia="仿宋"/>
          <w:color w:val="auto"/>
          <w:sz w:val="24"/>
          <w:highlight w:val="none"/>
        </w:rPr>
      </w:pPr>
    </w:p>
    <w:p w14:paraId="19942BC8">
      <w:pPr>
        <w:spacing w:line="400" w:lineRule="exact"/>
        <w:rPr>
          <w:rFonts w:hint="eastAsia" w:ascii="仿宋" w:hAnsi="仿宋" w:eastAsia="仿宋"/>
          <w:color w:val="auto"/>
          <w:sz w:val="24"/>
          <w:highlight w:val="none"/>
        </w:rPr>
      </w:pPr>
    </w:p>
    <w:p w14:paraId="454E2234">
      <w:pPr>
        <w:spacing w:line="40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（三）项目驻点人员情况（如有）：</w:t>
      </w:r>
    </w:p>
    <w:p w14:paraId="6EF3A224">
      <w:pPr>
        <w:spacing w:line="400" w:lineRule="exact"/>
        <w:ind w:firstLine="480" w:firstLineChars="200"/>
        <w:rPr>
          <w:rFonts w:ascii="仿宋" w:hAnsi="仿宋" w:eastAsia="仿宋" w:cs="宋体"/>
          <w:color w:val="auto"/>
          <w:kern w:val="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285"/>
        <w:gridCol w:w="1285"/>
        <w:gridCol w:w="1285"/>
        <w:gridCol w:w="1285"/>
        <w:gridCol w:w="1232"/>
      </w:tblGrid>
      <w:tr w14:paraId="3393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14:paraId="0E0F8D26">
            <w:pPr>
              <w:spacing w:line="400" w:lineRule="exact"/>
              <w:rPr>
                <w:rFonts w:ascii="仿宋" w:hAnsi="仿宋" w:eastAsia="仿宋"/>
                <w:color w:val="auto"/>
                <w:sz w:val="24"/>
                <w:highlight w:val="none"/>
              </w:rPr>
            </w:pPr>
            <w:r>
              <w:rPr>
                <w:rFonts w:hint="eastAsia" w:ascii="仿宋" w:hAnsi="仿宋" w:eastAsia="仿宋"/>
                <w:color w:val="auto"/>
                <w:sz w:val="24"/>
                <w:highlight w:val="none"/>
              </w:rPr>
              <w:t>序号</w:t>
            </w:r>
          </w:p>
        </w:tc>
        <w:tc>
          <w:tcPr>
            <w:tcW w:w="1285" w:type="dxa"/>
            <w:noWrap w:val="0"/>
            <w:vAlign w:val="top"/>
          </w:tcPr>
          <w:p w14:paraId="5C72634F">
            <w:pPr>
              <w:spacing w:line="400" w:lineRule="exact"/>
              <w:rPr>
                <w:rFonts w:ascii="仿宋" w:hAnsi="仿宋" w:eastAsia="仿宋"/>
                <w:color w:val="auto"/>
                <w:sz w:val="24"/>
                <w:highlight w:val="none"/>
              </w:rPr>
            </w:pPr>
            <w:r>
              <w:rPr>
                <w:rFonts w:hint="eastAsia" w:ascii="仿宋" w:hAnsi="仿宋" w:eastAsia="仿宋"/>
                <w:color w:val="auto"/>
                <w:sz w:val="24"/>
                <w:highlight w:val="none"/>
              </w:rPr>
              <w:t>姓名</w:t>
            </w:r>
          </w:p>
        </w:tc>
        <w:tc>
          <w:tcPr>
            <w:tcW w:w="1285" w:type="dxa"/>
            <w:noWrap w:val="0"/>
            <w:vAlign w:val="top"/>
          </w:tcPr>
          <w:p w14:paraId="17900A0C">
            <w:pPr>
              <w:spacing w:line="400" w:lineRule="exact"/>
              <w:rPr>
                <w:rFonts w:ascii="仿宋" w:hAnsi="仿宋" w:eastAsia="仿宋"/>
                <w:color w:val="auto"/>
                <w:sz w:val="24"/>
                <w:highlight w:val="none"/>
              </w:rPr>
            </w:pPr>
            <w:r>
              <w:rPr>
                <w:rFonts w:hint="eastAsia" w:ascii="仿宋" w:hAnsi="仿宋" w:eastAsia="仿宋"/>
                <w:color w:val="auto"/>
                <w:sz w:val="24"/>
                <w:highlight w:val="none"/>
              </w:rPr>
              <w:t>职务/职称</w:t>
            </w:r>
          </w:p>
        </w:tc>
        <w:tc>
          <w:tcPr>
            <w:tcW w:w="1285" w:type="dxa"/>
            <w:noWrap w:val="0"/>
            <w:vAlign w:val="top"/>
          </w:tcPr>
          <w:p w14:paraId="610F8633">
            <w:pPr>
              <w:spacing w:line="400" w:lineRule="exact"/>
              <w:rPr>
                <w:rFonts w:ascii="仿宋" w:hAnsi="仿宋" w:eastAsia="仿宋"/>
                <w:color w:val="auto"/>
                <w:sz w:val="24"/>
                <w:highlight w:val="none"/>
              </w:rPr>
            </w:pPr>
            <w:r>
              <w:rPr>
                <w:rFonts w:hint="eastAsia" w:ascii="仿宋" w:hAnsi="仿宋" w:eastAsia="仿宋"/>
                <w:color w:val="auto"/>
                <w:sz w:val="24"/>
                <w:highlight w:val="none"/>
              </w:rPr>
              <w:t>负责内容</w:t>
            </w:r>
          </w:p>
        </w:tc>
        <w:tc>
          <w:tcPr>
            <w:tcW w:w="1285" w:type="dxa"/>
            <w:noWrap w:val="0"/>
            <w:vAlign w:val="top"/>
          </w:tcPr>
          <w:p w14:paraId="3FF493BD">
            <w:pPr>
              <w:spacing w:line="400" w:lineRule="exact"/>
              <w:rPr>
                <w:rFonts w:ascii="仿宋" w:hAnsi="仿宋" w:eastAsia="仿宋"/>
                <w:color w:val="auto"/>
                <w:sz w:val="24"/>
                <w:highlight w:val="none"/>
              </w:rPr>
            </w:pPr>
            <w:r>
              <w:rPr>
                <w:rFonts w:hint="eastAsia" w:ascii="仿宋" w:hAnsi="仿宋" w:eastAsia="仿宋"/>
                <w:color w:val="auto"/>
                <w:sz w:val="24"/>
                <w:highlight w:val="none"/>
              </w:rPr>
              <w:t>联系方式</w:t>
            </w:r>
          </w:p>
        </w:tc>
        <w:tc>
          <w:tcPr>
            <w:tcW w:w="1232" w:type="dxa"/>
            <w:noWrap w:val="0"/>
            <w:vAlign w:val="top"/>
          </w:tcPr>
          <w:p w14:paraId="578E448B">
            <w:pPr>
              <w:spacing w:line="400" w:lineRule="exact"/>
              <w:rPr>
                <w:rFonts w:hint="eastAsia" w:ascii="仿宋" w:hAnsi="仿宋" w:eastAsia="仿宋"/>
                <w:color w:val="auto"/>
                <w:sz w:val="24"/>
                <w:highlight w:val="none"/>
              </w:rPr>
            </w:pPr>
            <w:r>
              <w:rPr>
                <w:rFonts w:hint="eastAsia" w:ascii="仿宋" w:hAnsi="仿宋" w:eastAsia="仿宋"/>
                <w:color w:val="auto"/>
                <w:sz w:val="24"/>
                <w:highlight w:val="none"/>
              </w:rPr>
              <w:t>驻点周期（年）</w:t>
            </w:r>
          </w:p>
        </w:tc>
      </w:tr>
      <w:tr w14:paraId="3951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14:paraId="4AC8E01C">
            <w:pPr>
              <w:spacing w:line="400" w:lineRule="exact"/>
              <w:rPr>
                <w:rFonts w:ascii="仿宋" w:hAnsi="仿宋" w:eastAsia="仿宋"/>
                <w:color w:val="auto"/>
                <w:sz w:val="24"/>
                <w:highlight w:val="none"/>
              </w:rPr>
            </w:pPr>
          </w:p>
        </w:tc>
        <w:tc>
          <w:tcPr>
            <w:tcW w:w="1285" w:type="dxa"/>
            <w:noWrap w:val="0"/>
            <w:vAlign w:val="top"/>
          </w:tcPr>
          <w:p w14:paraId="1BF3B469">
            <w:pPr>
              <w:spacing w:line="400" w:lineRule="exact"/>
              <w:rPr>
                <w:rFonts w:ascii="仿宋" w:hAnsi="仿宋" w:eastAsia="仿宋"/>
                <w:color w:val="auto"/>
                <w:sz w:val="24"/>
                <w:highlight w:val="none"/>
              </w:rPr>
            </w:pPr>
          </w:p>
        </w:tc>
        <w:tc>
          <w:tcPr>
            <w:tcW w:w="1285" w:type="dxa"/>
            <w:noWrap w:val="0"/>
            <w:vAlign w:val="top"/>
          </w:tcPr>
          <w:p w14:paraId="10E9F29D">
            <w:pPr>
              <w:spacing w:line="400" w:lineRule="exact"/>
              <w:rPr>
                <w:rFonts w:ascii="仿宋" w:hAnsi="仿宋" w:eastAsia="仿宋"/>
                <w:color w:val="auto"/>
                <w:sz w:val="24"/>
                <w:highlight w:val="none"/>
              </w:rPr>
            </w:pPr>
          </w:p>
        </w:tc>
        <w:tc>
          <w:tcPr>
            <w:tcW w:w="1285" w:type="dxa"/>
            <w:noWrap w:val="0"/>
            <w:vAlign w:val="top"/>
          </w:tcPr>
          <w:p w14:paraId="34A4E13E">
            <w:pPr>
              <w:spacing w:line="400" w:lineRule="exact"/>
              <w:rPr>
                <w:rFonts w:ascii="仿宋" w:hAnsi="仿宋" w:eastAsia="仿宋"/>
                <w:color w:val="auto"/>
                <w:sz w:val="24"/>
                <w:highlight w:val="none"/>
              </w:rPr>
            </w:pPr>
          </w:p>
        </w:tc>
        <w:tc>
          <w:tcPr>
            <w:tcW w:w="1285" w:type="dxa"/>
            <w:noWrap w:val="0"/>
            <w:vAlign w:val="top"/>
          </w:tcPr>
          <w:p w14:paraId="0BDC182A">
            <w:pPr>
              <w:spacing w:line="400" w:lineRule="exact"/>
              <w:rPr>
                <w:rFonts w:ascii="仿宋" w:hAnsi="仿宋" w:eastAsia="仿宋"/>
                <w:color w:val="auto"/>
                <w:sz w:val="24"/>
                <w:highlight w:val="none"/>
              </w:rPr>
            </w:pPr>
          </w:p>
        </w:tc>
        <w:tc>
          <w:tcPr>
            <w:tcW w:w="1232" w:type="dxa"/>
            <w:noWrap w:val="0"/>
            <w:vAlign w:val="top"/>
          </w:tcPr>
          <w:p w14:paraId="7CC244A5">
            <w:pPr>
              <w:spacing w:line="400" w:lineRule="exact"/>
              <w:rPr>
                <w:rFonts w:ascii="仿宋" w:hAnsi="仿宋" w:eastAsia="仿宋"/>
                <w:color w:val="auto"/>
                <w:sz w:val="24"/>
                <w:highlight w:val="none"/>
              </w:rPr>
            </w:pPr>
          </w:p>
        </w:tc>
      </w:tr>
      <w:tr w14:paraId="5277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14:paraId="714E01AF">
            <w:pPr>
              <w:spacing w:line="400" w:lineRule="exact"/>
              <w:rPr>
                <w:rFonts w:ascii="仿宋" w:hAnsi="仿宋" w:eastAsia="仿宋"/>
                <w:color w:val="auto"/>
                <w:sz w:val="24"/>
                <w:highlight w:val="none"/>
              </w:rPr>
            </w:pPr>
          </w:p>
        </w:tc>
        <w:tc>
          <w:tcPr>
            <w:tcW w:w="1285" w:type="dxa"/>
            <w:noWrap w:val="0"/>
            <w:vAlign w:val="top"/>
          </w:tcPr>
          <w:p w14:paraId="39BB076C">
            <w:pPr>
              <w:spacing w:line="400" w:lineRule="exact"/>
              <w:rPr>
                <w:rFonts w:ascii="仿宋" w:hAnsi="仿宋" w:eastAsia="仿宋"/>
                <w:color w:val="auto"/>
                <w:sz w:val="24"/>
                <w:highlight w:val="none"/>
              </w:rPr>
            </w:pPr>
          </w:p>
        </w:tc>
        <w:tc>
          <w:tcPr>
            <w:tcW w:w="1285" w:type="dxa"/>
            <w:noWrap w:val="0"/>
            <w:vAlign w:val="top"/>
          </w:tcPr>
          <w:p w14:paraId="54A101FD">
            <w:pPr>
              <w:spacing w:line="400" w:lineRule="exact"/>
              <w:rPr>
                <w:rFonts w:ascii="仿宋" w:hAnsi="仿宋" w:eastAsia="仿宋"/>
                <w:color w:val="auto"/>
                <w:sz w:val="24"/>
                <w:highlight w:val="none"/>
              </w:rPr>
            </w:pPr>
          </w:p>
        </w:tc>
        <w:tc>
          <w:tcPr>
            <w:tcW w:w="1285" w:type="dxa"/>
            <w:noWrap w:val="0"/>
            <w:vAlign w:val="top"/>
          </w:tcPr>
          <w:p w14:paraId="1B450A6E">
            <w:pPr>
              <w:spacing w:line="400" w:lineRule="exact"/>
              <w:rPr>
                <w:rFonts w:ascii="仿宋" w:hAnsi="仿宋" w:eastAsia="仿宋"/>
                <w:color w:val="auto"/>
                <w:sz w:val="24"/>
                <w:highlight w:val="none"/>
              </w:rPr>
            </w:pPr>
          </w:p>
        </w:tc>
        <w:tc>
          <w:tcPr>
            <w:tcW w:w="1285" w:type="dxa"/>
            <w:noWrap w:val="0"/>
            <w:vAlign w:val="top"/>
          </w:tcPr>
          <w:p w14:paraId="00FB9671">
            <w:pPr>
              <w:spacing w:line="400" w:lineRule="exact"/>
              <w:rPr>
                <w:rFonts w:ascii="仿宋" w:hAnsi="仿宋" w:eastAsia="仿宋"/>
                <w:color w:val="auto"/>
                <w:sz w:val="24"/>
                <w:highlight w:val="none"/>
              </w:rPr>
            </w:pPr>
          </w:p>
        </w:tc>
        <w:tc>
          <w:tcPr>
            <w:tcW w:w="1232" w:type="dxa"/>
            <w:noWrap w:val="0"/>
            <w:vAlign w:val="top"/>
          </w:tcPr>
          <w:p w14:paraId="4DC98932">
            <w:pPr>
              <w:spacing w:line="400" w:lineRule="exact"/>
              <w:rPr>
                <w:rFonts w:ascii="仿宋" w:hAnsi="仿宋" w:eastAsia="仿宋"/>
                <w:color w:val="auto"/>
                <w:sz w:val="24"/>
                <w:highlight w:val="none"/>
              </w:rPr>
            </w:pPr>
          </w:p>
        </w:tc>
      </w:tr>
      <w:tr w14:paraId="2E60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noWrap w:val="0"/>
            <w:vAlign w:val="top"/>
          </w:tcPr>
          <w:p w14:paraId="3F6A60DA">
            <w:pPr>
              <w:spacing w:line="400" w:lineRule="exact"/>
              <w:rPr>
                <w:rFonts w:ascii="仿宋" w:hAnsi="仿宋" w:eastAsia="仿宋"/>
                <w:color w:val="auto"/>
                <w:sz w:val="24"/>
                <w:highlight w:val="none"/>
              </w:rPr>
            </w:pPr>
          </w:p>
        </w:tc>
        <w:tc>
          <w:tcPr>
            <w:tcW w:w="1285" w:type="dxa"/>
            <w:noWrap w:val="0"/>
            <w:vAlign w:val="top"/>
          </w:tcPr>
          <w:p w14:paraId="770D16A9">
            <w:pPr>
              <w:spacing w:line="400" w:lineRule="exact"/>
              <w:rPr>
                <w:rFonts w:ascii="仿宋" w:hAnsi="仿宋" w:eastAsia="仿宋"/>
                <w:color w:val="auto"/>
                <w:sz w:val="24"/>
                <w:highlight w:val="none"/>
              </w:rPr>
            </w:pPr>
          </w:p>
        </w:tc>
        <w:tc>
          <w:tcPr>
            <w:tcW w:w="1285" w:type="dxa"/>
            <w:noWrap w:val="0"/>
            <w:vAlign w:val="top"/>
          </w:tcPr>
          <w:p w14:paraId="22DB8B45">
            <w:pPr>
              <w:spacing w:line="400" w:lineRule="exact"/>
              <w:rPr>
                <w:rFonts w:ascii="仿宋" w:hAnsi="仿宋" w:eastAsia="仿宋"/>
                <w:color w:val="auto"/>
                <w:sz w:val="24"/>
                <w:highlight w:val="none"/>
              </w:rPr>
            </w:pPr>
          </w:p>
        </w:tc>
        <w:tc>
          <w:tcPr>
            <w:tcW w:w="1285" w:type="dxa"/>
            <w:noWrap w:val="0"/>
            <w:vAlign w:val="top"/>
          </w:tcPr>
          <w:p w14:paraId="7DF82ACF">
            <w:pPr>
              <w:spacing w:line="400" w:lineRule="exact"/>
              <w:rPr>
                <w:rFonts w:ascii="仿宋" w:hAnsi="仿宋" w:eastAsia="仿宋"/>
                <w:color w:val="auto"/>
                <w:sz w:val="24"/>
                <w:highlight w:val="none"/>
              </w:rPr>
            </w:pPr>
          </w:p>
        </w:tc>
        <w:tc>
          <w:tcPr>
            <w:tcW w:w="1285" w:type="dxa"/>
            <w:noWrap w:val="0"/>
            <w:vAlign w:val="top"/>
          </w:tcPr>
          <w:p w14:paraId="12142E72">
            <w:pPr>
              <w:spacing w:line="400" w:lineRule="exact"/>
              <w:rPr>
                <w:rFonts w:ascii="仿宋" w:hAnsi="仿宋" w:eastAsia="仿宋"/>
                <w:color w:val="auto"/>
                <w:sz w:val="24"/>
                <w:highlight w:val="none"/>
              </w:rPr>
            </w:pPr>
          </w:p>
        </w:tc>
        <w:tc>
          <w:tcPr>
            <w:tcW w:w="1232" w:type="dxa"/>
            <w:noWrap w:val="0"/>
            <w:vAlign w:val="top"/>
          </w:tcPr>
          <w:p w14:paraId="0FBA328C">
            <w:pPr>
              <w:spacing w:line="400" w:lineRule="exact"/>
              <w:rPr>
                <w:rFonts w:ascii="仿宋" w:hAnsi="仿宋" w:eastAsia="仿宋"/>
                <w:color w:val="auto"/>
                <w:sz w:val="24"/>
                <w:highlight w:val="none"/>
              </w:rPr>
            </w:pPr>
          </w:p>
        </w:tc>
      </w:tr>
    </w:tbl>
    <w:p w14:paraId="1809B4B9">
      <w:pPr>
        <w:spacing w:line="400" w:lineRule="exact"/>
        <w:ind w:firstLine="480" w:firstLineChars="200"/>
        <w:rPr>
          <w:rFonts w:hint="eastAsia" w:ascii="仿宋" w:hAnsi="仿宋" w:eastAsia="仿宋" w:cs="宋体"/>
          <w:color w:val="auto"/>
          <w:kern w:val="0"/>
          <w:sz w:val="24"/>
          <w:highlight w:val="none"/>
        </w:rPr>
        <w:sectPr>
          <w:footerReference r:id="rId14" w:type="default"/>
          <w:pgSz w:w="12240" w:h="15840"/>
          <w:pgMar w:top="1440" w:right="1080" w:bottom="1440" w:left="1080" w:header="720" w:footer="720" w:gutter="0"/>
          <w:pgNumType w:fmt="decimal"/>
          <w:cols w:space="720" w:num="1"/>
        </w:sectPr>
      </w:pPr>
    </w:p>
    <w:p w14:paraId="35859B23">
      <w:pPr>
        <w:widowControl/>
        <w:snapToGrid w:val="0"/>
        <w:spacing w:line="400" w:lineRule="exact"/>
        <w:rPr>
          <w:rFonts w:hint="eastAsia" w:ascii="仿宋" w:hAnsi="仿宋" w:eastAsia="仿宋"/>
          <w:color w:val="auto"/>
          <w:sz w:val="24"/>
          <w:highlight w:val="none"/>
        </w:rPr>
      </w:pPr>
      <w:r>
        <w:rPr>
          <w:rFonts w:hint="eastAsia" w:ascii="仿宋" w:hAnsi="仿宋" w:eastAsia="仿宋" w:cs="宋体"/>
          <w:color w:val="auto"/>
          <w:kern w:val="0"/>
          <w:sz w:val="24"/>
          <w:highlight w:val="none"/>
        </w:rPr>
        <w:t>附件六</w:t>
      </w:r>
    </w:p>
    <w:bookmarkEnd w:id="519"/>
    <w:p w14:paraId="5C2E8027">
      <w:pPr>
        <w:spacing w:line="500" w:lineRule="exact"/>
        <w:ind w:firstLine="643" w:firstLineChars="200"/>
        <w:jc w:val="center"/>
        <w:rPr>
          <w:rFonts w:hint="eastAsia" w:ascii="仿宋" w:hAnsi="仿宋" w:eastAsia="仿宋" w:cs="仿宋"/>
          <w:b/>
          <w:bCs/>
          <w:color w:val="auto"/>
          <w:sz w:val="32"/>
          <w:szCs w:val="32"/>
          <w:highlight w:val="none"/>
          <w:lang w:bidi="zh-CN"/>
        </w:rPr>
      </w:pPr>
      <w:r>
        <w:rPr>
          <w:rFonts w:hint="eastAsia" w:ascii="仿宋" w:hAnsi="仿宋" w:eastAsia="仿宋" w:cs="仿宋"/>
          <w:b/>
          <w:bCs/>
          <w:color w:val="auto"/>
          <w:sz w:val="32"/>
          <w:szCs w:val="32"/>
          <w:highlight w:val="none"/>
          <w:lang w:bidi="zh-CN"/>
        </w:rPr>
        <w:t>温州市公安局建设运维项目</w:t>
      </w:r>
    </w:p>
    <w:p w14:paraId="4B117321">
      <w:pPr>
        <w:spacing w:line="500" w:lineRule="exact"/>
        <w:ind w:firstLine="643" w:firstLineChars="200"/>
        <w:jc w:val="center"/>
        <w:rPr>
          <w:rFonts w:hint="eastAsia" w:ascii="仿宋" w:hAnsi="仿宋" w:eastAsia="仿宋" w:cs="仿宋"/>
          <w:b/>
          <w:bCs/>
          <w:color w:val="auto"/>
          <w:sz w:val="32"/>
          <w:szCs w:val="32"/>
          <w:highlight w:val="none"/>
          <w:lang w:bidi="zh-CN"/>
        </w:rPr>
      </w:pPr>
      <w:r>
        <w:rPr>
          <w:rFonts w:hint="eastAsia" w:ascii="仿宋" w:hAnsi="仿宋" w:eastAsia="仿宋" w:cs="仿宋"/>
          <w:b/>
          <w:bCs/>
          <w:color w:val="auto"/>
          <w:sz w:val="32"/>
          <w:szCs w:val="32"/>
          <w:highlight w:val="none"/>
          <w:lang w:bidi="zh-CN"/>
        </w:rPr>
        <w:t>安全保密协议</w:t>
      </w:r>
    </w:p>
    <w:p w14:paraId="336F187A">
      <w:pPr>
        <w:spacing w:line="500" w:lineRule="exact"/>
        <w:ind w:firstLine="480" w:firstLineChars="200"/>
        <w:jc w:val="left"/>
        <w:rPr>
          <w:rFonts w:hint="eastAsia" w:ascii="仿宋" w:hAnsi="仿宋" w:eastAsia="仿宋" w:cs="仿宋"/>
          <w:color w:val="auto"/>
          <w:sz w:val="24"/>
          <w:highlight w:val="none"/>
          <w:lang w:bidi="zh-CN"/>
        </w:rPr>
      </w:pPr>
    </w:p>
    <w:p w14:paraId="426FEADA">
      <w:pPr>
        <w:spacing w:line="500" w:lineRule="exact"/>
        <w:ind w:firstLine="480" w:firstLineChars="200"/>
        <w:jc w:val="left"/>
        <w:rPr>
          <w:rFonts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甲方（项目责任单位）： 温州市公安局     （部门）   </w:t>
      </w:r>
    </w:p>
    <w:p w14:paraId="50573AE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乙方（项目建设运维单位）：                  公司</w:t>
      </w:r>
    </w:p>
    <w:p w14:paraId="48063F9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为做好“                    项目”（以下简称项目）的安全保密工作，确保国家秘密和警务工作秘密的安全，根据《中华人民共和国保守国家秘密法》《中华人民共和国数据安全法》《中华人民共和国网络安全法》，公安部、国家保密局关于《公安工作国家秘密范围的规定》（公通字〔2019〕3号）《公安机关警务工作秘密范围的规定》（公通字〔2019〕2号）等相关文件规定，甲乙双方就本项目有关安全保密事宜达成如下协议：</w:t>
      </w:r>
    </w:p>
    <w:p w14:paraId="1EA1A63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一、本项目涉密等级为               。保密内容包括：本项目的各类信息数据、文件资料，以及公安内部网络信息和工作中接触到的其他需保密的信息。（下划线部分，系涉密涉敏项目需视情写明的内容，且需根据具体情况作调整）</w:t>
      </w:r>
    </w:p>
    <w:p w14:paraId="15205B4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二、乙方应明确本项目的安全保密管理责任体系，公司法定代表人                 （姓名）为本项目安全保密管理第一责任人，具体承担项目事项的乙方部门主要负责人</w:t>
      </w:r>
    </w:p>
    <w:p w14:paraId="2CA8298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                （姓名）                （职务）为本项目的安全保密管理直接责任人。</w:t>
      </w:r>
    </w:p>
    <w:p w14:paraId="1DCF3F3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三、乙方应遵守国家保密法律法规和公安机关有关信息化合作安全保密规定要求，履行安全保密义务与责任，并按年度提交本项目安全保密工作情况报告。</w:t>
      </w:r>
    </w:p>
    <w:p w14:paraId="47E6AD4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四、甲方应当加强对乙方及参与本项目工作人员的安全保密监管和教育，及时督促乙方整改安全保密问题隐患。</w:t>
      </w:r>
    </w:p>
    <w:p w14:paraId="5A305B5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五、乙方应派遣符合甲方要求的工作人员参加项目工作，对项目工作人员登记造册，并承担法律上的担保责任。</w:t>
      </w:r>
    </w:p>
    <w:p w14:paraId="6FB0ED6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六、乙方应当建立安全保密管理制度，认真做好本项目建设运维期间的安全保密管理工作。</w:t>
      </w:r>
    </w:p>
    <w:p w14:paraId="6BF0295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（一）工作人员管理方面</w:t>
      </w:r>
    </w:p>
    <w:p w14:paraId="0E809F3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1.常态化开展工作人员的安全保密教育培训、安全保密检查、安全保密提醒谈话和保密岗位考核，掌握现实表现、思想动态，增强其安全保密法纪观念、责任意识、知识技能；</w:t>
      </w:r>
    </w:p>
    <w:p w14:paraId="33D042D4">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2.集中登记保管工作人员的出国（境）证件，同时应在出国（境）前15个工作日报甲、监督方同意；</w:t>
      </w:r>
    </w:p>
    <w:p w14:paraId="2841453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3.工作人员中途更换（需经甲方同意）或因工作完成而离岗的，要落实账号注销、授权取消、证件、信息设备、文件资料等清退，并做好保密提醒谈话、签订离岗承诺书等工作；</w:t>
      </w:r>
    </w:p>
    <w:p w14:paraId="57FEBB7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4.参与涉密项目的工作人员，应为已向保密行政管理部门报备的涉密人员。（本条系涉密项目的要求）</w:t>
      </w:r>
    </w:p>
    <w:p w14:paraId="7836F62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5.涉密项目应加强离岗的工作人员脱密期管理。（本条系涉密项目的要求）     </w:t>
      </w:r>
    </w:p>
    <w:p w14:paraId="056ADB3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（二）场所载体管理方面</w:t>
      </w:r>
    </w:p>
    <w:p w14:paraId="2D5272D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1.工作人员应在甲方指定的工作场所和设备环境下开展工作，使用甲方提供或指定的计算机等设备；未经甲方许可，不得以任何形式将公安信息、数据等传输或复制到其它计算机、信息设备、存储介质中。</w:t>
      </w:r>
    </w:p>
    <w:p w14:paraId="288DE923">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未经甲方批准，不得擅自将计算机、信息设备、存储介质等带入甲方工作场所或者接入公安内部网络，确因工作需要经甲方审批而联入公安内部网络的计算机设备，应严格按照公安内部网络安全管理的要求，严禁“一机两用”，并不得擅自带离甲方工作场所。</w:t>
      </w:r>
    </w:p>
    <w:p w14:paraId="701CA3C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（三）网络及数据安全管理方面</w:t>
      </w:r>
    </w:p>
    <w:p w14:paraId="35E5E2EC">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1.不得使用无正规版权、无安全保障的开发工具、基础软件等，不得交付留有系统后门或带有恶意代码的应用软件，不得侵犯公安机关知识产权，不得隐匿、篡改或拒不提供开发文档、软件源代码； （本条系科技建设运维项目的要求）</w:t>
      </w:r>
    </w:p>
    <w:p w14:paraId="0F48D0B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不得在互联网环境下测试开发公安信息系统，不得以任何方式将公安信息、数据提供给第三方或用于其他商业目的，同时应根据项目进展，及时主动向甲方清退文件资料，当甲方要求乙方交回文件资料时，乙方应当立即交回，不以任何形式保留或擅自处理，不得将项目的具体内容或案例信息作为公司业绩对外宣传；</w:t>
      </w:r>
    </w:p>
    <w:p w14:paraId="70D65271">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3.不得通过公共社交软件、通联工具谈论或处理、传输可能涉密涉敏的本项目情况；</w:t>
      </w:r>
    </w:p>
    <w:p w14:paraId="67C74558">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4.不得入侵、篡改、泄露或擅自使用公安信息系统，不得擅自浏览、下载、泄露公安内部网络信息；</w:t>
      </w:r>
    </w:p>
    <w:p w14:paraId="1B7FE7EA">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5.不得私接网络边界通道或者未经审批超范围使用边界通道，不得跨网进行运行维护操作；</w:t>
      </w:r>
    </w:p>
    <w:p w14:paraId="261A324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6.不得私自持有使用公安数据库权限，不得未经允许导出数据，不得在互联网、政务外网存储、处理未经脱密脱敏处理的公安信息数据；</w:t>
      </w:r>
    </w:p>
    <w:p w14:paraId="494B544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7.在项目建设运维过程中，应制定本项目的网络安全保障方案和网络安全事件应急预案，严格遵守公安有关信息系统建设开发及数据安全的操作规范，采取必要的技术、管理措施，确保公安信息系统及数据安全。（非科技建设运维项目无需制定应急预案）</w:t>
      </w:r>
    </w:p>
    <w:p w14:paraId="7CEB17DD">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（四）其他</w:t>
      </w:r>
    </w:p>
    <w:p w14:paraId="621A378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1.在合同确定的服务范围内开展工作，不得涉及与本项目无关的业务及信息；</w:t>
      </w:r>
    </w:p>
    <w:p w14:paraId="18DE8EDB">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2.自愿接受甲方安全保密监管及检查，对于检查中发现的问题，在限定期间内落实整改；</w:t>
      </w:r>
    </w:p>
    <w:p w14:paraId="0C483695">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3.主动加强本项目的安全保密管理和技术管控措施，一旦发现网络安全事件或者存在失泄密风险隐患的，立即予以补救、整改，及时向甲方报告，为甲方提供查找失泄密原因的线索和证据，并开展批评教育、责任追究等工作；</w:t>
      </w:r>
    </w:p>
    <w:p w14:paraId="1C251DDF">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4.不得有其他影响安全保密的行为。</w:t>
      </w:r>
    </w:p>
    <w:p w14:paraId="4AC7F12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七、乙方单位及人员违反本协议的，由甲方责令其立即整改；导致严重后果的，依据有关规定追究经济、行政等责任；构成犯罪的，依法追究刑事责任。</w:t>
      </w:r>
    </w:p>
    <w:p w14:paraId="44D77C60">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 xml:space="preserve">    八、本协议双方签字盖章后生效。本协议一式三份，甲乙双方各执一份，甲方保密工作机构一份。乙方不得将本协议向第三方展示或提供给第三方，不得通过互联网等进行处理、传输。</w:t>
      </w:r>
    </w:p>
    <w:p w14:paraId="2ACA6885">
      <w:pPr>
        <w:spacing w:line="500" w:lineRule="exact"/>
        <w:ind w:firstLine="480" w:firstLineChars="200"/>
        <w:jc w:val="left"/>
        <w:rPr>
          <w:rFonts w:hint="eastAsia" w:ascii="仿宋" w:hAnsi="仿宋" w:eastAsia="仿宋" w:cs="仿宋"/>
          <w:color w:val="auto"/>
          <w:sz w:val="24"/>
          <w:highlight w:val="none"/>
          <w:lang w:bidi="zh-CN"/>
        </w:rPr>
      </w:pPr>
    </w:p>
    <w:p w14:paraId="7CAC3B27">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甲方代表签字：              乙方代表签字：</w:t>
      </w:r>
    </w:p>
    <w:p w14:paraId="3F09EBA6">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单位盖章                      单位盖章</w:t>
      </w:r>
    </w:p>
    <w:p w14:paraId="3F227212">
      <w:pPr>
        <w:spacing w:line="500" w:lineRule="exact"/>
        <w:ind w:firstLine="480" w:firstLineChars="200"/>
        <w:jc w:val="left"/>
        <w:rPr>
          <w:rFonts w:hint="eastAsia" w:ascii="仿宋" w:hAnsi="仿宋" w:eastAsia="仿宋" w:cs="仿宋"/>
          <w:color w:val="auto"/>
          <w:sz w:val="24"/>
          <w:highlight w:val="none"/>
          <w:lang w:bidi="zh-CN"/>
        </w:rPr>
      </w:pPr>
      <w:r>
        <w:rPr>
          <w:rFonts w:hint="eastAsia" w:ascii="仿宋" w:hAnsi="仿宋" w:eastAsia="仿宋" w:cs="仿宋"/>
          <w:color w:val="auto"/>
          <w:sz w:val="24"/>
          <w:highlight w:val="none"/>
          <w:lang w:bidi="zh-CN"/>
        </w:rPr>
        <w:t>日期：　　　　　　　　　　　　日期：</w:t>
      </w:r>
    </w:p>
    <w:p w14:paraId="35D3B62D">
      <w:pPr>
        <w:spacing w:line="500" w:lineRule="exact"/>
        <w:ind w:firstLine="480" w:firstLineChars="200"/>
        <w:jc w:val="left"/>
        <w:rPr>
          <w:rFonts w:hint="eastAsia" w:ascii="仿宋" w:hAnsi="仿宋" w:eastAsia="仿宋" w:cs="仿宋"/>
          <w:color w:val="auto"/>
          <w:sz w:val="24"/>
          <w:highlight w:val="none"/>
          <w:lang w:bidi="zh-CN"/>
        </w:rPr>
      </w:pPr>
    </w:p>
    <w:p w14:paraId="123F45EE">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21C5A40C">
      <w:pPr>
        <w:widowControl/>
        <w:snapToGrid w:val="0"/>
        <w:spacing w:line="400" w:lineRule="exact"/>
        <w:ind w:firstLine="480" w:firstLineChars="200"/>
        <w:jc w:val="left"/>
        <w:rPr>
          <w:rFonts w:hint="eastAsia" w:ascii="仿宋" w:hAnsi="仿宋" w:eastAsia="仿宋" w:cs="仿宋_GB2312"/>
          <w:color w:val="auto"/>
          <w:kern w:val="0"/>
          <w:sz w:val="24"/>
          <w:highlight w:val="none"/>
        </w:rPr>
      </w:pPr>
    </w:p>
    <w:p w14:paraId="706C1C91">
      <w:pPr>
        <w:spacing w:line="560" w:lineRule="exact"/>
        <w:ind w:firstLine="470" w:firstLineChars="196"/>
        <w:rPr>
          <w:rFonts w:hint="eastAsia" w:ascii="仿宋" w:hAnsi="仿宋" w:eastAsia="仿宋" w:cs="仿宋"/>
          <w:color w:val="auto"/>
          <w:sz w:val="24"/>
          <w:highlight w:val="none"/>
        </w:rPr>
      </w:pPr>
    </w:p>
    <w:p w14:paraId="5FFE2E13">
      <w:pPr>
        <w:spacing w:line="400" w:lineRule="exact"/>
        <w:rPr>
          <w:rFonts w:hint="eastAsia" w:ascii="仿宋" w:hAnsi="仿宋" w:eastAsia="仿宋" w:cs="仿宋_GB2312"/>
          <w:color w:val="auto"/>
          <w:sz w:val="24"/>
          <w:highlight w:val="none"/>
        </w:rPr>
      </w:pPr>
    </w:p>
    <w:p w14:paraId="55D33781">
      <w:pPr>
        <w:spacing w:line="400" w:lineRule="exact"/>
        <w:rPr>
          <w:rFonts w:hint="eastAsia" w:ascii="仿宋" w:hAnsi="仿宋" w:eastAsia="仿宋" w:cs="仿宋_GB2312"/>
          <w:color w:val="auto"/>
          <w:sz w:val="24"/>
          <w:highlight w:val="none"/>
        </w:rPr>
      </w:pPr>
    </w:p>
    <w:p w14:paraId="215BECFF">
      <w:pPr>
        <w:widowControl/>
        <w:snapToGrid w:val="0"/>
        <w:spacing w:line="400" w:lineRule="exact"/>
        <w:ind w:firstLine="480" w:firstLineChars="200"/>
        <w:jc w:val="left"/>
        <w:rPr>
          <w:rFonts w:hint="eastAsia" w:ascii="仿宋" w:hAnsi="仿宋" w:eastAsia="仿宋" w:cs="宋体"/>
          <w:color w:val="auto"/>
          <w:kern w:val="0"/>
          <w:sz w:val="24"/>
          <w:highlight w:val="none"/>
        </w:rPr>
      </w:pPr>
    </w:p>
    <w:p w14:paraId="5A866923">
      <w:pPr>
        <w:spacing w:line="560" w:lineRule="exact"/>
        <w:ind w:firstLine="470" w:firstLineChars="196"/>
        <w:rPr>
          <w:rFonts w:hint="eastAsia" w:ascii="仿宋" w:hAnsi="仿宋" w:eastAsia="仿宋" w:cs="仿宋"/>
          <w:color w:val="auto"/>
          <w:sz w:val="24"/>
          <w:highlight w:val="none"/>
        </w:rPr>
      </w:pPr>
    </w:p>
    <w:p w14:paraId="179197CB">
      <w:pPr>
        <w:spacing w:line="400" w:lineRule="exact"/>
        <w:rPr>
          <w:rFonts w:hint="eastAsia" w:ascii="仿宋" w:hAnsi="仿宋" w:eastAsia="仿宋" w:cs="仿宋_GB2312"/>
          <w:color w:val="auto"/>
          <w:sz w:val="24"/>
          <w:highlight w:val="none"/>
        </w:rPr>
      </w:pPr>
    </w:p>
    <w:p w14:paraId="4781F7B7">
      <w:pPr>
        <w:jc w:val="center"/>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rPr>
        <w:t>政府采购履约验收书</w:t>
      </w:r>
    </w:p>
    <w:p w14:paraId="444ADC71">
      <w:pPr>
        <w:jc w:val="center"/>
        <w:outlineLvl w:val="0"/>
        <w:rPr>
          <w:rFonts w:hint="eastAsia" w:ascii="仿宋" w:hAnsi="仿宋" w:eastAsia="仿宋" w:cs="仿宋"/>
          <w:b/>
          <w:bCs/>
          <w:color w:val="auto"/>
          <w:sz w:val="28"/>
          <w:szCs w:val="28"/>
          <w:highlight w:val="none"/>
        </w:rPr>
      </w:pPr>
      <w:bookmarkStart w:id="521" w:name="_Toc14080"/>
      <w:r>
        <w:rPr>
          <w:rFonts w:hint="eastAsia" w:ascii="仿宋" w:hAnsi="仿宋" w:eastAsia="仿宋" w:cs="仿宋"/>
          <w:b/>
          <w:bCs/>
          <w:color w:val="auto"/>
          <w:sz w:val="28"/>
          <w:szCs w:val="28"/>
          <w:highlight w:val="none"/>
        </w:rPr>
        <w:t>（参考模板）</w:t>
      </w:r>
      <w:bookmarkEnd w:id="52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956"/>
        <w:gridCol w:w="1399"/>
        <w:gridCol w:w="239"/>
        <w:gridCol w:w="1236"/>
        <w:gridCol w:w="254"/>
        <w:gridCol w:w="675"/>
        <w:gridCol w:w="1413"/>
        <w:gridCol w:w="623"/>
        <w:gridCol w:w="792"/>
        <w:gridCol w:w="348"/>
        <w:gridCol w:w="764"/>
      </w:tblGrid>
      <w:tr w14:paraId="068C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2A4D04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一、验收方案</w:t>
            </w:r>
          </w:p>
        </w:tc>
      </w:tr>
      <w:tr w14:paraId="570A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424C22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（一）项目基本情况</w:t>
            </w:r>
          </w:p>
        </w:tc>
      </w:tr>
      <w:tr w14:paraId="0D0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2EF8F7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3803" w:type="dxa"/>
            <w:gridSpan w:val="5"/>
            <w:noWrap w:val="0"/>
            <w:vAlign w:val="center"/>
          </w:tcPr>
          <w:p w14:paraId="7CFC7F1D">
            <w:pPr>
              <w:jc w:val="center"/>
              <w:rPr>
                <w:rFonts w:hint="eastAsia" w:ascii="仿宋" w:hAnsi="仿宋" w:eastAsia="仿宋" w:cs="仿宋"/>
                <w:color w:val="auto"/>
                <w:sz w:val="24"/>
                <w:highlight w:val="none"/>
              </w:rPr>
            </w:pPr>
          </w:p>
        </w:tc>
        <w:tc>
          <w:tcPr>
            <w:tcW w:w="1413" w:type="dxa"/>
            <w:noWrap w:val="0"/>
            <w:vAlign w:val="center"/>
          </w:tcPr>
          <w:p w14:paraId="76F6C5E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p>
        </w:tc>
        <w:tc>
          <w:tcPr>
            <w:tcW w:w="2527" w:type="dxa"/>
            <w:gridSpan w:val="4"/>
            <w:noWrap w:val="0"/>
            <w:vAlign w:val="center"/>
          </w:tcPr>
          <w:p w14:paraId="0AE7777F">
            <w:pPr>
              <w:jc w:val="center"/>
              <w:rPr>
                <w:rFonts w:hint="eastAsia" w:ascii="仿宋" w:hAnsi="仿宋" w:eastAsia="仿宋" w:cs="仿宋"/>
                <w:color w:val="auto"/>
                <w:sz w:val="24"/>
                <w:highlight w:val="none"/>
              </w:rPr>
            </w:pPr>
          </w:p>
        </w:tc>
      </w:tr>
      <w:tr w14:paraId="6293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515A711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803" w:type="dxa"/>
            <w:gridSpan w:val="5"/>
            <w:noWrap w:val="0"/>
            <w:vAlign w:val="center"/>
          </w:tcPr>
          <w:p w14:paraId="762C7827">
            <w:pPr>
              <w:jc w:val="center"/>
              <w:rPr>
                <w:rFonts w:hint="eastAsia" w:ascii="仿宋" w:hAnsi="仿宋" w:eastAsia="仿宋" w:cs="仿宋"/>
                <w:color w:val="auto"/>
                <w:sz w:val="24"/>
                <w:highlight w:val="none"/>
              </w:rPr>
            </w:pPr>
          </w:p>
        </w:tc>
        <w:tc>
          <w:tcPr>
            <w:tcW w:w="1413" w:type="dxa"/>
            <w:noWrap w:val="0"/>
            <w:vAlign w:val="center"/>
          </w:tcPr>
          <w:p w14:paraId="47FF8D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tc>
        <w:tc>
          <w:tcPr>
            <w:tcW w:w="2527" w:type="dxa"/>
            <w:gridSpan w:val="4"/>
            <w:noWrap w:val="0"/>
            <w:vAlign w:val="center"/>
          </w:tcPr>
          <w:p w14:paraId="1A3F181B">
            <w:pPr>
              <w:jc w:val="center"/>
              <w:rPr>
                <w:rFonts w:hint="eastAsia" w:ascii="仿宋" w:hAnsi="仿宋" w:eastAsia="仿宋" w:cs="仿宋"/>
                <w:color w:val="auto"/>
                <w:sz w:val="24"/>
                <w:highlight w:val="none"/>
              </w:rPr>
            </w:pPr>
          </w:p>
        </w:tc>
      </w:tr>
      <w:tr w14:paraId="4422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264D1BB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合同签订时间</w:t>
            </w:r>
          </w:p>
        </w:tc>
        <w:tc>
          <w:tcPr>
            <w:tcW w:w="3803" w:type="dxa"/>
            <w:gridSpan w:val="5"/>
            <w:noWrap w:val="0"/>
            <w:vAlign w:val="center"/>
          </w:tcPr>
          <w:p w14:paraId="11E83330">
            <w:pPr>
              <w:jc w:val="center"/>
              <w:rPr>
                <w:rFonts w:hint="eastAsia" w:ascii="仿宋" w:hAnsi="仿宋" w:eastAsia="仿宋" w:cs="仿宋"/>
                <w:color w:val="auto"/>
                <w:sz w:val="24"/>
                <w:highlight w:val="none"/>
              </w:rPr>
            </w:pPr>
          </w:p>
        </w:tc>
        <w:tc>
          <w:tcPr>
            <w:tcW w:w="1413" w:type="dxa"/>
            <w:noWrap w:val="0"/>
            <w:vAlign w:val="center"/>
          </w:tcPr>
          <w:p w14:paraId="7873FD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合同规定验收时间</w:t>
            </w:r>
          </w:p>
        </w:tc>
        <w:tc>
          <w:tcPr>
            <w:tcW w:w="2527" w:type="dxa"/>
            <w:gridSpan w:val="4"/>
            <w:noWrap w:val="0"/>
            <w:vAlign w:val="center"/>
          </w:tcPr>
          <w:p w14:paraId="326ABCF3">
            <w:pPr>
              <w:jc w:val="center"/>
              <w:rPr>
                <w:rFonts w:hint="eastAsia" w:ascii="仿宋" w:hAnsi="仿宋" w:eastAsia="仿宋" w:cs="仿宋"/>
                <w:color w:val="auto"/>
                <w:sz w:val="24"/>
                <w:highlight w:val="none"/>
              </w:rPr>
            </w:pPr>
          </w:p>
        </w:tc>
      </w:tr>
      <w:tr w14:paraId="2F67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6F2B65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项目类型</w:t>
            </w:r>
          </w:p>
        </w:tc>
        <w:tc>
          <w:tcPr>
            <w:tcW w:w="3803" w:type="dxa"/>
            <w:gridSpan w:val="5"/>
            <w:noWrap w:val="0"/>
            <w:vAlign w:val="center"/>
          </w:tcPr>
          <w:p w14:paraId="7D18A63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货物/</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服务</w:t>
            </w:r>
          </w:p>
        </w:tc>
        <w:tc>
          <w:tcPr>
            <w:tcW w:w="1413" w:type="dxa"/>
            <w:noWrap w:val="0"/>
            <w:vAlign w:val="center"/>
          </w:tcPr>
          <w:p w14:paraId="78B94D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tc>
        <w:tc>
          <w:tcPr>
            <w:tcW w:w="2527" w:type="dxa"/>
            <w:gridSpan w:val="4"/>
            <w:noWrap w:val="0"/>
            <w:vAlign w:val="center"/>
          </w:tcPr>
          <w:p w14:paraId="6D434012">
            <w:pPr>
              <w:jc w:val="center"/>
              <w:rPr>
                <w:rFonts w:hint="eastAsia" w:ascii="仿宋" w:hAnsi="仿宋" w:eastAsia="仿宋" w:cs="仿宋"/>
                <w:color w:val="auto"/>
                <w:sz w:val="24"/>
                <w:highlight w:val="none"/>
              </w:rPr>
            </w:pPr>
          </w:p>
        </w:tc>
      </w:tr>
      <w:tr w14:paraId="04CA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3C5DAD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（二）验收方式与方法</w:t>
            </w:r>
          </w:p>
        </w:tc>
      </w:tr>
      <w:tr w14:paraId="55AA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22DD193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验收组织方式</w:t>
            </w:r>
          </w:p>
        </w:tc>
        <w:tc>
          <w:tcPr>
            <w:tcW w:w="3803" w:type="dxa"/>
            <w:gridSpan w:val="5"/>
            <w:noWrap w:val="0"/>
            <w:vAlign w:val="center"/>
          </w:tcPr>
          <w:p w14:paraId="074155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自行组织/</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委托代理</w:t>
            </w:r>
          </w:p>
        </w:tc>
        <w:tc>
          <w:tcPr>
            <w:tcW w:w="1413" w:type="dxa"/>
            <w:noWrap w:val="0"/>
            <w:vAlign w:val="center"/>
          </w:tcPr>
          <w:p w14:paraId="08A013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代理机构名称</w:t>
            </w:r>
          </w:p>
        </w:tc>
        <w:tc>
          <w:tcPr>
            <w:tcW w:w="2527" w:type="dxa"/>
            <w:gridSpan w:val="4"/>
            <w:noWrap w:val="0"/>
            <w:vAlign w:val="center"/>
          </w:tcPr>
          <w:p w14:paraId="61FD2755">
            <w:pPr>
              <w:jc w:val="center"/>
              <w:rPr>
                <w:rFonts w:hint="eastAsia" w:ascii="仿宋" w:hAnsi="仿宋" w:eastAsia="仿宋" w:cs="仿宋"/>
                <w:color w:val="auto"/>
                <w:sz w:val="24"/>
                <w:highlight w:val="none"/>
              </w:rPr>
            </w:pPr>
          </w:p>
        </w:tc>
      </w:tr>
      <w:tr w14:paraId="13D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11" w:type="dxa"/>
            <w:gridSpan w:val="2"/>
            <w:noWrap w:val="0"/>
            <w:vAlign w:val="center"/>
          </w:tcPr>
          <w:p w14:paraId="7C0B16C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验收方式</w:t>
            </w:r>
          </w:p>
        </w:tc>
        <w:tc>
          <w:tcPr>
            <w:tcW w:w="3803" w:type="dxa"/>
            <w:gridSpan w:val="5"/>
            <w:noWrap w:val="0"/>
            <w:vAlign w:val="center"/>
          </w:tcPr>
          <w:p w14:paraId="12562E6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一般验收程序/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简易验收程序</w:t>
            </w:r>
          </w:p>
        </w:tc>
        <w:tc>
          <w:tcPr>
            <w:tcW w:w="1413" w:type="dxa"/>
            <w:noWrap w:val="0"/>
            <w:vAlign w:val="center"/>
          </w:tcPr>
          <w:p w14:paraId="0592E86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选择简易验收理由</w:t>
            </w:r>
          </w:p>
        </w:tc>
        <w:tc>
          <w:tcPr>
            <w:tcW w:w="2527" w:type="dxa"/>
            <w:gridSpan w:val="4"/>
            <w:noWrap w:val="0"/>
            <w:vAlign w:val="center"/>
          </w:tcPr>
          <w:p w14:paraId="1977B181">
            <w:pPr>
              <w:jc w:val="center"/>
              <w:rPr>
                <w:rFonts w:hint="eastAsia" w:ascii="仿宋" w:hAnsi="仿宋" w:eastAsia="仿宋" w:cs="仿宋"/>
                <w:color w:val="auto"/>
                <w:sz w:val="24"/>
                <w:highlight w:val="none"/>
              </w:rPr>
            </w:pPr>
          </w:p>
        </w:tc>
      </w:tr>
      <w:tr w14:paraId="10AF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11" w:type="dxa"/>
            <w:gridSpan w:val="2"/>
            <w:noWrap w:val="0"/>
            <w:vAlign w:val="center"/>
          </w:tcPr>
          <w:p w14:paraId="16BFE52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验收方法</w:t>
            </w:r>
          </w:p>
        </w:tc>
        <w:tc>
          <w:tcPr>
            <w:tcW w:w="3803" w:type="dxa"/>
            <w:gridSpan w:val="5"/>
            <w:noWrap w:val="0"/>
            <w:vAlign w:val="center"/>
          </w:tcPr>
          <w:p w14:paraId="27C0D59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一次性验收/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分段验收/</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分期验收</w:t>
            </w:r>
          </w:p>
        </w:tc>
        <w:tc>
          <w:tcPr>
            <w:tcW w:w="1413" w:type="dxa"/>
            <w:noWrap w:val="0"/>
            <w:vAlign w:val="center"/>
          </w:tcPr>
          <w:p w14:paraId="0C3FF9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选择非一次性验收理由</w:t>
            </w:r>
          </w:p>
        </w:tc>
        <w:tc>
          <w:tcPr>
            <w:tcW w:w="2527" w:type="dxa"/>
            <w:gridSpan w:val="4"/>
            <w:noWrap w:val="0"/>
            <w:vAlign w:val="center"/>
          </w:tcPr>
          <w:p w14:paraId="1B39EC93">
            <w:pPr>
              <w:jc w:val="center"/>
              <w:rPr>
                <w:rFonts w:hint="eastAsia" w:ascii="仿宋" w:hAnsi="仿宋" w:eastAsia="仿宋" w:cs="仿宋"/>
                <w:color w:val="auto"/>
                <w:sz w:val="24"/>
                <w:highlight w:val="none"/>
              </w:rPr>
            </w:pPr>
          </w:p>
        </w:tc>
      </w:tr>
      <w:tr w14:paraId="37C5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11" w:type="dxa"/>
            <w:gridSpan w:val="2"/>
            <w:vMerge w:val="restart"/>
            <w:noWrap w:val="0"/>
            <w:vAlign w:val="center"/>
          </w:tcPr>
          <w:p w14:paraId="11F39A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大型或复杂项目</w:t>
            </w:r>
          </w:p>
        </w:tc>
        <w:tc>
          <w:tcPr>
            <w:tcW w:w="3803" w:type="dxa"/>
            <w:gridSpan w:val="5"/>
            <w:noWrap w:val="0"/>
            <w:vAlign w:val="center"/>
          </w:tcPr>
          <w:p w14:paraId="51D297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413" w:type="dxa"/>
            <w:vMerge w:val="restart"/>
            <w:noWrap w:val="0"/>
            <w:vAlign w:val="center"/>
          </w:tcPr>
          <w:p w14:paraId="6D2B7C1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邀请本项目其他供应商</w:t>
            </w:r>
          </w:p>
        </w:tc>
        <w:tc>
          <w:tcPr>
            <w:tcW w:w="2527" w:type="dxa"/>
            <w:gridSpan w:val="4"/>
            <w:noWrap w:val="0"/>
            <w:vAlign w:val="center"/>
          </w:tcPr>
          <w:p w14:paraId="24AE422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14:paraId="5E97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11" w:type="dxa"/>
            <w:gridSpan w:val="2"/>
            <w:vMerge w:val="continue"/>
            <w:noWrap w:val="0"/>
            <w:vAlign w:val="center"/>
          </w:tcPr>
          <w:p w14:paraId="120C5ABA">
            <w:pPr>
              <w:jc w:val="center"/>
              <w:rPr>
                <w:rFonts w:hint="eastAsia" w:ascii="仿宋" w:hAnsi="仿宋" w:eastAsia="仿宋" w:cs="仿宋"/>
                <w:color w:val="auto"/>
                <w:sz w:val="24"/>
                <w:highlight w:val="none"/>
              </w:rPr>
            </w:pPr>
          </w:p>
        </w:tc>
        <w:tc>
          <w:tcPr>
            <w:tcW w:w="1638" w:type="dxa"/>
            <w:gridSpan w:val="2"/>
            <w:noWrap w:val="0"/>
            <w:vAlign w:val="center"/>
          </w:tcPr>
          <w:p w14:paraId="0054177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参与验收监测机构名称</w:t>
            </w:r>
          </w:p>
        </w:tc>
        <w:tc>
          <w:tcPr>
            <w:tcW w:w="2165" w:type="dxa"/>
            <w:gridSpan w:val="3"/>
            <w:noWrap w:val="0"/>
            <w:vAlign w:val="center"/>
          </w:tcPr>
          <w:p w14:paraId="2D01C2ED">
            <w:pPr>
              <w:jc w:val="center"/>
              <w:rPr>
                <w:rFonts w:hint="eastAsia" w:ascii="仿宋" w:hAnsi="仿宋" w:eastAsia="仿宋" w:cs="仿宋"/>
                <w:color w:val="auto"/>
                <w:sz w:val="24"/>
                <w:highlight w:val="none"/>
              </w:rPr>
            </w:pPr>
          </w:p>
        </w:tc>
        <w:tc>
          <w:tcPr>
            <w:tcW w:w="1413" w:type="dxa"/>
            <w:vMerge w:val="continue"/>
            <w:noWrap w:val="0"/>
            <w:vAlign w:val="center"/>
          </w:tcPr>
          <w:p w14:paraId="6961B65E">
            <w:pPr>
              <w:jc w:val="center"/>
              <w:rPr>
                <w:rFonts w:hint="eastAsia" w:ascii="仿宋" w:hAnsi="仿宋" w:eastAsia="仿宋" w:cs="仿宋"/>
                <w:color w:val="auto"/>
                <w:sz w:val="24"/>
                <w:highlight w:val="none"/>
              </w:rPr>
            </w:pPr>
          </w:p>
        </w:tc>
        <w:tc>
          <w:tcPr>
            <w:tcW w:w="1415" w:type="dxa"/>
            <w:gridSpan w:val="2"/>
            <w:noWrap w:val="0"/>
            <w:vAlign w:val="center"/>
          </w:tcPr>
          <w:p w14:paraId="5DC88C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参与验收供应商名称</w:t>
            </w:r>
          </w:p>
        </w:tc>
        <w:tc>
          <w:tcPr>
            <w:tcW w:w="1112" w:type="dxa"/>
            <w:gridSpan w:val="2"/>
            <w:noWrap w:val="0"/>
            <w:vAlign w:val="center"/>
          </w:tcPr>
          <w:p w14:paraId="6EF3B7DE">
            <w:pPr>
              <w:jc w:val="center"/>
              <w:rPr>
                <w:rFonts w:hint="eastAsia" w:ascii="仿宋" w:hAnsi="仿宋" w:eastAsia="仿宋" w:cs="仿宋"/>
                <w:color w:val="auto"/>
                <w:sz w:val="24"/>
                <w:highlight w:val="none"/>
              </w:rPr>
            </w:pPr>
          </w:p>
        </w:tc>
      </w:tr>
      <w:tr w14:paraId="5466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11" w:type="dxa"/>
            <w:gridSpan w:val="2"/>
            <w:vMerge w:val="restart"/>
            <w:noWrap w:val="0"/>
            <w:vAlign w:val="center"/>
          </w:tcPr>
          <w:p w14:paraId="0828402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向社会公众提供的公共服务项目方式</w:t>
            </w:r>
          </w:p>
        </w:tc>
        <w:tc>
          <w:tcPr>
            <w:tcW w:w="3803" w:type="dxa"/>
            <w:gridSpan w:val="5"/>
            <w:noWrap w:val="0"/>
            <w:vAlign w:val="center"/>
          </w:tcPr>
          <w:p w14:paraId="54C6F02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c>
          <w:tcPr>
            <w:tcW w:w="1413" w:type="dxa"/>
            <w:vMerge w:val="restart"/>
            <w:noWrap w:val="0"/>
            <w:vAlign w:val="center"/>
          </w:tcPr>
          <w:p w14:paraId="0F66283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采购人、使用人分离项目</w:t>
            </w:r>
          </w:p>
        </w:tc>
        <w:tc>
          <w:tcPr>
            <w:tcW w:w="2527" w:type="dxa"/>
            <w:gridSpan w:val="4"/>
            <w:noWrap w:val="0"/>
            <w:vAlign w:val="center"/>
          </w:tcPr>
          <w:p w14:paraId="5F60184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tc>
      </w:tr>
      <w:tr w14:paraId="0229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11" w:type="dxa"/>
            <w:gridSpan w:val="2"/>
            <w:vMerge w:val="continue"/>
            <w:noWrap w:val="0"/>
            <w:vAlign w:val="center"/>
          </w:tcPr>
          <w:p w14:paraId="6D341F77">
            <w:pPr>
              <w:jc w:val="center"/>
              <w:rPr>
                <w:rFonts w:hint="eastAsia" w:ascii="仿宋" w:hAnsi="仿宋" w:eastAsia="仿宋" w:cs="仿宋"/>
                <w:color w:val="auto"/>
                <w:sz w:val="24"/>
                <w:highlight w:val="none"/>
              </w:rPr>
            </w:pPr>
          </w:p>
        </w:tc>
        <w:tc>
          <w:tcPr>
            <w:tcW w:w="1638" w:type="dxa"/>
            <w:gridSpan w:val="2"/>
            <w:noWrap w:val="0"/>
            <w:vAlign w:val="center"/>
          </w:tcPr>
          <w:p w14:paraId="2595D9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参与验收服务对象</w:t>
            </w:r>
          </w:p>
        </w:tc>
        <w:tc>
          <w:tcPr>
            <w:tcW w:w="2165" w:type="dxa"/>
            <w:gridSpan w:val="3"/>
            <w:noWrap w:val="0"/>
            <w:vAlign w:val="center"/>
          </w:tcPr>
          <w:p w14:paraId="557BE682">
            <w:pPr>
              <w:jc w:val="center"/>
              <w:rPr>
                <w:rFonts w:hint="eastAsia" w:ascii="仿宋" w:hAnsi="仿宋" w:eastAsia="仿宋" w:cs="仿宋"/>
                <w:color w:val="auto"/>
                <w:sz w:val="24"/>
                <w:highlight w:val="none"/>
              </w:rPr>
            </w:pPr>
          </w:p>
        </w:tc>
        <w:tc>
          <w:tcPr>
            <w:tcW w:w="1413" w:type="dxa"/>
            <w:vMerge w:val="continue"/>
            <w:noWrap w:val="0"/>
            <w:vAlign w:val="center"/>
          </w:tcPr>
          <w:p w14:paraId="0D1C04DD">
            <w:pPr>
              <w:jc w:val="center"/>
              <w:rPr>
                <w:rFonts w:hint="eastAsia" w:ascii="仿宋" w:hAnsi="仿宋" w:eastAsia="仿宋" w:cs="仿宋"/>
                <w:color w:val="auto"/>
                <w:sz w:val="24"/>
                <w:highlight w:val="none"/>
              </w:rPr>
            </w:pPr>
          </w:p>
        </w:tc>
        <w:tc>
          <w:tcPr>
            <w:tcW w:w="1415" w:type="dxa"/>
            <w:gridSpan w:val="2"/>
            <w:noWrap w:val="0"/>
            <w:vAlign w:val="center"/>
          </w:tcPr>
          <w:p w14:paraId="3A7EFD4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使用单位名称</w:t>
            </w:r>
          </w:p>
        </w:tc>
        <w:tc>
          <w:tcPr>
            <w:tcW w:w="1112" w:type="dxa"/>
            <w:gridSpan w:val="2"/>
            <w:noWrap w:val="0"/>
            <w:vAlign w:val="center"/>
          </w:tcPr>
          <w:p w14:paraId="15D100C3">
            <w:pPr>
              <w:jc w:val="center"/>
              <w:rPr>
                <w:rFonts w:hint="eastAsia" w:ascii="仿宋" w:hAnsi="仿宋" w:eastAsia="仿宋" w:cs="仿宋"/>
                <w:color w:val="auto"/>
                <w:sz w:val="24"/>
                <w:highlight w:val="none"/>
              </w:rPr>
            </w:pPr>
          </w:p>
        </w:tc>
      </w:tr>
      <w:tr w14:paraId="46FF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7CF550D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（三）验收人员组成</w:t>
            </w:r>
          </w:p>
        </w:tc>
      </w:tr>
      <w:tr w14:paraId="062E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5D45B79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验收小组总人数</w:t>
            </w:r>
          </w:p>
        </w:tc>
        <w:tc>
          <w:tcPr>
            <w:tcW w:w="1399" w:type="dxa"/>
            <w:noWrap w:val="0"/>
            <w:vAlign w:val="center"/>
          </w:tcPr>
          <w:p w14:paraId="497E7076">
            <w:pPr>
              <w:jc w:val="center"/>
              <w:rPr>
                <w:rFonts w:hint="eastAsia" w:ascii="仿宋" w:hAnsi="仿宋" w:eastAsia="仿宋" w:cs="仿宋"/>
                <w:color w:val="auto"/>
                <w:sz w:val="24"/>
                <w:highlight w:val="none"/>
              </w:rPr>
            </w:pPr>
          </w:p>
        </w:tc>
        <w:tc>
          <w:tcPr>
            <w:tcW w:w="1475" w:type="dxa"/>
            <w:gridSpan w:val="2"/>
            <w:noWrap w:val="0"/>
            <w:vAlign w:val="center"/>
          </w:tcPr>
          <w:p w14:paraId="524F1E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专业技术人员人数</w:t>
            </w:r>
          </w:p>
        </w:tc>
        <w:tc>
          <w:tcPr>
            <w:tcW w:w="929" w:type="dxa"/>
            <w:gridSpan w:val="2"/>
            <w:noWrap w:val="0"/>
            <w:vAlign w:val="center"/>
          </w:tcPr>
          <w:p w14:paraId="36B55906">
            <w:pPr>
              <w:jc w:val="center"/>
              <w:rPr>
                <w:rFonts w:hint="eastAsia" w:ascii="仿宋" w:hAnsi="仿宋" w:eastAsia="仿宋" w:cs="仿宋"/>
                <w:color w:val="auto"/>
                <w:sz w:val="24"/>
                <w:highlight w:val="none"/>
              </w:rPr>
            </w:pPr>
          </w:p>
        </w:tc>
        <w:tc>
          <w:tcPr>
            <w:tcW w:w="1413" w:type="dxa"/>
            <w:noWrap w:val="0"/>
            <w:vAlign w:val="center"/>
          </w:tcPr>
          <w:p w14:paraId="58EDD20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实际使用人人数（如有）</w:t>
            </w:r>
          </w:p>
        </w:tc>
        <w:tc>
          <w:tcPr>
            <w:tcW w:w="623" w:type="dxa"/>
            <w:noWrap w:val="0"/>
            <w:vAlign w:val="center"/>
          </w:tcPr>
          <w:p w14:paraId="38CE5001">
            <w:pPr>
              <w:jc w:val="center"/>
              <w:rPr>
                <w:rFonts w:hint="eastAsia" w:ascii="仿宋" w:hAnsi="仿宋" w:eastAsia="仿宋" w:cs="仿宋"/>
                <w:color w:val="auto"/>
                <w:sz w:val="24"/>
                <w:highlight w:val="none"/>
              </w:rPr>
            </w:pPr>
          </w:p>
        </w:tc>
        <w:tc>
          <w:tcPr>
            <w:tcW w:w="1140" w:type="dxa"/>
            <w:gridSpan w:val="2"/>
            <w:noWrap w:val="0"/>
            <w:vAlign w:val="center"/>
          </w:tcPr>
          <w:p w14:paraId="619338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其他验收人员数量</w:t>
            </w:r>
          </w:p>
        </w:tc>
        <w:tc>
          <w:tcPr>
            <w:tcW w:w="764" w:type="dxa"/>
            <w:noWrap w:val="0"/>
            <w:vAlign w:val="center"/>
          </w:tcPr>
          <w:p w14:paraId="50F6ACDC">
            <w:pPr>
              <w:jc w:val="center"/>
              <w:rPr>
                <w:rFonts w:hint="eastAsia" w:ascii="仿宋" w:hAnsi="仿宋" w:eastAsia="仿宋" w:cs="仿宋"/>
                <w:color w:val="auto"/>
                <w:sz w:val="24"/>
                <w:highlight w:val="none"/>
              </w:rPr>
            </w:pPr>
          </w:p>
        </w:tc>
      </w:tr>
      <w:tr w14:paraId="4680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2ABF35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验收人员姓名</w:t>
            </w:r>
          </w:p>
        </w:tc>
        <w:tc>
          <w:tcPr>
            <w:tcW w:w="3803" w:type="dxa"/>
            <w:gridSpan w:val="5"/>
            <w:noWrap w:val="0"/>
            <w:vAlign w:val="center"/>
          </w:tcPr>
          <w:p w14:paraId="01C553D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工作单位</w:t>
            </w:r>
          </w:p>
        </w:tc>
        <w:tc>
          <w:tcPr>
            <w:tcW w:w="1413" w:type="dxa"/>
            <w:noWrap w:val="0"/>
            <w:vAlign w:val="center"/>
          </w:tcPr>
          <w:p w14:paraId="34498E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职称（专业）</w:t>
            </w:r>
          </w:p>
        </w:tc>
        <w:tc>
          <w:tcPr>
            <w:tcW w:w="1415" w:type="dxa"/>
            <w:gridSpan w:val="2"/>
            <w:noWrap w:val="0"/>
            <w:vAlign w:val="center"/>
          </w:tcPr>
          <w:p w14:paraId="7F3A88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112" w:type="dxa"/>
            <w:gridSpan w:val="2"/>
            <w:noWrap w:val="0"/>
            <w:vAlign w:val="center"/>
          </w:tcPr>
          <w:p w14:paraId="7C6AF09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370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27907098">
            <w:pPr>
              <w:jc w:val="center"/>
              <w:rPr>
                <w:rFonts w:hint="eastAsia" w:ascii="仿宋" w:hAnsi="仿宋" w:eastAsia="仿宋" w:cs="仿宋"/>
                <w:color w:val="auto"/>
                <w:sz w:val="24"/>
                <w:highlight w:val="none"/>
              </w:rPr>
            </w:pPr>
          </w:p>
        </w:tc>
        <w:tc>
          <w:tcPr>
            <w:tcW w:w="3803" w:type="dxa"/>
            <w:gridSpan w:val="5"/>
            <w:noWrap w:val="0"/>
            <w:vAlign w:val="center"/>
          </w:tcPr>
          <w:p w14:paraId="77037E93">
            <w:pPr>
              <w:jc w:val="center"/>
              <w:rPr>
                <w:rFonts w:hint="eastAsia" w:ascii="仿宋" w:hAnsi="仿宋" w:eastAsia="仿宋" w:cs="仿宋"/>
                <w:color w:val="auto"/>
                <w:sz w:val="24"/>
                <w:highlight w:val="none"/>
              </w:rPr>
            </w:pPr>
          </w:p>
        </w:tc>
        <w:tc>
          <w:tcPr>
            <w:tcW w:w="1413" w:type="dxa"/>
            <w:noWrap w:val="0"/>
            <w:vAlign w:val="center"/>
          </w:tcPr>
          <w:p w14:paraId="45805C6B">
            <w:pPr>
              <w:jc w:val="center"/>
              <w:rPr>
                <w:rFonts w:hint="eastAsia" w:ascii="仿宋" w:hAnsi="仿宋" w:eastAsia="仿宋" w:cs="仿宋"/>
                <w:color w:val="auto"/>
                <w:sz w:val="24"/>
                <w:highlight w:val="none"/>
              </w:rPr>
            </w:pPr>
          </w:p>
        </w:tc>
        <w:tc>
          <w:tcPr>
            <w:tcW w:w="1415" w:type="dxa"/>
            <w:gridSpan w:val="2"/>
            <w:noWrap w:val="0"/>
            <w:vAlign w:val="center"/>
          </w:tcPr>
          <w:p w14:paraId="58A9B353">
            <w:pPr>
              <w:jc w:val="center"/>
              <w:rPr>
                <w:rFonts w:hint="eastAsia" w:ascii="仿宋" w:hAnsi="仿宋" w:eastAsia="仿宋" w:cs="仿宋"/>
                <w:color w:val="auto"/>
                <w:sz w:val="24"/>
                <w:highlight w:val="none"/>
              </w:rPr>
            </w:pPr>
          </w:p>
        </w:tc>
        <w:tc>
          <w:tcPr>
            <w:tcW w:w="1112" w:type="dxa"/>
            <w:gridSpan w:val="2"/>
            <w:noWrap w:val="0"/>
            <w:vAlign w:val="center"/>
          </w:tcPr>
          <w:p w14:paraId="091F1F61">
            <w:pPr>
              <w:jc w:val="center"/>
              <w:rPr>
                <w:rFonts w:hint="eastAsia" w:ascii="仿宋" w:hAnsi="仿宋" w:eastAsia="仿宋" w:cs="仿宋"/>
                <w:color w:val="auto"/>
                <w:sz w:val="24"/>
                <w:highlight w:val="none"/>
              </w:rPr>
            </w:pPr>
          </w:p>
        </w:tc>
      </w:tr>
      <w:tr w14:paraId="23F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noWrap w:val="0"/>
            <w:vAlign w:val="center"/>
          </w:tcPr>
          <w:p w14:paraId="24922125">
            <w:pPr>
              <w:jc w:val="center"/>
              <w:rPr>
                <w:rFonts w:hint="eastAsia" w:ascii="仿宋" w:hAnsi="仿宋" w:eastAsia="仿宋" w:cs="仿宋"/>
                <w:color w:val="auto"/>
                <w:sz w:val="24"/>
                <w:highlight w:val="none"/>
              </w:rPr>
            </w:pPr>
          </w:p>
        </w:tc>
        <w:tc>
          <w:tcPr>
            <w:tcW w:w="3803" w:type="dxa"/>
            <w:gridSpan w:val="5"/>
            <w:noWrap w:val="0"/>
            <w:vAlign w:val="center"/>
          </w:tcPr>
          <w:p w14:paraId="1246334C">
            <w:pPr>
              <w:jc w:val="center"/>
              <w:rPr>
                <w:rFonts w:hint="eastAsia" w:ascii="仿宋" w:hAnsi="仿宋" w:eastAsia="仿宋" w:cs="仿宋"/>
                <w:color w:val="auto"/>
                <w:sz w:val="24"/>
                <w:highlight w:val="none"/>
              </w:rPr>
            </w:pPr>
          </w:p>
        </w:tc>
        <w:tc>
          <w:tcPr>
            <w:tcW w:w="1413" w:type="dxa"/>
            <w:noWrap w:val="0"/>
            <w:vAlign w:val="center"/>
          </w:tcPr>
          <w:p w14:paraId="016B3791">
            <w:pPr>
              <w:jc w:val="center"/>
              <w:rPr>
                <w:rFonts w:hint="eastAsia" w:ascii="仿宋" w:hAnsi="仿宋" w:eastAsia="仿宋" w:cs="仿宋"/>
                <w:color w:val="auto"/>
                <w:sz w:val="24"/>
                <w:highlight w:val="none"/>
              </w:rPr>
            </w:pPr>
          </w:p>
        </w:tc>
        <w:tc>
          <w:tcPr>
            <w:tcW w:w="1415" w:type="dxa"/>
            <w:gridSpan w:val="2"/>
            <w:noWrap w:val="0"/>
            <w:vAlign w:val="center"/>
          </w:tcPr>
          <w:p w14:paraId="18F26288">
            <w:pPr>
              <w:jc w:val="center"/>
              <w:rPr>
                <w:rFonts w:hint="eastAsia" w:ascii="仿宋" w:hAnsi="仿宋" w:eastAsia="仿宋" w:cs="仿宋"/>
                <w:color w:val="auto"/>
                <w:sz w:val="24"/>
                <w:highlight w:val="none"/>
              </w:rPr>
            </w:pPr>
          </w:p>
        </w:tc>
        <w:tc>
          <w:tcPr>
            <w:tcW w:w="1112" w:type="dxa"/>
            <w:gridSpan w:val="2"/>
            <w:noWrap w:val="0"/>
            <w:vAlign w:val="center"/>
          </w:tcPr>
          <w:p w14:paraId="1CAB52B4">
            <w:pPr>
              <w:jc w:val="center"/>
              <w:rPr>
                <w:rFonts w:hint="eastAsia" w:ascii="仿宋" w:hAnsi="仿宋" w:eastAsia="仿宋" w:cs="仿宋"/>
                <w:color w:val="auto"/>
                <w:sz w:val="24"/>
                <w:highlight w:val="none"/>
              </w:rPr>
            </w:pPr>
          </w:p>
        </w:tc>
      </w:tr>
      <w:tr w14:paraId="5A25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753C79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（四）验收主要指标和标准</w:t>
            </w:r>
          </w:p>
        </w:tc>
      </w:tr>
      <w:tr w14:paraId="7429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noWrap w:val="0"/>
            <w:vAlign w:val="center"/>
          </w:tcPr>
          <w:p w14:paraId="3CF05A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56" w:type="dxa"/>
            <w:noWrap w:val="0"/>
            <w:vAlign w:val="center"/>
          </w:tcPr>
          <w:p w14:paraId="6EA99DA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38" w:type="dxa"/>
            <w:gridSpan w:val="2"/>
            <w:noWrap w:val="0"/>
            <w:vAlign w:val="center"/>
          </w:tcPr>
          <w:p w14:paraId="6939BE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2165" w:type="dxa"/>
            <w:gridSpan w:val="3"/>
            <w:noWrap w:val="0"/>
            <w:vAlign w:val="center"/>
          </w:tcPr>
          <w:p w14:paraId="74E8EB8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货物型号规格、标准及配置等（或服务内容、标准）</w:t>
            </w:r>
          </w:p>
        </w:tc>
        <w:tc>
          <w:tcPr>
            <w:tcW w:w="1413" w:type="dxa"/>
            <w:noWrap w:val="0"/>
            <w:vAlign w:val="center"/>
          </w:tcPr>
          <w:p w14:paraId="2477EA2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415" w:type="dxa"/>
            <w:gridSpan w:val="2"/>
            <w:noWrap w:val="0"/>
            <w:vAlign w:val="center"/>
          </w:tcPr>
          <w:p w14:paraId="7AD1145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112" w:type="dxa"/>
            <w:gridSpan w:val="2"/>
            <w:noWrap w:val="0"/>
            <w:vAlign w:val="center"/>
          </w:tcPr>
          <w:p w14:paraId="13E3124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金额</w:t>
            </w:r>
          </w:p>
        </w:tc>
      </w:tr>
      <w:tr w14:paraId="6C0D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noWrap w:val="0"/>
            <w:vAlign w:val="center"/>
          </w:tcPr>
          <w:p w14:paraId="3571815D">
            <w:pPr>
              <w:jc w:val="center"/>
              <w:rPr>
                <w:rFonts w:hint="eastAsia" w:ascii="仿宋" w:hAnsi="仿宋" w:eastAsia="仿宋" w:cs="仿宋"/>
                <w:color w:val="auto"/>
                <w:sz w:val="24"/>
                <w:highlight w:val="none"/>
              </w:rPr>
            </w:pPr>
          </w:p>
        </w:tc>
        <w:tc>
          <w:tcPr>
            <w:tcW w:w="956" w:type="dxa"/>
            <w:noWrap w:val="0"/>
            <w:vAlign w:val="center"/>
          </w:tcPr>
          <w:p w14:paraId="458F83ED">
            <w:pPr>
              <w:jc w:val="center"/>
              <w:rPr>
                <w:rFonts w:hint="eastAsia" w:ascii="仿宋" w:hAnsi="仿宋" w:eastAsia="仿宋" w:cs="仿宋"/>
                <w:color w:val="auto"/>
                <w:sz w:val="24"/>
                <w:highlight w:val="none"/>
              </w:rPr>
            </w:pPr>
          </w:p>
        </w:tc>
        <w:tc>
          <w:tcPr>
            <w:tcW w:w="1638" w:type="dxa"/>
            <w:gridSpan w:val="2"/>
            <w:noWrap w:val="0"/>
            <w:vAlign w:val="center"/>
          </w:tcPr>
          <w:p w14:paraId="2B4BB076">
            <w:pPr>
              <w:jc w:val="center"/>
              <w:rPr>
                <w:rFonts w:hint="eastAsia" w:ascii="仿宋" w:hAnsi="仿宋" w:eastAsia="仿宋" w:cs="仿宋"/>
                <w:color w:val="auto"/>
                <w:sz w:val="24"/>
                <w:highlight w:val="none"/>
              </w:rPr>
            </w:pPr>
          </w:p>
        </w:tc>
        <w:tc>
          <w:tcPr>
            <w:tcW w:w="2165" w:type="dxa"/>
            <w:gridSpan w:val="3"/>
            <w:noWrap w:val="0"/>
            <w:vAlign w:val="center"/>
          </w:tcPr>
          <w:p w14:paraId="103AD607">
            <w:pPr>
              <w:jc w:val="center"/>
              <w:rPr>
                <w:rFonts w:hint="eastAsia" w:ascii="仿宋" w:hAnsi="仿宋" w:eastAsia="仿宋" w:cs="仿宋"/>
                <w:color w:val="auto"/>
                <w:sz w:val="24"/>
                <w:highlight w:val="none"/>
              </w:rPr>
            </w:pPr>
          </w:p>
        </w:tc>
        <w:tc>
          <w:tcPr>
            <w:tcW w:w="1413" w:type="dxa"/>
            <w:noWrap w:val="0"/>
            <w:vAlign w:val="center"/>
          </w:tcPr>
          <w:p w14:paraId="6E27A14A">
            <w:pPr>
              <w:jc w:val="center"/>
              <w:rPr>
                <w:rFonts w:hint="eastAsia" w:ascii="仿宋" w:hAnsi="仿宋" w:eastAsia="仿宋" w:cs="仿宋"/>
                <w:color w:val="auto"/>
                <w:sz w:val="24"/>
                <w:highlight w:val="none"/>
              </w:rPr>
            </w:pPr>
          </w:p>
        </w:tc>
        <w:tc>
          <w:tcPr>
            <w:tcW w:w="1415" w:type="dxa"/>
            <w:gridSpan w:val="2"/>
            <w:noWrap w:val="0"/>
            <w:vAlign w:val="center"/>
          </w:tcPr>
          <w:p w14:paraId="3E795247">
            <w:pPr>
              <w:jc w:val="center"/>
              <w:rPr>
                <w:rFonts w:hint="eastAsia" w:ascii="仿宋" w:hAnsi="仿宋" w:eastAsia="仿宋" w:cs="仿宋"/>
                <w:color w:val="auto"/>
                <w:sz w:val="24"/>
                <w:highlight w:val="none"/>
              </w:rPr>
            </w:pPr>
          </w:p>
        </w:tc>
        <w:tc>
          <w:tcPr>
            <w:tcW w:w="1112" w:type="dxa"/>
            <w:gridSpan w:val="2"/>
            <w:noWrap w:val="0"/>
            <w:vAlign w:val="center"/>
          </w:tcPr>
          <w:p w14:paraId="6E12B436">
            <w:pPr>
              <w:jc w:val="center"/>
              <w:rPr>
                <w:rFonts w:hint="eastAsia" w:ascii="仿宋" w:hAnsi="仿宋" w:eastAsia="仿宋" w:cs="仿宋"/>
                <w:color w:val="auto"/>
                <w:sz w:val="24"/>
                <w:highlight w:val="none"/>
              </w:rPr>
            </w:pPr>
          </w:p>
        </w:tc>
      </w:tr>
      <w:tr w14:paraId="6D8D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noWrap w:val="0"/>
            <w:vAlign w:val="center"/>
          </w:tcPr>
          <w:p w14:paraId="077F32A0">
            <w:pPr>
              <w:jc w:val="center"/>
              <w:rPr>
                <w:rFonts w:hint="eastAsia" w:ascii="仿宋" w:hAnsi="仿宋" w:eastAsia="仿宋" w:cs="仿宋"/>
                <w:color w:val="auto"/>
                <w:sz w:val="24"/>
                <w:highlight w:val="none"/>
              </w:rPr>
            </w:pPr>
          </w:p>
        </w:tc>
        <w:tc>
          <w:tcPr>
            <w:tcW w:w="956" w:type="dxa"/>
            <w:noWrap w:val="0"/>
            <w:vAlign w:val="center"/>
          </w:tcPr>
          <w:p w14:paraId="34239BC7">
            <w:pPr>
              <w:jc w:val="center"/>
              <w:rPr>
                <w:rFonts w:hint="eastAsia" w:ascii="仿宋" w:hAnsi="仿宋" w:eastAsia="仿宋" w:cs="仿宋"/>
                <w:color w:val="auto"/>
                <w:sz w:val="24"/>
                <w:highlight w:val="none"/>
              </w:rPr>
            </w:pPr>
          </w:p>
        </w:tc>
        <w:tc>
          <w:tcPr>
            <w:tcW w:w="1638" w:type="dxa"/>
            <w:gridSpan w:val="2"/>
            <w:noWrap w:val="0"/>
            <w:vAlign w:val="center"/>
          </w:tcPr>
          <w:p w14:paraId="761E66D8">
            <w:pPr>
              <w:jc w:val="center"/>
              <w:rPr>
                <w:rFonts w:hint="eastAsia" w:ascii="仿宋" w:hAnsi="仿宋" w:eastAsia="仿宋" w:cs="仿宋"/>
                <w:color w:val="auto"/>
                <w:sz w:val="24"/>
                <w:highlight w:val="none"/>
              </w:rPr>
            </w:pPr>
          </w:p>
        </w:tc>
        <w:tc>
          <w:tcPr>
            <w:tcW w:w="2165" w:type="dxa"/>
            <w:gridSpan w:val="3"/>
            <w:noWrap w:val="0"/>
            <w:vAlign w:val="center"/>
          </w:tcPr>
          <w:p w14:paraId="3AFF9620">
            <w:pPr>
              <w:jc w:val="center"/>
              <w:rPr>
                <w:rFonts w:hint="eastAsia" w:ascii="仿宋" w:hAnsi="仿宋" w:eastAsia="仿宋" w:cs="仿宋"/>
                <w:color w:val="auto"/>
                <w:sz w:val="24"/>
                <w:highlight w:val="none"/>
              </w:rPr>
            </w:pPr>
          </w:p>
        </w:tc>
        <w:tc>
          <w:tcPr>
            <w:tcW w:w="1413" w:type="dxa"/>
            <w:noWrap w:val="0"/>
            <w:vAlign w:val="center"/>
          </w:tcPr>
          <w:p w14:paraId="53A9012A">
            <w:pPr>
              <w:jc w:val="center"/>
              <w:rPr>
                <w:rFonts w:hint="eastAsia" w:ascii="仿宋" w:hAnsi="仿宋" w:eastAsia="仿宋" w:cs="仿宋"/>
                <w:color w:val="auto"/>
                <w:sz w:val="24"/>
                <w:highlight w:val="none"/>
              </w:rPr>
            </w:pPr>
          </w:p>
        </w:tc>
        <w:tc>
          <w:tcPr>
            <w:tcW w:w="1415" w:type="dxa"/>
            <w:gridSpan w:val="2"/>
            <w:noWrap w:val="0"/>
            <w:vAlign w:val="center"/>
          </w:tcPr>
          <w:p w14:paraId="11FF11D5">
            <w:pPr>
              <w:jc w:val="center"/>
              <w:rPr>
                <w:rFonts w:hint="eastAsia" w:ascii="仿宋" w:hAnsi="仿宋" w:eastAsia="仿宋" w:cs="仿宋"/>
                <w:color w:val="auto"/>
                <w:sz w:val="24"/>
                <w:highlight w:val="none"/>
              </w:rPr>
            </w:pPr>
          </w:p>
        </w:tc>
        <w:tc>
          <w:tcPr>
            <w:tcW w:w="1112" w:type="dxa"/>
            <w:gridSpan w:val="2"/>
            <w:noWrap w:val="0"/>
            <w:vAlign w:val="center"/>
          </w:tcPr>
          <w:p w14:paraId="62147490">
            <w:pPr>
              <w:jc w:val="center"/>
              <w:rPr>
                <w:rFonts w:hint="eastAsia" w:ascii="仿宋" w:hAnsi="仿宋" w:eastAsia="仿宋" w:cs="仿宋"/>
                <w:color w:val="auto"/>
                <w:sz w:val="24"/>
                <w:highlight w:val="none"/>
              </w:rPr>
            </w:pPr>
          </w:p>
        </w:tc>
      </w:tr>
      <w:tr w14:paraId="1FD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dxa"/>
            <w:noWrap w:val="0"/>
            <w:vAlign w:val="center"/>
          </w:tcPr>
          <w:p w14:paraId="2800877E">
            <w:pPr>
              <w:jc w:val="center"/>
              <w:rPr>
                <w:rFonts w:hint="eastAsia" w:ascii="仿宋" w:hAnsi="仿宋" w:eastAsia="仿宋" w:cs="仿宋"/>
                <w:color w:val="auto"/>
                <w:sz w:val="24"/>
                <w:highlight w:val="none"/>
              </w:rPr>
            </w:pPr>
          </w:p>
        </w:tc>
        <w:tc>
          <w:tcPr>
            <w:tcW w:w="956" w:type="dxa"/>
            <w:noWrap w:val="0"/>
            <w:vAlign w:val="center"/>
          </w:tcPr>
          <w:p w14:paraId="60BF0BD8">
            <w:pPr>
              <w:jc w:val="center"/>
              <w:rPr>
                <w:rFonts w:hint="eastAsia" w:ascii="仿宋" w:hAnsi="仿宋" w:eastAsia="仿宋" w:cs="仿宋"/>
                <w:color w:val="auto"/>
                <w:sz w:val="24"/>
                <w:highlight w:val="none"/>
              </w:rPr>
            </w:pPr>
          </w:p>
        </w:tc>
        <w:tc>
          <w:tcPr>
            <w:tcW w:w="1638" w:type="dxa"/>
            <w:gridSpan w:val="2"/>
            <w:noWrap w:val="0"/>
            <w:vAlign w:val="center"/>
          </w:tcPr>
          <w:p w14:paraId="257005F7">
            <w:pPr>
              <w:jc w:val="center"/>
              <w:rPr>
                <w:rFonts w:hint="eastAsia" w:ascii="仿宋" w:hAnsi="仿宋" w:eastAsia="仿宋" w:cs="仿宋"/>
                <w:color w:val="auto"/>
                <w:sz w:val="24"/>
                <w:highlight w:val="none"/>
              </w:rPr>
            </w:pPr>
          </w:p>
        </w:tc>
        <w:tc>
          <w:tcPr>
            <w:tcW w:w="2165" w:type="dxa"/>
            <w:gridSpan w:val="3"/>
            <w:noWrap w:val="0"/>
            <w:vAlign w:val="center"/>
          </w:tcPr>
          <w:p w14:paraId="25B6F845">
            <w:pPr>
              <w:jc w:val="center"/>
              <w:rPr>
                <w:rFonts w:hint="eastAsia" w:ascii="仿宋" w:hAnsi="仿宋" w:eastAsia="仿宋" w:cs="仿宋"/>
                <w:color w:val="auto"/>
                <w:sz w:val="24"/>
                <w:highlight w:val="none"/>
              </w:rPr>
            </w:pPr>
          </w:p>
        </w:tc>
        <w:tc>
          <w:tcPr>
            <w:tcW w:w="1413" w:type="dxa"/>
            <w:noWrap w:val="0"/>
            <w:vAlign w:val="center"/>
          </w:tcPr>
          <w:p w14:paraId="7462D1EF">
            <w:pPr>
              <w:jc w:val="center"/>
              <w:rPr>
                <w:rFonts w:hint="eastAsia" w:ascii="仿宋" w:hAnsi="仿宋" w:eastAsia="仿宋" w:cs="仿宋"/>
                <w:color w:val="auto"/>
                <w:sz w:val="24"/>
                <w:highlight w:val="none"/>
              </w:rPr>
            </w:pPr>
          </w:p>
        </w:tc>
        <w:tc>
          <w:tcPr>
            <w:tcW w:w="1415" w:type="dxa"/>
            <w:gridSpan w:val="2"/>
            <w:noWrap w:val="0"/>
            <w:vAlign w:val="center"/>
          </w:tcPr>
          <w:p w14:paraId="4E3C5223">
            <w:pPr>
              <w:jc w:val="center"/>
              <w:rPr>
                <w:rFonts w:hint="eastAsia" w:ascii="仿宋" w:hAnsi="仿宋" w:eastAsia="仿宋" w:cs="仿宋"/>
                <w:color w:val="auto"/>
                <w:sz w:val="24"/>
                <w:highlight w:val="none"/>
              </w:rPr>
            </w:pPr>
          </w:p>
        </w:tc>
        <w:tc>
          <w:tcPr>
            <w:tcW w:w="1112" w:type="dxa"/>
            <w:gridSpan w:val="2"/>
            <w:noWrap w:val="0"/>
            <w:vAlign w:val="center"/>
          </w:tcPr>
          <w:p w14:paraId="70D3CBCB">
            <w:pPr>
              <w:jc w:val="center"/>
              <w:rPr>
                <w:rFonts w:hint="eastAsia" w:ascii="仿宋" w:hAnsi="仿宋" w:eastAsia="仿宋" w:cs="仿宋"/>
                <w:color w:val="auto"/>
                <w:sz w:val="24"/>
                <w:highlight w:val="none"/>
              </w:rPr>
            </w:pPr>
          </w:p>
        </w:tc>
      </w:tr>
      <w:tr w14:paraId="287D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169274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二、验收情况</w:t>
            </w:r>
          </w:p>
        </w:tc>
      </w:tr>
      <w:tr w14:paraId="1BBD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11" w:type="dxa"/>
            <w:gridSpan w:val="2"/>
            <w:noWrap w:val="0"/>
            <w:vAlign w:val="center"/>
          </w:tcPr>
          <w:p w14:paraId="14E0ED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分期情况</w:t>
            </w:r>
          </w:p>
        </w:tc>
        <w:tc>
          <w:tcPr>
            <w:tcW w:w="3803" w:type="dxa"/>
            <w:gridSpan w:val="5"/>
            <w:noWrap w:val="0"/>
            <w:vAlign w:val="center"/>
          </w:tcPr>
          <w:p w14:paraId="38E4E51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共分 期，此为第  期验收</w:t>
            </w:r>
          </w:p>
        </w:tc>
        <w:tc>
          <w:tcPr>
            <w:tcW w:w="1413" w:type="dxa"/>
            <w:noWrap w:val="0"/>
            <w:vAlign w:val="center"/>
          </w:tcPr>
          <w:p w14:paraId="44CF573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分段情况     </w:t>
            </w:r>
          </w:p>
        </w:tc>
        <w:tc>
          <w:tcPr>
            <w:tcW w:w="2527" w:type="dxa"/>
            <w:gridSpan w:val="4"/>
            <w:noWrap w:val="0"/>
            <w:vAlign w:val="center"/>
          </w:tcPr>
          <w:p w14:paraId="264E4E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共分  段，此为   阶段</w:t>
            </w:r>
          </w:p>
        </w:tc>
      </w:tr>
      <w:tr w14:paraId="02FB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restart"/>
            <w:noWrap w:val="0"/>
            <w:vAlign w:val="center"/>
          </w:tcPr>
          <w:p w14:paraId="489ED7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第三方参考情况说明</w:t>
            </w:r>
          </w:p>
        </w:tc>
        <w:tc>
          <w:tcPr>
            <w:tcW w:w="1638" w:type="dxa"/>
            <w:gridSpan w:val="2"/>
            <w:noWrap w:val="0"/>
            <w:vAlign w:val="center"/>
          </w:tcPr>
          <w:p w14:paraId="3DE6FD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评价对象</w:t>
            </w:r>
          </w:p>
        </w:tc>
        <w:tc>
          <w:tcPr>
            <w:tcW w:w="2165" w:type="dxa"/>
            <w:gridSpan w:val="3"/>
            <w:noWrap w:val="0"/>
            <w:vAlign w:val="center"/>
          </w:tcPr>
          <w:p w14:paraId="54C0112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评价结果</w:t>
            </w:r>
          </w:p>
        </w:tc>
        <w:tc>
          <w:tcPr>
            <w:tcW w:w="2828" w:type="dxa"/>
            <w:gridSpan w:val="3"/>
            <w:noWrap w:val="0"/>
            <w:vAlign w:val="center"/>
          </w:tcPr>
          <w:p w14:paraId="178A9E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112" w:type="dxa"/>
            <w:gridSpan w:val="2"/>
            <w:noWrap w:val="0"/>
            <w:vAlign w:val="center"/>
          </w:tcPr>
          <w:p w14:paraId="0CC8A08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w:t>
            </w:r>
          </w:p>
        </w:tc>
      </w:tr>
      <w:tr w14:paraId="2C3A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continue"/>
            <w:noWrap w:val="0"/>
            <w:vAlign w:val="center"/>
          </w:tcPr>
          <w:p w14:paraId="1A2E2081">
            <w:pPr>
              <w:jc w:val="center"/>
              <w:rPr>
                <w:rFonts w:hint="eastAsia" w:ascii="仿宋" w:hAnsi="仿宋" w:eastAsia="仿宋" w:cs="仿宋"/>
                <w:color w:val="auto"/>
                <w:sz w:val="24"/>
                <w:highlight w:val="none"/>
              </w:rPr>
            </w:pPr>
          </w:p>
        </w:tc>
        <w:tc>
          <w:tcPr>
            <w:tcW w:w="1638" w:type="dxa"/>
            <w:gridSpan w:val="2"/>
            <w:noWrap w:val="0"/>
            <w:vAlign w:val="center"/>
          </w:tcPr>
          <w:p w14:paraId="5F4E3CE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检测机构</w:t>
            </w:r>
          </w:p>
        </w:tc>
        <w:tc>
          <w:tcPr>
            <w:tcW w:w="2165" w:type="dxa"/>
            <w:gridSpan w:val="3"/>
            <w:noWrap w:val="0"/>
            <w:vAlign w:val="center"/>
          </w:tcPr>
          <w:p w14:paraId="084687D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28" w:type="dxa"/>
            <w:gridSpan w:val="3"/>
            <w:noWrap w:val="0"/>
            <w:vAlign w:val="center"/>
          </w:tcPr>
          <w:p w14:paraId="22CC2EFE">
            <w:pPr>
              <w:jc w:val="center"/>
              <w:rPr>
                <w:rFonts w:hint="eastAsia" w:ascii="仿宋" w:hAnsi="仿宋" w:eastAsia="仿宋" w:cs="仿宋"/>
                <w:color w:val="auto"/>
                <w:sz w:val="24"/>
                <w:highlight w:val="none"/>
              </w:rPr>
            </w:pPr>
          </w:p>
        </w:tc>
        <w:tc>
          <w:tcPr>
            <w:tcW w:w="1112" w:type="dxa"/>
            <w:gridSpan w:val="2"/>
            <w:noWrap w:val="0"/>
            <w:vAlign w:val="center"/>
          </w:tcPr>
          <w:p w14:paraId="0F49D46E">
            <w:pPr>
              <w:jc w:val="center"/>
              <w:rPr>
                <w:rFonts w:hint="eastAsia" w:ascii="仿宋" w:hAnsi="仿宋" w:eastAsia="仿宋" w:cs="仿宋"/>
                <w:color w:val="auto"/>
                <w:sz w:val="24"/>
                <w:highlight w:val="none"/>
              </w:rPr>
            </w:pPr>
          </w:p>
        </w:tc>
      </w:tr>
      <w:tr w14:paraId="2252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continue"/>
            <w:noWrap w:val="0"/>
            <w:vAlign w:val="center"/>
          </w:tcPr>
          <w:p w14:paraId="25E6FCCC">
            <w:pPr>
              <w:jc w:val="center"/>
              <w:rPr>
                <w:rFonts w:hint="eastAsia" w:ascii="仿宋" w:hAnsi="仿宋" w:eastAsia="仿宋" w:cs="仿宋"/>
                <w:color w:val="auto"/>
                <w:sz w:val="24"/>
                <w:highlight w:val="none"/>
              </w:rPr>
            </w:pPr>
          </w:p>
        </w:tc>
        <w:tc>
          <w:tcPr>
            <w:tcW w:w="1638" w:type="dxa"/>
            <w:gridSpan w:val="2"/>
            <w:noWrap w:val="0"/>
            <w:vAlign w:val="center"/>
          </w:tcPr>
          <w:p w14:paraId="41D4480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其他供应商</w:t>
            </w:r>
          </w:p>
        </w:tc>
        <w:tc>
          <w:tcPr>
            <w:tcW w:w="2165" w:type="dxa"/>
            <w:gridSpan w:val="3"/>
            <w:noWrap w:val="0"/>
            <w:vAlign w:val="center"/>
          </w:tcPr>
          <w:p w14:paraId="526BEC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28" w:type="dxa"/>
            <w:gridSpan w:val="3"/>
            <w:noWrap w:val="0"/>
            <w:vAlign w:val="center"/>
          </w:tcPr>
          <w:p w14:paraId="60AB3521">
            <w:pPr>
              <w:jc w:val="center"/>
              <w:rPr>
                <w:rFonts w:hint="eastAsia" w:ascii="仿宋" w:hAnsi="仿宋" w:eastAsia="仿宋" w:cs="仿宋"/>
                <w:color w:val="auto"/>
                <w:sz w:val="24"/>
                <w:highlight w:val="none"/>
              </w:rPr>
            </w:pPr>
          </w:p>
        </w:tc>
        <w:tc>
          <w:tcPr>
            <w:tcW w:w="1112" w:type="dxa"/>
            <w:gridSpan w:val="2"/>
            <w:noWrap w:val="0"/>
            <w:vAlign w:val="center"/>
          </w:tcPr>
          <w:p w14:paraId="2D741893">
            <w:pPr>
              <w:jc w:val="center"/>
              <w:rPr>
                <w:rFonts w:hint="eastAsia" w:ascii="仿宋" w:hAnsi="仿宋" w:eastAsia="仿宋" w:cs="仿宋"/>
                <w:color w:val="auto"/>
                <w:sz w:val="24"/>
                <w:highlight w:val="none"/>
              </w:rPr>
            </w:pPr>
          </w:p>
        </w:tc>
      </w:tr>
      <w:tr w14:paraId="1D5B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continue"/>
            <w:noWrap w:val="0"/>
            <w:vAlign w:val="center"/>
          </w:tcPr>
          <w:p w14:paraId="13D60279">
            <w:pPr>
              <w:jc w:val="center"/>
              <w:rPr>
                <w:rFonts w:hint="eastAsia" w:ascii="仿宋" w:hAnsi="仿宋" w:eastAsia="仿宋" w:cs="仿宋"/>
                <w:color w:val="auto"/>
                <w:sz w:val="24"/>
                <w:highlight w:val="none"/>
              </w:rPr>
            </w:pPr>
          </w:p>
        </w:tc>
        <w:tc>
          <w:tcPr>
            <w:tcW w:w="1638" w:type="dxa"/>
            <w:gridSpan w:val="2"/>
            <w:noWrap w:val="0"/>
            <w:vAlign w:val="center"/>
          </w:tcPr>
          <w:p w14:paraId="29171A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服务对象</w:t>
            </w:r>
          </w:p>
        </w:tc>
        <w:tc>
          <w:tcPr>
            <w:tcW w:w="2165" w:type="dxa"/>
            <w:gridSpan w:val="3"/>
            <w:noWrap w:val="0"/>
            <w:vAlign w:val="center"/>
          </w:tcPr>
          <w:p w14:paraId="1212B83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合格/</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2828" w:type="dxa"/>
            <w:gridSpan w:val="3"/>
            <w:noWrap w:val="0"/>
            <w:vAlign w:val="center"/>
          </w:tcPr>
          <w:p w14:paraId="0373C95E">
            <w:pPr>
              <w:jc w:val="center"/>
              <w:rPr>
                <w:rFonts w:hint="eastAsia" w:ascii="仿宋" w:hAnsi="仿宋" w:eastAsia="仿宋" w:cs="仿宋"/>
                <w:color w:val="auto"/>
                <w:sz w:val="24"/>
                <w:highlight w:val="none"/>
              </w:rPr>
            </w:pPr>
          </w:p>
        </w:tc>
        <w:tc>
          <w:tcPr>
            <w:tcW w:w="1112" w:type="dxa"/>
            <w:gridSpan w:val="2"/>
            <w:noWrap w:val="0"/>
            <w:vAlign w:val="center"/>
          </w:tcPr>
          <w:p w14:paraId="1C92A4D8">
            <w:pPr>
              <w:jc w:val="center"/>
              <w:rPr>
                <w:rFonts w:hint="eastAsia" w:ascii="仿宋" w:hAnsi="仿宋" w:eastAsia="仿宋" w:cs="仿宋"/>
                <w:color w:val="auto"/>
                <w:sz w:val="24"/>
                <w:highlight w:val="none"/>
              </w:rPr>
            </w:pPr>
          </w:p>
        </w:tc>
      </w:tr>
      <w:tr w14:paraId="7594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restart"/>
            <w:noWrap w:val="0"/>
            <w:vAlign w:val="center"/>
          </w:tcPr>
          <w:p w14:paraId="52913B3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货物类验收内容及验收情况</w:t>
            </w:r>
          </w:p>
        </w:tc>
        <w:tc>
          <w:tcPr>
            <w:tcW w:w="1638" w:type="dxa"/>
            <w:gridSpan w:val="2"/>
            <w:noWrap w:val="0"/>
            <w:vAlign w:val="center"/>
          </w:tcPr>
          <w:p w14:paraId="2341F19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36" w:type="dxa"/>
            <w:noWrap w:val="0"/>
            <w:vAlign w:val="center"/>
          </w:tcPr>
          <w:p w14:paraId="1BFE63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29" w:type="dxa"/>
            <w:gridSpan w:val="2"/>
            <w:noWrap w:val="0"/>
            <w:vAlign w:val="center"/>
          </w:tcPr>
          <w:p w14:paraId="7F1690B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413" w:type="dxa"/>
            <w:noWrap w:val="0"/>
            <w:vAlign w:val="center"/>
          </w:tcPr>
          <w:p w14:paraId="7260FD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415" w:type="dxa"/>
            <w:gridSpan w:val="2"/>
            <w:noWrap w:val="0"/>
            <w:vAlign w:val="center"/>
          </w:tcPr>
          <w:p w14:paraId="14A7C8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112" w:type="dxa"/>
            <w:gridSpan w:val="2"/>
            <w:noWrap w:val="0"/>
            <w:vAlign w:val="center"/>
          </w:tcPr>
          <w:p w14:paraId="5C7EF1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r>
      <w:tr w14:paraId="2415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111" w:type="dxa"/>
            <w:gridSpan w:val="2"/>
            <w:vMerge w:val="continue"/>
            <w:noWrap w:val="0"/>
            <w:vAlign w:val="center"/>
          </w:tcPr>
          <w:p w14:paraId="3D585DA1">
            <w:pPr>
              <w:jc w:val="center"/>
              <w:rPr>
                <w:rFonts w:hint="eastAsia" w:ascii="仿宋" w:hAnsi="仿宋" w:eastAsia="仿宋" w:cs="仿宋"/>
                <w:color w:val="auto"/>
                <w:sz w:val="24"/>
                <w:highlight w:val="none"/>
              </w:rPr>
            </w:pPr>
          </w:p>
        </w:tc>
        <w:tc>
          <w:tcPr>
            <w:tcW w:w="1638" w:type="dxa"/>
            <w:gridSpan w:val="2"/>
            <w:noWrap w:val="0"/>
            <w:vAlign w:val="center"/>
          </w:tcPr>
          <w:p w14:paraId="724A3D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货物清单</w:t>
            </w:r>
          </w:p>
        </w:tc>
        <w:tc>
          <w:tcPr>
            <w:tcW w:w="1236" w:type="dxa"/>
            <w:noWrap w:val="0"/>
            <w:vAlign w:val="center"/>
          </w:tcPr>
          <w:p w14:paraId="4FF2847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5F77236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53EFC889">
            <w:pPr>
              <w:jc w:val="center"/>
              <w:rPr>
                <w:rFonts w:hint="eastAsia" w:ascii="仿宋" w:hAnsi="仿宋" w:eastAsia="仿宋" w:cs="仿宋"/>
                <w:color w:val="auto"/>
                <w:sz w:val="24"/>
                <w:highlight w:val="none"/>
              </w:rPr>
            </w:pPr>
          </w:p>
        </w:tc>
        <w:tc>
          <w:tcPr>
            <w:tcW w:w="1413" w:type="dxa"/>
            <w:noWrap w:val="0"/>
            <w:vAlign w:val="center"/>
          </w:tcPr>
          <w:p w14:paraId="61925AE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品牌、型号、规格、数量、及外观数量</w:t>
            </w:r>
          </w:p>
        </w:tc>
        <w:tc>
          <w:tcPr>
            <w:tcW w:w="1415" w:type="dxa"/>
            <w:gridSpan w:val="2"/>
            <w:noWrap w:val="0"/>
            <w:vAlign w:val="center"/>
          </w:tcPr>
          <w:p w14:paraId="75A758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3A7F81A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516E978D">
            <w:pPr>
              <w:jc w:val="center"/>
              <w:rPr>
                <w:rFonts w:hint="eastAsia" w:ascii="仿宋" w:hAnsi="仿宋" w:eastAsia="仿宋" w:cs="仿宋"/>
                <w:color w:val="auto"/>
                <w:sz w:val="24"/>
                <w:highlight w:val="none"/>
              </w:rPr>
            </w:pPr>
          </w:p>
        </w:tc>
      </w:tr>
      <w:tr w14:paraId="1E24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11" w:type="dxa"/>
            <w:gridSpan w:val="2"/>
            <w:vMerge w:val="continue"/>
            <w:noWrap w:val="0"/>
            <w:vAlign w:val="center"/>
          </w:tcPr>
          <w:p w14:paraId="77FD295F">
            <w:pPr>
              <w:jc w:val="center"/>
              <w:rPr>
                <w:rFonts w:hint="eastAsia" w:ascii="仿宋" w:hAnsi="仿宋" w:eastAsia="仿宋" w:cs="仿宋"/>
                <w:color w:val="auto"/>
                <w:sz w:val="24"/>
                <w:highlight w:val="none"/>
              </w:rPr>
            </w:pPr>
          </w:p>
        </w:tc>
        <w:tc>
          <w:tcPr>
            <w:tcW w:w="1638" w:type="dxa"/>
            <w:gridSpan w:val="2"/>
            <w:noWrap w:val="0"/>
            <w:vAlign w:val="center"/>
          </w:tcPr>
          <w:p w14:paraId="1C7FDE2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技术、性能指标</w:t>
            </w:r>
          </w:p>
        </w:tc>
        <w:tc>
          <w:tcPr>
            <w:tcW w:w="1236" w:type="dxa"/>
            <w:noWrap w:val="0"/>
            <w:vAlign w:val="center"/>
          </w:tcPr>
          <w:p w14:paraId="1EADA30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7DF5629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2F9E7F09">
            <w:pPr>
              <w:jc w:val="center"/>
              <w:rPr>
                <w:rFonts w:hint="eastAsia" w:ascii="仿宋" w:hAnsi="仿宋" w:eastAsia="仿宋" w:cs="仿宋"/>
                <w:color w:val="auto"/>
                <w:sz w:val="24"/>
                <w:highlight w:val="none"/>
              </w:rPr>
            </w:pPr>
          </w:p>
        </w:tc>
        <w:tc>
          <w:tcPr>
            <w:tcW w:w="1413" w:type="dxa"/>
            <w:noWrap w:val="0"/>
            <w:vAlign w:val="center"/>
          </w:tcPr>
          <w:p w14:paraId="71FA1E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运行状况及安装调试</w:t>
            </w:r>
          </w:p>
        </w:tc>
        <w:tc>
          <w:tcPr>
            <w:tcW w:w="1415" w:type="dxa"/>
            <w:gridSpan w:val="2"/>
            <w:noWrap w:val="0"/>
            <w:vAlign w:val="center"/>
          </w:tcPr>
          <w:p w14:paraId="4DC0DF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74AABB4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21013771">
            <w:pPr>
              <w:jc w:val="center"/>
              <w:rPr>
                <w:rFonts w:hint="eastAsia" w:ascii="仿宋" w:hAnsi="仿宋" w:eastAsia="仿宋" w:cs="仿宋"/>
                <w:color w:val="auto"/>
                <w:sz w:val="24"/>
                <w:highlight w:val="none"/>
              </w:rPr>
            </w:pPr>
          </w:p>
        </w:tc>
      </w:tr>
      <w:tr w14:paraId="1ED0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11" w:type="dxa"/>
            <w:gridSpan w:val="2"/>
            <w:vMerge w:val="continue"/>
            <w:noWrap w:val="0"/>
            <w:vAlign w:val="center"/>
          </w:tcPr>
          <w:p w14:paraId="6D6BBBD2">
            <w:pPr>
              <w:jc w:val="center"/>
              <w:rPr>
                <w:rFonts w:hint="eastAsia" w:ascii="仿宋" w:hAnsi="仿宋" w:eastAsia="仿宋" w:cs="仿宋"/>
                <w:color w:val="auto"/>
                <w:sz w:val="24"/>
                <w:highlight w:val="none"/>
              </w:rPr>
            </w:pPr>
          </w:p>
        </w:tc>
        <w:tc>
          <w:tcPr>
            <w:tcW w:w="1638" w:type="dxa"/>
            <w:gridSpan w:val="2"/>
            <w:noWrap w:val="0"/>
            <w:vAlign w:val="center"/>
          </w:tcPr>
          <w:p w14:paraId="01BC78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质量证明文件</w:t>
            </w:r>
          </w:p>
        </w:tc>
        <w:tc>
          <w:tcPr>
            <w:tcW w:w="1236" w:type="dxa"/>
            <w:noWrap w:val="0"/>
            <w:vAlign w:val="center"/>
          </w:tcPr>
          <w:p w14:paraId="36DACE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25CDD0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6D7AE296">
            <w:pPr>
              <w:jc w:val="center"/>
              <w:rPr>
                <w:rFonts w:hint="eastAsia" w:ascii="仿宋" w:hAnsi="仿宋" w:eastAsia="仿宋" w:cs="仿宋"/>
                <w:color w:val="auto"/>
                <w:sz w:val="24"/>
                <w:highlight w:val="none"/>
              </w:rPr>
            </w:pPr>
          </w:p>
        </w:tc>
        <w:tc>
          <w:tcPr>
            <w:tcW w:w="1413" w:type="dxa"/>
            <w:noWrap w:val="0"/>
            <w:vAlign w:val="center"/>
          </w:tcPr>
          <w:p w14:paraId="751FC1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售后服务承诺</w:t>
            </w:r>
          </w:p>
        </w:tc>
        <w:tc>
          <w:tcPr>
            <w:tcW w:w="1415" w:type="dxa"/>
            <w:gridSpan w:val="2"/>
            <w:noWrap w:val="0"/>
            <w:vAlign w:val="center"/>
          </w:tcPr>
          <w:p w14:paraId="4177CCD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26BAFC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5F3471FF">
            <w:pPr>
              <w:jc w:val="center"/>
              <w:rPr>
                <w:rFonts w:hint="eastAsia" w:ascii="仿宋" w:hAnsi="仿宋" w:eastAsia="仿宋" w:cs="仿宋"/>
                <w:color w:val="auto"/>
                <w:sz w:val="24"/>
                <w:highlight w:val="none"/>
              </w:rPr>
            </w:pPr>
          </w:p>
        </w:tc>
      </w:tr>
      <w:tr w14:paraId="41D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continue"/>
            <w:noWrap w:val="0"/>
            <w:vAlign w:val="center"/>
          </w:tcPr>
          <w:p w14:paraId="04ACC182">
            <w:pPr>
              <w:jc w:val="center"/>
              <w:rPr>
                <w:rFonts w:hint="eastAsia" w:ascii="仿宋" w:hAnsi="仿宋" w:eastAsia="仿宋" w:cs="仿宋"/>
                <w:color w:val="auto"/>
                <w:sz w:val="24"/>
                <w:highlight w:val="none"/>
              </w:rPr>
            </w:pPr>
          </w:p>
        </w:tc>
        <w:tc>
          <w:tcPr>
            <w:tcW w:w="1638" w:type="dxa"/>
            <w:gridSpan w:val="2"/>
            <w:noWrap w:val="0"/>
            <w:vAlign w:val="center"/>
          </w:tcPr>
          <w:p w14:paraId="7D7279F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236" w:type="dxa"/>
            <w:noWrap w:val="0"/>
            <w:vAlign w:val="center"/>
          </w:tcPr>
          <w:p w14:paraId="3C1C41A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3D845D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330CA507">
            <w:pPr>
              <w:jc w:val="center"/>
              <w:rPr>
                <w:rFonts w:hint="eastAsia" w:ascii="仿宋" w:hAnsi="仿宋" w:eastAsia="仿宋" w:cs="仿宋"/>
                <w:color w:val="auto"/>
                <w:sz w:val="24"/>
                <w:highlight w:val="none"/>
              </w:rPr>
            </w:pPr>
          </w:p>
        </w:tc>
        <w:tc>
          <w:tcPr>
            <w:tcW w:w="1413" w:type="dxa"/>
            <w:noWrap w:val="0"/>
            <w:vAlign w:val="center"/>
          </w:tcPr>
          <w:p w14:paraId="2B29EF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415" w:type="dxa"/>
            <w:gridSpan w:val="2"/>
            <w:noWrap w:val="0"/>
            <w:vAlign w:val="center"/>
          </w:tcPr>
          <w:p w14:paraId="189142C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15C877B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4EF1F66C">
            <w:pPr>
              <w:jc w:val="center"/>
              <w:rPr>
                <w:rFonts w:hint="eastAsia" w:ascii="仿宋" w:hAnsi="仿宋" w:eastAsia="仿宋" w:cs="仿宋"/>
                <w:color w:val="auto"/>
                <w:sz w:val="24"/>
                <w:highlight w:val="none"/>
              </w:rPr>
            </w:pPr>
          </w:p>
        </w:tc>
      </w:tr>
      <w:tr w14:paraId="12A6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restart"/>
            <w:noWrap w:val="0"/>
            <w:vAlign w:val="center"/>
          </w:tcPr>
          <w:p w14:paraId="632B064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服务类验收内容及结果</w:t>
            </w:r>
          </w:p>
        </w:tc>
        <w:tc>
          <w:tcPr>
            <w:tcW w:w="1638" w:type="dxa"/>
            <w:gridSpan w:val="2"/>
            <w:noWrap w:val="0"/>
            <w:vAlign w:val="center"/>
          </w:tcPr>
          <w:p w14:paraId="4103E2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236" w:type="dxa"/>
            <w:noWrap w:val="0"/>
            <w:vAlign w:val="center"/>
          </w:tcPr>
          <w:p w14:paraId="62A7AD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929" w:type="dxa"/>
            <w:gridSpan w:val="2"/>
            <w:noWrap w:val="0"/>
            <w:vAlign w:val="center"/>
          </w:tcPr>
          <w:p w14:paraId="714CE2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c>
          <w:tcPr>
            <w:tcW w:w="1413" w:type="dxa"/>
            <w:noWrap w:val="0"/>
            <w:vAlign w:val="center"/>
          </w:tcPr>
          <w:p w14:paraId="51E7C1C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评价内容</w:t>
            </w:r>
          </w:p>
        </w:tc>
        <w:tc>
          <w:tcPr>
            <w:tcW w:w="1415" w:type="dxa"/>
            <w:gridSpan w:val="2"/>
            <w:noWrap w:val="0"/>
            <w:vAlign w:val="center"/>
          </w:tcPr>
          <w:p w14:paraId="5253AE5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评价情况</w:t>
            </w:r>
          </w:p>
        </w:tc>
        <w:tc>
          <w:tcPr>
            <w:tcW w:w="1112" w:type="dxa"/>
            <w:gridSpan w:val="2"/>
            <w:noWrap w:val="0"/>
            <w:vAlign w:val="center"/>
          </w:tcPr>
          <w:p w14:paraId="78BDE21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理由</w:t>
            </w:r>
          </w:p>
        </w:tc>
      </w:tr>
      <w:tr w14:paraId="36E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111" w:type="dxa"/>
            <w:gridSpan w:val="2"/>
            <w:vMerge w:val="continue"/>
            <w:noWrap w:val="0"/>
            <w:vAlign w:val="center"/>
          </w:tcPr>
          <w:p w14:paraId="530CD92B">
            <w:pPr>
              <w:jc w:val="center"/>
              <w:rPr>
                <w:rFonts w:hint="eastAsia" w:ascii="仿宋" w:hAnsi="仿宋" w:eastAsia="仿宋" w:cs="仿宋"/>
                <w:color w:val="auto"/>
                <w:sz w:val="24"/>
                <w:highlight w:val="none"/>
              </w:rPr>
            </w:pPr>
          </w:p>
        </w:tc>
        <w:tc>
          <w:tcPr>
            <w:tcW w:w="1638" w:type="dxa"/>
            <w:gridSpan w:val="2"/>
            <w:noWrap w:val="0"/>
            <w:vAlign w:val="center"/>
          </w:tcPr>
          <w:p w14:paraId="110CAF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w:t>
            </w:r>
          </w:p>
        </w:tc>
        <w:tc>
          <w:tcPr>
            <w:tcW w:w="1236" w:type="dxa"/>
            <w:noWrap w:val="0"/>
            <w:vAlign w:val="center"/>
          </w:tcPr>
          <w:p w14:paraId="7F79185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5A5B9B3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121F9B11">
            <w:pPr>
              <w:jc w:val="center"/>
              <w:rPr>
                <w:rFonts w:hint="eastAsia" w:ascii="仿宋" w:hAnsi="仿宋" w:eastAsia="仿宋" w:cs="仿宋"/>
                <w:color w:val="auto"/>
                <w:sz w:val="24"/>
                <w:highlight w:val="none"/>
              </w:rPr>
            </w:pPr>
          </w:p>
        </w:tc>
        <w:tc>
          <w:tcPr>
            <w:tcW w:w="1413" w:type="dxa"/>
            <w:noWrap w:val="0"/>
            <w:vAlign w:val="center"/>
          </w:tcPr>
          <w:p w14:paraId="326BC7B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服务进度</w:t>
            </w:r>
          </w:p>
        </w:tc>
        <w:tc>
          <w:tcPr>
            <w:tcW w:w="1415" w:type="dxa"/>
            <w:gridSpan w:val="2"/>
            <w:noWrap w:val="0"/>
            <w:vAlign w:val="center"/>
          </w:tcPr>
          <w:p w14:paraId="4228858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5BFFA5D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14681F0A">
            <w:pPr>
              <w:jc w:val="center"/>
              <w:rPr>
                <w:rFonts w:hint="eastAsia" w:ascii="仿宋" w:hAnsi="仿宋" w:eastAsia="仿宋" w:cs="仿宋"/>
                <w:color w:val="auto"/>
                <w:sz w:val="24"/>
                <w:highlight w:val="none"/>
              </w:rPr>
            </w:pPr>
          </w:p>
        </w:tc>
      </w:tr>
      <w:tr w14:paraId="640C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11" w:type="dxa"/>
            <w:gridSpan w:val="2"/>
            <w:vMerge w:val="continue"/>
            <w:noWrap w:val="0"/>
            <w:vAlign w:val="center"/>
          </w:tcPr>
          <w:p w14:paraId="5CB484F1">
            <w:pPr>
              <w:jc w:val="center"/>
              <w:rPr>
                <w:rFonts w:hint="eastAsia" w:ascii="仿宋" w:hAnsi="仿宋" w:eastAsia="仿宋" w:cs="仿宋"/>
                <w:color w:val="auto"/>
                <w:sz w:val="24"/>
                <w:highlight w:val="none"/>
              </w:rPr>
            </w:pPr>
          </w:p>
        </w:tc>
        <w:tc>
          <w:tcPr>
            <w:tcW w:w="1638" w:type="dxa"/>
            <w:gridSpan w:val="2"/>
            <w:noWrap w:val="0"/>
            <w:vAlign w:val="center"/>
          </w:tcPr>
          <w:p w14:paraId="7FDCBF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人员、设备配备情况</w:t>
            </w:r>
          </w:p>
        </w:tc>
        <w:tc>
          <w:tcPr>
            <w:tcW w:w="1236" w:type="dxa"/>
            <w:noWrap w:val="0"/>
            <w:vAlign w:val="center"/>
          </w:tcPr>
          <w:p w14:paraId="32DF9C7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7F1088D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0967BC80">
            <w:pPr>
              <w:jc w:val="center"/>
              <w:rPr>
                <w:rFonts w:hint="eastAsia" w:ascii="仿宋" w:hAnsi="仿宋" w:eastAsia="仿宋" w:cs="仿宋"/>
                <w:color w:val="auto"/>
                <w:sz w:val="24"/>
                <w:highlight w:val="none"/>
              </w:rPr>
            </w:pPr>
          </w:p>
        </w:tc>
        <w:tc>
          <w:tcPr>
            <w:tcW w:w="1413" w:type="dxa"/>
            <w:noWrap w:val="0"/>
            <w:vAlign w:val="center"/>
          </w:tcPr>
          <w:p w14:paraId="2F4C3D7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安全标准</w:t>
            </w:r>
          </w:p>
        </w:tc>
        <w:tc>
          <w:tcPr>
            <w:tcW w:w="1415" w:type="dxa"/>
            <w:gridSpan w:val="2"/>
            <w:noWrap w:val="0"/>
            <w:vAlign w:val="center"/>
          </w:tcPr>
          <w:p w14:paraId="0D3D7B2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1698C72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0BA93E71">
            <w:pPr>
              <w:jc w:val="center"/>
              <w:rPr>
                <w:rFonts w:hint="eastAsia" w:ascii="仿宋" w:hAnsi="仿宋" w:eastAsia="仿宋" w:cs="仿宋"/>
                <w:color w:val="auto"/>
                <w:sz w:val="24"/>
                <w:highlight w:val="none"/>
              </w:rPr>
            </w:pPr>
          </w:p>
        </w:tc>
      </w:tr>
      <w:tr w14:paraId="06CC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continue"/>
            <w:noWrap w:val="0"/>
            <w:vAlign w:val="center"/>
          </w:tcPr>
          <w:p w14:paraId="4161E166">
            <w:pPr>
              <w:jc w:val="center"/>
              <w:rPr>
                <w:rFonts w:hint="eastAsia" w:ascii="仿宋" w:hAnsi="仿宋" w:eastAsia="仿宋" w:cs="仿宋"/>
                <w:color w:val="auto"/>
                <w:sz w:val="24"/>
                <w:highlight w:val="none"/>
              </w:rPr>
            </w:pPr>
          </w:p>
        </w:tc>
        <w:tc>
          <w:tcPr>
            <w:tcW w:w="1638" w:type="dxa"/>
            <w:gridSpan w:val="2"/>
            <w:noWrap w:val="0"/>
            <w:vAlign w:val="center"/>
          </w:tcPr>
          <w:p w14:paraId="50542A4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服务承诺时限</w:t>
            </w:r>
          </w:p>
        </w:tc>
        <w:tc>
          <w:tcPr>
            <w:tcW w:w="1236" w:type="dxa"/>
            <w:noWrap w:val="0"/>
            <w:vAlign w:val="center"/>
          </w:tcPr>
          <w:p w14:paraId="167A4BF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03C221C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929" w:type="dxa"/>
            <w:gridSpan w:val="2"/>
            <w:noWrap w:val="0"/>
            <w:vAlign w:val="center"/>
          </w:tcPr>
          <w:p w14:paraId="2A0143A4">
            <w:pPr>
              <w:jc w:val="center"/>
              <w:rPr>
                <w:rFonts w:hint="eastAsia" w:ascii="仿宋" w:hAnsi="仿宋" w:eastAsia="仿宋" w:cs="仿宋"/>
                <w:color w:val="auto"/>
                <w:sz w:val="24"/>
                <w:highlight w:val="none"/>
              </w:rPr>
            </w:pPr>
          </w:p>
        </w:tc>
        <w:tc>
          <w:tcPr>
            <w:tcW w:w="1413" w:type="dxa"/>
            <w:noWrap w:val="0"/>
            <w:vAlign w:val="center"/>
          </w:tcPr>
          <w:p w14:paraId="412A806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合同履约时间、地点、方式</w:t>
            </w:r>
          </w:p>
        </w:tc>
        <w:tc>
          <w:tcPr>
            <w:tcW w:w="1415" w:type="dxa"/>
            <w:gridSpan w:val="2"/>
            <w:noWrap w:val="0"/>
            <w:vAlign w:val="center"/>
          </w:tcPr>
          <w:p w14:paraId="7DC7280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p>
          <w:p w14:paraId="39FDC4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tc>
        <w:tc>
          <w:tcPr>
            <w:tcW w:w="1112" w:type="dxa"/>
            <w:gridSpan w:val="2"/>
            <w:noWrap w:val="0"/>
            <w:vAlign w:val="center"/>
          </w:tcPr>
          <w:p w14:paraId="5F4488E7">
            <w:pPr>
              <w:jc w:val="center"/>
              <w:rPr>
                <w:rFonts w:hint="eastAsia" w:ascii="仿宋" w:hAnsi="仿宋" w:eastAsia="仿宋" w:cs="仿宋"/>
                <w:color w:val="auto"/>
                <w:sz w:val="24"/>
                <w:highlight w:val="none"/>
              </w:rPr>
            </w:pPr>
          </w:p>
        </w:tc>
      </w:tr>
      <w:tr w14:paraId="162A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1E5357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三、验收结论</w:t>
            </w:r>
          </w:p>
        </w:tc>
      </w:tr>
      <w:tr w14:paraId="514EB703">
        <w:tblPrEx>
          <w:tblCellMar>
            <w:top w:w="0" w:type="dxa"/>
            <w:left w:w="108" w:type="dxa"/>
            <w:bottom w:w="0" w:type="dxa"/>
            <w:right w:w="108" w:type="dxa"/>
          </w:tblCellMar>
        </w:tblPrEx>
        <w:trPr>
          <w:trHeight w:val="1669" w:hRule="atLeast"/>
          <w:jc w:val="center"/>
        </w:trPr>
        <w:tc>
          <w:tcPr>
            <w:tcW w:w="2111" w:type="dxa"/>
            <w:gridSpan w:val="2"/>
            <w:noWrap w:val="0"/>
            <w:vAlign w:val="center"/>
          </w:tcPr>
          <w:p w14:paraId="19FDEF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存在问题和改进意见</w:t>
            </w:r>
          </w:p>
        </w:tc>
        <w:tc>
          <w:tcPr>
            <w:tcW w:w="7743" w:type="dxa"/>
            <w:gridSpan w:val="10"/>
            <w:noWrap w:val="0"/>
            <w:vAlign w:val="center"/>
          </w:tcPr>
          <w:p w14:paraId="11B3910C">
            <w:pPr>
              <w:jc w:val="center"/>
              <w:rPr>
                <w:rFonts w:hint="eastAsia" w:ascii="仿宋" w:hAnsi="仿宋" w:eastAsia="仿宋" w:cs="仿宋"/>
                <w:color w:val="auto"/>
                <w:sz w:val="24"/>
                <w:highlight w:val="none"/>
              </w:rPr>
            </w:pPr>
          </w:p>
        </w:tc>
      </w:tr>
      <w:tr w14:paraId="11C6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restart"/>
            <w:noWrap w:val="0"/>
            <w:vAlign w:val="center"/>
          </w:tcPr>
          <w:p w14:paraId="7F87CBF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验收小组意见</w:t>
            </w:r>
          </w:p>
        </w:tc>
        <w:tc>
          <w:tcPr>
            <w:tcW w:w="7743" w:type="dxa"/>
            <w:gridSpan w:val="10"/>
            <w:noWrap w:val="0"/>
            <w:vAlign w:val="center"/>
          </w:tcPr>
          <w:p w14:paraId="08BDAF22">
            <w:pPr>
              <w:jc w:val="left"/>
              <w:rPr>
                <w:rFonts w:hint="eastAsia" w:ascii="仿宋" w:hAnsi="仿宋" w:eastAsia="仿宋" w:cs="仿宋"/>
                <w:color w:val="auto"/>
                <w:sz w:val="24"/>
                <w:highlight w:val="none"/>
              </w:rPr>
            </w:pPr>
          </w:p>
          <w:p w14:paraId="438B83F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验收结论性意见：</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合  格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不合格</w:t>
            </w:r>
          </w:p>
          <w:p w14:paraId="5973F07E">
            <w:pPr>
              <w:jc w:val="left"/>
              <w:rPr>
                <w:rFonts w:hint="eastAsia" w:ascii="仿宋" w:hAnsi="仿宋" w:eastAsia="仿宋" w:cs="仿宋"/>
                <w:color w:val="auto"/>
                <w:sz w:val="24"/>
                <w:highlight w:val="none"/>
              </w:rPr>
            </w:pPr>
          </w:p>
          <w:p w14:paraId="578421D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其他需要说明的事项：</w:t>
            </w:r>
          </w:p>
          <w:p w14:paraId="09888334">
            <w:pPr>
              <w:jc w:val="left"/>
              <w:rPr>
                <w:rFonts w:hint="eastAsia" w:ascii="仿宋" w:hAnsi="仿宋" w:eastAsia="仿宋" w:cs="仿宋"/>
                <w:color w:val="auto"/>
                <w:sz w:val="24"/>
                <w:highlight w:val="none"/>
              </w:rPr>
            </w:pPr>
          </w:p>
          <w:p w14:paraId="5B5C32CD">
            <w:pPr>
              <w:jc w:val="left"/>
              <w:rPr>
                <w:rFonts w:hint="eastAsia" w:ascii="仿宋" w:hAnsi="仿宋" w:eastAsia="仿宋" w:cs="仿宋"/>
                <w:color w:val="auto"/>
                <w:sz w:val="24"/>
                <w:highlight w:val="none"/>
              </w:rPr>
            </w:pPr>
          </w:p>
          <w:p w14:paraId="34D3D0E0">
            <w:pPr>
              <w:jc w:val="left"/>
              <w:rPr>
                <w:rFonts w:hint="eastAsia" w:ascii="仿宋" w:hAnsi="仿宋" w:eastAsia="仿宋" w:cs="仿宋"/>
                <w:color w:val="auto"/>
                <w:sz w:val="24"/>
                <w:highlight w:val="none"/>
              </w:rPr>
            </w:pPr>
          </w:p>
        </w:tc>
      </w:tr>
      <w:tr w14:paraId="771C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1" w:type="dxa"/>
            <w:gridSpan w:val="2"/>
            <w:vMerge w:val="continue"/>
            <w:noWrap w:val="0"/>
            <w:vAlign w:val="center"/>
          </w:tcPr>
          <w:p w14:paraId="5134A35E">
            <w:pPr>
              <w:jc w:val="center"/>
              <w:rPr>
                <w:rFonts w:hint="eastAsia" w:ascii="仿宋" w:hAnsi="仿宋" w:eastAsia="仿宋" w:cs="仿宋"/>
                <w:color w:val="auto"/>
                <w:sz w:val="24"/>
                <w:highlight w:val="none"/>
              </w:rPr>
            </w:pPr>
          </w:p>
        </w:tc>
        <w:tc>
          <w:tcPr>
            <w:tcW w:w="7743" w:type="dxa"/>
            <w:gridSpan w:val="10"/>
            <w:noWrap w:val="0"/>
            <w:vAlign w:val="center"/>
          </w:tcPr>
          <w:p w14:paraId="3456DEE1">
            <w:pPr>
              <w:jc w:val="left"/>
              <w:rPr>
                <w:rFonts w:hint="eastAsia" w:ascii="仿宋" w:hAnsi="仿宋" w:eastAsia="仿宋" w:cs="仿宋"/>
                <w:color w:val="auto"/>
                <w:sz w:val="24"/>
                <w:highlight w:val="none"/>
              </w:rPr>
            </w:pPr>
          </w:p>
          <w:p w14:paraId="183CBAB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有异议的意见和说明理由：</w:t>
            </w:r>
          </w:p>
          <w:p w14:paraId="344FFC8A">
            <w:pPr>
              <w:jc w:val="left"/>
              <w:rPr>
                <w:rFonts w:hint="eastAsia" w:ascii="仿宋" w:hAnsi="仿宋" w:eastAsia="仿宋" w:cs="仿宋"/>
                <w:color w:val="auto"/>
                <w:sz w:val="24"/>
                <w:highlight w:val="none"/>
              </w:rPr>
            </w:pPr>
          </w:p>
          <w:p w14:paraId="6407476E">
            <w:pPr>
              <w:jc w:val="left"/>
              <w:rPr>
                <w:rFonts w:hint="eastAsia" w:ascii="仿宋" w:hAnsi="仿宋" w:eastAsia="仿宋" w:cs="仿宋"/>
                <w:color w:val="auto"/>
                <w:sz w:val="24"/>
                <w:highlight w:val="none"/>
              </w:rPr>
            </w:pPr>
          </w:p>
          <w:p w14:paraId="5313F42A">
            <w:pPr>
              <w:jc w:val="left"/>
              <w:rPr>
                <w:rFonts w:hint="eastAsia" w:ascii="仿宋" w:hAnsi="仿宋" w:eastAsia="仿宋" w:cs="仿宋"/>
                <w:color w:val="auto"/>
                <w:sz w:val="24"/>
                <w:highlight w:val="none"/>
              </w:rPr>
            </w:pPr>
          </w:p>
          <w:p w14:paraId="3E1228BF">
            <w:pPr>
              <w:wordWrap w:val="0"/>
              <w:ind w:right="31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          </w:t>
            </w:r>
          </w:p>
        </w:tc>
      </w:tr>
      <w:tr w14:paraId="427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4" w:type="dxa"/>
            <w:gridSpan w:val="12"/>
            <w:noWrap w:val="0"/>
            <w:vAlign w:val="center"/>
          </w:tcPr>
          <w:p w14:paraId="0832DFE2">
            <w:pPr>
              <w:jc w:val="left"/>
              <w:rPr>
                <w:rFonts w:hint="eastAsia" w:ascii="仿宋" w:hAnsi="仿宋" w:eastAsia="仿宋" w:cs="仿宋"/>
                <w:color w:val="auto"/>
                <w:sz w:val="24"/>
                <w:highlight w:val="none"/>
              </w:rPr>
            </w:pPr>
          </w:p>
          <w:p w14:paraId="2878123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验收小组成员签字：</w:t>
            </w:r>
          </w:p>
          <w:p w14:paraId="6CB69CFE">
            <w:pPr>
              <w:jc w:val="left"/>
              <w:rPr>
                <w:rFonts w:hint="eastAsia" w:ascii="仿宋" w:hAnsi="仿宋" w:eastAsia="仿宋" w:cs="仿宋"/>
                <w:color w:val="auto"/>
                <w:sz w:val="24"/>
                <w:highlight w:val="none"/>
              </w:rPr>
            </w:pPr>
          </w:p>
          <w:p w14:paraId="4E54A279">
            <w:pPr>
              <w:jc w:val="left"/>
              <w:rPr>
                <w:rFonts w:hint="eastAsia" w:ascii="仿宋" w:hAnsi="仿宋" w:eastAsia="仿宋" w:cs="仿宋"/>
                <w:color w:val="auto"/>
                <w:sz w:val="24"/>
                <w:highlight w:val="none"/>
              </w:rPr>
            </w:pPr>
          </w:p>
          <w:p w14:paraId="44A29D11">
            <w:pPr>
              <w:jc w:val="left"/>
              <w:rPr>
                <w:rFonts w:hint="eastAsia" w:ascii="仿宋" w:hAnsi="仿宋" w:eastAsia="仿宋" w:cs="仿宋"/>
                <w:color w:val="auto"/>
                <w:sz w:val="24"/>
                <w:highlight w:val="none"/>
              </w:rPr>
            </w:pPr>
          </w:p>
        </w:tc>
      </w:tr>
      <w:tr w14:paraId="28F6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239" w:type="dxa"/>
            <w:gridSpan w:val="6"/>
            <w:noWrap w:val="0"/>
            <w:vAlign w:val="top"/>
          </w:tcPr>
          <w:p w14:paraId="48E1EF36">
            <w:pPr>
              <w:rPr>
                <w:rFonts w:hint="eastAsia" w:ascii="仿宋" w:hAnsi="仿宋" w:eastAsia="仿宋" w:cs="仿宋"/>
                <w:color w:val="auto"/>
                <w:sz w:val="24"/>
                <w:highlight w:val="none"/>
              </w:rPr>
            </w:pPr>
          </w:p>
          <w:p w14:paraId="3610457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采购人意见：</w:t>
            </w:r>
          </w:p>
          <w:p w14:paraId="57B09957">
            <w:pPr>
              <w:rPr>
                <w:rFonts w:hint="eastAsia" w:ascii="仿宋" w:hAnsi="仿宋" w:eastAsia="仿宋" w:cs="仿宋"/>
                <w:color w:val="auto"/>
                <w:sz w:val="24"/>
                <w:highlight w:val="none"/>
              </w:rPr>
            </w:pPr>
          </w:p>
          <w:p w14:paraId="1D28C881">
            <w:pPr>
              <w:rPr>
                <w:rFonts w:hint="eastAsia" w:ascii="仿宋" w:hAnsi="仿宋" w:eastAsia="仿宋" w:cs="仿宋"/>
                <w:color w:val="auto"/>
                <w:sz w:val="24"/>
                <w:highlight w:val="none"/>
              </w:rPr>
            </w:pPr>
          </w:p>
          <w:p w14:paraId="0D467B67">
            <w:pPr>
              <w:rPr>
                <w:rFonts w:hint="eastAsia" w:ascii="仿宋" w:hAnsi="仿宋" w:eastAsia="仿宋" w:cs="仿宋"/>
                <w:color w:val="auto"/>
                <w:sz w:val="24"/>
                <w:highlight w:val="none"/>
              </w:rPr>
            </w:pPr>
          </w:p>
          <w:p w14:paraId="33E28876">
            <w:pPr>
              <w:pStyle w:val="6"/>
              <w:rPr>
                <w:rFonts w:hint="eastAsia" w:ascii="仿宋" w:hAnsi="仿宋" w:eastAsia="仿宋" w:cs="仿宋"/>
                <w:color w:val="auto"/>
                <w:szCs w:val="24"/>
                <w:highlight w:val="none"/>
              </w:rPr>
            </w:pPr>
          </w:p>
          <w:p w14:paraId="380D91F7">
            <w:pPr>
              <w:rPr>
                <w:rFonts w:hint="eastAsia" w:ascii="仿宋" w:hAnsi="仿宋" w:eastAsia="仿宋" w:cs="仿宋"/>
                <w:color w:val="auto"/>
                <w:sz w:val="24"/>
                <w:highlight w:val="none"/>
              </w:rPr>
            </w:pPr>
          </w:p>
          <w:p w14:paraId="1611995B">
            <w:pPr>
              <w:rPr>
                <w:rFonts w:hint="eastAsia" w:ascii="仿宋" w:hAnsi="仿宋" w:eastAsia="仿宋" w:cs="仿宋"/>
                <w:color w:val="auto"/>
                <w:sz w:val="24"/>
                <w:highlight w:val="none"/>
              </w:rPr>
            </w:pPr>
          </w:p>
          <w:p w14:paraId="0976D57B">
            <w:pPr>
              <w:rPr>
                <w:rFonts w:hint="eastAsia" w:ascii="仿宋" w:hAnsi="仿宋" w:eastAsia="仿宋" w:cs="仿宋"/>
                <w:color w:val="auto"/>
                <w:sz w:val="24"/>
                <w:highlight w:val="none"/>
              </w:rPr>
            </w:pPr>
            <w:r>
              <w:rPr>
                <w:rFonts w:hint="eastAsia" w:ascii="仿宋" w:hAnsi="仿宋" w:eastAsia="仿宋" w:cs="仿宋"/>
                <w:color w:val="auto"/>
                <w:sz w:val="24"/>
                <w:highlight w:val="none"/>
              </w:rPr>
              <w:t>经办人：       负责人：       （盖章）</w:t>
            </w:r>
          </w:p>
          <w:p w14:paraId="766261EC">
            <w:pPr>
              <w:rPr>
                <w:rFonts w:hint="eastAsia" w:ascii="仿宋" w:hAnsi="仿宋" w:eastAsia="仿宋" w:cs="仿宋"/>
                <w:color w:val="auto"/>
                <w:sz w:val="24"/>
                <w:highlight w:val="none"/>
              </w:rPr>
            </w:pPr>
          </w:p>
          <w:p w14:paraId="7502D6A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F02BE80">
            <w:pPr>
              <w:rPr>
                <w:rFonts w:hint="eastAsia" w:ascii="仿宋" w:hAnsi="仿宋" w:eastAsia="仿宋" w:cs="仿宋"/>
                <w:color w:val="auto"/>
                <w:sz w:val="24"/>
                <w:highlight w:val="none"/>
              </w:rPr>
            </w:pPr>
          </w:p>
        </w:tc>
        <w:tc>
          <w:tcPr>
            <w:tcW w:w="4615" w:type="dxa"/>
            <w:gridSpan w:val="6"/>
            <w:noWrap w:val="0"/>
            <w:vAlign w:val="top"/>
          </w:tcPr>
          <w:p w14:paraId="04D6AD75">
            <w:pPr>
              <w:rPr>
                <w:rFonts w:hint="eastAsia" w:ascii="仿宋" w:hAnsi="仿宋" w:eastAsia="仿宋" w:cs="仿宋"/>
                <w:color w:val="auto"/>
                <w:sz w:val="24"/>
                <w:highlight w:val="none"/>
              </w:rPr>
            </w:pPr>
          </w:p>
          <w:p w14:paraId="2B6C8696">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供应商确认：</w:t>
            </w:r>
          </w:p>
          <w:p w14:paraId="54510EAA">
            <w:pPr>
              <w:rPr>
                <w:rFonts w:hint="eastAsia" w:ascii="仿宋" w:hAnsi="仿宋" w:eastAsia="仿宋" w:cs="仿宋"/>
                <w:color w:val="auto"/>
                <w:sz w:val="24"/>
                <w:highlight w:val="none"/>
              </w:rPr>
            </w:pPr>
          </w:p>
          <w:p w14:paraId="463FE2AA">
            <w:pPr>
              <w:rPr>
                <w:rFonts w:hint="eastAsia" w:ascii="仿宋" w:hAnsi="仿宋" w:eastAsia="仿宋" w:cs="仿宋"/>
                <w:color w:val="auto"/>
                <w:sz w:val="24"/>
                <w:highlight w:val="none"/>
              </w:rPr>
            </w:pPr>
          </w:p>
          <w:p w14:paraId="601A6717">
            <w:pPr>
              <w:rPr>
                <w:rFonts w:hint="eastAsia" w:ascii="仿宋" w:hAnsi="仿宋" w:eastAsia="仿宋" w:cs="仿宋"/>
                <w:color w:val="auto"/>
                <w:sz w:val="24"/>
                <w:highlight w:val="none"/>
              </w:rPr>
            </w:pPr>
          </w:p>
          <w:p w14:paraId="583D20F4">
            <w:pPr>
              <w:pStyle w:val="6"/>
              <w:rPr>
                <w:rFonts w:hint="eastAsia" w:ascii="仿宋" w:hAnsi="仿宋" w:eastAsia="仿宋" w:cs="仿宋"/>
                <w:color w:val="auto"/>
                <w:szCs w:val="24"/>
                <w:highlight w:val="none"/>
              </w:rPr>
            </w:pPr>
          </w:p>
          <w:p w14:paraId="750497B6">
            <w:pPr>
              <w:rPr>
                <w:rFonts w:hint="eastAsia" w:ascii="仿宋" w:hAnsi="仿宋" w:eastAsia="仿宋" w:cs="仿宋"/>
                <w:color w:val="auto"/>
                <w:sz w:val="24"/>
                <w:highlight w:val="none"/>
              </w:rPr>
            </w:pPr>
          </w:p>
          <w:p w14:paraId="0F8833B7">
            <w:p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供应商盖章或授权代表签字：</w:t>
            </w:r>
          </w:p>
          <w:p w14:paraId="79078691">
            <w:pPr>
              <w:rPr>
                <w:rFonts w:hint="eastAsia" w:ascii="仿宋" w:hAnsi="仿宋" w:eastAsia="仿宋" w:cs="仿宋"/>
                <w:color w:val="auto"/>
                <w:sz w:val="24"/>
                <w:highlight w:val="none"/>
              </w:rPr>
            </w:pPr>
          </w:p>
          <w:p w14:paraId="0BE32930">
            <w:pPr>
              <w:ind w:firstLine="44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ACC0FAF">
            <w:pPr>
              <w:ind w:firstLine="4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tc>
      </w:tr>
    </w:tbl>
    <w:p w14:paraId="42803013">
      <w:pPr>
        <w:pStyle w:val="3"/>
        <w:adjustRightInd/>
        <w:ind w:left="431" w:hanging="431"/>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522" w:name="_Toc326095767"/>
      <w:bookmarkStart w:id="523" w:name="_Toc15892"/>
      <w:r>
        <w:rPr>
          <w:rFonts w:hint="eastAsia" w:ascii="仿宋" w:hAnsi="仿宋" w:eastAsia="仿宋" w:cs="仿宋"/>
          <w:color w:val="auto"/>
          <w:highlight w:val="none"/>
        </w:rPr>
        <w:t>第六部分</w:t>
      </w:r>
      <w:bookmarkEnd w:id="496"/>
      <w:r>
        <w:rPr>
          <w:rFonts w:hint="eastAsia" w:ascii="仿宋" w:hAnsi="仿宋" w:eastAsia="仿宋" w:cs="仿宋"/>
          <w:color w:val="auto"/>
          <w:highlight w:val="none"/>
        </w:rPr>
        <w:t xml:space="preserve"> </w:t>
      </w:r>
      <w:bookmarkEnd w:id="497"/>
      <w:r>
        <w:rPr>
          <w:rFonts w:hint="eastAsia" w:ascii="仿宋" w:hAnsi="仿宋" w:eastAsia="仿宋" w:cs="仿宋"/>
          <w:color w:val="auto"/>
          <w:highlight w:val="none"/>
        </w:rPr>
        <w:t>应提交的有关格式范例</w:t>
      </w:r>
      <w:bookmarkEnd w:id="522"/>
      <w:bookmarkEnd w:id="523"/>
    </w:p>
    <w:p w14:paraId="51893CE5">
      <w:pPr>
        <w:pStyle w:val="2"/>
        <w:jc w:val="center"/>
        <w:rPr>
          <w:rFonts w:hint="eastAsia" w:ascii="仿宋" w:eastAsia="仿宋" w:cs="仿宋"/>
          <w:b w:val="0"/>
          <w:color w:val="auto"/>
          <w:kern w:val="0"/>
          <w:szCs w:val="36"/>
          <w:highlight w:val="none"/>
        </w:rPr>
      </w:pPr>
      <w:bookmarkStart w:id="524" w:name="_Toc313288825"/>
      <w:bookmarkStart w:id="525" w:name="_Toc26258"/>
      <w:r>
        <w:rPr>
          <w:rFonts w:hint="eastAsia" w:ascii="仿宋" w:eastAsia="仿宋" w:cs="仿宋"/>
          <w:color w:val="auto"/>
          <w:highlight w:val="none"/>
        </w:rPr>
        <w:t>资格文件部分</w:t>
      </w:r>
      <w:bookmarkEnd w:id="524"/>
      <w:bookmarkEnd w:id="525"/>
    </w:p>
    <w:p w14:paraId="46028DBB">
      <w:pPr>
        <w:spacing w:line="360" w:lineRule="auto"/>
        <w:jc w:val="center"/>
        <w:rPr>
          <w:rFonts w:hint="eastAsia" w:ascii="仿宋" w:hAnsi="仿宋" w:eastAsia="仿宋" w:cs="仿宋"/>
          <w:b/>
          <w:color w:val="auto"/>
          <w:kern w:val="0"/>
          <w:sz w:val="36"/>
          <w:szCs w:val="36"/>
          <w:highlight w:val="none"/>
        </w:rPr>
      </w:pPr>
      <w:bookmarkStart w:id="526" w:name="_Toc19552"/>
      <w:bookmarkStart w:id="527" w:name="_Toc3652"/>
      <w:bookmarkStart w:id="528" w:name="_Toc22497"/>
      <w:r>
        <w:rPr>
          <w:rFonts w:hint="eastAsia" w:ascii="仿宋" w:hAnsi="仿宋" w:eastAsia="仿宋" w:cs="仿宋"/>
          <w:b/>
          <w:color w:val="auto"/>
          <w:kern w:val="0"/>
          <w:sz w:val="36"/>
          <w:szCs w:val="36"/>
          <w:highlight w:val="none"/>
        </w:rPr>
        <w:t>目录</w:t>
      </w:r>
      <w:bookmarkEnd w:id="526"/>
      <w:bookmarkEnd w:id="527"/>
      <w:bookmarkEnd w:id="528"/>
    </w:p>
    <w:p w14:paraId="64969DB7">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（1）符合《中华人民共和国政府采购法》第二十二条规定的相关证明材料；</w:t>
      </w:r>
    </w:p>
    <w:p w14:paraId="66CBCB62">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各供应商须在响应文件中出具对应证明材料。（商业信誉可提前自查，响应文件中可不提供）</w:t>
      </w:r>
    </w:p>
    <w:p w14:paraId="29A4F42A">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a.具有独立承担民事责任能力的证明材料；</w:t>
      </w:r>
    </w:p>
    <w:p w14:paraId="6DF3121E">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b.符合参与政府采购活动资格条件的承诺函；</w:t>
      </w:r>
    </w:p>
    <w:p w14:paraId="283D7F9F">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c.商业信誉：</w:t>
      </w:r>
    </w:p>
    <w:p w14:paraId="325A6880">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44FEE1BE">
      <w:pPr>
        <w:pStyle w:val="20"/>
        <w:spacing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对列入失信被执行人、重大税收违法案件当事人名单、政府采购严重违法失信行为记录名单的供应商，其磋商响应将作无效响应处理。</w:t>
      </w:r>
    </w:p>
    <w:p w14:paraId="10C5885C">
      <w:pPr>
        <w:snapToGrid w:val="0"/>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(2)落实政府采购政策需满足的资格要求</w:t>
      </w:r>
      <w:r>
        <w:rPr>
          <w:rFonts w:hint="eastAsia" w:ascii="仿宋" w:hAnsi="仿宋" w:eastAsia="仿宋" w:cs="仿宋"/>
          <w:color w:val="auto"/>
          <w:kern w:val="0"/>
          <w:sz w:val="24"/>
          <w:szCs w:val="20"/>
          <w:highlight w:val="none"/>
          <w:lang w:val="zh-CN"/>
        </w:rPr>
        <w:t>证明材料</w:t>
      </w:r>
      <w:r>
        <w:rPr>
          <w:rFonts w:hint="eastAsia" w:ascii="仿宋" w:hAnsi="仿宋" w:eastAsia="仿宋" w:cs="仿宋"/>
          <w:color w:val="auto"/>
          <w:kern w:val="0"/>
          <w:sz w:val="24"/>
          <w:szCs w:val="20"/>
          <w:highlight w:val="none"/>
        </w:rPr>
        <w:t>；</w:t>
      </w:r>
    </w:p>
    <w:p w14:paraId="6ED99450">
      <w:pPr>
        <w:snapToGrid w:val="0"/>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rPr>
        <w:t>(3)本项目的特定资格</w:t>
      </w:r>
      <w:r>
        <w:rPr>
          <w:rFonts w:hint="eastAsia" w:ascii="仿宋" w:hAnsi="仿宋" w:eastAsia="仿宋" w:cs="仿宋"/>
          <w:color w:val="auto"/>
          <w:kern w:val="0"/>
          <w:sz w:val="24"/>
          <w:szCs w:val="20"/>
          <w:highlight w:val="none"/>
          <w:lang w:val="zh-CN"/>
        </w:rPr>
        <w:t>证明材料。</w:t>
      </w:r>
    </w:p>
    <w:p w14:paraId="1FEFBA44">
      <w:pPr>
        <w:snapToGrid w:val="0"/>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rPr>
        <w:t>(4)</w:t>
      </w:r>
      <w:r>
        <w:rPr>
          <w:rFonts w:hint="eastAsia" w:ascii="仿宋" w:hAnsi="仿宋" w:eastAsia="仿宋" w:cs="仿宋"/>
          <w:color w:val="auto"/>
          <w:kern w:val="0"/>
          <w:sz w:val="24"/>
          <w:szCs w:val="20"/>
          <w:highlight w:val="none"/>
          <w:lang w:val="zh-CN"/>
        </w:rPr>
        <w:t>政府采购活动现场确认声明书。</w:t>
      </w:r>
    </w:p>
    <w:p w14:paraId="281E9562">
      <w:pPr>
        <w:pStyle w:val="13"/>
        <w:keepNext w:val="0"/>
        <w:keepLines w:val="0"/>
        <w:pageBreakBefore w:val="0"/>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highlight w:val="none"/>
          <w:lang w:val="zh-CN"/>
        </w:rPr>
        <w:br w:type="page"/>
      </w:r>
      <w:bookmarkStart w:id="529" w:name="_Toc1962862978"/>
      <w:bookmarkStart w:id="530" w:name="_Toc29209"/>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符合参与政府采购活动资格条件的承诺函：</w:t>
      </w:r>
      <w:bookmarkEnd w:id="529"/>
      <w:bookmarkEnd w:id="530"/>
    </w:p>
    <w:p w14:paraId="309787E8">
      <w:pPr>
        <w:keepNext w:val="0"/>
        <w:keepLines w:val="0"/>
        <w:pageBreakBefore w:val="0"/>
        <w:shd w:val="clear" w:color="auto" w:fill="FFFFFF"/>
        <w:kinsoku/>
        <w:wordWrap/>
        <w:overflowPunct/>
        <w:topLinePunct w:val="0"/>
        <w:autoSpaceDE/>
        <w:autoSpaceDN/>
        <w:bidi w:val="0"/>
        <w:adjustRightInd w:val="0"/>
        <w:snapToGrid w:val="0"/>
        <w:spacing w:line="440" w:lineRule="exact"/>
        <w:jc w:val="center"/>
        <w:textAlignment w:val="auto"/>
        <w:outlineLvl w:val="9"/>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资格条件承诺函</w:t>
      </w:r>
    </w:p>
    <w:p w14:paraId="347569E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w:t>
      </w:r>
    </w:p>
    <w:p w14:paraId="0C8A8E51">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温州历程招标有限公司：</w:t>
      </w:r>
    </w:p>
    <w:p w14:paraId="17983ACA">
      <w:pPr>
        <w:keepNext w:val="0"/>
        <w:keepLines w:val="0"/>
        <w:pageBreakBefore w:val="0"/>
        <w:widowControl/>
        <w:kinsoku/>
        <w:wordWrap/>
        <w:overflowPunct/>
        <w:topLinePunct w:val="0"/>
        <w:autoSpaceDE/>
        <w:autoSpaceDN/>
        <w:bidi w:val="0"/>
        <w:adjustRightInd w:val="0"/>
        <w:spacing w:line="44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（采购项目名称、编号）磋商响应，现郑重承诺：</w:t>
      </w:r>
    </w:p>
    <w:p w14:paraId="5D6BDB5B">
      <w:pPr>
        <w:keepNext w:val="0"/>
        <w:keepLines w:val="0"/>
        <w:pageBreakBefore w:val="0"/>
        <w:widowControl/>
        <w:kinsoku/>
        <w:wordWrap/>
        <w:overflowPunct/>
        <w:topLinePunct w:val="0"/>
        <w:autoSpaceDE/>
        <w:autoSpaceDN/>
        <w:bidi w:val="0"/>
        <w:adjustRightInd w:val="0"/>
        <w:spacing w:line="4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1、我方符合《中华人民共和国政府采购法》第22条规定的资格条件，即</w:t>
      </w:r>
    </w:p>
    <w:p w14:paraId="61A88EA8">
      <w:pPr>
        <w:keepNext w:val="0"/>
        <w:keepLines w:val="0"/>
        <w:pageBreakBefore w:val="0"/>
        <w:widowControl/>
        <w:kinsoku/>
        <w:wordWrap/>
        <w:overflowPunct/>
        <w:topLinePunct w:val="0"/>
        <w:autoSpaceDE/>
        <w:autoSpaceDN/>
        <w:bidi w:val="0"/>
        <w:adjustRightInd w:val="0"/>
        <w:snapToGrid w:val="0"/>
        <w:spacing w:line="440" w:lineRule="exact"/>
        <w:ind w:left="420" w:left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（1）我方具有独立承担民事责任的能力；</w:t>
      </w:r>
    </w:p>
    <w:p w14:paraId="2FF29E58">
      <w:pPr>
        <w:keepNext w:val="0"/>
        <w:keepLines w:val="0"/>
        <w:pageBreakBefore w:val="0"/>
        <w:widowControl/>
        <w:kinsoku/>
        <w:wordWrap/>
        <w:overflowPunct/>
        <w:topLinePunct w:val="0"/>
        <w:autoSpaceDE/>
        <w:autoSpaceDN/>
        <w:bidi w:val="0"/>
        <w:adjustRightInd w:val="0"/>
        <w:snapToGrid w:val="0"/>
        <w:spacing w:line="440" w:lineRule="exact"/>
        <w:ind w:left="420" w:left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（2）我方具有良好的商业信誉和健全的财务会计制度；</w:t>
      </w:r>
    </w:p>
    <w:p w14:paraId="1FF12B95">
      <w:pPr>
        <w:keepNext w:val="0"/>
        <w:keepLines w:val="0"/>
        <w:pageBreakBefore w:val="0"/>
        <w:widowControl/>
        <w:kinsoku/>
        <w:wordWrap/>
        <w:overflowPunct/>
        <w:topLinePunct w:val="0"/>
        <w:autoSpaceDE/>
        <w:autoSpaceDN/>
        <w:bidi w:val="0"/>
        <w:adjustRightInd w:val="0"/>
        <w:snapToGrid w:val="0"/>
        <w:spacing w:line="440" w:lineRule="exact"/>
        <w:ind w:left="420" w:left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（3）我方具有履行合同所必需的设备和专业技术能力；</w:t>
      </w:r>
    </w:p>
    <w:p w14:paraId="313F07B0">
      <w:pPr>
        <w:keepNext w:val="0"/>
        <w:keepLines w:val="0"/>
        <w:pageBreakBefore w:val="0"/>
        <w:widowControl/>
        <w:kinsoku/>
        <w:wordWrap/>
        <w:overflowPunct/>
        <w:topLinePunct w:val="0"/>
        <w:autoSpaceDE/>
        <w:autoSpaceDN/>
        <w:bidi w:val="0"/>
        <w:adjustRightInd w:val="0"/>
        <w:snapToGrid w:val="0"/>
        <w:spacing w:line="440" w:lineRule="exact"/>
        <w:ind w:left="420" w:left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（4）我方有依法缴纳税收和社会保障资金的良好记录；</w:t>
      </w:r>
    </w:p>
    <w:p w14:paraId="547309B2">
      <w:pPr>
        <w:keepNext w:val="0"/>
        <w:keepLines w:val="0"/>
        <w:pageBreakBefore w:val="0"/>
        <w:widowControl/>
        <w:kinsoku/>
        <w:wordWrap/>
        <w:overflowPunct/>
        <w:topLinePunct w:val="0"/>
        <w:autoSpaceDE/>
        <w:autoSpaceDN/>
        <w:bidi w:val="0"/>
        <w:adjustRightInd w:val="0"/>
        <w:snapToGrid w:val="0"/>
        <w:spacing w:line="440" w:lineRule="exact"/>
        <w:ind w:left="1020" w:leftChars="200" w:hanging="600" w:hangingChars="25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60469AA">
      <w:pPr>
        <w:keepNext w:val="0"/>
        <w:keepLines w:val="0"/>
        <w:pageBreakBefore w:val="0"/>
        <w:widowControl/>
        <w:kinsoku/>
        <w:wordWrap/>
        <w:overflowPunct/>
        <w:topLinePunct w:val="0"/>
        <w:autoSpaceDE/>
        <w:autoSpaceDN/>
        <w:bidi w:val="0"/>
        <w:adjustRightInd w:val="0"/>
        <w:spacing w:line="440" w:lineRule="exact"/>
        <w:ind w:left="283" w:hanging="283" w:hangingChars="118"/>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2、到本项目响应截止时间为止，我方未被“信用中国（</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"http://www.creditchina.gov.cn）、" </w:instrText>
      </w:r>
      <w:r>
        <w:rPr>
          <w:rFonts w:hint="eastAsia" w:ascii="仿宋" w:hAnsi="仿宋" w:eastAsia="仿宋" w:cs="仿宋"/>
          <w:color w:val="auto"/>
          <w:kern w:val="0"/>
          <w:sz w:val="24"/>
          <w:highlight w:val="none"/>
        </w:rPr>
        <w:fldChar w:fldCharType="separate"/>
      </w:r>
      <w:r>
        <w:rPr>
          <w:rStyle w:val="18"/>
          <w:rFonts w:hint="eastAsia" w:ascii="仿宋" w:hAnsi="仿宋" w:eastAsia="仿宋" w:cs="仿宋"/>
          <w:color w:val="auto"/>
          <w:sz w:val="24"/>
          <w:highlight w:val="none"/>
        </w:rPr>
        <w:t>www.creditchina.gov.cn）、</w: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 xml:space="preserve"> 中国政府采购网（www.ccgp.gov.cn）”列入失信被执行人名单、重大税收违法案件当事人名单、政府采购严重违法失信行为记录名单。</w:t>
      </w:r>
    </w:p>
    <w:p w14:paraId="4DEF5A41">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 w:hAnsi="仿宋" w:eastAsia="仿宋" w:cs="仿宋"/>
          <w:color w:val="auto"/>
          <w:kern w:val="0"/>
          <w:sz w:val="24"/>
          <w:highlight w:val="none"/>
        </w:rPr>
      </w:pPr>
    </w:p>
    <w:p w14:paraId="0151A828">
      <w:pPr>
        <w:keepNext w:val="0"/>
        <w:keepLines w:val="0"/>
        <w:pageBreakBefore w:val="0"/>
        <w:widowControl/>
        <w:kinsoku/>
        <w:wordWrap/>
        <w:overflowPunct/>
        <w:topLinePunct w:val="0"/>
        <w:autoSpaceDE/>
        <w:autoSpaceDN/>
        <w:bidi w:val="0"/>
        <w:adjustRightInd w:val="0"/>
        <w:snapToGrid w:val="0"/>
        <w:spacing w:line="440" w:lineRule="exact"/>
        <w:ind w:left="210" w:leftChars="1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以上承诺如有虚假，</w:t>
      </w:r>
      <w:r>
        <w:rPr>
          <w:rFonts w:hint="eastAsia" w:ascii="仿宋" w:hAnsi="仿宋" w:eastAsia="仿宋" w:cs="仿宋"/>
          <w:color w:val="auto"/>
          <w:sz w:val="24"/>
          <w:highlight w:val="none"/>
        </w:rPr>
        <w:t>愿接受取消</w:t>
      </w:r>
      <w:r>
        <w:rPr>
          <w:rFonts w:hint="eastAsia" w:ascii="仿宋" w:hAnsi="仿宋" w:eastAsia="仿宋" w:cs="仿宋"/>
          <w:color w:val="auto"/>
          <w:kern w:val="0"/>
          <w:sz w:val="24"/>
          <w:highlight w:val="none"/>
        </w:rPr>
        <w:t>我方任何资格（磋商响应/成交/签订合同）</w:t>
      </w:r>
      <w:r>
        <w:rPr>
          <w:rFonts w:hint="eastAsia" w:ascii="仿宋" w:hAnsi="仿宋" w:eastAsia="仿宋" w:cs="仿宋"/>
          <w:color w:val="auto"/>
          <w:sz w:val="24"/>
          <w:highlight w:val="none"/>
        </w:rPr>
        <w:t>及其他任何形式的处理。</w:t>
      </w:r>
    </w:p>
    <w:p w14:paraId="5C41274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outlineLvl w:val="9"/>
        <w:rPr>
          <w:rFonts w:hint="eastAsia" w:ascii="仿宋" w:hAnsi="仿宋" w:eastAsia="仿宋" w:cs="仿宋"/>
          <w:color w:val="auto"/>
          <w:kern w:val="0"/>
          <w:sz w:val="24"/>
          <w:highlight w:val="none"/>
        </w:rPr>
      </w:pPr>
    </w:p>
    <w:p w14:paraId="330F5989">
      <w:pPr>
        <w:keepNext w:val="0"/>
        <w:keepLines w:val="0"/>
        <w:pageBreakBefore w:val="0"/>
        <w:kinsoku/>
        <w:wordWrap/>
        <w:overflowPunct/>
        <w:topLinePunct w:val="0"/>
        <w:autoSpaceDE/>
        <w:autoSpaceDN/>
        <w:bidi w:val="0"/>
        <w:adjustRightInd w:val="0"/>
        <w:snapToGrid w:val="0"/>
        <w:spacing w:line="360" w:lineRule="auto"/>
        <w:ind w:firstLine="5520" w:firstLineChars="2300"/>
        <w:textAlignment w:val="auto"/>
        <w:outlineLvl w:val="9"/>
        <w:rPr>
          <w:rFonts w:hint="eastAsia" w:ascii="仿宋" w:hAnsi="仿宋" w:eastAsia="仿宋" w:cs="仿宋"/>
          <w:color w:val="auto"/>
          <w:kern w:val="0"/>
          <w:sz w:val="24"/>
          <w:highlight w:val="none"/>
          <w:lang w:val="zh-CN"/>
        </w:rPr>
      </w:pPr>
    </w:p>
    <w:p w14:paraId="0C297EC8">
      <w:pPr>
        <w:keepNext w:val="0"/>
        <w:keepLines w:val="0"/>
        <w:pageBreakBefore w:val="0"/>
        <w:tabs>
          <w:tab w:val="left" w:pos="5454"/>
        </w:tabs>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DBC7832">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7754744">
      <w:pPr>
        <w:keepNext w:val="0"/>
        <w:keepLines w:val="0"/>
        <w:pageBreakBefore w:val="0"/>
        <w:kinsoku/>
        <w:wordWrap/>
        <w:overflowPunct/>
        <w:topLinePunct w:val="0"/>
        <w:autoSpaceDE/>
        <w:autoSpaceDN/>
        <w:bidi w:val="0"/>
        <w:adjustRightInd w:val="0"/>
        <w:snapToGrid w:val="0"/>
        <w:spacing w:line="360" w:lineRule="auto"/>
        <w:ind w:right="480"/>
        <w:textAlignment w:val="auto"/>
        <w:outlineLvl w:val="9"/>
        <w:rPr>
          <w:rFonts w:hint="eastAsia" w:ascii="仿宋" w:hAnsi="仿宋" w:eastAsia="仿宋" w:cs="仿宋"/>
          <w:b/>
          <w:color w:val="auto"/>
          <w:kern w:val="0"/>
          <w:sz w:val="32"/>
          <w:szCs w:val="32"/>
          <w:highlight w:val="none"/>
        </w:rPr>
      </w:pPr>
    </w:p>
    <w:p w14:paraId="2E5CDE8A">
      <w:pPr>
        <w:pStyle w:val="13"/>
        <w:keepNext w:val="0"/>
        <w:keepLines w:val="0"/>
        <w:pageBreakBefore w:val="0"/>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ind w:left="420"/>
        <w:textAlignment w:val="auto"/>
        <w:outlineLvl w:val="9"/>
        <w:rPr>
          <w:rFonts w:hint="eastAsia" w:ascii="仿宋" w:hAnsi="仿宋" w:eastAsia="仿宋" w:cs="仿宋"/>
          <w:bCs/>
          <w:color w:val="auto"/>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highlight w:val="none"/>
        </w:rPr>
        <w:t>供应商须在响应文件中出具符合以下情况的证明材料复印件（五选一）：</w:t>
      </w:r>
    </w:p>
    <w:p w14:paraId="7116DBF0">
      <w:pPr>
        <w:pStyle w:val="13"/>
        <w:keepNext w:val="0"/>
        <w:keepLines w:val="0"/>
        <w:pageBreakBefore w:val="0"/>
        <w:numPr>
          <w:ilvl w:val="0"/>
          <w:numId w:val="8"/>
        </w:numPr>
        <w:tabs>
          <w:tab w:val="left" w:pos="312"/>
        </w:tabs>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bCs/>
          <w:color w:val="auto"/>
          <w:highlight w:val="none"/>
        </w:rPr>
      </w:pPr>
      <w:r>
        <w:rPr>
          <w:rFonts w:hint="eastAsia" w:ascii="仿宋" w:hAnsi="仿宋" w:eastAsia="仿宋" w:cs="仿宋"/>
          <w:bCs/>
          <w:color w:val="auto"/>
          <w:highlight w:val="none"/>
        </w:rPr>
        <w:t>如供应商是企业（包括合伙企业），提供在工商部门注册的有效“企业法人营业执照”或“营业执照”；</w:t>
      </w:r>
    </w:p>
    <w:p w14:paraId="5CE3BDB5">
      <w:pPr>
        <w:pStyle w:val="13"/>
        <w:keepNext w:val="0"/>
        <w:keepLines w:val="0"/>
        <w:pageBreakBefore w:val="0"/>
        <w:numPr>
          <w:ilvl w:val="0"/>
          <w:numId w:val="8"/>
        </w:numPr>
        <w:tabs>
          <w:tab w:val="left" w:pos="312"/>
        </w:tabs>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bCs/>
          <w:color w:val="auto"/>
          <w:highlight w:val="none"/>
        </w:rPr>
      </w:pPr>
      <w:r>
        <w:rPr>
          <w:rFonts w:hint="eastAsia" w:ascii="仿宋" w:hAnsi="仿宋" w:eastAsia="仿宋" w:cs="仿宋"/>
          <w:bCs/>
          <w:color w:val="auto"/>
          <w:highlight w:val="none"/>
        </w:rPr>
        <w:t>如供应商是事业单位，提供有效的“事业单位法人证书”；</w:t>
      </w:r>
    </w:p>
    <w:p w14:paraId="07372900">
      <w:pPr>
        <w:pStyle w:val="13"/>
        <w:keepNext w:val="0"/>
        <w:keepLines w:val="0"/>
        <w:pageBreakBefore w:val="0"/>
        <w:numPr>
          <w:ilvl w:val="0"/>
          <w:numId w:val="8"/>
        </w:numPr>
        <w:tabs>
          <w:tab w:val="left" w:pos="312"/>
        </w:tabs>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bCs/>
          <w:color w:val="auto"/>
          <w:highlight w:val="none"/>
        </w:rPr>
      </w:pPr>
      <w:r>
        <w:rPr>
          <w:rFonts w:hint="eastAsia" w:ascii="仿宋" w:hAnsi="仿宋" w:eastAsia="仿宋" w:cs="仿宋"/>
          <w:bCs/>
          <w:color w:val="auto"/>
          <w:highlight w:val="none"/>
        </w:rPr>
        <w:t>如供应商是非企业专业服务机构的，提供执业许可证等证明文件；</w:t>
      </w:r>
    </w:p>
    <w:p w14:paraId="580A7CD9">
      <w:pPr>
        <w:pStyle w:val="13"/>
        <w:keepNext w:val="0"/>
        <w:keepLines w:val="0"/>
        <w:pageBreakBefore w:val="0"/>
        <w:numPr>
          <w:ilvl w:val="0"/>
          <w:numId w:val="8"/>
        </w:numPr>
        <w:tabs>
          <w:tab w:val="left" w:pos="312"/>
        </w:tabs>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bCs/>
          <w:color w:val="auto"/>
          <w:highlight w:val="none"/>
        </w:rPr>
      </w:pPr>
      <w:r>
        <w:rPr>
          <w:rFonts w:hint="eastAsia" w:ascii="仿宋" w:hAnsi="仿宋" w:eastAsia="仿宋" w:cs="仿宋"/>
          <w:bCs/>
          <w:color w:val="auto"/>
          <w:highlight w:val="none"/>
        </w:rPr>
        <w:t>如供应商是个体工商户，提供有效的“个体工商户营业执照”；</w:t>
      </w:r>
    </w:p>
    <w:p w14:paraId="6382E60A">
      <w:pPr>
        <w:pStyle w:val="13"/>
        <w:keepNext w:val="0"/>
        <w:keepLines w:val="0"/>
        <w:pageBreakBefore w:val="0"/>
        <w:numPr>
          <w:ilvl w:val="0"/>
          <w:numId w:val="8"/>
        </w:numPr>
        <w:tabs>
          <w:tab w:val="left" w:pos="312"/>
        </w:tabs>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hint="eastAsia" w:ascii="仿宋" w:hAnsi="仿宋" w:eastAsia="仿宋" w:cs="仿宋"/>
          <w:bCs/>
          <w:color w:val="auto"/>
          <w:highlight w:val="none"/>
        </w:rPr>
      </w:pPr>
      <w:r>
        <w:rPr>
          <w:rFonts w:hint="eastAsia" w:ascii="仿宋" w:hAnsi="仿宋" w:eastAsia="仿宋" w:cs="仿宋"/>
          <w:bCs/>
          <w:color w:val="auto"/>
          <w:highlight w:val="none"/>
        </w:rPr>
        <w:t>如供应商是自然人，提供有效的自然人身份证明（居民身份证正反面或公安机关出具的临时居民身份证正反面或港澳台胞证或护照）。</w:t>
      </w:r>
    </w:p>
    <w:p w14:paraId="09596E7F">
      <w:pPr>
        <w:pStyle w:val="13"/>
        <w:keepNext w:val="0"/>
        <w:keepLines w:val="0"/>
        <w:pageBreakBefore w:val="0"/>
        <w:tabs>
          <w:tab w:val="left" w:pos="312"/>
        </w:tabs>
        <w:kinsoku/>
        <w:wordWrap/>
        <w:overflowPunct/>
        <w:topLinePunct w:val="0"/>
        <w:autoSpaceDE/>
        <w:autoSpaceDN/>
        <w:bidi w:val="0"/>
        <w:adjustRightInd w:val="0"/>
        <w:snapToGrid w:val="0"/>
        <w:spacing w:before="0" w:beforeAutospacing="0" w:after="0" w:afterAutospacing="0" w:line="360" w:lineRule="auto"/>
        <w:textAlignment w:val="auto"/>
        <w:outlineLvl w:val="9"/>
        <w:rPr>
          <w:rFonts w:hint="eastAsia" w:ascii="仿宋" w:hAnsi="仿宋" w:eastAsia="仿宋" w:cs="仿宋"/>
          <w:bCs/>
          <w:color w:val="auto"/>
          <w:sz w:val="21"/>
          <w:szCs w:val="21"/>
          <w:highlight w:val="none"/>
        </w:rPr>
      </w:pPr>
    </w:p>
    <w:p w14:paraId="33118235">
      <w:pPr>
        <w:pStyle w:val="20"/>
        <w:keepNext w:val="0"/>
        <w:keepLines w:val="0"/>
        <w:pageBreakBefore w:val="0"/>
        <w:kinsoku/>
        <w:wordWrap/>
        <w:overflowPunct/>
        <w:topLinePunct w:val="0"/>
        <w:autoSpaceDE/>
        <w:autoSpaceDN/>
        <w:bidi w:val="0"/>
        <w:adjustRightInd w:val="0"/>
        <w:spacing w:line="360" w:lineRule="auto"/>
        <w:ind w:firstLine="42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B767FAA">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color w:val="auto"/>
          <w:kern w:val="0"/>
          <w:sz w:val="32"/>
          <w:szCs w:val="32"/>
          <w:highlight w:val="none"/>
        </w:rPr>
      </w:pPr>
    </w:p>
    <w:p w14:paraId="491B0F32">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24FE9343">
      <w:pPr>
        <w:keepNext w:val="0"/>
        <w:keepLines w:val="0"/>
        <w:pageBreakBefore w:val="0"/>
        <w:kinsoku/>
        <w:wordWrap/>
        <w:overflowPunct/>
        <w:topLinePunct w:val="0"/>
        <w:autoSpaceDE/>
        <w:autoSpaceDN/>
        <w:bidi w:val="0"/>
        <w:adjustRightInd w:val="0"/>
        <w:snapToGrid w:val="0"/>
        <w:spacing w:line="360" w:lineRule="auto"/>
        <w:ind w:right="482"/>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bookmarkStart w:id="531" w:name="_Toc17902"/>
      <w:bookmarkStart w:id="532" w:name="_Toc194286032"/>
      <w:r>
        <w:rPr>
          <w:rFonts w:hint="eastAsia" w:ascii="仿宋" w:hAnsi="仿宋" w:eastAsia="仿宋" w:cs="仿宋"/>
          <w:b/>
          <w:color w:val="auto"/>
          <w:kern w:val="0"/>
          <w:sz w:val="32"/>
          <w:szCs w:val="32"/>
          <w:highlight w:val="none"/>
        </w:rPr>
        <w:t>二、落实政府采购政策需满足的资格要求证明材料</w:t>
      </w:r>
      <w:bookmarkEnd w:id="531"/>
      <w:bookmarkEnd w:id="532"/>
    </w:p>
    <w:p w14:paraId="4A255CAA">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color w:val="auto"/>
          <w:highlight w:val="none"/>
        </w:rPr>
      </w:pPr>
      <w:r>
        <w:rPr>
          <w:rFonts w:hint="eastAsia" w:ascii="仿宋" w:hAnsi="仿宋" w:eastAsia="仿宋" w:cs="仿宋"/>
          <w:color w:val="auto"/>
          <w:sz w:val="24"/>
          <w:highlight w:val="none"/>
        </w:rPr>
        <w:t>（根据采购公告本项目的特定资格要求提供相应的材料）</w:t>
      </w:r>
    </w:p>
    <w:p w14:paraId="730A86A6">
      <w:pPr>
        <w:keepNext w:val="0"/>
        <w:keepLines w:val="0"/>
        <w:pageBreakBefore w:val="0"/>
        <w:kinsoku/>
        <w:wordWrap/>
        <w:overflowPunct/>
        <w:topLinePunct w:val="0"/>
        <w:autoSpaceDE/>
        <w:autoSpaceDN/>
        <w:bidi w:val="0"/>
        <w:adjustRightInd w:val="0"/>
        <w:snapToGrid w:val="0"/>
        <w:spacing w:before="50" w:after="50" w:line="360" w:lineRule="auto"/>
        <w:ind w:firstLine="470" w:firstLineChars="196"/>
        <w:jc w:val="left"/>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sz w:val="24"/>
          <w:highlight w:val="none"/>
        </w:rPr>
        <w:t>A.专</w:t>
      </w:r>
      <w:r>
        <w:rPr>
          <w:rFonts w:hint="eastAsia" w:ascii="仿宋" w:hAnsi="仿宋" w:eastAsia="仿宋" w:cs="仿宋"/>
          <w:color w:val="auto"/>
          <w:sz w:val="24"/>
          <w:highlight w:val="none"/>
        </w:rPr>
        <w:t xml:space="preserve">门面向中小企业，货物全部由符合政策要求的中小企业（或小微企业）制造或者服务全部由符合政策要求的中小企业（或小微企业）承接的，提供相应的中小企业声明函（附件5）。 </w:t>
      </w:r>
    </w:p>
    <w:p w14:paraId="2F00881A">
      <w:pPr>
        <w:keepNext w:val="0"/>
        <w:keepLines w:val="0"/>
        <w:pageBreakBefore w:val="0"/>
        <w:widowControl/>
        <w:kinsoku/>
        <w:wordWrap/>
        <w:overflowPunct/>
        <w:topLinePunct w:val="0"/>
        <w:autoSpaceDE/>
        <w:autoSpaceDN/>
        <w:bidi w:val="0"/>
        <w:adjustRightInd w:val="0"/>
        <w:spacing w:line="360" w:lineRule="auto"/>
        <w:ind w:firstLine="470" w:firstLineChars="196"/>
        <w:jc w:val="left"/>
        <w:textAlignment w:val="auto"/>
        <w:outlineLvl w:val="9"/>
        <w:rPr>
          <w:rFonts w:hint="eastAsia" w:ascii="仿宋" w:hAnsi="仿宋" w:eastAsia="仿宋" w:cs="仿宋"/>
          <w:color w:val="auto"/>
          <w:sz w:val="24"/>
          <w:highlight w:val="none"/>
        </w:rPr>
      </w:pPr>
      <w:r>
        <w:rPr>
          <w:rFonts w:hint="eastAsia" w:ascii="仿宋" w:hAnsi="仿宋" w:eastAsia="仿宋" w:cs="仿宋"/>
          <w:bCs/>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采购公告载明的比例；如果供应商本身提供所有标的均由中小企业制造或承接的，视同符合了资格条件，无需再与其他中小企业组成联合体参加政府采购活动，无需提供联合协议。</w:t>
      </w:r>
    </w:p>
    <w:p w14:paraId="4BCEA84B">
      <w:pPr>
        <w:keepNext w:val="0"/>
        <w:keepLines w:val="0"/>
        <w:pageBreakBefore w:val="0"/>
        <w:widowControl/>
        <w:kinsoku/>
        <w:wordWrap/>
        <w:overflowPunct/>
        <w:topLinePunct w:val="0"/>
        <w:autoSpaceDE/>
        <w:autoSpaceDN/>
        <w:bidi w:val="0"/>
        <w:adjustRightInd w:val="0"/>
        <w:spacing w:line="360" w:lineRule="auto"/>
        <w:ind w:firstLine="480"/>
        <w:jc w:val="left"/>
        <w:textAlignment w:val="auto"/>
        <w:outlineLvl w:val="9"/>
        <w:rPr>
          <w:rFonts w:hint="eastAsia" w:ascii="仿宋" w:hAnsi="仿宋" w:eastAsia="仿宋" w:cs="仿宋"/>
          <w:color w:val="auto"/>
          <w:sz w:val="24"/>
          <w:highlight w:val="none"/>
        </w:rPr>
      </w:pPr>
    </w:p>
    <w:p w14:paraId="46619BDB">
      <w:pPr>
        <w:keepNext w:val="0"/>
        <w:keepLines w:val="0"/>
        <w:pageBreakBefore w:val="0"/>
        <w:kinsoku/>
        <w:wordWrap/>
        <w:overflowPunct/>
        <w:topLinePunct w:val="0"/>
        <w:autoSpaceDE/>
        <w:autoSpaceDN/>
        <w:bidi w:val="0"/>
        <w:adjustRightInd w:val="0"/>
        <w:snapToGrid w:val="0"/>
        <w:spacing w:before="50" w:after="50" w:line="360" w:lineRule="auto"/>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14:paraId="3AF423F9">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磋商响应。 </w:t>
      </w:r>
    </w:p>
    <w:p w14:paraId="1E47AC31">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，代表所有联合体成员负责磋商响应和合同实施阶段的主办、协调工作</w:t>
      </w:r>
      <w:r>
        <w:rPr>
          <w:rFonts w:hint="eastAsia" w:ascii="仿宋" w:hAnsi="仿宋" w:eastAsia="仿宋" w:cs="仿宋"/>
          <w:color w:val="auto"/>
          <w:kern w:val="0"/>
          <w:sz w:val="24"/>
          <w:highlight w:val="none"/>
          <w:lang w:val="zh-CN"/>
        </w:rPr>
        <w:t>。</w:t>
      </w:r>
    </w:p>
    <w:p w14:paraId="456DC2E2">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授权代表根据采购文件规定及磋商响应内容而对采购人、采购代理机构所作的任何合法承诺，包括书面澄清及相应等均对联合磋商响应各方产生约束力。</w:t>
      </w:r>
    </w:p>
    <w:p w14:paraId="7CC7D4B7">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三、本次联合磋商响应中，分工如下：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5A7D7AD8">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bookmarkStart w:id="533" w:name="_Toc5861"/>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bookmarkEnd w:id="533"/>
    </w:p>
    <w:p w14:paraId="22AFF904">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1CB32547">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bookmarkStart w:id="534" w:name="_Toc28553"/>
      <w:r>
        <w:rPr>
          <w:rFonts w:hint="eastAsia" w:ascii="仿宋" w:hAnsi="仿宋" w:eastAsia="仿宋" w:cs="仿宋"/>
          <w:color w:val="auto"/>
          <w:kern w:val="0"/>
          <w:sz w:val="24"/>
          <w:highlight w:val="none"/>
          <w:lang w:val="zh-CN"/>
        </w:rPr>
        <w:t>六、有关本次联合磋商响应的其他事宜：</w:t>
      </w:r>
      <w:bookmarkEnd w:id="534"/>
    </w:p>
    <w:p w14:paraId="10D35937">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BB6A441">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E21125F">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0929E1B4">
      <w:pPr>
        <w:keepNext w:val="0"/>
        <w:keepLines w:val="0"/>
        <w:pageBreakBefore w:val="0"/>
        <w:kinsoku/>
        <w:wordWrap/>
        <w:overflowPunct/>
        <w:topLinePunct w:val="0"/>
        <w:autoSpaceDE/>
        <w:autoSpaceDN/>
        <w:bidi w:val="0"/>
        <w:adjustRightInd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DF69017">
      <w:pPr>
        <w:keepNext w:val="0"/>
        <w:keepLines w:val="0"/>
        <w:pageBreakBefore w:val="0"/>
        <w:kinsoku/>
        <w:wordWrap/>
        <w:overflowPunct/>
        <w:topLinePunct w:val="0"/>
        <w:autoSpaceDE/>
        <w:autoSpaceDN/>
        <w:bidi w:val="0"/>
        <w:adjustRightInd w:val="0"/>
        <w:snapToGrid w:val="0"/>
        <w:spacing w:line="360" w:lineRule="auto"/>
        <w:ind w:firstLine="5040" w:firstLine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671123">
      <w:pPr>
        <w:keepNext w:val="0"/>
        <w:keepLines w:val="0"/>
        <w:pageBreakBefore w:val="0"/>
        <w:kinsoku/>
        <w:wordWrap/>
        <w:overflowPunct/>
        <w:topLinePunct w:val="0"/>
        <w:autoSpaceDE/>
        <w:autoSpaceDN/>
        <w:bidi w:val="0"/>
        <w:adjustRightInd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DACA88D">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606249">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采购公告载明的比例；如果供应商本身提供所有标的均由中小企业制造或承接，视同符合了资格条件，无需再向中小企业分包，无需提供分包意向协议。</w:t>
      </w:r>
    </w:p>
    <w:p w14:paraId="10B64616">
      <w:pPr>
        <w:keepNext w:val="0"/>
        <w:keepLines w:val="0"/>
        <w:pageBreakBefore w:val="0"/>
        <w:kinsoku/>
        <w:wordWrap/>
        <w:overflowPunct/>
        <w:topLinePunct w:val="0"/>
        <w:autoSpaceDE/>
        <w:autoSpaceDN/>
        <w:bidi w:val="0"/>
        <w:adjustRightInd w:val="0"/>
        <w:snapToGrid w:val="0"/>
        <w:spacing w:line="360" w:lineRule="auto"/>
        <w:ind w:firstLine="3534" w:firstLineChars="1100"/>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7727FB7">
      <w:pPr>
        <w:keepNext w:val="0"/>
        <w:keepLines w:val="0"/>
        <w:pageBreakBefore w:val="0"/>
        <w:widowControl/>
        <w:kinsoku/>
        <w:wordWrap/>
        <w:overflowPunct/>
        <w:topLinePunct w:val="0"/>
        <w:autoSpaceDE/>
        <w:autoSpaceDN/>
        <w:bidi w:val="0"/>
        <w:adjustRightInd w:val="0"/>
        <w:spacing w:line="360" w:lineRule="auto"/>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1784402A">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20C5F8E">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bookmarkStart w:id="535" w:name="_Toc12338"/>
      <w:r>
        <w:rPr>
          <w:rFonts w:hint="eastAsia" w:ascii="仿宋" w:hAnsi="仿宋" w:eastAsia="仿宋" w:cs="仿宋"/>
          <w:color w:val="auto"/>
          <w:kern w:val="0"/>
          <w:sz w:val="24"/>
          <w:highlight w:val="none"/>
          <w:lang w:val="zh-CN"/>
        </w:rPr>
        <w:t>一、分包标的及数量</w:t>
      </w:r>
      <w:bookmarkEnd w:id="535"/>
    </w:p>
    <w:p w14:paraId="6E1D88EC">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747707E7">
      <w:pPr>
        <w:keepNext w:val="0"/>
        <w:keepLines w:val="0"/>
        <w:pageBreakBefore w:val="0"/>
        <w:tabs>
          <w:tab w:val="left" w:pos="432"/>
        </w:tabs>
        <w:kinsoku/>
        <w:wordWrap/>
        <w:overflowPunct/>
        <w:topLinePunct w:val="0"/>
        <w:autoSpaceDE/>
        <w:autoSpaceDN/>
        <w:bidi w:val="0"/>
        <w:adjustRightInd w:val="0"/>
        <w:ind w:left="664" w:leftChars="316" w:firstLine="228" w:firstLineChars="95"/>
        <w:textAlignment w:val="auto"/>
        <w:outlineLvl w:val="9"/>
        <w:rPr>
          <w:rFonts w:hint="eastAsia" w:ascii="仿宋" w:eastAsia="仿宋" w:cs="仿宋"/>
          <w:color w:val="auto"/>
          <w:highlight w:val="none"/>
        </w:rPr>
      </w:pPr>
      <w:bookmarkStart w:id="536" w:name="_Toc17715"/>
      <w:bookmarkStart w:id="537" w:name="_Toc8168"/>
      <w:bookmarkStart w:id="538" w:name="_Toc17331"/>
      <w:r>
        <w:rPr>
          <w:rFonts w:hint="eastAsia" w:ascii="仿宋" w:eastAsia="仿宋" w:cs="仿宋"/>
          <w:color w:val="auto"/>
          <w:sz w:val="24"/>
          <w:highlight w:val="none"/>
        </w:rPr>
        <w:t>……</w:t>
      </w:r>
      <w:bookmarkEnd w:id="536"/>
      <w:bookmarkEnd w:id="537"/>
      <w:bookmarkEnd w:id="538"/>
    </w:p>
    <w:p w14:paraId="0421B51B">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6522FF72">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7073E0B">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FF0B906">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F4A6022">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60BA8201">
      <w:pPr>
        <w:keepNext w:val="0"/>
        <w:keepLines w:val="0"/>
        <w:pageBreakBefore w:val="0"/>
        <w:kinsoku/>
        <w:wordWrap/>
        <w:overflowPunct/>
        <w:topLinePunct w:val="0"/>
        <w:autoSpaceDE/>
        <w:autoSpaceDN/>
        <w:bidi w:val="0"/>
        <w:adjustRightInd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CFE59F9">
      <w:pPr>
        <w:keepNext w:val="0"/>
        <w:keepLines w:val="0"/>
        <w:pageBreakBefore w:val="0"/>
        <w:kinsoku/>
        <w:wordWrap/>
        <w:overflowPunct/>
        <w:topLinePunct w:val="0"/>
        <w:autoSpaceDE/>
        <w:autoSpaceDN/>
        <w:bidi w:val="0"/>
        <w:adjustRightInd w:val="0"/>
        <w:snapToGrid w:val="0"/>
        <w:spacing w:line="360" w:lineRule="auto"/>
        <w:ind w:left="573" w:leftChars="273"/>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0D3F3616">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981CC98">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F5022AC">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EE40E1B">
      <w:pPr>
        <w:keepNext w:val="0"/>
        <w:keepLines w:val="0"/>
        <w:pageBreakBefore w:val="0"/>
        <w:kinsoku/>
        <w:wordWrap/>
        <w:overflowPunct/>
        <w:topLinePunct w:val="0"/>
        <w:autoSpaceDE/>
        <w:autoSpaceDN/>
        <w:bidi w:val="0"/>
        <w:adjustRightInd w:val="0"/>
        <w:snapToGrid w:val="0"/>
        <w:spacing w:line="360" w:lineRule="auto"/>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0DDA723F">
      <w:pPr>
        <w:keepNext w:val="0"/>
        <w:keepLines w:val="0"/>
        <w:pageBreakBefore w:val="0"/>
        <w:kinsoku/>
        <w:wordWrap/>
        <w:overflowPunct/>
        <w:topLinePunct w:val="0"/>
        <w:autoSpaceDE/>
        <w:autoSpaceDN/>
        <w:bidi w:val="0"/>
        <w:adjustRightInd w:val="0"/>
        <w:snapToGrid w:val="0"/>
        <w:spacing w:line="360" w:lineRule="auto"/>
        <w:ind w:left="5758" w:leftChars="342" w:hanging="5040" w:hangingChars="21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供应商名称(电子签名)：</w:t>
      </w:r>
    </w:p>
    <w:p w14:paraId="16D115F9">
      <w:pPr>
        <w:keepNext w:val="0"/>
        <w:keepLines w:val="0"/>
        <w:pageBreakBefore w:val="0"/>
        <w:kinsoku/>
        <w:wordWrap/>
        <w:overflowPunct/>
        <w:topLinePunct w:val="0"/>
        <w:autoSpaceDE/>
        <w:autoSpaceDN/>
        <w:bidi w:val="0"/>
        <w:adjustRightInd w:val="0"/>
        <w:snapToGrid w:val="0"/>
        <w:spacing w:line="360" w:lineRule="auto"/>
        <w:ind w:firstLine="5880" w:firstLineChars="245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7A8E2812">
      <w:pPr>
        <w:keepNext w:val="0"/>
        <w:keepLines w:val="0"/>
        <w:pageBreakBefore w:val="0"/>
        <w:kinsoku/>
        <w:wordWrap/>
        <w:overflowPunct/>
        <w:topLinePunct w:val="0"/>
        <w:autoSpaceDE/>
        <w:autoSpaceDN/>
        <w:bidi w:val="0"/>
        <w:adjustRightInd w:val="0"/>
        <w:snapToGrid w:val="0"/>
        <w:spacing w:line="360" w:lineRule="auto"/>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D6CF7AA">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BCF1AFC">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仿宋" w:hAnsi="仿宋" w:eastAsia="仿宋" w:cs="仿宋"/>
          <w:color w:val="auto"/>
          <w:sz w:val="24"/>
          <w:highlight w:val="none"/>
        </w:rPr>
      </w:pPr>
    </w:p>
    <w:p w14:paraId="2B477B1D">
      <w:pPr>
        <w:keepNext w:val="0"/>
        <w:keepLines w:val="0"/>
        <w:pageBreakBefore w:val="0"/>
        <w:widowControl/>
        <w:kinsoku/>
        <w:wordWrap/>
        <w:overflowPunct/>
        <w:topLinePunct w:val="0"/>
        <w:autoSpaceDE/>
        <w:autoSpaceDN/>
        <w:bidi w:val="0"/>
        <w:adjustRightInd w:val="0"/>
        <w:spacing w:line="360" w:lineRule="auto"/>
        <w:ind w:left="150"/>
        <w:jc w:val="center"/>
        <w:textAlignment w:val="auto"/>
        <w:outlineLvl w:val="9"/>
        <w:rPr>
          <w:rFonts w:hint="eastAsia" w:ascii="仿宋" w:hAnsi="仿宋" w:eastAsia="仿宋" w:cs="仿宋"/>
          <w:b/>
          <w:color w:val="auto"/>
          <w:kern w:val="0"/>
          <w:sz w:val="32"/>
          <w:szCs w:val="32"/>
          <w:highlight w:val="none"/>
        </w:rPr>
      </w:pPr>
    </w:p>
    <w:p w14:paraId="1B8F9ADE">
      <w:pPr>
        <w:keepNext w:val="0"/>
        <w:keepLines w:val="0"/>
        <w:pageBreakBefore w:val="0"/>
        <w:widowControl/>
        <w:kinsoku/>
        <w:wordWrap/>
        <w:overflowPunct/>
        <w:topLinePunct w:val="0"/>
        <w:autoSpaceDE/>
        <w:autoSpaceDN/>
        <w:bidi w:val="0"/>
        <w:adjustRightInd w:val="0"/>
        <w:spacing w:line="360" w:lineRule="auto"/>
        <w:ind w:left="147"/>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bookmarkStart w:id="539" w:name="_Toc18157"/>
      <w:bookmarkStart w:id="540" w:name="_Toc1190196384"/>
      <w:r>
        <w:rPr>
          <w:rFonts w:hint="eastAsia" w:ascii="仿宋" w:hAnsi="仿宋" w:eastAsia="仿宋" w:cs="仿宋"/>
          <w:b/>
          <w:color w:val="auto"/>
          <w:kern w:val="0"/>
          <w:sz w:val="32"/>
          <w:szCs w:val="32"/>
          <w:highlight w:val="none"/>
        </w:rPr>
        <w:t>三、本项目的特定资格要求</w:t>
      </w:r>
      <w:bookmarkEnd w:id="539"/>
      <w:bookmarkEnd w:id="540"/>
    </w:p>
    <w:p w14:paraId="1248349F">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（根据采购公告本项目的特定资格要求提供相应的材料；未要求，无需提供）</w:t>
      </w:r>
    </w:p>
    <w:p w14:paraId="31E0CCFC">
      <w:pPr>
        <w:keepNext w:val="0"/>
        <w:keepLines w:val="0"/>
        <w:pageBreakBefore w:val="0"/>
        <w:kinsoku/>
        <w:wordWrap/>
        <w:overflowPunct/>
        <w:topLinePunct w:val="0"/>
        <w:autoSpaceDE/>
        <w:autoSpaceDN/>
        <w:bidi w:val="0"/>
        <w:adjustRightInd w:val="0"/>
        <w:textAlignment w:val="auto"/>
        <w:outlineLvl w:val="9"/>
        <w:rPr>
          <w:rFonts w:hint="eastAsia" w:ascii="仿宋" w:hAnsi="仿宋" w:eastAsia="仿宋" w:cs="仿宋"/>
          <w:color w:val="auto"/>
          <w:highlight w:val="none"/>
        </w:rPr>
      </w:pPr>
    </w:p>
    <w:p w14:paraId="4E43722C">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57438B8B">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0CBAC118">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53F5FC45">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707878B0">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75B96573">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75ADF907">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p>
    <w:p w14:paraId="6A5F4802">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5E457AB6">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p>
    <w:p w14:paraId="7D2C20AA">
      <w:pPr>
        <w:keepNext w:val="0"/>
        <w:keepLines w:val="0"/>
        <w:pageBreakBefore w:val="0"/>
        <w:kinsoku/>
        <w:wordWrap/>
        <w:overflowPunct/>
        <w:topLinePunct w:val="0"/>
        <w:autoSpaceDE/>
        <w:autoSpaceDN/>
        <w:bidi w:val="0"/>
        <w:adjustRightInd w:val="0"/>
        <w:snapToGrid w:val="0"/>
        <w:spacing w:line="360" w:lineRule="auto"/>
        <w:ind w:right="480"/>
        <w:jc w:val="center"/>
        <w:textAlignment w:val="auto"/>
        <w:outlineLvl w:val="9"/>
        <w:rPr>
          <w:rFonts w:hint="eastAsia" w:ascii="仿宋" w:hAnsi="仿宋" w:eastAsia="仿宋" w:cs="仿宋"/>
          <w:b/>
          <w:color w:val="auto"/>
          <w:kern w:val="0"/>
          <w:sz w:val="32"/>
          <w:szCs w:val="32"/>
          <w:highlight w:val="none"/>
        </w:rPr>
      </w:pPr>
    </w:p>
    <w:p w14:paraId="5CE12D9E">
      <w:pPr>
        <w:keepNext w:val="0"/>
        <w:keepLines w:val="0"/>
        <w:pageBreakBefore w:val="0"/>
        <w:kinsoku/>
        <w:wordWrap/>
        <w:overflowPunct/>
        <w:topLinePunct w:val="0"/>
        <w:autoSpaceDE/>
        <w:autoSpaceDN/>
        <w:bidi w:val="0"/>
        <w:adjustRightInd w:val="0"/>
        <w:spacing w:line="360" w:lineRule="auto"/>
        <w:jc w:val="center"/>
        <w:textAlignment w:val="auto"/>
        <w:outlineLvl w:val="9"/>
        <w:rPr>
          <w:rFonts w:hint="eastAsia" w:ascii="仿宋" w:hAnsi="仿宋" w:eastAsia="仿宋" w:cs="仿宋"/>
          <w:b/>
          <w:color w:val="auto"/>
          <w:kern w:val="0"/>
          <w:sz w:val="36"/>
          <w:szCs w:val="36"/>
          <w:highlight w:val="none"/>
        </w:rPr>
      </w:pPr>
    </w:p>
    <w:p w14:paraId="7279C3A2">
      <w:pPr>
        <w:keepNext w:val="0"/>
        <w:keepLines w:val="0"/>
        <w:pageBreakBefore w:val="0"/>
        <w:widowControl/>
        <w:kinsoku/>
        <w:wordWrap/>
        <w:overflowPunct/>
        <w:topLinePunct w:val="0"/>
        <w:autoSpaceDE/>
        <w:autoSpaceDN/>
        <w:bidi w:val="0"/>
        <w:adjustRightInd w:val="0"/>
        <w:spacing w:line="360" w:lineRule="auto"/>
        <w:ind w:left="147"/>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br w:type="page"/>
      </w:r>
      <w:bookmarkStart w:id="541" w:name="_Toc1967937730"/>
      <w:bookmarkStart w:id="542" w:name="_Toc3914"/>
      <w:r>
        <w:rPr>
          <w:rFonts w:hint="eastAsia" w:ascii="仿宋" w:hAnsi="仿宋" w:eastAsia="仿宋" w:cs="仿宋"/>
          <w:b/>
          <w:color w:val="auto"/>
          <w:kern w:val="0"/>
          <w:sz w:val="32"/>
          <w:szCs w:val="32"/>
          <w:highlight w:val="none"/>
        </w:rPr>
        <w:t>四、政府采购活动现场确认声明书</w:t>
      </w:r>
      <w:bookmarkEnd w:id="541"/>
      <w:bookmarkEnd w:id="542"/>
    </w:p>
    <w:p w14:paraId="2EA40189">
      <w:pPr>
        <w:keepNext w:val="0"/>
        <w:keepLines w:val="0"/>
        <w:pageBreakBefore w:val="0"/>
        <w:kinsoku/>
        <w:wordWrap/>
        <w:overflowPunct/>
        <w:topLinePunct w:val="0"/>
        <w:autoSpaceDE/>
        <w:autoSpaceDN/>
        <w:bidi w:val="0"/>
        <w:adjustRightInd w:val="0"/>
        <w:spacing w:line="460" w:lineRule="exact"/>
        <w:textAlignment w:val="auto"/>
        <w:outlineLvl w:val="9"/>
        <w:rPr>
          <w:rFonts w:hint="eastAsia" w:ascii="仿宋" w:hAnsi="仿宋" w:eastAsia="仿宋" w:cs="仿宋"/>
          <w:b/>
          <w:bCs/>
          <w:color w:val="auto"/>
          <w:sz w:val="22"/>
          <w:szCs w:val="22"/>
          <w:highlight w:val="none"/>
        </w:rPr>
      </w:pPr>
    </w:p>
    <w:p w14:paraId="2DAE96A2">
      <w:pPr>
        <w:keepNext w:val="0"/>
        <w:keepLines w:val="0"/>
        <w:pageBreakBefore w:val="0"/>
        <w:kinsoku/>
        <w:wordWrap/>
        <w:overflowPunct/>
        <w:topLinePunct w:val="0"/>
        <w:autoSpaceDE/>
        <w:autoSpaceDN/>
        <w:bidi w:val="0"/>
        <w:adjustRightInd w:val="0"/>
        <w:spacing w:line="460" w:lineRule="exact"/>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color w:val="auto"/>
          <w:sz w:val="24"/>
          <w:highlight w:val="none"/>
        </w:rPr>
        <w:t>温州历程招标有限公司：</w:t>
      </w:r>
    </w:p>
    <w:p w14:paraId="21FD7654">
      <w:pPr>
        <w:keepNext w:val="0"/>
        <w:keepLines w:val="0"/>
        <w:pageBreakBefore w:val="0"/>
        <w:kinsoku/>
        <w:wordWrap/>
        <w:overflowPunct/>
        <w:topLinePunct w:val="0"/>
        <w:autoSpaceDE/>
        <w:autoSpaceDN/>
        <w:bidi w:val="0"/>
        <w:adjustRightInd w:val="0"/>
        <w:spacing w:line="460" w:lineRule="exact"/>
        <w:ind w:firstLine="44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2"/>
          <w:szCs w:val="22"/>
          <w:highlight w:val="none"/>
        </w:rPr>
        <w:t>本人经由</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（供应商名称）负责人</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（姓名）合法授权参加</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项目（编号：</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）采购活动，经与本单位法人代表（负责人）联系确认，现就有关公平竞争事项郑重声明如下：</w:t>
      </w:r>
    </w:p>
    <w:p w14:paraId="17B63420">
      <w:pPr>
        <w:keepNext w:val="0"/>
        <w:keepLines w:val="0"/>
        <w:pageBreakBefore w:val="0"/>
        <w:numPr>
          <w:ilvl w:val="0"/>
          <w:numId w:val="9"/>
        </w:numPr>
        <w:kinsoku/>
        <w:wordWrap/>
        <w:overflowPunct/>
        <w:topLinePunct w:val="0"/>
        <w:autoSpaceDE/>
        <w:autoSpaceDN/>
        <w:bidi w:val="0"/>
        <w:adjustRightInd w:val="0"/>
        <w:spacing w:line="460" w:lineRule="exac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本单位与招标人之间 □不存在利害关系 □存在下列利害关系：</w:t>
      </w:r>
    </w:p>
    <w:p w14:paraId="21798534">
      <w:pPr>
        <w:keepNext w:val="0"/>
        <w:keepLines w:val="0"/>
        <w:pageBreakBefore w:val="0"/>
        <w:numPr>
          <w:ilvl w:val="0"/>
          <w:numId w:val="9"/>
        </w:numPr>
        <w:kinsoku/>
        <w:wordWrap/>
        <w:overflowPunct/>
        <w:topLinePunct w:val="0"/>
        <w:autoSpaceDE/>
        <w:autoSpaceDN/>
        <w:bidi w:val="0"/>
        <w:adjustRightInd w:val="0"/>
        <w:spacing w:line="460" w:lineRule="exac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      A.投资关系    </w:t>
      </w:r>
    </w:p>
    <w:p w14:paraId="6B66CCC5">
      <w:pPr>
        <w:keepNext w:val="0"/>
        <w:keepLines w:val="0"/>
        <w:pageBreakBefore w:val="0"/>
        <w:kinsoku/>
        <w:wordWrap/>
        <w:overflowPunct/>
        <w:topLinePunct w:val="0"/>
        <w:autoSpaceDE/>
        <w:autoSpaceDN/>
        <w:bidi w:val="0"/>
        <w:adjustRightInd w:val="0"/>
        <w:spacing w:line="460" w:lineRule="exact"/>
        <w:ind w:firstLine="660" w:firstLineChars="3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B.行政隶属关系    </w:t>
      </w:r>
    </w:p>
    <w:p w14:paraId="22055DB4">
      <w:pPr>
        <w:keepNext w:val="0"/>
        <w:keepLines w:val="0"/>
        <w:pageBreakBefore w:val="0"/>
        <w:kinsoku/>
        <w:wordWrap/>
        <w:overflowPunct/>
        <w:topLinePunct w:val="0"/>
        <w:autoSpaceDE/>
        <w:autoSpaceDN/>
        <w:bidi w:val="0"/>
        <w:adjustRightInd w:val="0"/>
        <w:spacing w:line="460" w:lineRule="exact"/>
        <w:ind w:firstLine="660" w:firstLineChars="3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C.业务指导关系  </w:t>
      </w:r>
    </w:p>
    <w:p w14:paraId="25045654">
      <w:pPr>
        <w:keepNext w:val="0"/>
        <w:keepLines w:val="0"/>
        <w:pageBreakBefore w:val="0"/>
        <w:kinsoku/>
        <w:wordWrap/>
        <w:overflowPunct/>
        <w:topLinePunct w:val="0"/>
        <w:autoSpaceDE/>
        <w:autoSpaceDN/>
        <w:bidi w:val="0"/>
        <w:adjustRightInd w:val="0"/>
        <w:spacing w:line="460" w:lineRule="exact"/>
        <w:ind w:firstLine="660" w:firstLineChars="300"/>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D.其他可能影响采购公正的利害关系</w:t>
      </w:r>
      <w:r>
        <w:rPr>
          <w:rStyle w:val="24"/>
          <w:rFonts w:hint="default"/>
          <w:color w:val="auto"/>
          <w:sz w:val="22"/>
          <w:szCs w:val="22"/>
          <w:highlight w:val="none"/>
        </w:rPr>
        <w:t xml:space="preserve">（如有，请如实说明）                 </w:t>
      </w:r>
      <w:r>
        <w:rPr>
          <w:rFonts w:hint="eastAsia" w:ascii="仿宋" w:hAnsi="仿宋" w:eastAsia="仿宋" w:cs="仿宋"/>
          <w:color w:val="auto"/>
          <w:kern w:val="0"/>
          <w:sz w:val="22"/>
          <w:szCs w:val="22"/>
          <w:highlight w:val="none"/>
        </w:rPr>
        <w:t>。</w:t>
      </w:r>
    </w:p>
    <w:p w14:paraId="6CF06E3A">
      <w:pPr>
        <w:keepNext w:val="0"/>
        <w:keepLines w:val="0"/>
        <w:pageBreakBefore w:val="0"/>
        <w:numPr>
          <w:ilvl w:val="0"/>
          <w:numId w:val="9"/>
        </w:numPr>
        <w:kinsoku/>
        <w:wordWrap/>
        <w:overflowPunct/>
        <w:topLinePunct w:val="0"/>
        <w:autoSpaceDE/>
        <w:autoSpaceDN/>
        <w:bidi w:val="0"/>
        <w:adjustRightInd w:val="0"/>
        <w:spacing w:line="460" w:lineRule="exact"/>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现已清楚知道参加本项目采购活动的其他所有供应商名称，本单位 </w:t>
      </w:r>
    </w:p>
    <w:p w14:paraId="441262BF">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 xml:space="preserve">□与其他所有供应商之间均不存在利害关系 </w:t>
      </w:r>
    </w:p>
    <w:p w14:paraId="3CF2AF1C">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□与</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供应商名称）之间存在下列利害关系</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w:t>
      </w:r>
    </w:p>
    <w:p w14:paraId="78C03F31">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A.法定代表人或负责人或实际控制人是同一人</w:t>
      </w:r>
    </w:p>
    <w:p w14:paraId="71D1CCF2">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B.法定代表人或负责人或实际控制人是夫妻关系</w:t>
      </w:r>
    </w:p>
    <w:p w14:paraId="788F79DB">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C.法定代表人或负责人或实际控制人是直系血亲关系</w:t>
      </w:r>
    </w:p>
    <w:p w14:paraId="6CAB9E94">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D.法定代表人或负责人或实际控制人存在三代以内旁系血亲关系</w:t>
      </w:r>
    </w:p>
    <w:p w14:paraId="32613AFF">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E.法定代表人或负责人或实际控制人存在近姻亲关系</w:t>
      </w:r>
    </w:p>
    <w:p w14:paraId="5EA88BBD">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F.法定代表人或负责人或实际控制人存在股份控制或实际控制关系</w:t>
      </w:r>
    </w:p>
    <w:p w14:paraId="2EBA8E34">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G.存在共同直接或间接投资设立子公司、联营企业和合营企业情况</w:t>
      </w:r>
    </w:p>
    <w:p w14:paraId="4AC77246">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5F468542">
      <w:pPr>
        <w:keepNext w:val="0"/>
        <w:keepLines w:val="0"/>
        <w:pageBreakBefore w:val="0"/>
        <w:kinsoku/>
        <w:wordWrap/>
        <w:overflowPunct/>
        <w:topLinePunct w:val="0"/>
        <w:autoSpaceDE/>
        <w:autoSpaceDN/>
        <w:bidi w:val="0"/>
        <w:adjustRightInd w:val="0"/>
        <w:spacing w:line="460" w:lineRule="exact"/>
        <w:ind w:left="210" w:leftChars="10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I.其他利害关系情况</w:t>
      </w:r>
      <w:r>
        <w:rPr>
          <w:rFonts w:hint="eastAsia" w:ascii="仿宋" w:hAnsi="仿宋" w:eastAsia="仿宋" w:cs="仿宋"/>
          <w:color w:val="auto"/>
          <w:kern w:val="0"/>
          <w:sz w:val="22"/>
          <w:szCs w:val="22"/>
          <w:highlight w:val="none"/>
          <w:u w:val="single"/>
        </w:rPr>
        <w:t xml:space="preserve">                              。</w:t>
      </w:r>
    </w:p>
    <w:p w14:paraId="6D14ED27">
      <w:pPr>
        <w:pStyle w:val="7"/>
        <w:keepNext w:val="0"/>
        <w:keepLines w:val="0"/>
        <w:pageBreakBefore w:val="0"/>
        <w:kinsoku/>
        <w:wordWrap/>
        <w:overflowPunct/>
        <w:topLinePunct w:val="0"/>
        <w:autoSpaceDE/>
        <w:autoSpaceDN/>
        <w:bidi w:val="0"/>
        <w:adjustRightInd w:val="0"/>
        <w:spacing w:line="460" w:lineRule="exact"/>
        <w:ind w:firstLine="0" w:firstLineChars="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（三）现已清楚知道并严格遵守政府采购法律法规和现场纪律</w:t>
      </w:r>
    </w:p>
    <w:p w14:paraId="3C43653F">
      <w:pPr>
        <w:pStyle w:val="7"/>
        <w:keepNext w:val="0"/>
        <w:keepLines w:val="0"/>
        <w:pageBreakBefore w:val="0"/>
        <w:kinsoku/>
        <w:wordWrap/>
        <w:overflowPunct/>
        <w:topLinePunct w:val="0"/>
        <w:autoSpaceDE/>
        <w:autoSpaceDN/>
        <w:bidi w:val="0"/>
        <w:adjustRightInd w:val="0"/>
        <w:spacing w:line="460" w:lineRule="exact"/>
        <w:ind w:firstLine="0" w:firstLineChars="0"/>
        <w:textAlignment w:val="auto"/>
        <w:outlineLvl w:val="9"/>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（四）我发现</w:t>
      </w:r>
      <w:r>
        <w:rPr>
          <w:rStyle w:val="24"/>
          <w:rFonts w:hint="default"/>
          <w:color w:val="auto"/>
          <w:sz w:val="22"/>
          <w:szCs w:val="22"/>
          <w:highlight w:val="none"/>
        </w:rPr>
        <w:t xml:space="preserve">                  与                  （供应商名称）</w:t>
      </w:r>
      <w:r>
        <w:rPr>
          <w:rFonts w:hint="eastAsia" w:ascii="仿宋" w:hAnsi="仿宋" w:eastAsia="仿宋" w:cs="仿宋"/>
          <w:color w:val="auto"/>
          <w:kern w:val="0"/>
          <w:sz w:val="22"/>
          <w:szCs w:val="22"/>
          <w:highlight w:val="none"/>
        </w:rPr>
        <w:t>之间存在或可能存在上述第二条第</w:t>
      </w:r>
      <w:r>
        <w:rPr>
          <w:rStyle w:val="24"/>
          <w:rFonts w:hint="default"/>
          <w:color w:val="auto"/>
          <w:sz w:val="22"/>
          <w:szCs w:val="22"/>
          <w:highlight w:val="none"/>
        </w:rPr>
        <w:t xml:space="preserve">        </w:t>
      </w:r>
      <w:r>
        <w:rPr>
          <w:rFonts w:hint="eastAsia" w:ascii="仿宋" w:hAnsi="仿宋" w:eastAsia="仿宋" w:cs="仿宋"/>
          <w:color w:val="auto"/>
          <w:kern w:val="0"/>
          <w:sz w:val="22"/>
          <w:szCs w:val="22"/>
          <w:highlight w:val="none"/>
        </w:rPr>
        <w:t>项利害关系。</w:t>
      </w:r>
    </w:p>
    <w:p w14:paraId="1472C1E9">
      <w:pPr>
        <w:pStyle w:val="7"/>
        <w:keepNext w:val="0"/>
        <w:keepLines w:val="0"/>
        <w:pageBreakBefore w:val="0"/>
        <w:kinsoku/>
        <w:wordWrap/>
        <w:overflowPunct/>
        <w:topLinePunct w:val="0"/>
        <w:autoSpaceDE/>
        <w:autoSpaceDN/>
        <w:bidi w:val="0"/>
        <w:adjustRightInd w:val="0"/>
        <w:spacing w:line="460" w:lineRule="exact"/>
        <w:ind w:firstLine="0" w:firstLineChars="0"/>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供应商代表签名：</w:t>
      </w:r>
    </w:p>
    <w:p w14:paraId="55EBA2A7">
      <w:pPr>
        <w:pStyle w:val="7"/>
        <w:keepNext w:val="0"/>
        <w:keepLines w:val="0"/>
        <w:pageBreakBefore w:val="0"/>
        <w:kinsoku/>
        <w:wordWrap/>
        <w:overflowPunct/>
        <w:topLinePunct w:val="0"/>
        <w:autoSpaceDE/>
        <w:autoSpaceDN/>
        <w:bidi w:val="0"/>
        <w:adjustRightInd w:val="0"/>
        <w:spacing w:line="460" w:lineRule="exact"/>
        <w:ind w:firstLine="0" w:firstLineChars="0"/>
        <w:jc w:val="right"/>
        <w:textAlignment w:val="auto"/>
        <w:outlineLvl w:val="9"/>
        <w:rPr>
          <w:rFonts w:hint="eastAsia" w:ascii="仿宋" w:hAnsi="仿宋" w:eastAsia="仿宋" w:cs="仿宋"/>
          <w:b/>
          <w:color w:val="auto"/>
          <w:kern w:val="0"/>
          <w:sz w:val="22"/>
          <w:szCs w:val="22"/>
          <w:highlight w:val="none"/>
        </w:rPr>
      </w:pPr>
    </w:p>
    <w:p w14:paraId="4713FA3F">
      <w:pPr>
        <w:pStyle w:val="7"/>
        <w:keepNext w:val="0"/>
        <w:keepLines w:val="0"/>
        <w:pageBreakBefore w:val="0"/>
        <w:kinsoku/>
        <w:wordWrap/>
        <w:overflowPunct/>
        <w:topLinePunct w:val="0"/>
        <w:autoSpaceDE/>
        <w:autoSpaceDN/>
        <w:bidi w:val="0"/>
        <w:adjustRightInd w:val="0"/>
        <w:spacing w:line="460" w:lineRule="exact"/>
        <w:ind w:firstLine="0" w:firstLineChars="0"/>
        <w:jc w:val="right"/>
        <w:textAlignment w:val="auto"/>
        <w:outlineLvl w:val="9"/>
        <w:rPr>
          <w:rFonts w:hint="eastAsia" w:ascii="仿宋" w:hAnsi="仿宋" w:eastAsia="仿宋" w:cs="仿宋"/>
          <w:b/>
          <w:bCs/>
          <w:color w:val="auto"/>
          <w:sz w:val="22"/>
          <w:szCs w:val="22"/>
          <w:highlight w:val="none"/>
        </w:rPr>
      </w:pPr>
      <w:r>
        <w:rPr>
          <w:rFonts w:hint="eastAsia" w:ascii="仿宋" w:hAnsi="仿宋" w:eastAsia="仿宋" w:cs="仿宋"/>
          <w:b/>
          <w:color w:val="auto"/>
          <w:kern w:val="0"/>
          <w:sz w:val="22"/>
          <w:szCs w:val="22"/>
          <w:highlight w:val="none"/>
        </w:rPr>
        <w:t>日期：2024年    月    日</w:t>
      </w:r>
    </w:p>
    <w:p w14:paraId="015F13D6">
      <w:pPr>
        <w:spacing w:line="360" w:lineRule="auto"/>
        <w:ind w:right="420" w:firstLine="3614" w:firstLineChars="1000"/>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bookmarkStart w:id="543" w:name="_Toc1733780663"/>
      <w:bookmarkStart w:id="544" w:name="_Toc3191"/>
      <w:r>
        <w:rPr>
          <w:rStyle w:val="19"/>
          <w:rFonts w:hint="eastAsia" w:ascii="仿宋" w:eastAsia="仿宋" w:cs="仿宋"/>
          <w:color w:val="auto"/>
          <w:highlight w:val="none"/>
        </w:rPr>
        <w:t>商务技术文件部分</w:t>
      </w:r>
      <w:bookmarkEnd w:id="543"/>
      <w:bookmarkEnd w:id="544"/>
    </w:p>
    <w:p w14:paraId="15A840BC">
      <w:pPr>
        <w:spacing w:line="360" w:lineRule="auto"/>
        <w:jc w:val="center"/>
        <w:rPr>
          <w:rFonts w:hint="eastAsia" w:ascii="仿宋" w:hAnsi="仿宋" w:eastAsia="仿宋" w:cs="仿宋"/>
          <w:b/>
          <w:color w:val="auto"/>
          <w:kern w:val="0"/>
          <w:sz w:val="24"/>
          <w:highlight w:val="none"/>
        </w:rPr>
      </w:pPr>
    </w:p>
    <w:p w14:paraId="333DA853">
      <w:pPr>
        <w:spacing w:line="360" w:lineRule="auto"/>
        <w:jc w:val="center"/>
        <w:rPr>
          <w:rFonts w:hint="eastAsia" w:ascii="仿宋" w:hAnsi="仿宋" w:eastAsia="仿宋" w:cs="仿宋"/>
          <w:b/>
          <w:color w:val="auto"/>
          <w:kern w:val="0"/>
          <w:sz w:val="28"/>
          <w:szCs w:val="28"/>
          <w:highlight w:val="none"/>
        </w:rPr>
      </w:pPr>
      <w:bookmarkStart w:id="545" w:name="_Toc23620"/>
      <w:bookmarkStart w:id="546" w:name="_Toc11049"/>
      <w:bookmarkStart w:id="547" w:name="_Toc23572"/>
      <w:r>
        <w:rPr>
          <w:rFonts w:hint="eastAsia" w:ascii="仿宋" w:hAnsi="仿宋" w:eastAsia="仿宋" w:cs="仿宋"/>
          <w:b/>
          <w:color w:val="auto"/>
          <w:kern w:val="0"/>
          <w:sz w:val="28"/>
          <w:szCs w:val="28"/>
          <w:highlight w:val="none"/>
        </w:rPr>
        <w:t>目录</w:t>
      </w:r>
      <w:bookmarkEnd w:id="545"/>
      <w:bookmarkEnd w:id="546"/>
      <w:bookmarkEnd w:id="547"/>
    </w:p>
    <w:p w14:paraId="4C0FD70B">
      <w:pPr>
        <w:numPr>
          <w:ilvl w:val="0"/>
          <w:numId w:val="10"/>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报价声明函</w:t>
      </w:r>
      <w:r>
        <w:rPr>
          <w:rFonts w:hint="eastAsia" w:ascii="仿宋" w:hAnsi="仿宋" w:eastAsia="仿宋" w:cs="仿宋"/>
          <w:color w:val="auto"/>
          <w:highlight w:val="none"/>
        </w:rPr>
        <w:t>……………………………………………………………………………（页码）</w:t>
      </w:r>
    </w:p>
    <w:p w14:paraId="67440F4C">
      <w:pPr>
        <w:numPr>
          <w:ilvl w:val="0"/>
          <w:numId w:val="10"/>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535D294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46D1B8A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（4）评审标准相应的商务技术资料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462BF53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05520FB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348A0D45">
      <w:pPr>
        <w:snapToGrid w:val="0"/>
        <w:spacing w:line="360" w:lineRule="auto"/>
        <w:jc w:val="center"/>
        <w:rPr>
          <w:rFonts w:hint="eastAsia" w:ascii="仿宋" w:hAnsi="仿宋" w:eastAsia="仿宋" w:cs="仿宋"/>
          <w:b/>
          <w:color w:val="auto"/>
          <w:kern w:val="0"/>
          <w:sz w:val="32"/>
          <w:szCs w:val="32"/>
          <w:highlight w:val="none"/>
          <w:lang w:val="zh-CN"/>
        </w:rPr>
      </w:pPr>
    </w:p>
    <w:p w14:paraId="0D15D4CC">
      <w:pPr>
        <w:snapToGrid w:val="0"/>
        <w:spacing w:line="360" w:lineRule="auto"/>
        <w:jc w:val="center"/>
        <w:rPr>
          <w:rFonts w:hint="eastAsia" w:ascii="仿宋" w:hAnsi="仿宋" w:eastAsia="仿宋" w:cs="仿宋"/>
          <w:b/>
          <w:color w:val="auto"/>
          <w:kern w:val="0"/>
          <w:sz w:val="32"/>
          <w:szCs w:val="32"/>
          <w:highlight w:val="none"/>
          <w:lang w:val="zh-CN"/>
        </w:rPr>
      </w:pPr>
    </w:p>
    <w:p w14:paraId="6ABB1F0E">
      <w:pPr>
        <w:snapToGrid w:val="0"/>
        <w:spacing w:line="360" w:lineRule="auto"/>
        <w:jc w:val="center"/>
        <w:rPr>
          <w:rFonts w:hint="eastAsia" w:ascii="仿宋" w:hAnsi="仿宋" w:eastAsia="仿宋" w:cs="仿宋"/>
          <w:b/>
          <w:color w:val="auto"/>
          <w:kern w:val="0"/>
          <w:sz w:val="32"/>
          <w:szCs w:val="32"/>
          <w:highlight w:val="none"/>
          <w:lang w:val="zh-CN"/>
        </w:rPr>
      </w:pPr>
    </w:p>
    <w:p w14:paraId="7EA7A72A">
      <w:pPr>
        <w:snapToGrid w:val="0"/>
        <w:spacing w:line="360" w:lineRule="auto"/>
        <w:jc w:val="center"/>
        <w:rPr>
          <w:rFonts w:hint="eastAsia" w:ascii="仿宋" w:hAnsi="仿宋" w:eastAsia="仿宋" w:cs="仿宋"/>
          <w:b/>
          <w:color w:val="auto"/>
          <w:kern w:val="0"/>
          <w:sz w:val="32"/>
          <w:szCs w:val="32"/>
          <w:highlight w:val="none"/>
          <w:lang w:val="zh-CN"/>
        </w:rPr>
      </w:pPr>
    </w:p>
    <w:p w14:paraId="0C980389">
      <w:pPr>
        <w:snapToGrid w:val="0"/>
        <w:spacing w:line="360" w:lineRule="auto"/>
        <w:jc w:val="center"/>
        <w:rPr>
          <w:rFonts w:hint="eastAsia" w:ascii="仿宋" w:hAnsi="仿宋" w:eastAsia="仿宋" w:cs="仿宋"/>
          <w:b/>
          <w:color w:val="auto"/>
          <w:kern w:val="0"/>
          <w:sz w:val="32"/>
          <w:szCs w:val="32"/>
          <w:highlight w:val="none"/>
          <w:lang w:val="zh-CN"/>
        </w:rPr>
      </w:pPr>
    </w:p>
    <w:p w14:paraId="2B5FC6E2">
      <w:pPr>
        <w:snapToGrid w:val="0"/>
        <w:spacing w:line="360" w:lineRule="auto"/>
        <w:jc w:val="center"/>
        <w:rPr>
          <w:rFonts w:hint="eastAsia" w:ascii="仿宋" w:hAnsi="仿宋" w:eastAsia="仿宋" w:cs="仿宋"/>
          <w:b/>
          <w:color w:val="auto"/>
          <w:kern w:val="0"/>
          <w:sz w:val="32"/>
          <w:szCs w:val="32"/>
          <w:highlight w:val="none"/>
        </w:rPr>
      </w:pPr>
    </w:p>
    <w:p w14:paraId="5BD379B0">
      <w:pPr>
        <w:snapToGrid w:val="0"/>
        <w:spacing w:line="360" w:lineRule="auto"/>
        <w:jc w:val="center"/>
        <w:rPr>
          <w:rFonts w:hint="eastAsia" w:ascii="仿宋" w:hAnsi="仿宋" w:eastAsia="仿宋" w:cs="仿宋"/>
          <w:b/>
          <w:color w:val="auto"/>
          <w:kern w:val="0"/>
          <w:sz w:val="32"/>
          <w:szCs w:val="32"/>
          <w:highlight w:val="none"/>
        </w:rPr>
      </w:pPr>
    </w:p>
    <w:p w14:paraId="59714B24">
      <w:pPr>
        <w:rPr>
          <w:rFonts w:hint="eastAsia" w:ascii="仿宋" w:hAnsi="仿宋" w:eastAsia="仿宋" w:cs="仿宋"/>
          <w:color w:val="auto"/>
          <w:highlight w:val="none"/>
        </w:rPr>
      </w:pPr>
    </w:p>
    <w:p w14:paraId="2AE7479B">
      <w:pPr>
        <w:snapToGrid w:val="0"/>
        <w:spacing w:line="360" w:lineRule="auto"/>
        <w:jc w:val="center"/>
        <w:rPr>
          <w:rFonts w:hint="eastAsia" w:ascii="仿宋" w:hAnsi="仿宋" w:eastAsia="仿宋" w:cs="仿宋"/>
          <w:b/>
          <w:color w:val="auto"/>
          <w:kern w:val="0"/>
          <w:sz w:val="32"/>
          <w:szCs w:val="32"/>
          <w:highlight w:val="none"/>
        </w:rPr>
      </w:pPr>
    </w:p>
    <w:p w14:paraId="0E734E82">
      <w:pPr>
        <w:snapToGrid w:val="0"/>
        <w:spacing w:line="360" w:lineRule="auto"/>
        <w:jc w:val="center"/>
        <w:rPr>
          <w:rFonts w:hint="eastAsia" w:ascii="仿宋" w:hAnsi="仿宋" w:eastAsia="仿宋" w:cs="仿宋"/>
          <w:b/>
          <w:color w:val="auto"/>
          <w:kern w:val="0"/>
          <w:sz w:val="32"/>
          <w:szCs w:val="32"/>
          <w:highlight w:val="none"/>
        </w:rPr>
      </w:pPr>
    </w:p>
    <w:p w14:paraId="0D6C4652">
      <w:pPr>
        <w:snapToGrid w:val="0"/>
        <w:spacing w:line="360" w:lineRule="auto"/>
        <w:jc w:val="center"/>
        <w:rPr>
          <w:rFonts w:hint="eastAsia" w:ascii="仿宋" w:hAnsi="仿宋" w:eastAsia="仿宋" w:cs="仿宋"/>
          <w:b/>
          <w:color w:val="auto"/>
          <w:kern w:val="0"/>
          <w:sz w:val="32"/>
          <w:szCs w:val="32"/>
          <w:highlight w:val="none"/>
        </w:rPr>
      </w:pPr>
    </w:p>
    <w:p w14:paraId="76290CB1">
      <w:pPr>
        <w:snapToGrid w:val="0"/>
        <w:spacing w:line="360" w:lineRule="auto"/>
        <w:jc w:val="center"/>
        <w:rPr>
          <w:rFonts w:hint="eastAsia" w:ascii="仿宋" w:hAnsi="仿宋" w:eastAsia="仿宋" w:cs="仿宋"/>
          <w:b/>
          <w:color w:val="auto"/>
          <w:kern w:val="0"/>
          <w:sz w:val="32"/>
          <w:szCs w:val="32"/>
          <w:highlight w:val="none"/>
        </w:rPr>
      </w:pPr>
    </w:p>
    <w:p w14:paraId="4EC847D3">
      <w:pPr>
        <w:snapToGrid w:val="0"/>
        <w:spacing w:line="360" w:lineRule="auto"/>
        <w:jc w:val="center"/>
        <w:rPr>
          <w:rFonts w:hint="eastAsia" w:ascii="仿宋" w:hAnsi="仿宋" w:eastAsia="仿宋" w:cs="仿宋"/>
          <w:b/>
          <w:color w:val="auto"/>
          <w:kern w:val="0"/>
          <w:sz w:val="32"/>
          <w:szCs w:val="32"/>
          <w:highlight w:val="none"/>
        </w:rPr>
      </w:pPr>
    </w:p>
    <w:p w14:paraId="634810C7">
      <w:pPr>
        <w:snapToGrid w:val="0"/>
        <w:spacing w:line="360" w:lineRule="auto"/>
        <w:jc w:val="center"/>
        <w:rPr>
          <w:rFonts w:hint="eastAsia" w:ascii="仿宋" w:hAnsi="仿宋" w:eastAsia="仿宋" w:cs="仿宋"/>
          <w:b/>
          <w:color w:val="auto"/>
          <w:kern w:val="0"/>
          <w:sz w:val="32"/>
          <w:szCs w:val="32"/>
          <w:highlight w:val="none"/>
        </w:rPr>
      </w:pPr>
    </w:p>
    <w:p w14:paraId="33247644">
      <w:pPr>
        <w:snapToGrid w:val="0"/>
        <w:spacing w:line="360" w:lineRule="auto"/>
        <w:jc w:val="center"/>
        <w:outlineLvl w:val="1"/>
        <w:rPr>
          <w:rFonts w:hint="eastAsia" w:ascii="仿宋" w:hAnsi="仿宋" w:eastAsia="仿宋" w:cs="仿宋"/>
          <w:b/>
          <w:color w:val="auto"/>
          <w:sz w:val="32"/>
          <w:szCs w:val="32"/>
          <w:highlight w:val="none"/>
        </w:rPr>
      </w:pPr>
      <w:bookmarkStart w:id="548" w:name="_Toc21536"/>
      <w:bookmarkStart w:id="549" w:name="_Toc25202"/>
      <w:bookmarkStart w:id="550" w:name="_Toc26161"/>
      <w:r>
        <w:rPr>
          <w:rFonts w:hint="eastAsia" w:ascii="仿宋" w:hAnsi="仿宋" w:eastAsia="仿宋" w:cs="仿宋"/>
          <w:b/>
          <w:color w:val="auto"/>
          <w:kern w:val="0"/>
          <w:sz w:val="32"/>
          <w:szCs w:val="32"/>
          <w:highlight w:val="none"/>
        </w:rPr>
        <w:br w:type="page"/>
      </w:r>
      <w:bookmarkStart w:id="551" w:name="_Toc24144"/>
      <w:bookmarkStart w:id="552" w:name="_Toc445996898"/>
      <w:r>
        <w:rPr>
          <w:rFonts w:hint="eastAsia" w:ascii="仿宋" w:hAnsi="仿宋" w:eastAsia="仿宋" w:cs="仿宋"/>
          <w:b/>
          <w:color w:val="auto"/>
          <w:kern w:val="0"/>
          <w:sz w:val="32"/>
          <w:szCs w:val="32"/>
          <w:highlight w:val="none"/>
        </w:rPr>
        <w:t>一、</w:t>
      </w:r>
      <w:bookmarkEnd w:id="548"/>
      <w:bookmarkEnd w:id="549"/>
      <w:bookmarkEnd w:id="550"/>
      <w:r>
        <w:rPr>
          <w:rFonts w:hint="eastAsia" w:ascii="仿宋" w:hAnsi="仿宋" w:eastAsia="仿宋" w:cs="仿宋"/>
          <w:b/>
          <w:color w:val="auto"/>
          <w:kern w:val="0"/>
          <w:sz w:val="32"/>
          <w:szCs w:val="32"/>
          <w:highlight w:val="none"/>
        </w:rPr>
        <w:t>报价声明函</w:t>
      </w:r>
      <w:bookmarkEnd w:id="551"/>
      <w:bookmarkEnd w:id="552"/>
    </w:p>
    <w:p w14:paraId="71B4F0DE">
      <w:pPr>
        <w:snapToGrid w:val="0"/>
        <w:spacing w:line="4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温州市公安局、温州历程招标有限公司：</w:t>
      </w:r>
    </w:p>
    <w:p w14:paraId="37813C50">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我方参加你方组织的温州市公安局两防预测预警防控平台【招标编号：</w:t>
      </w:r>
      <w:r>
        <w:rPr>
          <w:rFonts w:hint="eastAsia" w:ascii="仿宋" w:hAnsi="仿宋" w:eastAsia="仿宋" w:cs="仿宋"/>
          <w:color w:val="auto"/>
          <w:sz w:val="24"/>
          <w:highlight w:val="none"/>
          <w:lang w:eastAsia="zh-CN"/>
        </w:rPr>
        <w:t>WZLCZB（W）-2024-11484</w:t>
      </w:r>
      <w:r>
        <w:rPr>
          <w:rFonts w:hint="eastAsia" w:ascii="仿宋" w:hAnsi="仿宋" w:eastAsia="仿宋" w:cs="仿宋"/>
          <w:color w:val="auto"/>
          <w:sz w:val="24"/>
          <w:highlight w:val="none"/>
        </w:rPr>
        <w:t>】招标的有关活动，并对此项目进行磋商响应。为此：</w:t>
      </w:r>
    </w:p>
    <w:p w14:paraId="3EEE6C93">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1、我方承诺磋商有效期从提交响应文件的截止之日起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本响应文件在磋商有效期满之前均具有约束力。</w:t>
      </w:r>
    </w:p>
    <w:p w14:paraId="7925D2B9">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A8C9D77">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8CA54EC">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2F0CBA60">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2884DCFC">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1787CAEA">
      <w:pPr>
        <w:snapToGrid w:val="0"/>
        <w:spacing w:line="42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B675395">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2.2.1报价声明函；</w:t>
      </w:r>
      <w:r>
        <w:rPr>
          <w:rFonts w:hint="eastAsia" w:ascii="仿宋" w:hAnsi="仿宋" w:eastAsia="仿宋" w:cs="仿宋"/>
          <w:color w:val="auto"/>
          <w:sz w:val="24"/>
          <w:highlight w:val="none"/>
          <w:lang w:val="zh-CN"/>
        </w:rPr>
        <w:t xml:space="preserve"> </w:t>
      </w:r>
    </w:p>
    <w:p w14:paraId="2D925BC3">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CB09B31">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14:paraId="1F3F4B55">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14:paraId="52281A2F">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3A868D94">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2.2.6评审标准相应的商务技术资料；</w:t>
      </w:r>
    </w:p>
    <w:p w14:paraId="48003797">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0FA3993">
      <w:pPr>
        <w:snapToGrid w:val="0"/>
        <w:spacing w:line="42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DE8C46C">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0F114C64">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2.3.1报价一览表；</w:t>
      </w:r>
    </w:p>
    <w:p w14:paraId="79D29B1F">
      <w:pPr>
        <w:snapToGrid w:val="0"/>
        <w:spacing w:line="42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EBD4BDE">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708C673F">
      <w:pPr>
        <w:snapToGrid w:val="0"/>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4BA56630">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232CB30A">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0891DCF">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4.3在合同约定的期限内完成合同规定的全部义务。 </w:t>
      </w:r>
    </w:p>
    <w:p w14:paraId="48176558">
      <w:pPr>
        <w:snapToGrid w:val="0"/>
        <w:spacing w:line="42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3267F8">
      <w:pPr>
        <w:spacing w:line="42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2FEEB83A">
      <w:pPr>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E9528FE">
      <w:pPr>
        <w:jc w:val="center"/>
        <w:rPr>
          <w:rFonts w:hint="eastAsia" w:ascii="仿宋" w:hAnsi="仿宋" w:eastAsia="仿宋" w:cs="仿宋"/>
          <w:b/>
          <w:color w:val="auto"/>
          <w:kern w:val="0"/>
          <w:sz w:val="32"/>
          <w:szCs w:val="32"/>
          <w:highlight w:val="none"/>
          <w:lang w:val="zh-CN"/>
        </w:rPr>
      </w:pPr>
    </w:p>
    <w:p w14:paraId="7C9D2594">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bookmarkStart w:id="553" w:name="_Toc1151936656"/>
      <w:bookmarkStart w:id="554" w:name="_Toc26646"/>
      <w:r>
        <w:rPr>
          <w:rFonts w:hint="eastAsia" w:ascii="仿宋" w:hAnsi="仿宋" w:eastAsia="仿宋" w:cs="仿宋"/>
          <w:b/>
          <w:color w:val="auto"/>
          <w:kern w:val="0"/>
          <w:sz w:val="32"/>
          <w:szCs w:val="32"/>
          <w:highlight w:val="none"/>
          <w:lang w:val="zh-CN"/>
        </w:rPr>
        <w:t>二、授权委托书或法定代表人（单位负责人、自然人本人）身份证明</w:t>
      </w:r>
      <w:bookmarkEnd w:id="553"/>
      <w:bookmarkEnd w:id="554"/>
    </w:p>
    <w:p w14:paraId="57A94D73">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A38AB9">
      <w:pPr>
        <w:keepNext w:val="0"/>
        <w:keepLines w:val="0"/>
        <w:pageBreakBefore w:val="0"/>
        <w:widowControl w:val="0"/>
        <w:kinsoku/>
        <w:wordWrap/>
        <w:overflowPunct/>
        <w:topLinePunct w:val="0"/>
        <w:bidi w:val="0"/>
        <w:snapToGrid w:val="0"/>
        <w:spacing w:line="360" w:lineRule="auto"/>
        <w:ind w:firstLine="2872" w:firstLineChars="894"/>
        <w:textAlignment w:val="auto"/>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授权委托书（适用于非联合体响应）</w:t>
      </w:r>
      <w:r>
        <w:rPr>
          <w:rFonts w:hint="eastAsia" w:ascii="仿宋" w:hAnsi="仿宋" w:eastAsia="仿宋" w:cs="仿宋"/>
          <w:color w:val="auto"/>
          <w:highlight w:val="none"/>
        </w:rPr>
        <w:t xml:space="preserve">                               </w:t>
      </w:r>
    </w:p>
    <w:p w14:paraId="404278F3">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温州市公安局、温州历程招标有限公司</w:t>
      </w:r>
      <w:r>
        <w:rPr>
          <w:rFonts w:hint="eastAsia" w:ascii="仿宋" w:hAnsi="仿宋" w:eastAsia="仿宋" w:cs="仿宋"/>
          <w:color w:val="auto"/>
          <w:kern w:val="0"/>
          <w:sz w:val="24"/>
          <w:highlight w:val="none"/>
          <w:lang w:val="zh-CN"/>
        </w:rPr>
        <w:t>：</w:t>
      </w:r>
    </w:p>
    <w:p w14:paraId="5A78A378">
      <w:pPr>
        <w:keepNext w:val="0"/>
        <w:keepLines w:val="0"/>
        <w:pageBreakBefore w:val="0"/>
        <w:widowControl w:val="0"/>
        <w:kinsoku/>
        <w:wordWrap/>
        <w:overflowPunct/>
        <w:topLinePunct w:val="0"/>
        <w:bidi w:val="0"/>
        <w:snapToGrid w:val="0"/>
        <w:spacing w:line="360" w:lineRule="auto"/>
        <w:ind w:firstLine="576"/>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温州市公安局两防预测预警防控平台【招标编号：</w:t>
      </w:r>
      <w:r>
        <w:rPr>
          <w:rFonts w:hint="eastAsia" w:ascii="仿宋" w:hAnsi="仿宋" w:eastAsia="仿宋" w:cs="仿宋"/>
          <w:color w:val="auto"/>
          <w:sz w:val="24"/>
          <w:highlight w:val="none"/>
          <w:lang w:eastAsia="zh-CN"/>
        </w:rPr>
        <w:t>WZLCZB（W）-2024-11484</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政府采购磋商响应的一切事项，其法律后果由我方承担。</w:t>
      </w:r>
    </w:p>
    <w:p w14:paraId="6BB27D6B">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55C0E4A">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87A00AF">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43481F5D">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A4E22FA">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p>
    <w:p w14:paraId="4F72980E">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p>
    <w:p w14:paraId="787CCDA0">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p>
    <w:p w14:paraId="445C8DB3">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6921B3D8">
      <w:pPr>
        <w:keepNext w:val="0"/>
        <w:keepLines w:val="0"/>
        <w:pageBreakBefore w:val="0"/>
        <w:widowControl w:val="0"/>
        <w:kinsoku/>
        <w:wordWrap/>
        <w:overflowPunct/>
        <w:topLinePunct w:val="0"/>
        <w:autoSpaceDE w:val="0"/>
        <w:autoSpaceDN w:val="0"/>
        <w:bidi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的身份证明（适用于法定代表人、单位负责人或者自然人本人代表供应商参加磋商响应）</w:t>
      </w:r>
    </w:p>
    <w:p w14:paraId="3315DE83">
      <w:pPr>
        <w:pStyle w:val="25"/>
        <w:keepNext w:val="0"/>
        <w:keepLines w:val="0"/>
        <w:pageBreakBefore w:val="0"/>
        <w:widowControl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25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CB8A478">
            <w:pPr>
              <w:pStyle w:val="25"/>
              <w:keepNext w:val="0"/>
              <w:keepLines w:val="0"/>
              <w:pageBreakBefore w:val="0"/>
              <w:widowControl w:val="0"/>
              <w:kinsoku/>
              <w:wordWrap/>
              <w:overflowPunct/>
              <w:topLinePunct w:val="0"/>
              <w:bidi w:val="0"/>
              <w:adjustRightInd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0E96526">
            <w:pPr>
              <w:pStyle w:val="25"/>
              <w:keepNext w:val="0"/>
              <w:keepLines w:val="0"/>
              <w:pageBreakBefore w:val="0"/>
              <w:widowControl w:val="0"/>
              <w:kinsoku/>
              <w:wordWrap/>
              <w:overflowPunct/>
              <w:topLinePunct w:val="0"/>
              <w:bidi w:val="0"/>
              <w:adjustRightInd w:val="0"/>
              <w:spacing w:line="360" w:lineRule="auto"/>
              <w:textAlignment w:val="auto"/>
              <w:outlineLvl w:val="9"/>
              <w:rPr>
                <w:rFonts w:hint="eastAsia" w:ascii="仿宋" w:hAnsi="仿宋" w:eastAsia="仿宋" w:cs="仿宋"/>
                <w:bCs/>
                <w:color w:val="auto"/>
                <w:sz w:val="24"/>
                <w:highlight w:val="none"/>
              </w:rPr>
            </w:pPr>
          </w:p>
        </w:tc>
      </w:tr>
    </w:tbl>
    <w:p w14:paraId="3A045F27">
      <w:pPr>
        <w:keepNext w:val="0"/>
        <w:keepLines w:val="0"/>
        <w:pageBreakBefore w:val="0"/>
        <w:widowControl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8E00001">
      <w:pPr>
        <w:keepNext w:val="0"/>
        <w:keepLines w:val="0"/>
        <w:pageBreakBefore w:val="0"/>
        <w:widowControl w:val="0"/>
        <w:kinsoku/>
        <w:wordWrap/>
        <w:overflowPunct/>
        <w:topLinePunct w:val="0"/>
        <w:bidi w:val="0"/>
        <w:snapToGrid w:val="0"/>
        <w:spacing w:line="360" w:lineRule="auto"/>
        <w:ind w:firstLine="576"/>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EBD43AC">
      <w:pPr>
        <w:keepNext w:val="0"/>
        <w:keepLines w:val="0"/>
        <w:pageBreakBefore w:val="0"/>
        <w:widowControl w:val="0"/>
        <w:kinsoku/>
        <w:wordWrap/>
        <w:overflowPunct/>
        <w:topLinePunct w:val="0"/>
        <w:bidi w:val="0"/>
        <w:spacing w:line="360" w:lineRule="auto"/>
        <w:jc w:val="center"/>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51B4CD1">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388D739">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FB97021">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E0C60CA">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329F1635">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5CB330A">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C410262">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6C79A77">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ACD3300">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BDF9B41">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2EB6E26">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F28FC80">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3E8E1EB0">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748CBE1">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B29059B">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 xml:space="preserve">           </w:t>
      </w:r>
    </w:p>
    <w:p w14:paraId="49946CB2">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color w:val="auto"/>
          <w:highlight w:val="none"/>
        </w:rPr>
      </w:pPr>
      <w:bookmarkStart w:id="555" w:name="_Toc31363"/>
      <w:bookmarkStart w:id="556" w:name="_Toc1034299687"/>
      <w:r>
        <w:rPr>
          <w:rFonts w:hint="eastAsia" w:ascii="仿宋" w:hAnsi="仿宋" w:eastAsia="仿宋" w:cs="仿宋"/>
          <w:b/>
          <w:color w:val="auto"/>
          <w:kern w:val="0"/>
          <w:sz w:val="32"/>
          <w:szCs w:val="32"/>
          <w:highlight w:val="none"/>
        </w:rPr>
        <w:t>三、评审标准相应的商务技术资料</w:t>
      </w:r>
      <w:bookmarkEnd w:id="555"/>
      <w:bookmarkEnd w:id="556"/>
    </w:p>
    <w:p w14:paraId="1CD9F4C2">
      <w:pPr>
        <w:keepNext w:val="0"/>
        <w:keepLines w:val="0"/>
        <w:pageBreakBefore w:val="0"/>
        <w:widowControl w:val="0"/>
        <w:kinsoku/>
        <w:wordWrap/>
        <w:overflowPunct/>
        <w:topLinePunct w:val="0"/>
        <w:bidi w:val="0"/>
        <w:snapToGrid w:val="0"/>
        <w:spacing w:line="360" w:lineRule="auto"/>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30B6FA15">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EF5E8BC">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E466C6C">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B58C9C9">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F4FA066">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34EBE083">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E999890">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4DAB1EB">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8EB6744">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0523115">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31E15928">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AD964A5">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7F35867">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F49924D">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3F951BC">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D4ADEDE">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C37FFE1">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16CC3BD">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299C7B0">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6C2A6A9">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1B8097A">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6738F523">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9BE9187">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1D01529">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D4A0C72">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0D75A13">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799B0FDD">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09CB87BF">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2072006F">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4515B6BF">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bookmarkStart w:id="557" w:name="_Toc27369"/>
      <w:bookmarkStart w:id="558" w:name="_Toc1742200591"/>
      <w:r>
        <w:rPr>
          <w:rFonts w:hint="eastAsia" w:ascii="仿宋" w:hAnsi="仿宋" w:eastAsia="仿宋" w:cs="仿宋"/>
          <w:b/>
          <w:color w:val="auto"/>
          <w:kern w:val="0"/>
          <w:sz w:val="32"/>
          <w:szCs w:val="32"/>
          <w:highlight w:val="none"/>
        </w:rPr>
        <w:t>四、商务技术偏离表</w:t>
      </w:r>
      <w:bookmarkEnd w:id="557"/>
      <w:bookmarkEnd w:id="55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1735"/>
      </w:tblGrid>
      <w:tr w14:paraId="64FD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D57860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序号</w:t>
            </w:r>
          </w:p>
        </w:tc>
        <w:tc>
          <w:tcPr>
            <w:tcW w:w="1656" w:type="dxa"/>
            <w:noWrap w:val="0"/>
            <w:vAlign w:val="center"/>
          </w:tcPr>
          <w:p w14:paraId="61D07714">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采购文件要求</w:t>
            </w:r>
          </w:p>
        </w:tc>
        <w:tc>
          <w:tcPr>
            <w:tcW w:w="3219" w:type="dxa"/>
            <w:noWrap w:val="0"/>
            <w:vAlign w:val="center"/>
          </w:tcPr>
          <w:p w14:paraId="5DF4A595">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响应文件对应规范</w:t>
            </w:r>
          </w:p>
        </w:tc>
        <w:tc>
          <w:tcPr>
            <w:tcW w:w="1822" w:type="dxa"/>
            <w:noWrap w:val="0"/>
            <w:vAlign w:val="center"/>
          </w:tcPr>
          <w:p w14:paraId="376B16C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是否偏离</w:t>
            </w:r>
          </w:p>
          <w:p w14:paraId="03492962">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（提供说明）</w:t>
            </w:r>
          </w:p>
        </w:tc>
        <w:tc>
          <w:tcPr>
            <w:tcW w:w="1735" w:type="dxa"/>
            <w:noWrap w:val="0"/>
            <w:vAlign w:val="center"/>
          </w:tcPr>
          <w:p w14:paraId="19E9215C">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要求提供的证明材料页码</w:t>
            </w:r>
          </w:p>
        </w:tc>
      </w:tr>
      <w:tr w14:paraId="5312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14:paraId="40A236FA">
            <w:pPr>
              <w:keepNext w:val="0"/>
              <w:keepLines w:val="0"/>
              <w:pageBreakBefore w:val="0"/>
              <w:widowControl w:val="0"/>
              <w:kinsoku/>
              <w:wordWrap/>
              <w:overflowPunct/>
              <w:topLinePunct w:val="0"/>
              <w:bidi w:val="0"/>
              <w:snapToGrid w:val="0"/>
              <w:spacing w:line="400" w:lineRule="exact"/>
              <w:textAlignment w:val="auto"/>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商务部分</w:t>
            </w:r>
          </w:p>
        </w:tc>
      </w:tr>
      <w:tr w14:paraId="572D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200D454">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6AB0CA12">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31E4EFDE">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465F504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79FDFE11">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3002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9F158D4">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50C5C32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0610A0CC">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71C7E01B">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03D164BB">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4ED8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F32452F">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48F56F06">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1E9EBE4C">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51CF7724">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35DAEFC4">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1D5B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91351E0">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0609EEAD">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7ACC54E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1FFC1DB9">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6010E5A6">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2215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0CAB4D0">
            <w:pPr>
              <w:keepNext w:val="0"/>
              <w:keepLines w:val="0"/>
              <w:pageBreakBefore w:val="0"/>
              <w:widowControl w:val="0"/>
              <w:kinsoku/>
              <w:wordWrap/>
              <w:overflowPunct/>
              <w:topLinePunct w:val="0"/>
              <w:bidi w:val="0"/>
              <w:snapToGrid w:val="0"/>
              <w:spacing w:line="400" w:lineRule="exact"/>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4B88D7C8">
            <w:pPr>
              <w:keepNext w:val="0"/>
              <w:keepLines w:val="0"/>
              <w:pageBreakBefore w:val="0"/>
              <w:widowControl w:val="0"/>
              <w:kinsoku/>
              <w:wordWrap/>
              <w:overflowPunct/>
              <w:topLinePunct w:val="0"/>
              <w:bidi w:val="0"/>
              <w:snapToGrid w:val="0"/>
              <w:spacing w:line="400" w:lineRule="exact"/>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1DD43AD1">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4469531B">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57C1BF18">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0CD2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3" w:type="dxa"/>
            <w:gridSpan w:val="5"/>
            <w:noWrap w:val="0"/>
            <w:vAlign w:val="center"/>
          </w:tcPr>
          <w:p w14:paraId="5A565522">
            <w:pPr>
              <w:keepNext w:val="0"/>
              <w:keepLines w:val="0"/>
              <w:pageBreakBefore w:val="0"/>
              <w:widowControl w:val="0"/>
              <w:kinsoku/>
              <w:wordWrap/>
              <w:overflowPunct/>
              <w:topLinePunct w:val="0"/>
              <w:bidi w:val="0"/>
              <w:snapToGrid w:val="0"/>
              <w:spacing w:line="400" w:lineRule="exact"/>
              <w:textAlignment w:val="auto"/>
              <w:outlineLvl w:val="9"/>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技术部分</w:t>
            </w:r>
          </w:p>
        </w:tc>
      </w:tr>
      <w:tr w14:paraId="6C5F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DB95592">
            <w:pPr>
              <w:keepNext w:val="0"/>
              <w:keepLines w:val="0"/>
              <w:pageBreakBefore w:val="0"/>
              <w:widowControl w:val="0"/>
              <w:kinsoku/>
              <w:wordWrap/>
              <w:overflowPunct/>
              <w:topLinePunct w:val="0"/>
              <w:bidi w:val="0"/>
              <w:snapToGrid w:val="0"/>
              <w:spacing w:line="400" w:lineRule="exact"/>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26A80C69">
            <w:pPr>
              <w:keepNext w:val="0"/>
              <w:keepLines w:val="0"/>
              <w:pageBreakBefore w:val="0"/>
              <w:widowControl w:val="0"/>
              <w:kinsoku/>
              <w:wordWrap/>
              <w:overflowPunct/>
              <w:topLinePunct w:val="0"/>
              <w:bidi w:val="0"/>
              <w:snapToGrid w:val="0"/>
              <w:spacing w:line="400" w:lineRule="exact"/>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3E6ED9E1">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3B8CF316">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5E95178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595B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77B888EB">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635DF459">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3FDC61FE">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4D6CD2C4">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40B83F37">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5972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96FEEB9">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0D7D30A5">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3ECFD652">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0F604B7D">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0EDBA886">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4DE5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365D60CE">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42B47755">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2DFD6E82">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6A944BD0">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6953DFC9">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r w14:paraId="7D6E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24361578">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656" w:type="dxa"/>
            <w:noWrap w:val="0"/>
            <w:vAlign w:val="center"/>
          </w:tcPr>
          <w:p w14:paraId="7AA1584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3219" w:type="dxa"/>
            <w:noWrap w:val="0"/>
            <w:vAlign w:val="center"/>
          </w:tcPr>
          <w:p w14:paraId="60BD45D1">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822" w:type="dxa"/>
            <w:noWrap w:val="0"/>
            <w:vAlign w:val="center"/>
          </w:tcPr>
          <w:p w14:paraId="36931332">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c>
          <w:tcPr>
            <w:tcW w:w="1735" w:type="dxa"/>
            <w:noWrap w:val="0"/>
            <w:vAlign w:val="center"/>
          </w:tcPr>
          <w:p w14:paraId="1DC93253">
            <w:pPr>
              <w:keepNext w:val="0"/>
              <w:keepLines w:val="0"/>
              <w:pageBreakBefore w:val="0"/>
              <w:widowControl w:val="0"/>
              <w:kinsoku/>
              <w:wordWrap/>
              <w:overflowPunct/>
              <w:topLinePunct w:val="0"/>
              <w:bidi w:val="0"/>
              <w:snapToGrid w:val="0"/>
              <w:spacing w:line="400" w:lineRule="exact"/>
              <w:jc w:val="center"/>
              <w:textAlignment w:val="auto"/>
              <w:outlineLvl w:val="9"/>
              <w:rPr>
                <w:rFonts w:hint="eastAsia" w:ascii="仿宋" w:hAnsi="仿宋" w:eastAsia="仿宋" w:cs="仿宋"/>
                <w:color w:val="auto"/>
                <w:spacing w:val="-6"/>
                <w:sz w:val="24"/>
                <w:highlight w:val="none"/>
              </w:rPr>
            </w:pPr>
          </w:p>
        </w:tc>
      </w:tr>
    </w:tbl>
    <w:p w14:paraId="419B120E">
      <w:pPr>
        <w:keepNext w:val="0"/>
        <w:keepLines w:val="0"/>
        <w:pageBreakBefore w:val="0"/>
        <w:widowControl w:val="0"/>
        <w:kinsoku/>
        <w:wordWrap/>
        <w:overflowPunct/>
        <w:topLinePunct w:val="0"/>
        <w:bidi w:val="0"/>
        <w:jc w:val="left"/>
        <w:textAlignment w:val="auto"/>
        <w:outlineLvl w:val="9"/>
        <w:rPr>
          <w:rFonts w:hint="eastAsia" w:ascii="仿宋" w:hAnsi="仿宋" w:eastAsia="仿宋" w:cs="仿宋"/>
          <w:color w:val="auto"/>
          <w:kern w:val="0"/>
          <w:sz w:val="24"/>
          <w:highlight w:val="none"/>
        </w:rPr>
      </w:pPr>
    </w:p>
    <w:p w14:paraId="23549A96">
      <w:pPr>
        <w:keepNext w:val="0"/>
        <w:keepLines w:val="0"/>
        <w:pageBreakBefore w:val="0"/>
        <w:widowControl w:val="0"/>
        <w:kinsoku/>
        <w:wordWrap/>
        <w:overflowPunct/>
        <w:topLinePunct w:val="0"/>
        <w:bidi w:val="0"/>
        <w:snapToGrid w:val="0"/>
        <w:spacing w:line="400" w:lineRule="exact"/>
        <w:jc w:val="left"/>
        <w:textAlignment w:val="auto"/>
        <w:outlineLvl w:val="9"/>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注意：1.逐项按照采购文件要求填写响应规格；如不填写或留空，则视为完全响应采购文件的要求</w:t>
      </w:r>
      <w:r>
        <w:rPr>
          <w:rFonts w:hint="eastAsia" w:ascii="仿宋" w:hAnsi="仿宋" w:eastAsia="仿宋" w:cs="仿宋"/>
          <w:b/>
          <w:color w:val="auto"/>
          <w:spacing w:val="-6"/>
          <w:sz w:val="24"/>
          <w:highlight w:val="none"/>
        </w:rPr>
        <w:t>，自行承担磋商响应风险</w:t>
      </w:r>
      <w:r>
        <w:rPr>
          <w:rFonts w:hint="eastAsia" w:ascii="仿宋" w:hAnsi="仿宋" w:eastAsia="仿宋" w:cs="仿宋"/>
          <w:b/>
          <w:bCs/>
          <w:color w:val="auto"/>
          <w:spacing w:val="-6"/>
          <w:sz w:val="24"/>
          <w:szCs w:val="22"/>
          <w:highlight w:val="none"/>
        </w:rPr>
        <w:t>。</w:t>
      </w:r>
    </w:p>
    <w:p w14:paraId="1070A952">
      <w:pPr>
        <w:keepNext w:val="0"/>
        <w:keepLines w:val="0"/>
        <w:pageBreakBefore w:val="0"/>
        <w:widowControl w:val="0"/>
        <w:kinsoku/>
        <w:wordWrap/>
        <w:overflowPunct/>
        <w:topLinePunct w:val="0"/>
        <w:bidi w:val="0"/>
        <w:snapToGrid w:val="0"/>
        <w:spacing w:line="400" w:lineRule="exact"/>
        <w:ind w:firstLine="687" w:firstLineChars="300"/>
        <w:jc w:val="left"/>
        <w:textAlignment w:val="auto"/>
        <w:outlineLvl w:val="9"/>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6A236364">
      <w:pPr>
        <w:keepNext w:val="0"/>
        <w:keepLines w:val="0"/>
        <w:pageBreakBefore w:val="0"/>
        <w:widowControl w:val="0"/>
        <w:kinsoku/>
        <w:wordWrap/>
        <w:overflowPunct/>
        <w:topLinePunct w:val="0"/>
        <w:bidi w:val="0"/>
        <w:snapToGrid w:val="0"/>
        <w:spacing w:line="400" w:lineRule="exact"/>
        <w:ind w:firstLine="687" w:firstLineChars="300"/>
        <w:jc w:val="left"/>
        <w:textAlignment w:val="auto"/>
        <w:outlineLvl w:val="9"/>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3.建议供应商准备采购需求中要求的证明材料（如证书、检测报告等）条目索引，要求清晰提供的证明材料（如证书、检测报告等），由不清晰或者模糊造成无法判断证明材料是否符合要求的风险由供应商自行承担。</w:t>
      </w:r>
    </w:p>
    <w:p w14:paraId="0799A73B">
      <w:pPr>
        <w:keepNext w:val="0"/>
        <w:keepLines w:val="0"/>
        <w:pageBreakBefore w:val="0"/>
        <w:widowControl w:val="0"/>
        <w:kinsoku/>
        <w:wordWrap/>
        <w:overflowPunct/>
        <w:topLinePunct w:val="0"/>
        <w:bidi w:val="0"/>
        <w:jc w:val="left"/>
        <w:textAlignment w:val="auto"/>
        <w:outlineLvl w:val="9"/>
        <w:rPr>
          <w:rFonts w:hint="eastAsia" w:ascii="仿宋" w:hAnsi="仿宋" w:eastAsia="仿宋" w:cs="仿宋"/>
          <w:color w:val="auto"/>
          <w:kern w:val="0"/>
          <w:sz w:val="24"/>
          <w:highlight w:val="none"/>
        </w:rPr>
      </w:pPr>
    </w:p>
    <w:p w14:paraId="56D96026">
      <w:pPr>
        <w:keepNext w:val="0"/>
        <w:keepLines w:val="0"/>
        <w:pageBreakBefore w:val="0"/>
        <w:widowControl w:val="0"/>
        <w:kinsoku/>
        <w:wordWrap/>
        <w:overflowPunct/>
        <w:topLinePunct w:val="0"/>
        <w:bidi w:val="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01A2369B">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95CE5BC">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149DFE6C">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54670077">
      <w:pPr>
        <w:keepNext w:val="0"/>
        <w:keepLines w:val="0"/>
        <w:pageBreakBefore w:val="0"/>
        <w:widowControl w:val="0"/>
        <w:kinsoku/>
        <w:wordWrap/>
        <w:overflowPunct/>
        <w:topLinePunct w:val="0"/>
        <w:bidi w:val="0"/>
        <w:jc w:val="center"/>
        <w:textAlignment w:val="auto"/>
        <w:outlineLvl w:val="9"/>
        <w:rPr>
          <w:rFonts w:hint="eastAsia" w:ascii="仿宋" w:hAnsi="仿宋" w:eastAsia="仿宋" w:cs="仿宋"/>
          <w:b/>
          <w:color w:val="auto"/>
          <w:kern w:val="0"/>
          <w:sz w:val="32"/>
          <w:szCs w:val="32"/>
          <w:highlight w:val="none"/>
        </w:rPr>
      </w:pPr>
    </w:p>
    <w:p w14:paraId="3A6172C4">
      <w:pPr>
        <w:keepNext w:val="0"/>
        <w:keepLines w:val="0"/>
        <w:pageBreakBefore w:val="0"/>
        <w:widowControl w:val="0"/>
        <w:kinsoku/>
        <w:wordWrap/>
        <w:overflowPunct/>
        <w:topLinePunct w:val="0"/>
        <w:bidi w:val="0"/>
        <w:ind w:firstLine="2891" w:firstLineChars="900"/>
        <w:textAlignment w:val="auto"/>
        <w:outlineLvl w:val="9"/>
        <w:rPr>
          <w:rFonts w:hint="eastAsia" w:ascii="仿宋" w:hAnsi="仿宋" w:eastAsia="仿宋" w:cs="仿宋"/>
          <w:b/>
          <w:color w:val="auto"/>
          <w:kern w:val="0"/>
          <w:sz w:val="32"/>
          <w:szCs w:val="32"/>
          <w:highlight w:val="none"/>
        </w:rPr>
      </w:pPr>
    </w:p>
    <w:p w14:paraId="2B729572">
      <w:pPr>
        <w:keepNext w:val="0"/>
        <w:keepLines w:val="0"/>
        <w:pageBreakBefore w:val="0"/>
        <w:widowControl w:val="0"/>
        <w:kinsoku/>
        <w:wordWrap/>
        <w:overflowPunct/>
        <w:topLinePunct w:val="0"/>
        <w:bidi w:val="0"/>
        <w:ind w:firstLine="1911" w:firstLineChars="595"/>
        <w:textAlignment w:val="auto"/>
        <w:outlineLvl w:val="9"/>
        <w:rPr>
          <w:rFonts w:hint="eastAsia" w:ascii="仿宋" w:hAnsi="仿宋" w:eastAsia="仿宋" w:cs="仿宋"/>
          <w:b/>
          <w:color w:val="auto"/>
          <w:kern w:val="0"/>
          <w:sz w:val="32"/>
          <w:szCs w:val="32"/>
          <w:highlight w:val="none"/>
        </w:rPr>
      </w:pPr>
      <w:bookmarkStart w:id="559" w:name="_Toc225806092"/>
      <w:bookmarkStart w:id="560" w:name="_Toc15841"/>
      <w:r>
        <w:rPr>
          <w:rFonts w:hint="eastAsia" w:ascii="仿宋" w:hAnsi="仿宋" w:eastAsia="仿宋" w:cs="仿宋"/>
          <w:b/>
          <w:color w:val="auto"/>
          <w:kern w:val="0"/>
          <w:sz w:val="32"/>
          <w:szCs w:val="32"/>
          <w:highlight w:val="none"/>
        </w:rPr>
        <w:t>五、</w:t>
      </w:r>
      <w:r>
        <w:rPr>
          <w:rFonts w:hint="eastAsia" w:ascii="仿宋" w:hAnsi="仿宋" w:eastAsia="仿宋" w:cs="仿宋"/>
          <w:b/>
          <w:color w:val="auto"/>
          <w:kern w:val="0"/>
          <w:sz w:val="32"/>
          <w:szCs w:val="32"/>
          <w:highlight w:val="none"/>
          <w:lang w:val="zh-CN"/>
        </w:rPr>
        <w:t>政府采购供应商廉洁自律承诺书</w:t>
      </w:r>
      <w:bookmarkEnd w:id="559"/>
      <w:bookmarkEnd w:id="560"/>
    </w:p>
    <w:p w14:paraId="46AD4B6D">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p>
    <w:p w14:paraId="082D1F1D">
      <w:pPr>
        <w:keepNext w:val="0"/>
        <w:keepLines w:val="0"/>
        <w:pageBreakBefore w:val="0"/>
        <w:widowControl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温州市公安局、温州历程招标有限公司</w:t>
      </w:r>
      <w:r>
        <w:rPr>
          <w:rFonts w:hint="eastAsia" w:ascii="仿宋" w:hAnsi="仿宋" w:eastAsia="仿宋" w:cs="仿宋"/>
          <w:color w:val="auto"/>
          <w:kern w:val="0"/>
          <w:sz w:val="24"/>
          <w:highlight w:val="none"/>
          <w:lang w:val="zh-CN"/>
        </w:rPr>
        <w:t>：</w:t>
      </w:r>
    </w:p>
    <w:p w14:paraId="19CA9E5B">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项目招标要求参加磋商响应。在这次磋商响应过程中和成交后，我们将严格遵守国家法律法规要求，并郑重承诺：</w:t>
      </w:r>
    </w:p>
    <w:p w14:paraId="0A854680">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7713600">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2B084C6">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23AAE1B">
      <w:pPr>
        <w:keepNext w:val="0"/>
        <w:keepLines w:val="0"/>
        <w:pageBreakBefore w:val="0"/>
        <w:widowControl w:val="0"/>
        <w:kinsoku/>
        <w:wordWrap/>
        <w:overflowPunct/>
        <w:topLinePunct w:val="0"/>
        <w:autoSpaceDE w:val="0"/>
        <w:autoSpaceDN w:val="0"/>
        <w:bidi w:val="0"/>
        <w:spacing w:line="360" w:lineRule="auto"/>
        <w:ind w:left="2" w:leftChars="1"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5F9DD29">
      <w:pPr>
        <w:keepNext w:val="0"/>
        <w:keepLines w:val="0"/>
        <w:pageBreakBefore w:val="0"/>
        <w:widowControl w:val="0"/>
        <w:kinsoku/>
        <w:wordWrap/>
        <w:overflowPunct/>
        <w:topLinePunct w:val="0"/>
        <w:autoSpaceDE w:val="0"/>
        <w:autoSpaceDN w:val="0"/>
        <w:bidi w:val="0"/>
        <w:spacing w:line="360" w:lineRule="auto"/>
        <w:ind w:left="481" w:leftChars="229"/>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5DABD5D">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831043A">
      <w:pPr>
        <w:keepNext w:val="0"/>
        <w:keepLines w:val="0"/>
        <w:pageBreakBefore w:val="0"/>
        <w:widowControl w:val="0"/>
        <w:kinsoku/>
        <w:wordWrap/>
        <w:overflowPunct/>
        <w:topLinePunct w:val="0"/>
        <w:autoSpaceDE w:val="0"/>
        <w:autoSpaceDN w:val="0"/>
        <w:bidi w:val="0"/>
        <w:spacing w:line="360" w:lineRule="auto"/>
        <w:ind w:left="481" w:leftChars="229"/>
        <w:jc w:val="left"/>
        <w:textAlignment w:val="auto"/>
        <w:outlineLvl w:val="9"/>
        <w:rPr>
          <w:rFonts w:hint="eastAsia" w:ascii="仿宋" w:hAnsi="仿宋" w:eastAsia="仿宋" w:cs="仿宋"/>
          <w:color w:val="auto"/>
          <w:kern w:val="0"/>
          <w:sz w:val="24"/>
          <w:highlight w:val="none"/>
          <w:lang w:val="zh-CN"/>
        </w:rPr>
      </w:pPr>
      <w:bookmarkStart w:id="561" w:name="_Toc18160"/>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bookmarkEnd w:id="561"/>
    </w:p>
    <w:p w14:paraId="137FAB0D">
      <w:pPr>
        <w:keepNext w:val="0"/>
        <w:keepLines w:val="0"/>
        <w:pageBreakBefore w:val="0"/>
        <w:widowControl w:val="0"/>
        <w:kinsoku/>
        <w:wordWrap/>
        <w:overflowPunct/>
        <w:topLinePunct w:val="0"/>
        <w:autoSpaceDE w:val="0"/>
        <w:autoSpaceDN w:val="0"/>
        <w:bidi w:val="0"/>
        <w:spacing w:line="360" w:lineRule="auto"/>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7784306">
      <w:pPr>
        <w:keepNext w:val="0"/>
        <w:keepLines w:val="0"/>
        <w:pageBreakBefore w:val="0"/>
        <w:widowControl w:val="0"/>
        <w:kinsoku/>
        <w:wordWrap/>
        <w:overflowPunct/>
        <w:topLinePunct w:val="0"/>
        <w:autoSpaceDE w:val="0"/>
        <w:autoSpaceDN w:val="0"/>
        <w:bidi w:val="0"/>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有权立即取消我单位磋商响应、成交或在建项目的建设资格，有权拒绝我单位在一定时期内进入你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9D16A08">
      <w:pPr>
        <w:keepNext w:val="0"/>
        <w:keepLines w:val="0"/>
        <w:pageBreakBefore w:val="0"/>
        <w:widowControl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1A98F677">
      <w:pPr>
        <w:keepNext w:val="0"/>
        <w:keepLines w:val="0"/>
        <w:pageBreakBefore w:val="0"/>
        <w:widowControl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3DCD7BBE">
      <w:pPr>
        <w:keepNext w:val="0"/>
        <w:keepLines w:val="0"/>
        <w:pageBreakBefore w:val="0"/>
        <w:widowControl w:val="0"/>
        <w:kinsoku/>
        <w:wordWrap/>
        <w:overflowPunct/>
        <w:topLinePunct w:val="0"/>
        <w:autoSpaceDE w:val="0"/>
        <w:autoSpaceDN w:val="0"/>
        <w:bidi w:val="0"/>
        <w:spacing w:line="360" w:lineRule="auto"/>
        <w:ind w:left="2"/>
        <w:jc w:val="left"/>
        <w:textAlignment w:val="auto"/>
        <w:outlineLvl w:val="9"/>
        <w:rPr>
          <w:rFonts w:hint="eastAsia" w:ascii="仿宋" w:hAnsi="仿宋" w:eastAsia="仿宋" w:cs="仿宋"/>
          <w:color w:val="auto"/>
          <w:kern w:val="0"/>
          <w:sz w:val="24"/>
          <w:highlight w:val="none"/>
          <w:lang w:val="zh-CN"/>
        </w:rPr>
      </w:pPr>
    </w:p>
    <w:p w14:paraId="171D0280">
      <w:pPr>
        <w:keepNext w:val="0"/>
        <w:keepLines w:val="0"/>
        <w:pageBreakBefore w:val="0"/>
        <w:widowControl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8E5E873">
      <w:pPr>
        <w:keepNext w:val="0"/>
        <w:keepLines w:val="0"/>
        <w:pageBreakBefore w:val="0"/>
        <w:widowControl w:val="0"/>
        <w:kinsoku/>
        <w:wordWrap/>
        <w:overflowPunct/>
        <w:topLinePunct w:val="0"/>
        <w:bidi w:val="0"/>
        <w:spacing w:line="360" w:lineRule="auto"/>
        <w:ind w:left="4620" w:leftChars="2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4AB6AAB">
      <w:pPr>
        <w:spacing w:line="360" w:lineRule="auto"/>
        <w:jc w:val="center"/>
        <w:rPr>
          <w:rFonts w:hint="eastAsia" w:ascii="仿宋" w:hAnsi="仿宋" w:eastAsia="仿宋" w:cs="仿宋"/>
          <w:b/>
          <w:bCs/>
          <w:color w:val="auto"/>
          <w:sz w:val="24"/>
          <w:highlight w:val="none"/>
        </w:rPr>
      </w:pPr>
    </w:p>
    <w:p w14:paraId="639773D7">
      <w:pPr>
        <w:spacing w:line="360" w:lineRule="auto"/>
        <w:jc w:val="center"/>
        <w:rPr>
          <w:rFonts w:hint="eastAsia" w:ascii="仿宋" w:hAnsi="仿宋" w:eastAsia="仿宋" w:cs="仿宋"/>
          <w:b/>
          <w:bCs/>
          <w:color w:val="auto"/>
          <w:sz w:val="24"/>
          <w:highlight w:val="none"/>
        </w:rPr>
        <w:sectPr>
          <w:footerReference r:id="rId17" w:type="first"/>
          <w:headerReference r:id="rId15" w:type="default"/>
          <w:footerReference r:id="rId16" w:type="default"/>
          <w:pgSz w:w="11906" w:h="16838"/>
          <w:pgMar w:top="1134" w:right="1134" w:bottom="1134" w:left="1134" w:header="851" w:footer="992" w:gutter="0"/>
          <w:pgNumType w:fmt="decimal"/>
          <w:cols w:space="720" w:num="1"/>
          <w:titlePg/>
          <w:docGrid w:linePitch="312" w:charSpace="0"/>
        </w:sectPr>
      </w:pPr>
    </w:p>
    <w:p w14:paraId="1AE26F3F">
      <w:pPr>
        <w:pStyle w:val="2"/>
        <w:jc w:val="center"/>
        <w:rPr>
          <w:rFonts w:hint="eastAsia" w:ascii="仿宋" w:eastAsia="仿宋" w:cs="仿宋"/>
          <w:b w:val="0"/>
          <w:color w:val="auto"/>
          <w:kern w:val="0"/>
          <w:szCs w:val="36"/>
          <w:highlight w:val="none"/>
        </w:rPr>
      </w:pPr>
      <w:bookmarkStart w:id="562" w:name="_Toc519383995"/>
      <w:bookmarkStart w:id="563" w:name="_Toc6801"/>
      <w:r>
        <w:rPr>
          <w:rFonts w:hint="eastAsia" w:ascii="仿宋" w:eastAsia="仿宋" w:cs="仿宋"/>
          <w:color w:val="auto"/>
          <w:highlight w:val="none"/>
        </w:rPr>
        <w:t>报价文件部分</w:t>
      </w:r>
      <w:bookmarkEnd w:id="562"/>
      <w:bookmarkEnd w:id="563"/>
    </w:p>
    <w:p w14:paraId="3406012D">
      <w:pPr>
        <w:spacing w:line="360" w:lineRule="auto"/>
        <w:jc w:val="center"/>
        <w:rPr>
          <w:rFonts w:hint="eastAsia" w:ascii="仿宋" w:hAnsi="仿宋" w:eastAsia="仿宋" w:cs="仿宋"/>
          <w:b/>
          <w:color w:val="auto"/>
          <w:kern w:val="0"/>
          <w:sz w:val="36"/>
          <w:szCs w:val="36"/>
          <w:highlight w:val="none"/>
        </w:rPr>
      </w:pPr>
      <w:bookmarkStart w:id="564" w:name="_Toc24830"/>
      <w:bookmarkStart w:id="565" w:name="_Toc9713"/>
      <w:bookmarkStart w:id="566" w:name="_Toc14052"/>
      <w:r>
        <w:rPr>
          <w:rFonts w:hint="eastAsia" w:ascii="仿宋" w:hAnsi="仿宋" w:eastAsia="仿宋" w:cs="仿宋"/>
          <w:b/>
          <w:color w:val="auto"/>
          <w:kern w:val="0"/>
          <w:sz w:val="36"/>
          <w:szCs w:val="36"/>
          <w:highlight w:val="none"/>
        </w:rPr>
        <w:t>目录</w:t>
      </w:r>
      <w:bookmarkEnd w:id="564"/>
      <w:bookmarkEnd w:id="565"/>
      <w:bookmarkEnd w:id="566"/>
    </w:p>
    <w:p w14:paraId="60C69F11">
      <w:pPr>
        <w:spacing w:line="360" w:lineRule="auto"/>
        <w:jc w:val="center"/>
        <w:rPr>
          <w:rFonts w:hint="eastAsia" w:ascii="仿宋" w:hAnsi="仿宋" w:eastAsia="仿宋" w:cs="仿宋"/>
          <w:b/>
          <w:color w:val="auto"/>
          <w:kern w:val="0"/>
          <w:sz w:val="36"/>
          <w:szCs w:val="36"/>
          <w:highlight w:val="none"/>
        </w:rPr>
      </w:pPr>
    </w:p>
    <w:p w14:paraId="4547D635">
      <w:pPr>
        <w:numPr>
          <w:ilvl w:val="0"/>
          <w:numId w:val="11"/>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报价一览表………………………………………………………（页码）</w:t>
      </w:r>
    </w:p>
    <w:p w14:paraId="69A98486">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（2）分项报价表 ………………………………………………………（页码）</w:t>
      </w:r>
    </w:p>
    <w:p w14:paraId="16DCC63D">
      <w:pPr>
        <w:snapToGrid w:val="0"/>
        <w:spacing w:line="360" w:lineRule="auto"/>
        <w:ind w:right="480"/>
        <w:jc w:val="center"/>
        <w:rPr>
          <w:rFonts w:hint="eastAsia" w:ascii="仿宋" w:hAnsi="仿宋" w:eastAsia="仿宋" w:cs="仿宋"/>
          <w:b/>
          <w:color w:val="auto"/>
          <w:kern w:val="0"/>
          <w:sz w:val="32"/>
          <w:szCs w:val="32"/>
          <w:highlight w:val="none"/>
        </w:rPr>
      </w:pPr>
    </w:p>
    <w:p w14:paraId="08F98DAE">
      <w:pPr>
        <w:snapToGrid w:val="0"/>
        <w:spacing w:line="360" w:lineRule="auto"/>
        <w:ind w:right="480"/>
        <w:jc w:val="center"/>
        <w:rPr>
          <w:rFonts w:hint="eastAsia" w:ascii="仿宋" w:hAnsi="仿宋" w:eastAsia="仿宋" w:cs="仿宋"/>
          <w:b/>
          <w:color w:val="auto"/>
          <w:kern w:val="0"/>
          <w:sz w:val="32"/>
          <w:szCs w:val="32"/>
          <w:highlight w:val="none"/>
        </w:rPr>
      </w:pPr>
    </w:p>
    <w:p w14:paraId="1384DEE0">
      <w:pPr>
        <w:snapToGrid w:val="0"/>
        <w:spacing w:line="360" w:lineRule="auto"/>
        <w:ind w:right="480"/>
        <w:jc w:val="center"/>
        <w:rPr>
          <w:rFonts w:hint="eastAsia" w:ascii="仿宋" w:hAnsi="仿宋" w:eastAsia="仿宋" w:cs="仿宋"/>
          <w:b/>
          <w:color w:val="auto"/>
          <w:kern w:val="0"/>
          <w:sz w:val="32"/>
          <w:szCs w:val="32"/>
          <w:highlight w:val="none"/>
        </w:rPr>
      </w:pPr>
    </w:p>
    <w:p w14:paraId="3FD65768">
      <w:pPr>
        <w:snapToGrid w:val="0"/>
        <w:spacing w:line="360" w:lineRule="auto"/>
        <w:ind w:right="480"/>
        <w:jc w:val="center"/>
        <w:rPr>
          <w:rFonts w:hint="eastAsia" w:ascii="仿宋" w:hAnsi="仿宋" w:eastAsia="仿宋" w:cs="仿宋"/>
          <w:b/>
          <w:color w:val="auto"/>
          <w:kern w:val="0"/>
          <w:sz w:val="32"/>
          <w:szCs w:val="32"/>
          <w:highlight w:val="none"/>
        </w:rPr>
      </w:pPr>
    </w:p>
    <w:p w14:paraId="480BF37C">
      <w:pPr>
        <w:snapToGrid w:val="0"/>
        <w:spacing w:line="360" w:lineRule="auto"/>
        <w:ind w:right="480"/>
        <w:jc w:val="center"/>
        <w:rPr>
          <w:rFonts w:hint="eastAsia" w:ascii="仿宋" w:hAnsi="仿宋" w:eastAsia="仿宋" w:cs="仿宋"/>
          <w:b/>
          <w:color w:val="auto"/>
          <w:kern w:val="0"/>
          <w:sz w:val="32"/>
          <w:szCs w:val="32"/>
          <w:highlight w:val="none"/>
        </w:rPr>
      </w:pPr>
    </w:p>
    <w:p w14:paraId="08423B1F">
      <w:pPr>
        <w:snapToGrid w:val="0"/>
        <w:spacing w:line="360" w:lineRule="auto"/>
        <w:ind w:right="480"/>
        <w:jc w:val="center"/>
        <w:rPr>
          <w:rFonts w:hint="eastAsia" w:ascii="仿宋" w:hAnsi="仿宋" w:eastAsia="仿宋" w:cs="仿宋"/>
          <w:b/>
          <w:color w:val="auto"/>
          <w:kern w:val="0"/>
          <w:sz w:val="32"/>
          <w:szCs w:val="32"/>
          <w:highlight w:val="none"/>
        </w:rPr>
      </w:pPr>
    </w:p>
    <w:p w14:paraId="3F592B8D">
      <w:pPr>
        <w:snapToGrid w:val="0"/>
        <w:spacing w:line="360" w:lineRule="auto"/>
        <w:ind w:right="480"/>
        <w:jc w:val="center"/>
        <w:rPr>
          <w:rFonts w:hint="eastAsia" w:ascii="仿宋" w:hAnsi="仿宋" w:eastAsia="仿宋" w:cs="仿宋"/>
          <w:b/>
          <w:color w:val="auto"/>
          <w:kern w:val="0"/>
          <w:sz w:val="32"/>
          <w:szCs w:val="32"/>
          <w:highlight w:val="none"/>
        </w:rPr>
      </w:pPr>
    </w:p>
    <w:p w14:paraId="62DDBB5B">
      <w:pPr>
        <w:snapToGrid w:val="0"/>
        <w:spacing w:line="360" w:lineRule="auto"/>
        <w:ind w:right="480"/>
        <w:jc w:val="center"/>
        <w:rPr>
          <w:rFonts w:hint="eastAsia" w:ascii="仿宋" w:hAnsi="仿宋" w:eastAsia="仿宋" w:cs="仿宋"/>
          <w:b/>
          <w:color w:val="auto"/>
          <w:kern w:val="0"/>
          <w:sz w:val="32"/>
          <w:szCs w:val="32"/>
          <w:highlight w:val="none"/>
        </w:rPr>
      </w:pPr>
    </w:p>
    <w:p w14:paraId="6035E6D2">
      <w:pPr>
        <w:snapToGrid w:val="0"/>
        <w:spacing w:line="360" w:lineRule="auto"/>
        <w:ind w:right="480"/>
        <w:jc w:val="center"/>
        <w:rPr>
          <w:rFonts w:hint="eastAsia" w:ascii="仿宋" w:hAnsi="仿宋" w:eastAsia="仿宋" w:cs="仿宋"/>
          <w:b/>
          <w:color w:val="auto"/>
          <w:kern w:val="0"/>
          <w:sz w:val="32"/>
          <w:szCs w:val="32"/>
          <w:highlight w:val="none"/>
        </w:rPr>
      </w:pPr>
    </w:p>
    <w:p w14:paraId="6C75495A">
      <w:pPr>
        <w:snapToGrid w:val="0"/>
        <w:spacing w:line="360" w:lineRule="auto"/>
        <w:ind w:right="480"/>
        <w:jc w:val="center"/>
        <w:rPr>
          <w:rFonts w:hint="eastAsia" w:ascii="仿宋" w:hAnsi="仿宋" w:eastAsia="仿宋" w:cs="仿宋"/>
          <w:b/>
          <w:color w:val="auto"/>
          <w:kern w:val="0"/>
          <w:sz w:val="32"/>
          <w:szCs w:val="32"/>
          <w:highlight w:val="none"/>
        </w:rPr>
      </w:pPr>
    </w:p>
    <w:p w14:paraId="1CF6B941">
      <w:pPr>
        <w:snapToGrid w:val="0"/>
        <w:spacing w:line="360" w:lineRule="auto"/>
        <w:ind w:right="480"/>
        <w:jc w:val="center"/>
        <w:rPr>
          <w:rFonts w:hint="eastAsia" w:ascii="仿宋" w:hAnsi="仿宋" w:eastAsia="仿宋" w:cs="仿宋"/>
          <w:b/>
          <w:color w:val="auto"/>
          <w:kern w:val="0"/>
          <w:sz w:val="32"/>
          <w:szCs w:val="32"/>
          <w:highlight w:val="none"/>
        </w:rPr>
      </w:pPr>
    </w:p>
    <w:p w14:paraId="482F35AE">
      <w:pPr>
        <w:snapToGrid w:val="0"/>
        <w:spacing w:line="360" w:lineRule="auto"/>
        <w:ind w:right="480"/>
        <w:jc w:val="center"/>
        <w:rPr>
          <w:rFonts w:hint="eastAsia" w:ascii="仿宋" w:hAnsi="仿宋" w:eastAsia="仿宋" w:cs="仿宋"/>
          <w:b/>
          <w:color w:val="auto"/>
          <w:kern w:val="0"/>
          <w:sz w:val="32"/>
          <w:szCs w:val="32"/>
          <w:highlight w:val="none"/>
        </w:rPr>
      </w:pPr>
    </w:p>
    <w:p w14:paraId="67336389">
      <w:pPr>
        <w:snapToGrid w:val="0"/>
        <w:spacing w:line="360" w:lineRule="auto"/>
        <w:ind w:right="480"/>
        <w:jc w:val="center"/>
        <w:rPr>
          <w:rFonts w:hint="eastAsia" w:ascii="仿宋" w:hAnsi="仿宋" w:eastAsia="仿宋" w:cs="仿宋"/>
          <w:b/>
          <w:color w:val="auto"/>
          <w:kern w:val="0"/>
          <w:sz w:val="32"/>
          <w:szCs w:val="32"/>
          <w:highlight w:val="none"/>
        </w:rPr>
      </w:pPr>
    </w:p>
    <w:p w14:paraId="366642DB">
      <w:pPr>
        <w:snapToGrid w:val="0"/>
        <w:spacing w:line="360" w:lineRule="auto"/>
        <w:ind w:right="480"/>
        <w:jc w:val="center"/>
        <w:rPr>
          <w:rFonts w:hint="eastAsia" w:ascii="仿宋" w:hAnsi="仿宋" w:eastAsia="仿宋" w:cs="仿宋"/>
          <w:b/>
          <w:color w:val="auto"/>
          <w:kern w:val="0"/>
          <w:sz w:val="32"/>
          <w:szCs w:val="32"/>
          <w:highlight w:val="none"/>
        </w:rPr>
      </w:pPr>
    </w:p>
    <w:p w14:paraId="4D292926">
      <w:pPr>
        <w:snapToGrid w:val="0"/>
        <w:spacing w:line="360" w:lineRule="auto"/>
        <w:ind w:right="480"/>
        <w:jc w:val="center"/>
        <w:rPr>
          <w:rFonts w:hint="eastAsia" w:ascii="仿宋" w:hAnsi="仿宋" w:eastAsia="仿宋" w:cs="仿宋"/>
          <w:b/>
          <w:color w:val="auto"/>
          <w:kern w:val="0"/>
          <w:sz w:val="32"/>
          <w:szCs w:val="32"/>
          <w:highlight w:val="none"/>
        </w:rPr>
      </w:pPr>
    </w:p>
    <w:p w14:paraId="3678D5FC">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footerReference r:id="rId20" w:type="first"/>
          <w:headerReference r:id="rId18" w:type="default"/>
          <w:footerReference r:id="rId19" w:type="default"/>
          <w:pgSz w:w="11906" w:h="16838"/>
          <w:pgMar w:top="1440" w:right="1080" w:bottom="1440" w:left="1080" w:header="851" w:footer="992" w:gutter="0"/>
          <w:pgNumType w:fmt="decimal"/>
          <w:cols w:space="720" w:num="1"/>
          <w:titlePg/>
          <w:docGrid w:linePitch="312" w:charSpace="0"/>
        </w:sectPr>
      </w:pPr>
    </w:p>
    <w:p w14:paraId="76954820">
      <w:pPr>
        <w:pStyle w:val="27"/>
        <w:keepNext w:val="0"/>
        <w:keepLines w:val="0"/>
        <w:pageBreakBefore w:val="0"/>
        <w:tabs>
          <w:tab w:val="clear" w:pos="720"/>
        </w:tabs>
        <w:kinsoku/>
        <w:wordWrap/>
        <w:topLinePunct w:val="0"/>
        <w:bidi w:val="0"/>
        <w:adjustRightInd w:val="0"/>
        <w:snapToGrid w:val="0"/>
        <w:spacing w:before="120" w:after="120"/>
        <w:ind w:firstLine="641"/>
        <w:textAlignment w:val="auto"/>
        <w:outlineLvl w:val="9"/>
        <w:rPr>
          <w:rFonts w:hint="eastAsia" w:ascii="仿宋" w:hAnsi="仿宋" w:eastAsia="仿宋" w:cs="仿宋"/>
          <w:color w:val="auto"/>
          <w:kern w:val="2"/>
          <w:sz w:val="32"/>
          <w:szCs w:val="32"/>
          <w:highlight w:val="none"/>
        </w:rPr>
      </w:pPr>
      <w:bookmarkStart w:id="567" w:name="_Toc24274"/>
      <w:bookmarkStart w:id="568" w:name="_Toc17889"/>
      <w:bookmarkStart w:id="569" w:name="_Toc23337"/>
      <w:bookmarkStart w:id="570" w:name="_Toc1913262557"/>
      <w:bookmarkStart w:id="571" w:name="_Toc13615"/>
      <w:r>
        <w:rPr>
          <w:rFonts w:hint="eastAsia" w:ascii="仿宋" w:hAnsi="仿宋" w:eastAsia="仿宋" w:cs="仿宋"/>
          <w:color w:val="auto"/>
          <w:kern w:val="2"/>
          <w:sz w:val="32"/>
          <w:szCs w:val="32"/>
          <w:highlight w:val="none"/>
        </w:rPr>
        <w:t>一、</w:t>
      </w:r>
      <w:bookmarkEnd w:id="567"/>
      <w:bookmarkEnd w:id="568"/>
      <w:bookmarkEnd w:id="569"/>
      <w:r>
        <w:rPr>
          <w:rFonts w:hint="eastAsia" w:ascii="仿宋" w:hAnsi="仿宋" w:eastAsia="仿宋" w:cs="仿宋"/>
          <w:color w:val="auto"/>
          <w:kern w:val="2"/>
          <w:sz w:val="32"/>
          <w:szCs w:val="32"/>
          <w:highlight w:val="none"/>
        </w:rPr>
        <w:t>报价一览表（初次报价）</w:t>
      </w:r>
      <w:bookmarkEnd w:id="570"/>
      <w:bookmarkEnd w:id="571"/>
    </w:p>
    <w:p w14:paraId="695D8EDD">
      <w:pPr>
        <w:keepNext w:val="0"/>
        <w:keepLines w:val="0"/>
        <w:pageBreakBefore w:val="0"/>
        <w:kinsoku/>
        <w:wordWrap/>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温州市公安局、温州历程招标有限公司</w:t>
      </w:r>
      <w:r>
        <w:rPr>
          <w:rFonts w:hint="eastAsia" w:ascii="仿宋" w:hAnsi="仿宋" w:eastAsia="仿宋" w:cs="仿宋"/>
          <w:color w:val="auto"/>
          <w:kern w:val="0"/>
          <w:sz w:val="24"/>
          <w:highlight w:val="none"/>
          <w:lang w:val="zh-CN"/>
        </w:rPr>
        <w:t>：</w:t>
      </w:r>
    </w:p>
    <w:p w14:paraId="56CB6968">
      <w:pPr>
        <w:keepNext w:val="0"/>
        <w:keepLines w:val="0"/>
        <w:pageBreakBefore w:val="0"/>
        <w:kinsoku/>
        <w:wordWrap/>
        <w:topLinePunct w:val="0"/>
        <w:bidi w:val="0"/>
        <w:adjustRightInd w:val="0"/>
        <w:snapToGrid w:val="0"/>
        <w:spacing w:line="360" w:lineRule="auto"/>
        <w:ind w:firstLine="482"/>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按你方采购文件要求，我们，本响应文件签字方，谨此向你方发出要约如下：如你方接受本磋商响应，我方承诺按照如下报价一览表的价格完成</w:t>
      </w:r>
      <w:r>
        <w:rPr>
          <w:rFonts w:hint="eastAsia" w:ascii="仿宋" w:hAnsi="仿宋" w:eastAsia="仿宋" w:cs="仿宋"/>
          <w:color w:val="auto"/>
          <w:sz w:val="24"/>
          <w:highlight w:val="none"/>
        </w:rPr>
        <w:t>温州市公安局两防预测预警防控平台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WZLCZB（W）-2024-11484</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15"/>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3236"/>
        <w:gridCol w:w="5671"/>
      </w:tblGrid>
      <w:tr w14:paraId="4B928A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986" w:type="dxa"/>
            <w:noWrap w:val="0"/>
            <w:tcMar>
              <w:top w:w="0" w:type="dxa"/>
              <w:left w:w="108" w:type="dxa"/>
              <w:bottom w:w="0" w:type="dxa"/>
              <w:right w:w="108" w:type="dxa"/>
            </w:tcMar>
            <w:vAlign w:val="center"/>
          </w:tcPr>
          <w:p w14:paraId="4BD44829">
            <w:pPr>
              <w:keepNext w:val="0"/>
              <w:keepLines w:val="0"/>
              <w:pageBreakBefore w:val="0"/>
              <w:widowControl/>
              <w:kinsoku/>
              <w:wordWrap/>
              <w:topLinePunct w:val="0"/>
              <w:bidi w:val="0"/>
              <w:adjustRightInd w:val="0"/>
              <w:spacing w:before="60" w:after="60"/>
              <w:ind w:left="60" w:right="60"/>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序号</w:t>
            </w:r>
          </w:p>
        </w:tc>
        <w:tc>
          <w:tcPr>
            <w:tcW w:w="3236" w:type="dxa"/>
            <w:noWrap w:val="0"/>
            <w:tcMar>
              <w:top w:w="0" w:type="dxa"/>
              <w:left w:w="108" w:type="dxa"/>
              <w:bottom w:w="0" w:type="dxa"/>
              <w:right w:w="108" w:type="dxa"/>
            </w:tcMar>
            <w:vAlign w:val="center"/>
          </w:tcPr>
          <w:p w14:paraId="1D3F6298">
            <w:pPr>
              <w:keepNext w:val="0"/>
              <w:keepLines w:val="0"/>
              <w:pageBreakBefore w:val="0"/>
              <w:widowControl/>
              <w:kinsoku/>
              <w:wordWrap/>
              <w:topLinePunct w:val="0"/>
              <w:bidi w:val="0"/>
              <w:adjustRightInd w:val="0"/>
              <w:spacing w:before="60" w:after="60"/>
              <w:ind w:left="60" w:right="60"/>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内容</w:t>
            </w:r>
          </w:p>
        </w:tc>
        <w:tc>
          <w:tcPr>
            <w:tcW w:w="5671" w:type="dxa"/>
            <w:noWrap w:val="0"/>
            <w:tcMar>
              <w:top w:w="0" w:type="dxa"/>
              <w:left w:w="108" w:type="dxa"/>
              <w:bottom w:w="0" w:type="dxa"/>
              <w:right w:w="108" w:type="dxa"/>
            </w:tcMar>
            <w:vAlign w:val="center"/>
          </w:tcPr>
          <w:p w14:paraId="79DFA525">
            <w:pPr>
              <w:keepNext w:val="0"/>
              <w:keepLines w:val="0"/>
              <w:pageBreakBefore w:val="0"/>
              <w:widowControl/>
              <w:kinsoku/>
              <w:wordWrap/>
              <w:topLinePunct w:val="0"/>
              <w:bidi w:val="0"/>
              <w:adjustRightInd w:val="0"/>
              <w:spacing w:before="60" w:after="60"/>
              <w:ind w:left="60" w:right="60"/>
              <w:jc w:val="center"/>
              <w:textAlignment w:val="auto"/>
              <w:outlineLvl w:val="9"/>
              <w:rPr>
                <w:rFonts w:hint="eastAsia" w:ascii="仿宋" w:hAnsi="仿宋" w:eastAsia="仿宋" w:cs="仿宋"/>
                <w:b/>
                <w:color w:val="auto"/>
                <w:kern w:val="0"/>
                <w:sz w:val="22"/>
                <w:szCs w:val="22"/>
                <w:highlight w:val="none"/>
              </w:rPr>
            </w:pPr>
            <w:r>
              <w:rPr>
                <w:rFonts w:hint="eastAsia" w:ascii="仿宋" w:hAnsi="仿宋" w:eastAsia="仿宋" w:cs="仿宋"/>
                <w:b/>
                <w:color w:val="auto"/>
                <w:kern w:val="0"/>
                <w:sz w:val="22"/>
                <w:szCs w:val="22"/>
                <w:highlight w:val="none"/>
              </w:rPr>
              <w:t>报价</w:t>
            </w:r>
          </w:p>
        </w:tc>
      </w:tr>
      <w:tr w14:paraId="1BC6C8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986" w:type="dxa"/>
            <w:noWrap w:val="0"/>
            <w:tcMar>
              <w:top w:w="0" w:type="dxa"/>
              <w:left w:w="108" w:type="dxa"/>
              <w:bottom w:w="0" w:type="dxa"/>
              <w:right w:w="108" w:type="dxa"/>
            </w:tcMar>
            <w:vAlign w:val="center"/>
          </w:tcPr>
          <w:p w14:paraId="532B6562">
            <w:pPr>
              <w:keepNext w:val="0"/>
              <w:keepLines w:val="0"/>
              <w:pageBreakBefore w:val="0"/>
              <w:widowControl/>
              <w:kinsoku/>
              <w:wordWrap/>
              <w:topLinePunct w:val="0"/>
              <w:bidi w:val="0"/>
              <w:adjustRightInd w:val="0"/>
              <w:spacing w:before="60" w:after="60"/>
              <w:jc w:val="center"/>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236" w:type="dxa"/>
            <w:noWrap w:val="0"/>
            <w:tcMar>
              <w:top w:w="0" w:type="dxa"/>
              <w:left w:w="108" w:type="dxa"/>
              <w:bottom w:w="0" w:type="dxa"/>
              <w:right w:w="108" w:type="dxa"/>
            </w:tcMar>
            <w:vAlign w:val="center"/>
          </w:tcPr>
          <w:p w14:paraId="70DE502A">
            <w:pPr>
              <w:keepNext w:val="0"/>
              <w:keepLines w:val="0"/>
              <w:pageBreakBefore w:val="0"/>
              <w:widowControl/>
              <w:kinsoku/>
              <w:wordWrap/>
              <w:topLinePunct w:val="0"/>
              <w:bidi w:val="0"/>
              <w:adjustRightInd w:val="0"/>
              <w:spacing w:before="60" w:after="60"/>
              <w:jc w:val="center"/>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color w:val="auto"/>
                <w:sz w:val="22"/>
                <w:szCs w:val="22"/>
                <w:highlight w:val="none"/>
              </w:rPr>
              <w:t xml:space="preserve"> </w:t>
            </w:r>
          </w:p>
        </w:tc>
        <w:tc>
          <w:tcPr>
            <w:tcW w:w="5671" w:type="dxa"/>
            <w:noWrap w:val="0"/>
            <w:tcMar>
              <w:top w:w="0" w:type="dxa"/>
              <w:left w:w="108" w:type="dxa"/>
              <w:bottom w:w="0" w:type="dxa"/>
              <w:right w:w="108" w:type="dxa"/>
            </w:tcMar>
            <w:vAlign w:val="center"/>
          </w:tcPr>
          <w:p w14:paraId="269C731B">
            <w:pPr>
              <w:keepNext w:val="0"/>
              <w:keepLines w:val="0"/>
              <w:pageBreakBefore w:val="0"/>
              <w:kinsoku/>
              <w:wordWrap/>
              <w:topLinePunct w:val="0"/>
              <w:autoSpaceDE w:val="0"/>
              <w:autoSpaceDN w:val="0"/>
              <w:bidi w:val="0"/>
              <w:adjustRightInd w:val="0"/>
              <w:spacing w:line="380" w:lineRule="atLeast"/>
              <w:ind w:right="349"/>
              <w:jc w:val="left"/>
              <w:textAlignment w:val="auto"/>
              <w:outlineLvl w:val="9"/>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（大写）：</w:t>
            </w:r>
          </w:p>
          <w:p w14:paraId="387DEB96">
            <w:pPr>
              <w:keepNext w:val="0"/>
              <w:keepLines w:val="0"/>
              <w:pageBreakBefore w:val="0"/>
              <w:kinsoku/>
              <w:wordWrap/>
              <w:topLinePunct w:val="0"/>
              <w:autoSpaceDE w:val="0"/>
              <w:autoSpaceDN w:val="0"/>
              <w:bidi w:val="0"/>
              <w:adjustRightInd w:val="0"/>
              <w:spacing w:line="380" w:lineRule="atLeast"/>
              <w:ind w:right="349" w:firstLine="331"/>
              <w:jc w:val="left"/>
              <w:textAlignment w:val="auto"/>
              <w:outlineLvl w:val="9"/>
              <w:rPr>
                <w:rFonts w:hint="eastAsia" w:ascii="仿宋" w:hAnsi="仿宋" w:eastAsia="仿宋" w:cs="仿宋"/>
                <w:b/>
                <w:bCs/>
                <w:color w:val="auto"/>
                <w:kern w:val="0"/>
                <w:sz w:val="22"/>
                <w:szCs w:val="22"/>
                <w:highlight w:val="none"/>
              </w:rPr>
            </w:pPr>
          </w:p>
          <w:p w14:paraId="30A097BF">
            <w:pPr>
              <w:keepNext w:val="0"/>
              <w:keepLines w:val="0"/>
              <w:pageBreakBefore w:val="0"/>
              <w:widowControl/>
              <w:kinsoku/>
              <w:wordWrap/>
              <w:topLinePunct w:val="0"/>
              <w:bidi w:val="0"/>
              <w:adjustRightInd w:val="0"/>
              <w:spacing w:before="60" w:after="60"/>
              <w:textAlignment w:val="auto"/>
              <w:outlineLvl w:val="9"/>
              <w:rPr>
                <w:rFonts w:hint="eastAsia" w:ascii="仿宋" w:hAnsi="仿宋" w:eastAsia="仿宋" w:cs="仿宋"/>
                <w:bCs/>
                <w:color w:val="auto"/>
                <w:kern w:val="0"/>
                <w:sz w:val="22"/>
                <w:szCs w:val="22"/>
                <w:highlight w:val="none"/>
              </w:rPr>
            </w:pPr>
            <w:r>
              <w:rPr>
                <w:rFonts w:hint="eastAsia" w:ascii="仿宋" w:hAnsi="仿宋" w:eastAsia="仿宋" w:cs="仿宋"/>
                <w:b/>
                <w:bCs/>
                <w:color w:val="auto"/>
                <w:kern w:val="0"/>
                <w:sz w:val="22"/>
                <w:szCs w:val="22"/>
                <w:highlight w:val="none"/>
              </w:rPr>
              <w:t>（小写）：¥</w:t>
            </w:r>
          </w:p>
        </w:tc>
      </w:tr>
    </w:tbl>
    <w:p w14:paraId="3CE84CA5">
      <w:pPr>
        <w:keepNext w:val="0"/>
        <w:keepLines w:val="0"/>
        <w:pageBreakBefore w:val="0"/>
        <w:kinsoku/>
        <w:wordWrap/>
        <w:overflowPunct w:val="0"/>
        <w:topLinePunct w:val="0"/>
        <w:bidi w:val="0"/>
        <w:adjustRightInd w:val="0"/>
        <w:spacing w:line="380" w:lineRule="exact"/>
        <w:textAlignment w:val="auto"/>
        <w:outlineLvl w:val="9"/>
        <w:rPr>
          <w:rFonts w:hint="eastAsia" w:ascii="仿宋" w:hAnsi="仿宋" w:eastAsia="仿宋" w:cs="仿宋"/>
          <w:bCs/>
          <w:color w:val="auto"/>
          <w:sz w:val="22"/>
          <w:szCs w:val="22"/>
          <w:highlight w:val="none"/>
        </w:rPr>
      </w:pPr>
    </w:p>
    <w:p w14:paraId="6293D18D">
      <w:pPr>
        <w:keepNext w:val="0"/>
        <w:keepLines w:val="0"/>
        <w:pageBreakBefore w:val="0"/>
        <w:kinsoku/>
        <w:wordWrap/>
        <w:overflowPunct w:val="0"/>
        <w:topLinePunct w:val="0"/>
        <w:bidi w:val="0"/>
        <w:adjustRightInd w:val="0"/>
        <w:spacing w:line="460" w:lineRule="exact"/>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19731804">
      <w:pPr>
        <w:keepNext w:val="0"/>
        <w:keepLines w:val="0"/>
        <w:pageBreakBefore w:val="0"/>
        <w:kinsoku/>
        <w:wordWrap/>
        <w:topLinePunct w:val="0"/>
        <w:bidi w:val="0"/>
        <w:adjustRightInd w:val="0"/>
        <w:spacing w:line="380" w:lineRule="exact"/>
        <w:ind w:left="12" w:hanging="12" w:hangingChars="5"/>
        <w:textAlignment w:val="auto"/>
        <w:outlineLvl w:val="9"/>
        <w:rPr>
          <w:rFonts w:hint="eastAsia" w:ascii="仿宋" w:hAnsi="仿宋" w:eastAsia="仿宋" w:cs="仿宋"/>
          <w:b/>
          <w:color w:val="auto"/>
          <w:sz w:val="22"/>
          <w:highlight w:val="none"/>
          <w:u w:val="thick"/>
        </w:rPr>
      </w:pPr>
      <w:r>
        <w:rPr>
          <w:rFonts w:hint="eastAsia" w:ascii="仿宋" w:hAnsi="仿宋" w:eastAsia="仿宋" w:cs="仿宋"/>
          <w:color w:val="auto"/>
          <w:sz w:val="24"/>
          <w:szCs w:val="20"/>
          <w:highlight w:val="none"/>
          <w:u w:val="thick"/>
        </w:rPr>
        <w:t>▲</w:t>
      </w:r>
      <w:r>
        <w:rPr>
          <w:rFonts w:hint="eastAsia" w:ascii="仿宋" w:hAnsi="仿宋" w:eastAsia="仿宋" w:cs="仿宋"/>
          <w:b/>
          <w:color w:val="auto"/>
          <w:sz w:val="22"/>
          <w:highlight w:val="none"/>
          <w:u w:val="thick"/>
        </w:rPr>
        <w:t>此栏内磋商总价应与“分项报价表”中磋商报价总价相一致。</w:t>
      </w:r>
    </w:p>
    <w:p w14:paraId="2C10DE05">
      <w:pPr>
        <w:keepNext w:val="0"/>
        <w:keepLines w:val="0"/>
        <w:pageBreakBefore w:val="0"/>
        <w:kinsoku/>
        <w:wordWrap/>
        <w:topLinePunct w:val="0"/>
        <w:autoSpaceDE w:val="0"/>
        <w:autoSpaceDN w:val="0"/>
        <w:bidi w:val="0"/>
        <w:adjustRightInd w:val="0"/>
        <w:spacing w:line="360" w:lineRule="auto"/>
        <w:ind w:right="1120"/>
        <w:jc w:val="left"/>
        <w:textAlignment w:val="auto"/>
        <w:outlineLvl w:val="9"/>
        <w:rPr>
          <w:rFonts w:hint="eastAsia" w:ascii="仿宋" w:hAnsi="仿宋" w:eastAsia="仿宋" w:cs="仿宋"/>
          <w:color w:val="auto"/>
          <w:kern w:val="0"/>
          <w:sz w:val="24"/>
          <w:highlight w:val="none"/>
          <w:u w:val="thick"/>
          <w:lang w:val="zh-CN"/>
        </w:rPr>
      </w:pPr>
    </w:p>
    <w:p w14:paraId="39273C05">
      <w:pPr>
        <w:keepNext w:val="0"/>
        <w:keepLines w:val="0"/>
        <w:pageBreakBefore w:val="0"/>
        <w:kinsoku/>
        <w:wordWrap/>
        <w:topLinePunct w:val="0"/>
        <w:autoSpaceDE w:val="0"/>
        <w:autoSpaceDN w:val="0"/>
        <w:bidi w:val="0"/>
        <w:adjustRightInd w:val="0"/>
        <w:spacing w:line="360" w:lineRule="auto"/>
        <w:ind w:right="112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CD75EF1">
      <w:pPr>
        <w:keepNext w:val="0"/>
        <w:keepLines w:val="0"/>
        <w:pageBreakBefore w:val="0"/>
        <w:kinsoku/>
        <w:wordWrap/>
        <w:topLinePunct w:val="0"/>
        <w:bidi w:val="0"/>
        <w:adjustRightInd w:val="0"/>
        <w:spacing w:line="360" w:lineRule="auto"/>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3D6E774">
      <w:pPr>
        <w:keepNext w:val="0"/>
        <w:keepLines w:val="0"/>
        <w:pageBreakBefore w:val="0"/>
        <w:kinsoku/>
        <w:wordWrap/>
        <w:topLinePunct w:val="0"/>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4"/>
          <w:highlight w:val="none"/>
        </w:rPr>
        <w:t>温州市公安局、温州历程招标有限公司</w:t>
      </w:r>
      <w:r>
        <w:rPr>
          <w:rFonts w:hint="eastAsia" w:ascii="仿宋" w:hAnsi="仿宋" w:eastAsia="仿宋" w:cs="仿宋"/>
          <w:color w:val="auto"/>
          <w:kern w:val="0"/>
          <w:sz w:val="24"/>
          <w:highlight w:val="none"/>
          <w:lang w:val="zh-CN"/>
        </w:rPr>
        <w:t>：</w:t>
      </w:r>
    </w:p>
    <w:p w14:paraId="38ADD6B7">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kern w:val="0"/>
          <w:sz w:val="24"/>
          <w:highlight w:val="none"/>
          <w:lang w:val="zh-CN"/>
        </w:rPr>
      </w:pPr>
      <w:bookmarkStart w:id="572" w:name="_Toc1931148968"/>
      <w:bookmarkStart w:id="573" w:name="_Toc16131"/>
      <w:r>
        <w:rPr>
          <w:rFonts w:hint="eastAsia" w:ascii="仿宋" w:hAnsi="仿宋" w:eastAsia="仿宋" w:cs="仿宋"/>
          <w:color w:val="auto"/>
          <w:sz w:val="32"/>
          <w:szCs w:val="32"/>
          <w:highlight w:val="none"/>
        </w:rPr>
        <w:t>二、分项报价表（适用货物、服务）</w:t>
      </w:r>
      <w:bookmarkEnd w:id="572"/>
      <w:bookmarkEnd w:id="57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63"/>
        <w:gridCol w:w="1237"/>
        <w:gridCol w:w="1600"/>
        <w:gridCol w:w="925"/>
        <w:gridCol w:w="788"/>
        <w:gridCol w:w="1025"/>
        <w:gridCol w:w="1425"/>
      </w:tblGrid>
      <w:tr w14:paraId="05FC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noWrap w:val="0"/>
            <w:vAlign w:val="center"/>
          </w:tcPr>
          <w:p w14:paraId="24913F3A">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3" w:type="dxa"/>
            <w:noWrap w:val="0"/>
            <w:vAlign w:val="center"/>
          </w:tcPr>
          <w:p w14:paraId="3243FB55">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237" w:type="dxa"/>
            <w:noWrap w:val="0"/>
            <w:vAlign w:val="top"/>
          </w:tcPr>
          <w:p w14:paraId="36B2FAF9">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p>
          <w:p w14:paraId="170894EF">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600" w:type="dxa"/>
            <w:noWrap w:val="0"/>
            <w:vAlign w:val="center"/>
          </w:tcPr>
          <w:p w14:paraId="56B9CD27">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25" w:type="dxa"/>
            <w:noWrap w:val="0"/>
            <w:vAlign w:val="center"/>
          </w:tcPr>
          <w:p w14:paraId="749187F0">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788" w:type="dxa"/>
            <w:noWrap w:val="0"/>
            <w:vAlign w:val="center"/>
          </w:tcPr>
          <w:p w14:paraId="0CA28635">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025" w:type="dxa"/>
            <w:noWrap w:val="0"/>
            <w:vAlign w:val="center"/>
          </w:tcPr>
          <w:p w14:paraId="789BF42B">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425" w:type="dxa"/>
            <w:noWrap w:val="0"/>
            <w:vAlign w:val="center"/>
          </w:tcPr>
          <w:p w14:paraId="42C90572">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p>
          <w:p w14:paraId="61BBF151">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409E4416">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p>
        </w:tc>
      </w:tr>
      <w:tr w14:paraId="0133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noWrap w:val="0"/>
            <w:vAlign w:val="center"/>
          </w:tcPr>
          <w:p w14:paraId="092D8BFD">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3" w:type="dxa"/>
            <w:noWrap w:val="0"/>
            <w:vAlign w:val="center"/>
          </w:tcPr>
          <w:p w14:paraId="6436F7F3">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237" w:type="dxa"/>
            <w:noWrap w:val="0"/>
            <w:vAlign w:val="center"/>
          </w:tcPr>
          <w:p w14:paraId="0FBCEFD5">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600" w:type="dxa"/>
            <w:noWrap w:val="0"/>
            <w:vAlign w:val="center"/>
          </w:tcPr>
          <w:p w14:paraId="16B39EA4">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925" w:type="dxa"/>
            <w:noWrap w:val="0"/>
            <w:vAlign w:val="center"/>
          </w:tcPr>
          <w:p w14:paraId="2F8EA364">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788" w:type="dxa"/>
            <w:noWrap w:val="0"/>
            <w:vAlign w:val="center"/>
          </w:tcPr>
          <w:p w14:paraId="07FFA0DF">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025" w:type="dxa"/>
            <w:noWrap w:val="0"/>
            <w:vAlign w:val="center"/>
          </w:tcPr>
          <w:p w14:paraId="3F50C661">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425" w:type="dxa"/>
            <w:noWrap w:val="0"/>
            <w:vAlign w:val="center"/>
          </w:tcPr>
          <w:p w14:paraId="3DA92A0F">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r>
      <w:tr w14:paraId="5110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noWrap w:val="0"/>
            <w:vAlign w:val="center"/>
          </w:tcPr>
          <w:p w14:paraId="6C7518B9">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3" w:type="dxa"/>
            <w:noWrap w:val="0"/>
            <w:vAlign w:val="center"/>
          </w:tcPr>
          <w:p w14:paraId="02CBDD93">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237" w:type="dxa"/>
            <w:noWrap w:val="0"/>
            <w:vAlign w:val="center"/>
          </w:tcPr>
          <w:p w14:paraId="03253392">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600" w:type="dxa"/>
            <w:noWrap w:val="0"/>
            <w:vAlign w:val="center"/>
          </w:tcPr>
          <w:p w14:paraId="49FA47DB">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925" w:type="dxa"/>
            <w:noWrap w:val="0"/>
            <w:vAlign w:val="center"/>
          </w:tcPr>
          <w:p w14:paraId="5EBDD44F">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788" w:type="dxa"/>
            <w:noWrap w:val="0"/>
            <w:vAlign w:val="center"/>
          </w:tcPr>
          <w:p w14:paraId="4879A828">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025" w:type="dxa"/>
            <w:noWrap w:val="0"/>
            <w:vAlign w:val="center"/>
          </w:tcPr>
          <w:p w14:paraId="0584366F">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425" w:type="dxa"/>
            <w:noWrap w:val="0"/>
            <w:vAlign w:val="center"/>
          </w:tcPr>
          <w:p w14:paraId="5ED0BCEB">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r>
      <w:tr w14:paraId="0AFA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noWrap w:val="0"/>
            <w:vAlign w:val="center"/>
          </w:tcPr>
          <w:p w14:paraId="4C503F05">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3" w:type="dxa"/>
            <w:noWrap w:val="0"/>
            <w:vAlign w:val="center"/>
          </w:tcPr>
          <w:p w14:paraId="1916E736">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237" w:type="dxa"/>
            <w:noWrap w:val="0"/>
            <w:vAlign w:val="center"/>
          </w:tcPr>
          <w:p w14:paraId="3E996FFA">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600" w:type="dxa"/>
            <w:noWrap w:val="0"/>
            <w:vAlign w:val="center"/>
          </w:tcPr>
          <w:p w14:paraId="3649EB85">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925" w:type="dxa"/>
            <w:noWrap w:val="0"/>
            <w:vAlign w:val="center"/>
          </w:tcPr>
          <w:p w14:paraId="4B093ED8">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788" w:type="dxa"/>
            <w:noWrap w:val="0"/>
            <w:vAlign w:val="center"/>
          </w:tcPr>
          <w:p w14:paraId="6CECCD97">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025" w:type="dxa"/>
            <w:noWrap w:val="0"/>
            <w:vAlign w:val="center"/>
          </w:tcPr>
          <w:p w14:paraId="072783AB">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425" w:type="dxa"/>
            <w:noWrap w:val="0"/>
            <w:vAlign w:val="center"/>
          </w:tcPr>
          <w:p w14:paraId="20B56532">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r>
      <w:tr w14:paraId="17A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dxa"/>
            <w:noWrap w:val="0"/>
            <w:vAlign w:val="center"/>
          </w:tcPr>
          <w:p w14:paraId="62B425DA">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363" w:type="dxa"/>
            <w:noWrap w:val="0"/>
            <w:vAlign w:val="center"/>
          </w:tcPr>
          <w:p w14:paraId="6A7684A3">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237" w:type="dxa"/>
            <w:noWrap w:val="0"/>
            <w:vAlign w:val="center"/>
          </w:tcPr>
          <w:p w14:paraId="692E4AD5">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1600" w:type="dxa"/>
            <w:noWrap w:val="0"/>
            <w:vAlign w:val="center"/>
          </w:tcPr>
          <w:p w14:paraId="3059D2D4">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925" w:type="dxa"/>
            <w:noWrap w:val="0"/>
            <w:vAlign w:val="center"/>
          </w:tcPr>
          <w:p w14:paraId="7631994C">
            <w:pPr>
              <w:keepNext w:val="0"/>
              <w:keepLines w:val="0"/>
              <w:pageBreakBefore w:val="0"/>
              <w:kinsoku/>
              <w:wordWrap/>
              <w:topLinePunct w:val="0"/>
              <w:bidi w:val="0"/>
              <w:adjustRightInd w:val="0"/>
              <w:snapToGrid w:val="0"/>
              <w:spacing w:line="360" w:lineRule="auto"/>
              <w:jc w:val="center"/>
              <w:textAlignment w:val="auto"/>
              <w:outlineLvl w:val="9"/>
              <w:rPr>
                <w:rFonts w:hint="eastAsia" w:ascii="仿宋" w:hAnsi="仿宋" w:eastAsia="仿宋" w:cs="仿宋"/>
                <w:color w:val="auto"/>
                <w:sz w:val="24"/>
                <w:highlight w:val="none"/>
              </w:rPr>
            </w:pPr>
          </w:p>
        </w:tc>
        <w:tc>
          <w:tcPr>
            <w:tcW w:w="788" w:type="dxa"/>
            <w:noWrap w:val="0"/>
            <w:vAlign w:val="center"/>
          </w:tcPr>
          <w:p w14:paraId="39814088">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025" w:type="dxa"/>
            <w:noWrap w:val="0"/>
            <w:vAlign w:val="center"/>
          </w:tcPr>
          <w:p w14:paraId="26455821">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c>
          <w:tcPr>
            <w:tcW w:w="1425" w:type="dxa"/>
            <w:noWrap w:val="0"/>
            <w:vAlign w:val="center"/>
          </w:tcPr>
          <w:p w14:paraId="64A04E14">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r>
      <w:tr w14:paraId="16A9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30" w:type="dxa"/>
            <w:gridSpan w:val="4"/>
            <w:noWrap w:val="0"/>
            <w:vAlign w:val="center"/>
          </w:tcPr>
          <w:p w14:paraId="40F0B7BE">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磋商报价总价（小写）</w:t>
            </w:r>
          </w:p>
        </w:tc>
        <w:tc>
          <w:tcPr>
            <w:tcW w:w="4163" w:type="dxa"/>
            <w:gridSpan w:val="4"/>
            <w:noWrap w:val="0"/>
            <w:vAlign w:val="center"/>
          </w:tcPr>
          <w:p w14:paraId="162FCFD3">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r>
      <w:tr w14:paraId="2BFD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30" w:type="dxa"/>
            <w:gridSpan w:val="4"/>
            <w:noWrap w:val="0"/>
            <w:vAlign w:val="center"/>
          </w:tcPr>
          <w:p w14:paraId="748A0FF2">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磋商报价总价（大写）</w:t>
            </w:r>
          </w:p>
        </w:tc>
        <w:tc>
          <w:tcPr>
            <w:tcW w:w="4163" w:type="dxa"/>
            <w:gridSpan w:val="4"/>
            <w:noWrap w:val="0"/>
            <w:vAlign w:val="center"/>
          </w:tcPr>
          <w:p w14:paraId="09A1FC4D">
            <w:pPr>
              <w:keepNext w:val="0"/>
              <w:keepLines w:val="0"/>
              <w:pageBreakBefore w:val="0"/>
              <w:kinsoku/>
              <w:wordWrap/>
              <w:topLinePunct w:val="0"/>
              <w:bidi w:val="0"/>
              <w:adjustRightInd w:val="0"/>
              <w:spacing w:line="360" w:lineRule="auto"/>
              <w:jc w:val="center"/>
              <w:textAlignment w:val="auto"/>
              <w:outlineLvl w:val="9"/>
              <w:rPr>
                <w:rFonts w:hint="eastAsia" w:ascii="仿宋" w:hAnsi="仿宋" w:eastAsia="仿宋" w:cs="仿宋"/>
                <w:color w:val="auto"/>
                <w:sz w:val="24"/>
                <w:highlight w:val="none"/>
              </w:rPr>
            </w:pPr>
          </w:p>
        </w:tc>
      </w:tr>
    </w:tbl>
    <w:p w14:paraId="28AF52CC">
      <w:pPr>
        <w:keepNext w:val="0"/>
        <w:keepLines w:val="0"/>
        <w:pageBreakBefore w:val="0"/>
        <w:kinsoku/>
        <w:wordWrap/>
        <w:topLinePunct w:val="0"/>
        <w:bidi w:val="0"/>
        <w:adjustRightInd w:val="0"/>
        <w:snapToGrid w:val="0"/>
        <w:spacing w:line="360" w:lineRule="auto"/>
        <w:ind w:left="480"/>
        <w:textAlignment w:val="auto"/>
        <w:outlineLvl w:val="9"/>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1C67767">
      <w:pPr>
        <w:keepNext w:val="0"/>
        <w:keepLines w:val="0"/>
        <w:pageBreakBefore w:val="0"/>
        <w:kinsoku/>
        <w:wordWrap/>
        <w:topLinePunct w:val="0"/>
        <w:bidi w:val="0"/>
        <w:adjustRightInd w:val="0"/>
        <w:spacing w:line="360" w:lineRule="auto"/>
        <w:ind w:left="-2" w:leftChars="-1" w:firstLine="480" w:firstLineChars="200"/>
        <w:textAlignment w:val="auto"/>
        <w:outlineLvl w:val="9"/>
        <w:rPr>
          <w:rFonts w:hint="eastAsia" w:ascii="仿宋" w:hAnsi="仿宋" w:eastAsia="仿宋" w:cs="仿宋"/>
          <w:color w:val="auto"/>
          <w:kern w:val="0"/>
          <w:sz w:val="24"/>
          <w:highlight w:val="none"/>
          <w:u w:val="thick"/>
          <w:lang w:val="zh-CN"/>
        </w:rPr>
      </w:pPr>
      <w:r>
        <w:rPr>
          <w:rFonts w:hint="eastAsia" w:ascii="仿宋" w:hAnsi="仿宋" w:eastAsia="仿宋" w:cs="仿宋"/>
          <w:color w:val="auto"/>
          <w:sz w:val="24"/>
          <w:szCs w:val="20"/>
          <w:highlight w:val="none"/>
          <w:u w:val="thick"/>
        </w:rPr>
        <w:t>▲</w:t>
      </w:r>
      <w:r>
        <w:rPr>
          <w:rFonts w:hint="eastAsia" w:ascii="仿宋" w:hAnsi="仿宋" w:eastAsia="仿宋" w:cs="仿宋"/>
          <w:color w:val="auto"/>
          <w:kern w:val="0"/>
          <w:sz w:val="24"/>
          <w:highlight w:val="none"/>
          <w:u w:val="thick"/>
          <w:lang w:val="zh-CN"/>
        </w:rPr>
        <w:t>1、不提供此表的报价，视为没有实质性响应采购文件要求。</w:t>
      </w:r>
    </w:p>
    <w:p w14:paraId="240E2F3C">
      <w:pPr>
        <w:keepNext w:val="0"/>
        <w:keepLines w:val="0"/>
        <w:pageBreakBefore w:val="0"/>
        <w:kinsoku/>
        <w:wordWrap/>
        <w:topLinePunct w:val="0"/>
        <w:bidi w:val="0"/>
        <w:adjustRightInd w:val="0"/>
        <w:spacing w:line="360" w:lineRule="auto"/>
        <w:ind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响应文件含有采购人不能接受的附加条件的，响应无效</w:t>
      </w:r>
      <w:r>
        <w:rPr>
          <w:rFonts w:hint="eastAsia" w:ascii="仿宋" w:hAnsi="仿宋" w:eastAsia="仿宋" w:cs="仿宋"/>
          <w:b/>
          <w:color w:val="auto"/>
          <w:kern w:val="0"/>
          <w:sz w:val="24"/>
          <w:highlight w:val="none"/>
          <w:lang w:val="zh-CN"/>
        </w:rPr>
        <w:t>。</w:t>
      </w:r>
    </w:p>
    <w:p w14:paraId="530C5CB8">
      <w:pPr>
        <w:keepNext w:val="0"/>
        <w:keepLines w:val="0"/>
        <w:pageBreakBefore w:val="0"/>
        <w:kinsoku/>
        <w:wordWrap/>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14:paraId="04463BA1">
      <w:pPr>
        <w:keepNext w:val="0"/>
        <w:keepLines w:val="0"/>
        <w:pageBreakBefore w:val="0"/>
        <w:kinsoku/>
        <w:wordWrap/>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4、特别提示：采购代理机构将对项目名称和项目编号，成交供应商名称、地址和成交金额，主要成交标的的名称、规格型号、数量、单价、服务要求等予以公示。</w:t>
      </w:r>
    </w:p>
    <w:p w14:paraId="3B7D6CD6">
      <w:pPr>
        <w:keepNext w:val="0"/>
        <w:keepLines w:val="0"/>
        <w:pageBreakBefore w:val="0"/>
        <w:kinsoku/>
        <w:wordWrap/>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DDA0217">
      <w:pPr>
        <w:keepNext w:val="0"/>
        <w:keepLines w:val="0"/>
        <w:pageBreakBefore w:val="0"/>
        <w:kinsoku/>
        <w:wordWrap/>
        <w:topLinePunct w:val="0"/>
        <w:bidi w:val="0"/>
        <w:adjustRightInd w:val="0"/>
        <w:snapToGrid w:val="0"/>
        <w:spacing w:line="360" w:lineRule="auto"/>
        <w:ind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6、本表可在不改变格式的情况下根据具体需要自行增减。</w:t>
      </w:r>
    </w:p>
    <w:p w14:paraId="40366BA7">
      <w:pPr>
        <w:keepNext w:val="0"/>
        <w:keepLines w:val="0"/>
        <w:pageBreakBefore w:val="0"/>
        <w:kinsoku/>
        <w:wordWrap/>
        <w:topLinePunct w:val="0"/>
        <w:autoSpaceDE w:val="0"/>
        <w:autoSpaceDN w:val="0"/>
        <w:bidi w:val="0"/>
        <w:adjustRightInd w:val="0"/>
        <w:spacing w:line="360" w:lineRule="auto"/>
        <w:ind w:right="1120"/>
        <w:jc w:val="left"/>
        <w:textAlignment w:val="auto"/>
        <w:outlineLvl w:val="9"/>
        <w:rPr>
          <w:rFonts w:hint="eastAsia" w:ascii="仿宋" w:hAnsi="仿宋" w:eastAsia="仿宋" w:cs="仿宋"/>
          <w:color w:val="auto"/>
          <w:kern w:val="0"/>
          <w:sz w:val="24"/>
          <w:highlight w:val="none"/>
          <w:lang w:val="zh-CN"/>
        </w:rPr>
      </w:pPr>
    </w:p>
    <w:p w14:paraId="11F4F186">
      <w:pPr>
        <w:keepNext w:val="0"/>
        <w:keepLines w:val="0"/>
        <w:pageBreakBefore w:val="0"/>
        <w:kinsoku/>
        <w:wordWrap/>
        <w:topLinePunct w:val="0"/>
        <w:autoSpaceDE w:val="0"/>
        <w:autoSpaceDN w:val="0"/>
        <w:bidi w:val="0"/>
        <w:adjustRightInd w:val="0"/>
        <w:spacing w:line="360" w:lineRule="auto"/>
        <w:ind w:right="112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E250991">
      <w:pPr>
        <w:keepNext w:val="0"/>
        <w:keepLines w:val="0"/>
        <w:pageBreakBefore w:val="0"/>
        <w:kinsoku/>
        <w:wordWrap/>
        <w:topLinePunct w:val="0"/>
        <w:bidi w:val="0"/>
        <w:adjustRightInd w:val="0"/>
        <w:spacing w:line="360" w:lineRule="auto"/>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33E6FC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br w:type="page"/>
      </w:r>
    </w:p>
    <w:p w14:paraId="5AE8C09A">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511E74FB">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bookmarkStart w:id="574" w:name="_Toc1519"/>
      <w:bookmarkStart w:id="575" w:name="OLE_LINK14"/>
      <w:bookmarkStart w:id="576" w:name="OLE_LINK13"/>
      <w:r>
        <w:rPr>
          <w:rFonts w:hint="eastAsia" w:ascii="仿宋" w:hAnsi="仿宋" w:eastAsia="仿宋" w:cs="仿宋"/>
          <w:b/>
          <w:color w:val="auto"/>
          <w:spacing w:val="6"/>
          <w:sz w:val="32"/>
          <w:szCs w:val="32"/>
          <w:highlight w:val="none"/>
        </w:rPr>
        <w:t>残疾人福利性单位声明函</w:t>
      </w:r>
      <w:bookmarkEnd w:id="574"/>
    </w:p>
    <w:bookmarkEnd w:id="575"/>
    <w:bookmarkEnd w:id="576"/>
    <w:p w14:paraId="2E5D3C73">
      <w:pPr>
        <w:pageBreakBefore w:val="0"/>
        <w:kinsoku/>
        <w:wordWrap/>
        <w:overflowPunct/>
        <w:topLinePunct w:val="0"/>
        <w:bidi w:val="0"/>
        <w:spacing w:line="360" w:lineRule="auto"/>
        <w:textAlignment w:val="auto"/>
        <w:outlineLvl w:val="9"/>
        <w:rPr>
          <w:rFonts w:hint="eastAsia" w:ascii="仿宋" w:hAnsi="仿宋" w:eastAsia="仿宋" w:cs="仿宋"/>
          <w:b/>
          <w:color w:val="auto"/>
          <w:spacing w:val="6"/>
          <w:sz w:val="30"/>
          <w:szCs w:val="30"/>
          <w:highlight w:val="none"/>
        </w:rPr>
      </w:pPr>
    </w:p>
    <w:p w14:paraId="737F52B4">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CDA2F6">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513766F">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p>
    <w:p w14:paraId="20CD29AB">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p>
    <w:p w14:paraId="387B0040">
      <w:pPr>
        <w:pageBreakBefore w:val="0"/>
        <w:tabs>
          <w:tab w:val="left" w:pos="4860"/>
        </w:tabs>
        <w:kinsoku/>
        <w:wordWrap/>
        <w:overflowPunct/>
        <w:topLinePunct w:val="0"/>
        <w:bidi w:val="0"/>
        <w:spacing w:line="360" w:lineRule="auto"/>
        <w:ind w:right="156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1078023F">
      <w:pPr>
        <w:pageBreakBefore w:val="0"/>
        <w:tabs>
          <w:tab w:val="left" w:pos="4860"/>
        </w:tabs>
        <w:kinsoku/>
        <w:wordWrap/>
        <w:overflowPunct/>
        <w:topLinePunct w:val="0"/>
        <w:bidi w:val="0"/>
        <w:spacing w:line="360" w:lineRule="auto"/>
        <w:ind w:right="156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898CA5E">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p>
    <w:p w14:paraId="4A7FA41F">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highlight w:val="none"/>
        </w:rPr>
      </w:pPr>
    </w:p>
    <w:p w14:paraId="58C5A0A7">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highlight w:val="none"/>
        </w:rPr>
      </w:pPr>
    </w:p>
    <w:p w14:paraId="79A8F3C5">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highlight w:val="none"/>
        </w:rPr>
      </w:pPr>
    </w:p>
    <w:p w14:paraId="326B1199">
      <w:pPr>
        <w:pageBreakBefore w:val="0"/>
        <w:kinsoku/>
        <w:wordWrap/>
        <w:overflowPunct/>
        <w:topLinePunct w:val="0"/>
        <w:bidi w:val="0"/>
        <w:spacing w:line="360" w:lineRule="auto"/>
        <w:ind w:firstLine="420" w:firstLineChars="200"/>
        <w:textAlignment w:val="auto"/>
        <w:outlineLvl w:val="9"/>
        <w:rPr>
          <w:rFonts w:hint="eastAsia" w:ascii="仿宋" w:hAnsi="仿宋" w:eastAsia="仿宋" w:cs="仿宋"/>
          <w:color w:val="auto"/>
          <w:highlight w:val="none"/>
        </w:rPr>
      </w:pPr>
    </w:p>
    <w:p w14:paraId="7996A5E1">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0E8FC255">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673803A3">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5AB7D250">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56688944">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3D9B70B1">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40FC8783">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7F3FF14F">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4EF4CFB9">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38452804">
      <w:pPr>
        <w:pageBreakBefore w:val="0"/>
        <w:kinsoku/>
        <w:wordWrap/>
        <w:overflowPunct/>
        <w:topLinePunct w:val="0"/>
        <w:bidi w:val="0"/>
        <w:spacing w:line="360" w:lineRule="auto"/>
        <w:jc w:val="left"/>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附件2：质疑函范本及制作说明</w:t>
      </w:r>
    </w:p>
    <w:p w14:paraId="4E544F60">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4CD9D08">
      <w:pPr>
        <w:pageBreakBefore w:val="0"/>
        <w:kinsoku/>
        <w:wordWrap/>
        <w:overflowPunct/>
        <w:topLinePunct w:val="0"/>
        <w:bidi w:val="0"/>
        <w:snapToGrid w:val="0"/>
        <w:spacing w:before="240" w:beforeLines="100" w:line="360" w:lineRule="auto"/>
        <w:textAlignment w:val="auto"/>
        <w:outlineLvl w:val="9"/>
        <w:rPr>
          <w:rFonts w:hint="eastAsia" w:ascii="仿宋" w:hAnsi="仿宋" w:eastAsia="仿宋" w:cs="仿宋"/>
          <w:bCs/>
          <w:color w:val="auto"/>
          <w:sz w:val="24"/>
          <w:highlight w:val="none"/>
        </w:rPr>
      </w:pPr>
      <w:bookmarkStart w:id="577" w:name="_Toc28581"/>
      <w:r>
        <w:rPr>
          <w:rFonts w:hint="eastAsia" w:ascii="仿宋" w:hAnsi="仿宋" w:eastAsia="仿宋" w:cs="仿宋"/>
          <w:bCs/>
          <w:color w:val="auto"/>
          <w:sz w:val="24"/>
          <w:highlight w:val="none"/>
        </w:rPr>
        <w:t>一、质疑供应商基本信息</w:t>
      </w:r>
      <w:bookmarkEnd w:id="577"/>
    </w:p>
    <w:p w14:paraId="6A3D39BB">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9BA3A35">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514E8A">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E7EBF1B">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859A397">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1B914C">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E8DD489">
      <w:pPr>
        <w:pageBreakBefore w:val="0"/>
        <w:kinsoku/>
        <w:wordWrap/>
        <w:overflowPunct/>
        <w:topLinePunct w:val="0"/>
        <w:bidi w:val="0"/>
        <w:snapToGrid w:val="0"/>
        <w:spacing w:line="360" w:lineRule="auto"/>
        <w:textAlignment w:val="auto"/>
        <w:outlineLvl w:val="9"/>
        <w:rPr>
          <w:rFonts w:hint="eastAsia" w:ascii="仿宋" w:hAnsi="仿宋" w:eastAsia="仿宋" w:cs="仿宋"/>
          <w:bCs/>
          <w:color w:val="auto"/>
          <w:sz w:val="24"/>
          <w:highlight w:val="none"/>
        </w:rPr>
      </w:pPr>
      <w:bookmarkStart w:id="578" w:name="_Toc29698"/>
      <w:r>
        <w:rPr>
          <w:rFonts w:hint="eastAsia" w:ascii="仿宋" w:hAnsi="仿宋" w:eastAsia="仿宋" w:cs="仿宋"/>
          <w:bCs/>
          <w:color w:val="auto"/>
          <w:sz w:val="24"/>
          <w:highlight w:val="none"/>
        </w:rPr>
        <w:t>二、质疑项目基本情况</w:t>
      </w:r>
      <w:bookmarkEnd w:id="578"/>
    </w:p>
    <w:p w14:paraId="30614CAC">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FF06B70">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6315E4B">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81A5813">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3AB343E">
      <w:pPr>
        <w:pageBreakBefore w:val="0"/>
        <w:kinsoku/>
        <w:wordWrap/>
        <w:overflowPunct/>
        <w:topLinePunct w:val="0"/>
        <w:bidi w:val="0"/>
        <w:snapToGrid w:val="0"/>
        <w:spacing w:line="360" w:lineRule="auto"/>
        <w:textAlignment w:val="auto"/>
        <w:outlineLvl w:val="9"/>
        <w:rPr>
          <w:rFonts w:hint="eastAsia" w:ascii="仿宋" w:hAnsi="仿宋" w:eastAsia="仿宋" w:cs="仿宋"/>
          <w:bCs/>
          <w:color w:val="auto"/>
          <w:sz w:val="24"/>
          <w:highlight w:val="none"/>
        </w:rPr>
      </w:pPr>
      <w:bookmarkStart w:id="579" w:name="_Toc27545"/>
      <w:r>
        <w:rPr>
          <w:rFonts w:hint="eastAsia" w:ascii="仿宋" w:hAnsi="仿宋" w:eastAsia="仿宋" w:cs="仿宋"/>
          <w:bCs/>
          <w:color w:val="auto"/>
          <w:sz w:val="24"/>
          <w:highlight w:val="none"/>
        </w:rPr>
        <w:t>三、质疑事项具体内容</w:t>
      </w:r>
      <w:bookmarkEnd w:id="579"/>
    </w:p>
    <w:p w14:paraId="65ED95C2">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D628A9F">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A9B778A">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F73A9AC">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62C4A01">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D7E556F">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9CC6D3E">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02389C">
      <w:pPr>
        <w:pageBreakBefore w:val="0"/>
        <w:kinsoku/>
        <w:wordWrap/>
        <w:overflowPunct/>
        <w:topLinePunct w:val="0"/>
        <w:bidi w:val="0"/>
        <w:snapToGrid w:val="0"/>
        <w:spacing w:line="360" w:lineRule="auto"/>
        <w:textAlignment w:val="auto"/>
        <w:outlineLvl w:val="9"/>
        <w:rPr>
          <w:rFonts w:hint="eastAsia" w:ascii="仿宋" w:hAnsi="仿宋" w:eastAsia="仿宋" w:cs="仿宋"/>
          <w:bCs/>
          <w:color w:val="auto"/>
          <w:sz w:val="24"/>
          <w:highlight w:val="none"/>
        </w:rPr>
      </w:pPr>
      <w:bookmarkStart w:id="580" w:name="_Toc23354"/>
      <w:r>
        <w:rPr>
          <w:rFonts w:hint="eastAsia" w:ascii="仿宋" w:hAnsi="仿宋" w:eastAsia="仿宋" w:cs="仿宋"/>
          <w:bCs/>
          <w:color w:val="auto"/>
          <w:sz w:val="24"/>
          <w:highlight w:val="none"/>
        </w:rPr>
        <w:t>四、与质疑事项相关的质疑请求</w:t>
      </w:r>
      <w:bookmarkEnd w:id="580"/>
    </w:p>
    <w:p w14:paraId="4112EC7B">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91CF865">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9692E5B">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B83B836">
      <w:pPr>
        <w:pageBreakBefore w:val="0"/>
        <w:kinsoku/>
        <w:wordWrap/>
        <w:overflowPunct/>
        <w:topLinePunct w:val="0"/>
        <w:bidi w:val="0"/>
        <w:spacing w:line="360" w:lineRule="auto"/>
        <w:jc w:val="center"/>
        <w:textAlignment w:val="auto"/>
        <w:outlineLvl w:val="9"/>
        <w:rPr>
          <w:rFonts w:hint="eastAsia" w:ascii="仿宋" w:hAnsi="仿宋" w:eastAsia="仿宋" w:cs="仿宋"/>
          <w:b/>
          <w:bCs/>
          <w:color w:val="auto"/>
          <w:sz w:val="24"/>
          <w:highlight w:val="none"/>
        </w:rPr>
      </w:pPr>
    </w:p>
    <w:p w14:paraId="7B0204F4">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28E90080">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0E09E36F">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7A106020">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119D6BA">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860E9FB">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43D55A1">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B391DC6">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898F7FE">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E511276">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617FE4">
      <w:pPr>
        <w:pStyle w:val="14"/>
        <w:pageBreakBefore w:val="0"/>
        <w:kinsoku/>
        <w:wordWrap/>
        <w:overflowPunct/>
        <w:topLinePunct w:val="0"/>
        <w:bidi w:val="0"/>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7.以书面形式提交的，应按采购文件规定送达指定地点；以</w:t>
      </w:r>
      <w:r>
        <w:rPr>
          <w:rFonts w:hint="eastAsia" w:ascii="仿宋" w:hAnsi="仿宋" w:eastAsia="仿宋" w:cs="仿宋"/>
          <w:color w:val="auto"/>
          <w:highlight w:val="none"/>
        </w:rPr>
        <w:t>政采云平台</w:t>
      </w:r>
      <w:r>
        <w:rPr>
          <w:rFonts w:hint="eastAsia" w:ascii="仿宋" w:hAnsi="仿宋" w:eastAsia="仿宋" w:cs="仿宋"/>
          <w:color w:val="auto"/>
          <w:highlight w:val="none"/>
          <w:lang w:val="en-US"/>
        </w:rPr>
        <w:t>（https://www.zcygov.cn/）</w:t>
      </w:r>
      <w:r>
        <w:rPr>
          <w:rFonts w:hint="eastAsia" w:ascii="仿宋" w:hAnsi="仿宋" w:eastAsia="仿宋" w:cs="仿宋"/>
          <w:color w:val="auto"/>
          <w:highlight w:val="none"/>
        </w:rPr>
        <w:t>通过</w:t>
      </w:r>
      <w:r>
        <w:rPr>
          <w:rFonts w:hint="eastAsia" w:ascii="仿宋" w:hAnsi="仿宋" w:eastAsia="仿宋" w:cs="仿宋"/>
          <w:color w:val="auto"/>
          <w:highlight w:val="none"/>
          <w:lang w:val="en-US"/>
        </w:rPr>
        <w:t>“</w:t>
      </w:r>
      <w:r>
        <w:rPr>
          <w:rFonts w:hint="eastAsia" w:ascii="仿宋" w:hAnsi="仿宋" w:eastAsia="仿宋" w:cs="仿宋"/>
          <w:color w:val="auto"/>
          <w:highlight w:val="none"/>
        </w:rPr>
        <w:t>询问质疑投诉</w:t>
      </w:r>
      <w:r>
        <w:rPr>
          <w:rFonts w:hint="eastAsia" w:ascii="仿宋" w:hAnsi="仿宋" w:eastAsia="仿宋" w:cs="仿宋"/>
          <w:color w:val="auto"/>
          <w:highlight w:val="none"/>
          <w:lang w:val="en-US"/>
        </w:rPr>
        <w:t>”</w:t>
      </w:r>
      <w:r>
        <w:rPr>
          <w:rFonts w:hint="eastAsia" w:ascii="仿宋" w:hAnsi="仿宋" w:eastAsia="仿宋" w:cs="仿宋"/>
          <w:color w:val="auto"/>
          <w:highlight w:val="none"/>
        </w:rPr>
        <w:t>栏提交的</w:t>
      </w:r>
      <w:r>
        <w:rPr>
          <w:rFonts w:hint="eastAsia" w:ascii="仿宋" w:hAnsi="仿宋" w:eastAsia="仿宋" w:cs="仿宋"/>
          <w:color w:val="auto"/>
          <w:highlight w:val="none"/>
          <w:lang w:val="en-US"/>
        </w:rPr>
        <w:t>，</w:t>
      </w:r>
      <w:r>
        <w:rPr>
          <w:rFonts w:hint="eastAsia" w:ascii="仿宋" w:hAnsi="仿宋" w:eastAsia="仿宋" w:cs="仿宋"/>
          <w:color w:val="auto"/>
          <w:highlight w:val="none"/>
        </w:rPr>
        <w:t>应正确填写质疑供应商基本信息、被质疑人信息、质疑事项具体内容、质疑请求</w:t>
      </w:r>
      <w:r>
        <w:rPr>
          <w:rFonts w:hint="eastAsia" w:ascii="仿宋" w:hAnsi="仿宋" w:eastAsia="仿宋" w:cs="仿宋"/>
          <w:color w:val="auto"/>
          <w:highlight w:val="none"/>
          <w:lang w:val="en-US"/>
        </w:rPr>
        <w:t>，</w:t>
      </w:r>
      <w:r>
        <w:rPr>
          <w:rFonts w:hint="eastAsia" w:ascii="仿宋" w:hAnsi="仿宋" w:eastAsia="仿宋" w:cs="仿宋"/>
          <w:color w:val="auto"/>
          <w:highlight w:val="none"/>
        </w:rPr>
        <w:t>并上传书面质疑函扫描件。</w:t>
      </w:r>
    </w:p>
    <w:p w14:paraId="2699E40C">
      <w:pPr>
        <w:pageBreakBefore w:val="0"/>
        <w:widowControl/>
        <w:kinsoku/>
        <w:wordWrap/>
        <w:overflowPunct/>
        <w:topLinePunct w:val="0"/>
        <w:bidi w:val="0"/>
        <w:spacing w:line="360" w:lineRule="auto"/>
        <w:ind w:firstLine="600" w:firstLineChars="200"/>
        <w:jc w:val="left"/>
        <w:textAlignment w:val="auto"/>
        <w:outlineLvl w:val="9"/>
        <w:rPr>
          <w:rFonts w:hint="eastAsia" w:ascii="仿宋" w:hAnsi="仿宋" w:eastAsia="仿宋" w:cs="仿宋"/>
          <w:color w:val="auto"/>
          <w:sz w:val="30"/>
          <w:szCs w:val="30"/>
          <w:highlight w:val="none"/>
        </w:rPr>
      </w:pPr>
    </w:p>
    <w:p w14:paraId="1A55F6DE">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356F0010">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0664457A">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4621AB82">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2DF190B3">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3BA2B7B7">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2AC77F3B">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114264CF">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66E5666F">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5BC08151">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5E8406BA">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p>
    <w:p w14:paraId="60BA371F">
      <w:pPr>
        <w:pageBreakBefore w:val="0"/>
        <w:kinsoku/>
        <w:wordWrap/>
        <w:overflowPunct/>
        <w:topLinePunct w:val="0"/>
        <w:bidi w:val="0"/>
        <w:spacing w:line="360" w:lineRule="auto"/>
        <w:jc w:val="left"/>
        <w:textAlignment w:val="auto"/>
        <w:outlineLvl w:val="9"/>
        <w:rPr>
          <w:rFonts w:hint="eastAsia" w:ascii="仿宋" w:hAnsi="仿宋" w:eastAsia="仿宋" w:cs="仿宋"/>
          <w:b/>
          <w:color w:val="auto"/>
          <w:spacing w:val="6"/>
          <w:sz w:val="32"/>
          <w:szCs w:val="32"/>
          <w:highlight w:val="none"/>
        </w:rPr>
      </w:pPr>
      <w:bookmarkStart w:id="581" w:name="_Toc7128"/>
      <w:r>
        <w:rPr>
          <w:rFonts w:hint="eastAsia" w:ascii="仿宋" w:hAnsi="仿宋" w:eastAsia="仿宋" w:cs="仿宋"/>
          <w:b/>
          <w:color w:val="auto"/>
          <w:spacing w:val="6"/>
          <w:sz w:val="32"/>
          <w:szCs w:val="32"/>
          <w:highlight w:val="none"/>
        </w:rPr>
        <w:t>附件3：投诉书范本及制作说明</w:t>
      </w:r>
      <w:bookmarkEnd w:id="581"/>
    </w:p>
    <w:p w14:paraId="4C36B103">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24"/>
          <w:highlight w:val="none"/>
        </w:rPr>
      </w:pPr>
    </w:p>
    <w:p w14:paraId="36D75FE7">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0F64243">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bookmarkStart w:id="582" w:name="_Toc13163"/>
      <w:r>
        <w:rPr>
          <w:rFonts w:hint="eastAsia" w:ascii="仿宋" w:hAnsi="仿宋" w:eastAsia="仿宋" w:cs="仿宋"/>
          <w:color w:val="auto"/>
          <w:sz w:val="24"/>
          <w:highlight w:val="none"/>
        </w:rPr>
        <w:t>一、投诉相关主体基本情况</w:t>
      </w:r>
      <w:bookmarkEnd w:id="582"/>
    </w:p>
    <w:p w14:paraId="4CE1BC1F">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8BAA329">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1232D5">
      <w:pPr>
        <w:pageBreakBefore w:val="0"/>
        <w:tabs>
          <w:tab w:val="left" w:pos="6510"/>
        </w:tabs>
        <w:kinsoku/>
        <w:wordWrap/>
        <w:overflowPunct/>
        <w:topLinePunct w:val="0"/>
        <w:bidi w:val="0"/>
        <w:spacing w:line="360" w:lineRule="auto"/>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6C197C5">
      <w:pPr>
        <w:pageBreakBefore w:val="0"/>
        <w:tabs>
          <w:tab w:val="left" w:pos="6510"/>
        </w:tabs>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386E285">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286B8CD">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8FD588">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9B3AAB">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BE1E50">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DE390AC">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70B94E3">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6FABC5">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8FEDF5">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2E8D7E">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D3EBDC">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bookmarkStart w:id="583" w:name="_Toc2206"/>
      <w:r>
        <w:rPr>
          <w:rFonts w:hint="eastAsia" w:ascii="仿宋" w:hAnsi="仿宋" w:eastAsia="仿宋" w:cs="仿宋"/>
          <w:color w:val="auto"/>
          <w:sz w:val="24"/>
          <w:highlight w:val="none"/>
        </w:rPr>
        <w:t>二、投诉项目基本情况</w:t>
      </w:r>
      <w:bookmarkEnd w:id="583"/>
    </w:p>
    <w:p w14:paraId="7C0F46A7">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9B8ACD8">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0386CD8">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0804F9A">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0370561">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92B4D2">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FAC5C70">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bookmarkStart w:id="584" w:name="_Toc31921"/>
      <w:r>
        <w:rPr>
          <w:rFonts w:hint="eastAsia" w:ascii="仿宋" w:hAnsi="仿宋" w:eastAsia="仿宋" w:cs="仿宋"/>
          <w:color w:val="auto"/>
          <w:sz w:val="24"/>
          <w:highlight w:val="none"/>
        </w:rPr>
        <w:t>三、质疑基本情况</w:t>
      </w:r>
      <w:bookmarkEnd w:id="584"/>
    </w:p>
    <w:p w14:paraId="3D1D5530">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4239806">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3FBC000">
      <w:pPr>
        <w:pageBreakBefore w:val="0"/>
        <w:kinsoku/>
        <w:wordWrap/>
        <w:overflowPunct/>
        <w:topLinePunct w:val="0"/>
        <w:bidi w:val="0"/>
        <w:spacing w:line="360" w:lineRule="auto"/>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97198D2">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bookmarkStart w:id="585" w:name="_Toc12060"/>
      <w:r>
        <w:rPr>
          <w:rFonts w:hint="eastAsia" w:ascii="仿宋" w:hAnsi="仿宋" w:eastAsia="仿宋" w:cs="仿宋"/>
          <w:color w:val="auto"/>
          <w:sz w:val="24"/>
          <w:highlight w:val="none"/>
        </w:rPr>
        <w:t>四、投诉事项具体内容</w:t>
      </w:r>
      <w:bookmarkEnd w:id="585"/>
    </w:p>
    <w:p w14:paraId="57147534">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967455D">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F9BBA33">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1ECE0FA">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EC7DE1D">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693CF10">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649F6FF">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93D68B2">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bookmarkStart w:id="586" w:name="_Toc28384"/>
      <w:r>
        <w:rPr>
          <w:rFonts w:hint="eastAsia" w:ascii="仿宋" w:hAnsi="仿宋" w:eastAsia="仿宋" w:cs="仿宋"/>
          <w:color w:val="auto"/>
          <w:sz w:val="24"/>
          <w:highlight w:val="none"/>
        </w:rPr>
        <w:t>五、与投诉事项相关的投诉请求</w:t>
      </w:r>
      <w:bookmarkEnd w:id="586"/>
    </w:p>
    <w:p w14:paraId="76F75CE5">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E82C8BC">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057B8E3">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3164EA4">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CD407EE">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37CBBC20">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639582A0">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3AA614AF">
      <w:pPr>
        <w:pageBreakBefore w:val="0"/>
        <w:widowControl/>
        <w:kinsoku/>
        <w:wordWrap/>
        <w:overflowPunct/>
        <w:topLinePunct w:val="0"/>
        <w:bidi w:val="0"/>
        <w:spacing w:line="360" w:lineRule="auto"/>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57EBBE8">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6C1CACE">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18F5EE2">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F66E9EE">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94B99E8">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392093E">
      <w:pPr>
        <w:pageBreakBefore w:val="0"/>
        <w:widowControl/>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761EB9C">
      <w:pPr>
        <w:pageBreakBefore w:val="0"/>
        <w:kinsoku/>
        <w:wordWrap/>
        <w:overflowPunct/>
        <w:topLinePunct w:val="0"/>
        <w:bidi w:val="0"/>
        <w:spacing w:line="360" w:lineRule="auto"/>
        <w:textAlignment w:val="auto"/>
        <w:outlineLvl w:val="9"/>
        <w:rPr>
          <w:rFonts w:hint="eastAsia" w:ascii="仿宋" w:hAnsi="仿宋" w:eastAsia="仿宋" w:cs="仿宋"/>
          <w:b/>
          <w:color w:val="auto"/>
          <w:sz w:val="24"/>
          <w:highlight w:val="none"/>
        </w:rPr>
      </w:pPr>
    </w:p>
    <w:p w14:paraId="26B95D80">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057598A8">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33EB8DCA">
      <w:pPr>
        <w:pageBreakBefore w:val="0"/>
        <w:kinsoku/>
        <w:wordWrap/>
        <w:overflowPunct/>
        <w:topLinePunct w:val="0"/>
        <w:autoSpaceDE w:val="0"/>
        <w:autoSpaceDN w:val="0"/>
        <w:bidi w:val="0"/>
        <w:jc w:val="center"/>
        <w:textAlignment w:val="auto"/>
        <w:outlineLvl w:val="9"/>
        <w:rPr>
          <w:rFonts w:hint="eastAsia" w:ascii="仿宋" w:hAnsi="仿宋" w:eastAsia="仿宋" w:cs="仿宋"/>
          <w:b/>
          <w:bCs/>
          <w:color w:val="auto"/>
          <w:sz w:val="32"/>
          <w:szCs w:val="32"/>
          <w:highlight w:val="none"/>
        </w:rPr>
      </w:pPr>
      <w:bookmarkStart w:id="587" w:name="_Toc25018"/>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bookmarkEnd w:id="587"/>
    </w:p>
    <w:p w14:paraId="5C4AC78A">
      <w:pPr>
        <w:pageBreakBefore w:val="0"/>
        <w:kinsoku/>
        <w:wordWrap/>
        <w:overflowPunct/>
        <w:topLinePunct w:val="0"/>
        <w:bidi w:val="0"/>
        <w:spacing w:line="360" w:lineRule="auto"/>
        <w:textAlignment w:val="auto"/>
        <w:outlineLvl w:val="9"/>
        <w:rPr>
          <w:rFonts w:hint="eastAsia" w:ascii="仿宋" w:hAnsi="仿宋" w:eastAsia="仿宋" w:cs="仿宋"/>
          <w:color w:val="auto"/>
          <w:sz w:val="24"/>
          <w:highlight w:val="none"/>
        </w:rPr>
      </w:pPr>
      <w:bookmarkStart w:id="588" w:name="_Toc3375"/>
      <w:r>
        <w:rPr>
          <w:rFonts w:hint="eastAsia" w:ascii="仿宋" w:hAnsi="仿宋" w:eastAsia="仿宋" w:cs="仿宋"/>
          <w:color w:val="auto"/>
          <w:sz w:val="24"/>
          <w:highlight w:val="none"/>
          <w:u w:val="single"/>
        </w:rPr>
        <w:t>温州市公安局、温州历程招标有限公司</w:t>
      </w:r>
      <w:bookmarkEnd w:id="588"/>
    </w:p>
    <w:p w14:paraId="0D3E5AAF">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你方组织的温州市公安局两防预测预警防控平台项目【招标编号：】</w:t>
      </w:r>
      <w:r>
        <w:rPr>
          <w:rFonts w:hint="eastAsia" w:ascii="仿宋" w:hAnsi="仿宋" w:eastAsia="仿宋" w:cs="仿宋"/>
          <w:bCs/>
          <w:color w:val="auto"/>
          <w:sz w:val="24"/>
          <w:highlight w:val="none"/>
        </w:rPr>
        <w:t>采购活动中作如下说明：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1B5FA89">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FDECD60">
      <w:pPr>
        <w:pageBreakBefore w:val="0"/>
        <w:kinsoku/>
        <w:wordWrap/>
        <w:overflowPunct/>
        <w:topLinePunct w:val="0"/>
        <w:bidi w:val="0"/>
        <w:spacing w:line="360" w:lineRule="auto"/>
        <w:ind w:firstLine="494"/>
        <w:textAlignment w:val="auto"/>
        <w:outlineLvl w:val="9"/>
        <w:rPr>
          <w:rFonts w:hint="eastAsia" w:ascii="仿宋" w:hAnsi="仿宋" w:eastAsia="仿宋" w:cs="仿宋"/>
          <w:color w:val="auto"/>
          <w:sz w:val="24"/>
          <w:highlight w:val="none"/>
        </w:rPr>
      </w:pPr>
    </w:p>
    <w:p w14:paraId="1CEE202B">
      <w:pPr>
        <w:pageBreakBefore w:val="0"/>
        <w:kinsoku/>
        <w:wordWrap/>
        <w:overflowPunct/>
        <w:topLinePunct w:val="0"/>
        <w:bidi w:val="0"/>
        <w:spacing w:line="360" w:lineRule="auto"/>
        <w:ind w:firstLine="494"/>
        <w:textAlignment w:val="auto"/>
        <w:outlineLvl w:val="9"/>
        <w:rPr>
          <w:rFonts w:hint="eastAsia" w:ascii="仿宋" w:hAnsi="仿宋" w:eastAsia="仿宋" w:cs="仿宋"/>
          <w:color w:val="auto"/>
          <w:sz w:val="24"/>
          <w:highlight w:val="none"/>
        </w:rPr>
      </w:pPr>
    </w:p>
    <w:p w14:paraId="235FADB6">
      <w:pPr>
        <w:pageBreakBefore w:val="0"/>
        <w:kinsoku/>
        <w:wordWrap/>
        <w:overflowPunct/>
        <w:topLinePunct w:val="0"/>
        <w:bidi w:val="0"/>
        <w:spacing w:line="360" w:lineRule="auto"/>
        <w:ind w:firstLine="494"/>
        <w:textAlignment w:val="auto"/>
        <w:outlineLvl w:val="9"/>
        <w:rPr>
          <w:rFonts w:hint="eastAsia" w:ascii="仿宋" w:hAnsi="仿宋" w:eastAsia="仿宋" w:cs="仿宋"/>
          <w:color w:val="auto"/>
          <w:sz w:val="24"/>
          <w:highlight w:val="none"/>
        </w:rPr>
      </w:pPr>
    </w:p>
    <w:p w14:paraId="618840B2">
      <w:pPr>
        <w:pageBreakBefore w:val="0"/>
        <w:kinsoku/>
        <w:wordWrap/>
        <w:overflowPunct/>
        <w:topLinePunct w:val="0"/>
        <w:bidi w:val="0"/>
        <w:spacing w:line="360" w:lineRule="auto"/>
        <w:ind w:firstLine="494"/>
        <w:textAlignment w:val="auto"/>
        <w:outlineLvl w:val="9"/>
        <w:rPr>
          <w:rFonts w:hint="eastAsia" w:ascii="仿宋" w:hAnsi="仿宋" w:eastAsia="仿宋" w:cs="仿宋"/>
          <w:color w:val="auto"/>
          <w:sz w:val="24"/>
          <w:highlight w:val="none"/>
        </w:rPr>
      </w:pPr>
    </w:p>
    <w:p w14:paraId="5DEFF8A8">
      <w:pPr>
        <w:pageBreakBefore w:val="0"/>
        <w:kinsoku/>
        <w:wordWrap/>
        <w:overflowPunct/>
        <w:topLinePunct w:val="0"/>
        <w:bidi w:val="0"/>
        <w:spacing w:line="360" w:lineRule="auto"/>
        <w:ind w:right="480" w:firstLine="4080" w:firstLineChars="17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供应商（法定名称章）：</w:t>
      </w:r>
    </w:p>
    <w:p w14:paraId="3E8B6DE0">
      <w:pPr>
        <w:pageBreakBefore w:val="0"/>
        <w:kinsoku/>
        <w:wordWrap/>
        <w:overflowPunct/>
        <w:topLinePunct w:val="0"/>
        <w:bidi w:val="0"/>
        <w:ind w:right="1440" w:firstLine="494"/>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4DF168">
      <w:pPr>
        <w:pageBreakBefore w:val="0"/>
        <w:kinsoku/>
        <w:wordWrap/>
        <w:overflowPunct/>
        <w:topLinePunct w:val="0"/>
        <w:bidi w:val="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5850D78">
      <w:pPr>
        <w:pageBreakBefore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2" name="矩形 1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S66mG/sBAAAh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hosQygx3//e3H&#10;r5/fCW6gOoOHGoPu/G2YPEAzUT22waQ/kiDHrOjprKg8RsJxs3pTXl0tF5RwPKuqxevlfJFQi/vr&#10;PkD8IJ0hyWhowJZlJdnhI8Qx9G9IygZOK7FVWmcndLt3OpADw/Zu8zehPwrTlgwNvV5UqRCGM9vi&#10;rKBpPPIG2+V8j27AQ+Ayf/8CToVtGPRjARkhhbHaqChDtnrJxHsrSDx5lNbik6KpGCMFJVriC0xW&#10;joxM6UsiUTttUcLUmbEXydo5ccJO7n1QXY86znO96QQnJws+TXkazYd+Rrp/2e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Euuphv7AQAAI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7" name="矩形 1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kILiaf0BAAAhBAAADgAAAGRycy9lMm9Eb2MueG1srVPN&#10;jtMwEL4j8Q6W7zRpoF0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XASriixzGDHf339&#10;/vPHN4IbqM7gocagO38bJg/QTFSPbTDpjyTIMSt6Oisqj5Fw3KyWb66uFyg2x7OqWrxezhcJtXi4&#10;7gPED9IZkoyGBmxZVpIdPkIcQ/+EpGzgtBJbpXV2Qrd7pwM5MGzvNn8T+pMwbcnQ0OtFtcBCGM5s&#10;i7OCpvHIG2yX8z25AY+By/z9CzgVtmHQjwVkhBTGaqOiDNnqJRPvrSDx5FFai0+KpmKMFJRoiS8w&#10;WTkyMqUviUTttEUJU2fGXiRr58QJO7n3QXU96jjP9aYTnJws+DTlaTQf+xnp4WW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07BY2AAAAAoBAAAPAAAAAAAAAAEAIAAAACIAAABkcnMvZG93bnJl&#10;di54bWxQSwECFAAUAAAACACHTuJAkILiaf0BAAAhBAAADgAAAAAAAAABACAAAAAnAQAAZHJzL2Uy&#10;b0RvYy54bWxQSwUGAAAAAAYABgBZAQAAlgU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供应商法定名称章（印模）                供应商“XX专用章”（印模）</w:t>
      </w:r>
    </w:p>
    <w:p w14:paraId="338DF819">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2CE28856">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45ACB811">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4AE4CB11">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453146D4">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4681FCB0">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2CF2C51D">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7F6AB24F">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380373A4">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4B4CB8AF">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70C51758">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66F51DAD">
      <w:pPr>
        <w:pageBreakBefore w:val="0"/>
        <w:kinsoku/>
        <w:wordWrap/>
        <w:overflowPunct/>
        <w:topLinePunct w:val="0"/>
        <w:autoSpaceDE w:val="0"/>
        <w:autoSpaceDN w:val="0"/>
        <w:bidi w:val="0"/>
        <w:jc w:val="center"/>
        <w:textAlignment w:val="auto"/>
        <w:outlineLvl w:val="9"/>
        <w:rPr>
          <w:rFonts w:hint="eastAsia" w:ascii="仿宋" w:hAnsi="仿宋" w:eastAsia="仿宋" w:cs="仿宋"/>
          <w:b/>
          <w:color w:val="auto"/>
          <w:spacing w:val="6"/>
          <w:sz w:val="32"/>
          <w:szCs w:val="32"/>
          <w:highlight w:val="none"/>
        </w:rPr>
      </w:pPr>
    </w:p>
    <w:p w14:paraId="4C4FFF9E">
      <w:pPr>
        <w:pageBreakBefore w:val="0"/>
        <w:kinsoku/>
        <w:wordWrap/>
        <w:overflowPunct/>
        <w:topLinePunct w:val="0"/>
        <w:autoSpaceDE w:val="0"/>
        <w:autoSpaceDN w:val="0"/>
        <w:bidi w:val="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14:paraId="3531B271">
      <w:pPr>
        <w:pageBreakBefore w:val="0"/>
        <w:kinsoku/>
        <w:wordWrap/>
        <w:overflowPunct/>
        <w:topLinePunct w:val="0"/>
        <w:bidi w:val="0"/>
        <w:spacing w:line="360" w:lineRule="auto"/>
        <w:jc w:val="center"/>
        <w:textAlignment w:val="auto"/>
        <w:outlineLvl w:val="9"/>
        <w:rPr>
          <w:rFonts w:hint="eastAsia" w:ascii="仿宋" w:hAnsi="仿宋" w:eastAsia="仿宋" w:cs="仿宋"/>
          <w:color w:val="auto"/>
          <w:sz w:val="24"/>
          <w:highlight w:val="none"/>
          <w:u w:val="single"/>
        </w:rPr>
      </w:pPr>
    </w:p>
    <w:p w14:paraId="07123D73">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bookmarkStart w:id="589" w:name="_Toc28531"/>
      <w:r>
        <w:rPr>
          <w:rFonts w:hint="eastAsia" w:ascii="仿宋" w:hAnsi="仿宋" w:eastAsia="仿宋" w:cs="仿宋"/>
          <w:b/>
          <w:color w:val="auto"/>
          <w:sz w:val="32"/>
          <w:szCs w:val="32"/>
          <w:highlight w:val="none"/>
        </w:rPr>
        <w:t>中小企业声明函（货物）</w:t>
      </w:r>
      <w:bookmarkEnd w:id="589"/>
    </w:p>
    <w:p w14:paraId="136A7CB2">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温州市公安局两防预测预警防控平台 采购活动，提供的货物全部由符合政策要求的中小企业制造。相关企业（含联合体中的中小企业、签订分包意向协议的中小企业）的具体情况如下：</w:t>
      </w:r>
    </w:p>
    <w:p w14:paraId="389E1815">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EE5E456">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10110CD">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11DFC1D">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52D5370">
      <w:pPr>
        <w:pageBreakBefore w:val="0"/>
        <w:kinsoku/>
        <w:wordWrap/>
        <w:overflowPunct/>
        <w:topLinePunct w:val="0"/>
        <w:bidi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7168EE3">
      <w:pPr>
        <w:pageBreakBefore w:val="0"/>
        <w:kinsoku/>
        <w:wordWrap/>
        <w:overflowPunct/>
        <w:topLinePunct w:val="0"/>
        <w:bidi w:val="0"/>
        <w:snapToGrid w:val="0"/>
        <w:spacing w:line="360" w:lineRule="auto"/>
        <w:ind w:firstLine="5160" w:firstLineChars="215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DC10624">
      <w:pPr>
        <w:pageBreakBefore w:val="0"/>
        <w:kinsoku/>
        <w:wordWrap/>
        <w:overflowPunct/>
        <w:topLinePunct w:val="0"/>
        <w:bidi w:val="0"/>
        <w:snapToGrid w:val="0"/>
        <w:spacing w:line="360" w:lineRule="auto"/>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6D8F45F">
      <w:pPr>
        <w:pageBreakBefore w:val="0"/>
        <w:kinsoku/>
        <w:wordWrap/>
        <w:overflowPunct/>
        <w:topLinePunct w:val="0"/>
        <w:bidi w:val="0"/>
        <w:spacing w:line="360" w:lineRule="auto"/>
        <w:jc w:val="left"/>
        <w:textAlignment w:val="auto"/>
        <w:outlineLvl w:val="9"/>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27BDB077">
      <w:pPr>
        <w:pageBreakBefore w:val="0"/>
        <w:kinsoku/>
        <w:wordWrap/>
        <w:overflowPunct/>
        <w:topLinePunct w:val="0"/>
        <w:bidi w:val="0"/>
        <w:spacing w:line="360" w:lineRule="auto"/>
        <w:ind w:right="42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43A2013">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p>
    <w:p w14:paraId="5CC7EE2B">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p>
    <w:p w14:paraId="18B99C75">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p>
    <w:p w14:paraId="4BCDF79F">
      <w:pPr>
        <w:pageBreakBefore w:val="0"/>
        <w:kinsoku/>
        <w:wordWrap/>
        <w:overflowPunct/>
        <w:topLinePunct w:val="0"/>
        <w:bidi w:val="0"/>
        <w:spacing w:line="360" w:lineRule="auto"/>
        <w:jc w:val="center"/>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bookmarkStart w:id="590" w:name="_Toc2223"/>
      <w:r>
        <w:rPr>
          <w:rFonts w:hint="eastAsia" w:ascii="仿宋" w:hAnsi="仿宋" w:eastAsia="仿宋" w:cs="仿宋"/>
          <w:b/>
          <w:color w:val="auto"/>
          <w:sz w:val="32"/>
          <w:szCs w:val="32"/>
          <w:highlight w:val="none"/>
        </w:rPr>
        <w:t>中小企业声明函（工程、服务）</w:t>
      </w:r>
      <w:bookmarkEnd w:id="590"/>
    </w:p>
    <w:p w14:paraId="57D94BC5">
      <w:pPr>
        <w:pageBreakBefore w:val="0"/>
        <w:kinsoku/>
        <w:wordWrap/>
        <w:overflowPunct/>
        <w:topLinePunct w:val="0"/>
        <w:bidi w:val="0"/>
        <w:spacing w:line="360" w:lineRule="auto"/>
        <w:textAlignment w:val="auto"/>
        <w:outlineLvl w:val="9"/>
        <w:rPr>
          <w:rFonts w:hint="eastAsia" w:ascii="仿宋" w:hAnsi="仿宋" w:eastAsia="仿宋" w:cs="仿宋"/>
          <w:color w:val="auto"/>
          <w:highlight w:val="none"/>
        </w:rPr>
      </w:pPr>
    </w:p>
    <w:p w14:paraId="64325DC5">
      <w:pPr>
        <w:pageBreakBefore w:val="0"/>
        <w:kinsoku/>
        <w:wordWrap/>
        <w:overflowPunct/>
        <w:topLinePunct w:val="0"/>
        <w:bidi w:val="0"/>
        <w:spacing w:line="360" w:lineRule="auto"/>
        <w:ind w:firstLine="360" w:firstLineChars="1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温州市公安局两防预测预警防控平台 采购活动，工程的施工单位全部为符合政策要求的中小企业（或者：服务全部由符合政策要求的中小企业承接）。相关企业（含联合体中的中小企业、签订分包意向协议的中小企业）的具体情况如下：</w:t>
      </w:r>
    </w:p>
    <w:p w14:paraId="0D9D9420">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2FF59AA">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1AD590C">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38C9A4E">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5DCD430">
      <w:pPr>
        <w:pageBreakBefore w:val="0"/>
        <w:kinsoku/>
        <w:wordWrap/>
        <w:overflowPunct/>
        <w:topLinePunct w:val="0"/>
        <w:bidi w:val="0"/>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02A81A">
      <w:pPr>
        <w:pageBreakBefore w:val="0"/>
        <w:kinsoku/>
        <w:wordWrap/>
        <w:overflowPunct/>
        <w:topLinePunct w:val="0"/>
        <w:bidi w:val="0"/>
        <w:spacing w:line="360" w:lineRule="auto"/>
        <w:ind w:right="1760"/>
        <w:jc w:val="righ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14:paraId="705CE1C0">
      <w:pPr>
        <w:pageBreakBefore w:val="0"/>
        <w:kinsoku/>
        <w:wordWrap/>
        <w:overflowPunct/>
        <w:topLinePunct w:val="0"/>
        <w:bidi w:val="0"/>
        <w:spacing w:line="360" w:lineRule="auto"/>
        <w:ind w:right="1120" w:firstLine="4680" w:firstLineChars="19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28CF7DA">
      <w:pPr>
        <w:pageBreakBefore w:val="0"/>
        <w:kinsoku/>
        <w:wordWrap/>
        <w:overflowPunct/>
        <w:topLinePunct w:val="0"/>
        <w:bidi w:val="0"/>
        <w:spacing w:line="360" w:lineRule="auto"/>
        <w:ind w:firstLine="310" w:firstLineChars="147"/>
        <w:jc w:val="left"/>
        <w:textAlignment w:val="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FC2FE84">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p>
    <w:p w14:paraId="6EFBCE37">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9D6E6E3">
      <w:pPr>
        <w:pageBreakBefore w:val="0"/>
        <w:tabs>
          <w:tab w:val="left" w:pos="432"/>
        </w:tabs>
        <w:kinsoku/>
        <w:wordWrap/>
        <w:overflowPunct/>
        <w:topLinePunct w:val="0"/>
        <w:bidi w:val="0"/>
        <w:textAlignment w:val="auto"/>
        <w:outlineLvl w:val="9"/>
        <w:rPr>
          <w:rFonts w:hint="eastAsia" w:ascii="仿宋" w:eastAsia="仿宋" w:cs="仿宋"/>
          <w:color w:val="auto"/>
          <w:highlight w:val="none"/>
          <w:lang w:val="en-US"/>
        </w:rPr>
      </w:pPr>
    </w:p>
    <w:p w14:paraId="760D324B">
      <w:pPr>
        <w:pageBreakBefore w:val="0"/>
        <w:kinsoku/>
        <w:wordWrap/>
        <w:overflowPunct/>
        <w:topLinePunct w:val="0"/>
        <w:bidi w:val="0"/>
        <w:spacing w:line="360" w:lineRule="auto"/>
        <w:ind w:right="420"/>
        <w:textAlignment w:val="auto"/>
        <w:outlineLvl w:val="9"/>
        <w:rPr>
          <w:rFonts w:hint="eastAsia" w:ascii="仿宋" w:hAnsi="仿宋" w:eastAsia="仿宋" w:cs="仿宋"/>
          <w:color w:val="auto"/>
          <w:highlight w:val="none"/>
        </w:rPr>
      </w:pPr>
    </w:p>
    <w:p w14:paraId="372821F1">
      <w:pPr>
        <w:pageBreakBefore w:val="0"/>
        <w:kinsoku/>
        <w:wordWrap/>
        <w:overflowPunct/>
        <w:topLinePunct w:val="0"/>
        <w:bidi w:val="0"/>
        <w:spacing w:line="360" w:lineRule="auto"/>
        <w:textAlignment w:val="auto"/>
        <w:outlineLvl w:val="9"/>
        <w:rPr>
          <w:rFonts w:hint="eastAsia" w:ascii="仿宋" w:hAnsi="仿宋" w:eastAsia="仿宋" w:cs="仿宋"/>
          <w:bCs/>
          <w:color w:val="auto"/>
          <w:sz w:val="24"/>
          <w:highlight w:val="none"/>
        </w:rPr>
      </w:pPr>
    </w:p>
    <w:p w14:paraId="35A8BAD4"/>
    <w:sectPr>
      <w:footerReference r:id="rId24" w:type="first"/>
      <w:headerReference r:id="rId21" w:type="default"/>
      <w:footerReference r:id="rId22" w:type="default"/>
      <w:footerReference r:id="rId23" w:type="even"/>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0"/>
    <w:family w:val="roman"/>
    <w:pitch w:val="default"/>
    <w:sig w:usb0="8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8365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D7D83F">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DD7D83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0FB4">
    <w:pPr>
      <w:pStyle w:val="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512F13">
                          <w:pPr>
                            <w:pStyle w:val="9"/>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ro0uHS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BY34YYSywxO/PTj++nn&#10;79OvbwR9KFDvoca8Z4+ZcXhwAybPfkBn4j3IYNIXGRGMo7zHs7xiiISnR9WyqkoMcYzNF8QvXp77&#10;APG9cIYko6EB55dlZYePEMfUOSVVs+5RaZ1nqC3pEfW6ur3OL84hRNcWiyQWY7fJisN2mKhtXXtE&#10;Zj0uQUMt7jwl+oNFjdO+zEaYje1s7H1Quy4vVGoF/P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ujS4dIBAAClAwAADgAAAAAAAAABACAAAAAi&#10;AQAAZHJzL2Uyb0RvYy54bWxQSwUGAAAAAAYABgBZAQAAZgUAAAAA&#10;">
              <v:fill on="f" focussize="0,0"/>
              <v:stroke on="f" weight="1.25pt"/>
              <v:imagedata o:title=""/>
              <o:lock v:ext="edit" aspectratio="f"/>
              <v:textbox inset="0mm,0mm,0mm,0mm" style="mso-fit-shape-to-text:t;">
                <w:txbxContent>
                  <w:p w14:paraId="19512F13">
                    <w:pPr>
                      <w:pStyle w:val="9"/>
                    </w:pPr>
                    <w:r>
                      <w:fldChar w:fldCharType="begin"/>
                    </w:r>
                    <w:r>
                      <w:instrText xml:space="preserve"> PAGE  \* MERGEFORMAT </w:instrText>
                    </w:r>
                    <w:r>
                      <w:fldChar w:fldCharType="separate"/>
                    </w:r>
                    <w:r>
                      <w:t>67</w:t>
                    </w:r>
                    <w:r>
                      <w:fldChar w:fldCharType="end"/>
                    </w:r>
                  </w:p>
                </w:txbxContent>
              </v:textbox>
            </v:shape>
          </w:pict>
        </mc:Fallback>
      </mc:AlternateContent>
    </w:r>
  </w:p>
  <w:p w14:paraId="3ACA2F2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1319">
    <w:pPr>
      <w:pStyle w:val="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06009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34060099">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1E288875">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893E">
    <w:pPr>
      <w:pStyle w:val="9"/>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679D76">
                          <w:pPr>
                            <w:pStyle w:val="9"/>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38679D76">
                    <w:pPr>
                      <w:pStyle w:val="9"/>
                    </w:pPr>
                    <w:r>
                      <w:fldChar w:fldCharType="begin"/>
                    </w:r>
                    <w:r>
                      <w:instrText xml:space="preserve"> PAGE  \* MERGEFORMAT </w:instrText>
                    </w:r>
                    <w:r>
                      <w:fldChar w:fldCharType="separate"/>
                    </w:r>
                    <w:r>
                      <w:t>89</w:t>
                    </w:r>
                    <w:r>
                      <w:fldChar w:fldCharType="end"/>
                    </w:r>
                  </w:p>
                </w:txbxContent>
              </v:textbox>
            </v:shape>
          </w:pict>
        </mc:Fallback>
      </mc:AlternateContent>
    </w:r>
  </w:p>
  <w:p w14:paraId="4BF80E2E">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B87F">
    <w:pPr>
      <w:pStyle w:val="9"/>
      <w:jc w:val="center"/>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F36B49">
                          <w:pPr>
                            <w:pStyle w:val="9"/>
                          </w:pPr>
                          <w:r>
                            <w:fldChar w:fldCharType="begin"/>
                          </w:r>
                          <w:r>
                            <w:instrText xml:space="preserve"> PAGE  \* MERGEFORMAT </w:instrText>
                          </w:r>
                          <w:r>
                            <w:fldChar w:fldCharType="separate"/>
                          </w:r>
                          <w:r>
                            <w:t>91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DF36B49">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22DF">
    <w:pPr>
      <w:pStyle w:val="9"/>
      <w:framePr w:wrap="around" w:vAnchor="text" w:hAnchor="margin" w:xAlign="right" w:y="1"/>
      <w:rPr>
        <w:rStyle w:val="17"/>
      </w:rPr>
    </w:pPr>
    <w:r>
      <w:fldChar w:fldCharType="begin"/>
    </w:r>
    <w:r>
      <w:rPr>
        <w:rStyle w:val="17"/>
      </w:rPr>
      <w:instrText xml:space="preserve">PAGE  </w:instrText>
    </w:r>
    <w:r>
      <w:fldChar w:fldCharType="end"/>
    </w:r>
  </w:p>
  <w:p w14:paraId="2B332C14">
    <w:pPr>
      <w:pStyle w:val="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E3987">
    <w:pPr>
      <w:pStyle w:val="9"/>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9D5570">
                          <w:pPr>
                            <w:pStyle w:val="9"/>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6D9D5570">
                    <w:pPr>
                      <w:pStyle w:val="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FFF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7E63">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D3289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AD3289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D19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45FBA6">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1FxvR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4ZISywxO/PT71+nP&#10;v9PfnwR9KFDvoca8e4+ZcfjkBkye/YDOxHuQwaQvMiIYR3mPZ3nFEAlPj6plVZUY4hibL4hfPD73&#10;AeJn4QxJRkMDzi/Lyg5fIY6pc0qqZt2t0jrPUFvSJxLV1WV+cQ4hurZYJLEYu01WHLbDRG3r2iMy&#10;63EJGmpx5ynRXyxqnPZlNsJsbGdj74PadXmhUivgb/YR28ldpgoj7FQYp5d5TpuW1uPpPWc9/l3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hNRcb0QEAAKUDAAAOAAAAAAAAAAEAIAAAACIB&#10;AABkcnMvZTJvRG9jLnhtbFBLBQYAAAAABgAGAFkBAABlBQAAAAA=&#10;">
              <v:fill on="f" focussize="0,0"/>
              <v:stroke on="f" weight="1.25pt"/>
              <v:imagedata o:title=""/>
              <o:lock v:ext="edit" aspectratio="f"/>
              <v:textbox inset="0mm,0mm,0mm,0mm" style="mso-fit-shape-to-text:t;">
                <w:txbxContent>
                  <w:p w14:paraId="4B45FBA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96DF">
    <w:pPr>
      <w:pStyle w:val="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F96D353">
                          <w:pPr>
                            <w:pStyle w:val="9"/>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F96D353">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C3C2">
    <w:pPr>
      <w:pStyle w:val="9"/>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C72F68">
                          <w:pPr>
                            <w:pStyle w:val="9"/>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4EC72F68">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B895">
    <w:pPr>
      <w:pStyle w:val="9"/>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7A6224">
                          <w:pPr>
                            <w:pStyle w:val="9"/>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A7A6224">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10B9">
    <w:pPr>
      <w:pStyle w:val="9"/>
      <w:jc w:val="center"/>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15EF79">
                          <w:pPr>
                            <w:pStyle w:val="9"/>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1115EF79">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8B4">
    <w:pPr>
      <w:pStyle w:val="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72B500">
                          <w:pPr>
                            <w:pStyle w:val="9"/>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6472B500">
                    <w:pPr>
                      <w:pStyle w:val="9"/>
                    </w:pPr>
                    <w:r>
                      <w:fldChar w:fldCharType="begin"/>
                    </w:r>
                    <w:r>
                      <w:instrText xml:space="preserve"> PAGE  \* MERGEFORMAT </w:instrText>
                    </w:r>
                    <w:r>
                      <w:fldChar w:fldCharType="separate"/>
                    </w:r>
                    <w:r>
                      <w:t>68</w:t>
                    </w:r>
                    <w:r>
                      <w:fldChar w:fldCharType="end"/>
                    </w:r>
                  </w:p>
                </w:txbxContent>
              </v:textbox>
            </v:shape>
          </w:pict>
        </mc:Fallback>
      </mc:AlternateContent>
    </w:r>
  </w:p>
  <w:p w14:paraId="333AC2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6280">
    <w:pPr>
      <w:widowControl/>
      <w:adjustRightInd/>
      <w:spacing w:line="240" w:lineRule="atLeast"/>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01748">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2117">
    <w:pPr>
      <w:widowControl/>
      <w:adjustRightInd/>
      <w:spacing w:line="240" w:lineRule="atLeast"/>
    </w:pPr>
    <w:r>
      <w:rPr>
        <w:rFonts w:hint="eastAsia" w:ascii="楷体" w:hAnsi="楷体" w:eastAsia="楷体" w:cs="楷体"/>
        <w:color w:val="C00000"/>
        <w:sz w:val="36"/>
        <w:szCs w:val="36"/>
        <w:u w:val="thick"/>
      </w:rPr>
      <w:t xml:space="preserve">  </w:t>
    </w: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044D">
    <w:pPr>
      <w:widowControl/>
      <w:adjustRightInd/>
      <w:spacing w:line="240" w:lineRule="atLeast"/>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p w14:paraId="6BDD3A89">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2338">
    <w:pPr>
      <w:widowControl/>
      <w:adjustRightInd/>
      <w:spacing w:line="240" w:lineRule="atLeast"/>
      <w:ind w:left="2520" w:hanging="2520" w:hangingChars="700"/>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B559">
    <w:pPr>
      <w:rPr>
        <w:rFonts w:ascii="仿宋_GB2312" w:eastAsia="仿宋_GB2312"/>
        <w:b/>
        <w:i/>
        <w:sz w:val="18"/>
        <w:u w:val="single"/>
      </w:rPr>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751A">
    <w:pPr>
      <w:pStyle w:val="10"/>
      <w:jc w:val="right"/>
      <w:rPr>
        <w:rFonts w:ascii="仿宋_GB2312" w:eastAsia="仿宋_GB2312"/>
        <w:b/>
        <w:i/>
        <w:iCs/>
        <w:u w:val="single"/>
      </w:rPr>
    </w:pPr>
    <w:r>
      <w:rPr>
        <w:rFonts w:hint="eastAsia" w:ascii="楷体" w:hAnsi="楷体" w:eastAsia="楷体" w:cs="楷体"/>
        <w:color w:val="C00000"/>
        <w:sz w:val="36"/>
        <w:szCs w:val="36"/>
        <w:u w:val="thick" w:color="C9091E"/>
      </w:rPr>
      <w:t xml:space="preserve">   </w:t>
    </w: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BA139"/>
    <w:multiLevelType w:val="singleLevel"/>
    <w:tmpl w:val="AFEBA139"/>
    <w:lvl w:ilvl="0" w:tentative="0">
      <w:start w:val="1"/>
      <w:numFmt w:val="decimal"/>
      <w:suff w:val="nothing"/>
      <w:lvlText w:val="%1）"/>
      <w:lvlJc w:val="left"/>
    </w:lvl>
  </w:abstractNum>
  <w:abstractNum w:abstractNumId="1">
    <w:nsid w:val="BAF9EC89"/>
    <w:multiLevelType w:val="singleLevel"/>
    <w:tmpl w:val="BAF9EC89"/>
    <w:lvl w:ilvl="0" w:tentative="0">
      <w:start w:val="1"/>
      <w:numFmt w:val="chineseCounting"/>
      <w:suff w:val="nothing"/>
      <w:lvlText w:val="（%1）"/>
      <w:lvlJc w:val="left"/>
      <w:rPr>
        <w:rFonts w:hint="eastAsia"/>
      </w:r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00796303"/>
    <w:multiLevelType w:val="multilevel"/>
    <w:tmpl w:val="00796303"/>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52756F7"/>
    <w:multiLevelType w:val="singleLevel"/>
    <w:tmpl w:val="152756F7"/>
    <w:lvl w:ilvl="0" w:tentative="0">
      <w:start w:val="2"/>
      <w:numFmt w:val="chineseCounting"/>
      <w:suff w:val="space"/>
      <w:lvlText w:val="第%1部分"/>
      <w:lvlJc w:val="left"/>
      <w:rPr>
        <w:rFonts w:hint="eastAsia"/>
      </w:rPr>
    </w:lvl>
  </w:abstractNum>
  <w:abstractNum w:abstractNumId="5">
    <w:nsid w:val="3C8854FB"/>
    <w:multiLevelType w:val="singleLevel"/>
    <w:tmpl w:val="3C8854FB"/>
    <w:lvl w:ilvl="0" w:tentative="0">
      <w:start w:val="8"/>
      <w:numFmt w:val="chineseCounting"/>
      <w:suff w:val="nothing"/>
      <w:lvlText w:val="%1、"/>
      <w:lvlJc w:val="left"/>
      <w:rPr>
        <w:rFonts w:hint="eastAsia"/>
      </w:rPr>
    </w:lvl>
  </w:abstractNum>
  <w:abstractNum w:abstractNumId="6">
    <w:nsid w:val="58B55C79"/>
    <w:multiLevelType w:val="singleLevel"/>
    <w:tmpl w:val="58B55C79"/>
    <w:lvl w:ilvl="0" w:tentative="0">
      <w:start w:val="1"/>
      <w:numFmt w:val="decimal"/>
      <w:suff w:val="nothing"/>
      <w:lvlText w:val="（%1）"/>
      <w:lvlJc w:val="left"/>
    </w:lvl>
  </w:abstractNum>
  <w:abstractNum w:abstractNumId="7">
    <w:nsid w:val="634F0C85"/>
    <w:multiLevelType w:val="multilevel"/>
    <w:tmpl w:val="634F0C85"/>
    <w:lvl w:ilvl="0" w:tentative="0">
      <w:start w:val="1"/>
      <w:numFmt w:val="japaneseCounting"/>
      <w:lvlText w:val="（%1）"/>
      <w:lvlJc w:val="left"/>
      <w:pPr>
        <w:ind w:left="1430" w:hanging="720"/>
      </w:pPr>
      <w:rPr>
        <w:rFonts w:hint="default" w:ascii="新宋体" w:hAnsi="新宋体" w:eastAsia="新宋体" w:cs="宋体"/>
        <w:b w:val="0"/>
        <w:bCs/>
        <w:sz w:val="22"/>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
    <w:nsid w:val="6D91EDAE"/>
    <w:multiLevelType w:val="singleLevel"/>
    <w:tmpl w:val="6D91EDAE"/>
    <w:lvl w:ilvl="0" w:tentative="0">
      <w:start w:val="2"/>
      <w:numFmt w:val="decimal"/>
      <w:suff w:val="nothing"/>
      <w:lvlText w:val="（%1）"/>
      <w:lvlJc w:val="left"/>
    </w:lvl>
  </w:abstractNum>
  <w:abstractNum w:abstractNumId="9">
    <w:nsid w:val="7BFEECD4"/>
    <w:multiLevelType w:val="singleLevel"/>
    <w:tmpl w:val="7BFEECD4"/>
    <w:lvl w:ilvl="0" w:tentative="0">
      <w:start w:val="3"/>
      <w:numFmt w:val="chineseCounting"/>
      <w:suff w:val="nothing"/>
      <w:lvlText w:val="%1、"/>
      <w:lvlJc w:val="left"/>
      <w:rPr>
        <w:rFonts w:hint="eastAsia"/>
      </w:rPr>
    </w:lvl>
  </w:abstractNum>
  <w:abstractNum w:abstractNumId="10">
    <w:nsid w:val="7CC6DE25"/>
    <w:multiLevelType w:val="singleLevel"/>
    <w:tmpl w:val="7CC6DE25"/>
    <w:lvl w:ilvl="0" w:tentative="0">
      <w:start w:val="1"/>
      <w:numFmt w:val="decimal"/>
      <w:suff w:val="nothing"/>
      <w:lvlText w:val="（%1）"/>
      <w:lvlJc w:val="left"/>
    </w:lvl>
  </w:abstractNum>
  <w:num w:numId="1">
    <w:abstractNumId w:val="4"/>
  </w:num>
  <w:num w:numId="2">
    <w:abstractNumId w:val="8"/>
  </w:num>
  <w:num w:numId="3">
    <w:abstractNumId w:val="9"/>
  </w:num>
  <w:num w:numId="4">
    <w:abstractNumId w:val="0"/>
  </w:num>
  <w:num w:numId="5">
    <w:abstractNumId w:val="5"/>
  </w:num>
  <w:num w:numId="6">
    <w:abstractNumId w:val="7"/>
  </w:num>
  <w:num w:numId="7">
    <w:abstractNumId w:val="3"/>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FkZWM5NThlZmRiMDI3MjA2Y2MyZGFiOGJhYTAifQ=="/>
  </w:docVars>
  <w:rsids>
    <w:rsidRoot w:val="3F9D69D5"/>
    <w:rsid w:val="098350DA"/>
    <w:rsid w:val="0B663D91"/>
    <w:rsid w:val="0BA40C32"/>
    <w:rsid w:val="13C6192D"/>
    <w:rsid w:val="19B34C22"/>
    <w:rsid w:val="1BAA4748"/>
    <w:rsid w:val="291326FE"/>
    <w:rsid w:val="29791094"/>
    <w:rsid w:val="34F87CA3"/>
    <w:rsid w:val="375A4A01"/>
    <w:rsid w:val="3BCE26A9"/>
    <w:rsid w:val="3F9D69D5"/>
    <w:rsid w:val="433B0D21"/>
    <w:rsid w:val="44080A99"/>
    <w:rsid w:val="44EB17AA"/>
    <w:rsid w:val="46264576"/>
    <w:rsid w:val="526B5CD8"/>
    <w:rsid w:val="545A4256"/>
    <w:rsid w:val="5A53410D"/>
    <w:rsid w:val="5C621EFA"/>
    <w:rsid w:val="5FC15189"/>
    <w:rsid w:val="6A8D40E1"/>
    <w:rsid w:val="6C587018"/>
    <w:rsid w:val="77FE6B23"/>
    <w:rsid w:val="7BFF096A"/>
    <w:rsid w:val="7DAE6BA5"/>
    <w:rsid w:val="CD92003D"/>
    <w:rsid w:val="FFBE3447"/>
    <w:rsid w:val="FFDF9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19"/>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qFormat/>
    <w:uiPriority w:val="0"/>
    <w:pPr>
      <w:ind w:firstLine="420"/>
    </w:pPr>
    <w:rPr>
      <w:rFonts w:hAnsi="Calibri" w:cs="Times New Roman"/>
      <w:snapToGrid/>
      <w:szCs w:val="20"/>
    </w:rPr>
  </w:style>
  <w:style w:type="character" w:styleId="17">
    <w:name w:val="page number"/>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customStyle="1" w:styleId="19">
    <w:name w:val="标题 2 字符1"/>
    <w:link w:val="2"/>
    <w:qFormat/>
    <w:uiPriority w:val="0"/>
    <w:rPr>
      <w:rFonts w:ascii="仿宋_GB2312" w:hAnsi="仿宋" w:eastAsia="仿宋_GB2312"/>
      <w:b/>
      <w:bCs/>
      <w:sz w:val="32"/>
      <w:szCs w:val="32"/>
      <w:lang w:val="zh-CN"/>
    </w:rPr>
  </w:style>
  <w:style w:type="paragraph" w:customStyle="1" w:styleId="2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3">
    <w:name w:val="标题 1 字符1"/>
    <w:link w:val="3"/>
    <w:qFormat/>
    <w:uiPriority w:val="9"/>
    <w:rPr>
      <w:b/>
      <w:bCs/>
      <w:kern w:val="44"/>
      <w:sz w:val="44"/>
      <w:szCs w:val="44"/>
    </w:rPr>
  </w:style>
  <w:style w:type="character" w:customStyle="1" w:styleId="24">
    <w:name w:val="font31"/>
    <w:qFormat/>
    <w:uiPriority w:val="0"/>
    <w:rPr>
      <w:rFonts w:hint="eastAsia" w:ascii="仿宋" w:hAnsi="仿宋" w:eastAsia="仿宋" w:cs="仿宋"/>
      <w:color w:val="000000"/>
      <w:sz w:val="20"/>
      <w:szCs w:val="20"/>
      <w:u w:val="none"/>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27305</Words>
  <Characters>29055</Characters>
  <Lines>0</Lines>
  <Paragraphs>0</Paragraphs>
  <TotalTime>5</TotalTime>
  <ScaleCrop>false</ScaleCrop>
  <LinksUpToDate>false</LinksUpToDate>
  <CharactersWithSpaces>29806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2024-11-06T03:12:00Z</dcterms:created>
  <dc:creator>历程</dc:creator>
  <cp:lastModifiedBy>历程招标</cp:lastModifiedBy>
  <dcterms:modified xsi:type="dcterms:W3CDTF">2024-11-06T08:50:30Z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53CDA2228680439A8C7DE0D6E814E410_13</vt:lpwstr>
  </property>
</Properties>
</file>