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81DCF">
      <w:pPr>
        <w:rPr>
          <w:rFonts w:ascii="宋体" w:hAnsi="宋体" w:cs="宋体"/>
          <w:b/>
          <w:bCs/>
          <w:color w:val="auto"/>
          <w:sz w:val="52"/>
          <w:szCs w:val="52"/>
          <w:highlight w:val="none"/>
        </w:rPr>
      </w:pPr>
      <w:r>
        <w:rPr>
          <w:rFonts w:hint="eastAsia" w:ascii="宋体" w:hAnsi="宋体" w:cs="宋体"/>
          <w:color w:val="auto"/>
          <w:spacing w:val="20"/>
          <w:sz w:val="84"/>
          <w:highlight w:val="none"/>
        </w:rPr>
        <w:t>温州市政府（分散）采购</w:t>
      </w:r>
    </w:p>
    <w:p w14:paraId="580FD9EC">
      <w:pPr>
        <w:jc w:val="center"/>
        <w:rPr>
          <w:rFonts w:ascii="宋体" w:hAnsi="宋体" w:cs="宋体"/>
          <w:b/>
          <w:bCs/>
          <w:color w:val="auto"/>
          <w:spacing w:val="26"/>
          <w:sz w:val="52"/>
          <w:highlight w:val="none"/>
        </w:rPr>
      </w:pPr>
    </w:p>
    <w:p w14:paraId="2EA5459B">
      <w:pPr>
        <w:ind w:firstLine="2357" w:firstLineChars="235"/>
        <w:rPr>
          <w:rFonts w:ascii="宋体" w:hAnsi="宋体" w:cs="宋体"/>
          <w:b/>
          <w:bCs/>
          <w:color w:val="auto"/>
          <w:spacing w:val="140"/>
          <w:sz w:val="72"/>
          <w:highlight w:val="none"/>
        </w:rPr>
      </w:pPr>
    </w:p>
    <w:p w14:paraId="204B8ABC">
      <w:pPr>
        <w:adjustRightInd w:val="0"/>
        <w:snapToGrid w:val="0"/>
        <w:spacing w:line="480" w:lineRule="auto"/>
        <w:ind w:right="361"/>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tbl>
      <w:tblPr>
        <w:tblStyle w:val="17"/>
        <w:tblW w:w="9561" w:type="dxa"/>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6"/>
        <w:gridCol w:w="6465"/>
      </w:tblGrid>
      <w:tr w14:paraId="6EC9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6" w:type="dxa"/>
            <w:vAlign w:val="center"/>
          </w:tcPr>
          <w:p w14:paraId="79381814">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编 号</w:t>
            </w:r>
            <w:r>
              <w:rPr>
                <w:rFonts w:hint="eastAsia" w:ascii="宋体" w:hAnsi="宋体" w:cs="宋体"/>
                <w:color w:val="auto"/>
                <w:spacing w:val="40"/>
                <w:sz w:val="28"/>
                <w:highlight w:val="none"/>
              </w:rPr>
              <w:t>：</w:t>
            </w:r>
          </w:p>
        </w:tc>
        <w:tc>
          <w:tcPr>
            <w:tcW w:w="6465" w:type="dxa"/>
            <w:vAlign w:val="center"/>
          </w:tcPr>
          <w:p w14:paraId="1682C6AA">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z w:val="30"/>
                <w:szCs w:val="30"/>
                <w:highlight w:val="none"/>
                <w:lang w:eastAsia="zh-CN"/>
              </w:rPr>
              <w:t>WZLCZB（W）-2024-11478-1</w:t>
            </w:r>
          </w:p>
        </w:tc>
      </w:tr>
      <w:tr w14:paraId="5B24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6" w:type="dxa"/>
            <w:vAlign w:val="center"/>
          </w:tcPr>
          <w:p w14:paraId="1E952045">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名 称：</w:t>
            </w:r>
          </w:p>
        </w:tc>
        <w:tc>
          <w:tcPr>
            <w:tcW w:w="6465" w:type="dxa"/>
            <w:vAlign w:val="center"/>
          </w:tcPr>
          <w:p w14:paraId="24480672">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30"/>
                <w:szCs w:val="30"/>
                <w:highlight w:val="none"/>
                <w:lang w:eastAsia="zh-CN"/>
              </w:rPr>
              <w:t>2024年至2025年扣押车辆保管服务（瓯海区因交通违法、事故被扣押车辆停放保管服务）（重）</w:t>
            </w:r>
          </w:p>
        </w:tc>
      </w:tr>
      <w:tr w14:paraId="53AC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6" w:type="dxa"/>
            <w:vAlign w:val="center"/>
          </w:tcPr>
          <w:p w14:paraId="39E73BDE">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采 购 方 式：</w:t>
            </w:r>
          </w:p>
        </w:tc>
        <w:tc>
          <w:tcPr>
            <w:tcW w:w="6465" w:type="dxa"/>
            <w:vAlign w:val="center"/>
          </w:tcPr>
          <w:p w14:paraId="5C059D12">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公开招标</w:t>
            </w:r>
          </w:p>
        </w:tc>
      </w:tr>
      <w:tr w14:paraId="2373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6" w:type="dxa"/>
            <w:vAlign w:val="center"/>
          </w:tcPr>
          <w:p w14:paraId="20958620">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评 审 方 式：</w:t>
            </w:r>
          </w:p>
        </w:tc>
        <w:tc>
          <w:tcPr>
            <w:tcW w:w="6465" w:type="dxa"/>
            <w:vAlign w:val="center"/>
          </w:tcPr>
          <w:p w14:paraId="40DC7DE5">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线上电子招投标</w:t>
            </w:r>
          </w:p>
        </w:tc>
      </w:tr>
    </w:tbl>
    <w:p w14:paraId="201277C5">
      <w:pPr>
        <w:spacing w:line="700" w:lineRule="exact"/>
        <w:ind w:firstLine="723" w:firstLineChars="300"/>
        <w:jc w:val="left"/>
        <w:rPr>
          <w:rFonts w:ascii="宋体" w:hAnsi="宋体" w:cs="宋体"/>
          <w:b/>
          <w:bCs/>
          <w:color w:val="auto"/>
          <w:sz w:val="24"/>
          <w:highlight w:val="none"/>
        </w:rPr>
      </w:pPr>
    </w:p>
    <w:p w14:paraId="2073389A">
      <w:pPr>
        <w:spacing w:line="700" w:lineRule="exact"/>
        <w:ind w:firstLine="1144" w:firstLineChars="300"/>
        <w:jc w:val="left"/>
        <w:rPr>
          <w:rFonts w:ascii="宋体" w:hAnsi="宋体" w:cs="宋体"/>
          <w:b/>
          <w:color w:val="auto"/>
          <w:spacing w:val="40"/>
          <w:sz w:val="30"/>
          <w:szCs w:val="30"/>
          <w:highlight w:val="none"/>
        </w:rPr>
      </w:pPr>
    </w:p>
    <w:p w14:paraId="4411752C">
      <w:pPr>
        <w:spacing w:line="700" w:lineRule="exact"/>
        <w:ind w:left="3802" w:leftChars="540" w:hanging="2668" w:hangingChars="700"/>
        <w:rPr>
          <w:rFonts w:ascii="宋体" w:hAnsi="宋体" w:cs="宋体"/>
          <w:b/>
          <w:color w:val="auto"/>
          <w:spacing w:val="40"/>
          <w:sz w:val="30"/>
          <w:szCs w:val="30"/>
          <w:highlight w:val="none"/>
        </w:rPr>
      </w:pPr>
    </w:p>
    <w:p w14:paraId="2FF57E93">
      <w:pPr>
        <w:keepNext/>
        <w:spacing w:line="700" w:lineRule="exact"/>
        <w:rPr>
          <w:rFonts w:ascii="宋体" w:hAnsi="宋体" w:cs="宋体"/>
          <w:b/>
          <w:color w:val="auto"/>
          <w:spacing w:val="40"/>
          <w:sz w:val="30"/>
          <w:szCs w:val="30"/>
          <w:highlight w:val="none"/>
        </w:rPr>
      </w:pPr>
    </w:p>
    <w:p w14:paraId="41A5A27F">
      <w:pPr>
        <w:keepNext/>
        <w:spacing w:line="700" w:lineRule="exact"/>
        <w:rPr>
          <w:rFonts w:ascii="宋体" w:hAnsi="宋体" w:cs="宋体"/>
          <w:b/>
          <w:color w:val="auto"/>
          <w:spacing w:val="40"/>
          <w:sz w:val="30"/>
          <w:szCs w:val="30"/>
          <w:highlight w:val="none"/>
        </w:rPr>
      </w:pPr>
    </w:p>
    <w:p w14:paraId="12AFF131">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 标 人:温州市公安局交通管理局</w:t>
      </w:r>
    </w:p>
    <w:p w14:paraId="330661B7">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招标代理机构：温州历程招标有限公司</w:t>
      </w:r>
    </w:p>
    <w:p w14:paraId="0E21E069">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二0二</w:t>
      </w:r>
      <w:r>
        <w:rPr>
          <w:rFonts w:hint="eastAsia" w:ascii="宋体" w:hAnsi="宋体" w:cs="宋体"/>
          <w:color w:val="auto"/>
          <w:spacing w:val="30"/>
          <w:sz w:val="30"/>
          <w:highlight w:val="none"/>
          <w:lang w:eastAsia="zh-CN"/>
        </w:rPr>
        <w:t>四</w:t>
      </w:r>
      <w:r>
        <w:rPr>
          <w:rFonts w:hint="eastAsia" w:ascii="宋体" w:hAnsi="宋体" w:cs="宋体"/>
          <w:color w:val="auto"/>
          <w:spacing w:val="30"/>
          <w:sz w:val="30"/>
          <w:highlight w:val="none"/>
        </w:rPr>
        <w:t>年</w:t>
      </w:r>
    </w:p>
    <w:p w14:paraId="641AAF5E">
      <w:pPr>
        <w:rPr>
          <w:color w:val="auto"/>
        </w:rPr>
      </w:pPr>
      <w:r>
        <w:rPr>
          <w:color w:val="auto"/>
        </w:rPr>
        <w:br w:type="page"/>
      </w:r>
    </w:p>
    <w:sdt>
      <w:sdtPr>
        <w:rPr>
          <w:rFonts w:hint="eastAsia" w:ascii="宋体" w:hAnsi="宋体" w:cs="宋体"/>
          <w:color w:val="auto"/>
          <w:highlight w:val="none"/>
        </w:rPr>
        <w:id w:val="147472243"/>
      </w:sdtPr>
      <w:sdtEndPr>
        <w:rPr>
          <w:rFonts w:hint="eastAsia" w:ascii="宋体" w:hAnsi="宋体" w:cs="宋体"/>
          <w:color w:val="auto"/>
          <w:szCs w:val="36"/>
          <w:highlight w:val="none"/>
        </w:rPr>
      </w:sdtEndPr>
      <w:sdtContent>
        <w:p w14:paraId="373500BC">
          <w:pPr>
            <w:jc w:val="center"/>
            <w:rPr>
              <w:rFonts w:ascii="宋体" w:hAnsi="宋体" w:cs="宋体"/>
              <w:color w:val="auto"/>
              <w:highlight w:val="none"/>
            </w:rPr>
          </w:pPr>
        </w:p>
        <w:p w14:paraId="2E209EC2">
          <w:pPr>
            <w:pStyle w:val="12"/>
            <w:tabs>
              <w:tab w:val="right" w:leader="dot" w:pos="9638"/>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00D59C76">
          <w:pPr>
            <w:pStyle w:val="12"/>
            <w:tabs>
              <w:tab w:val="right" w:leader="dot" w:pos="9638"/>
            </w:tabs>
            <w:spacing w:line="360" w:lineRule="auto"/>
            <w:rPr>
              <w:color w:val="auto"/>
              <w:sz w:val="22"/>
              <w:szCs w:val="28"/>
              <w:highlight w:val="none"/>
            </w:rPr>
          </w:pPr>
          <w:r>
            <w:rPr>
              <w:rFonts w:hint="eastAsia" w:ascii="宋体" w:hAnsi="宋体" w:cs="宋体"/>
              <w:b/>
              <w:color w:val="auto"/>
              <w:sz w:val="40"/>
              <w:szCs w:val="40"/>
              <w:highlight w:val="none"/>
            </w:rPr>
            <w:fldChar w:fldCharType="begin"/>
          </w:r>
          <w:r>
            <w:rPr>
              <w:rFonts w:hint="eastAsia" w:ascii="宋体" w:hAnsi="宋体" w:cs="宋体"/>
              <w:b/>
              <w:color w:val="auto"/>
              <w:sz w:val="40"/>
              <w:szCs w:val="40"/>
              <w:highlight w:val="none"/>
            </w:rPr>
            <w:instrText xml:space="preserve">TOC \o "1-3" \h \u </w:instrText>
          </w:r>
          <w:r>
            <w:rPr>
              <w:rFonts w:hint="eastAsia" w:ascii="宋体" w:hAnsi="宋体" w:cs="宋体"/>
              <w:b/>
              <w:color w:val="auto"/>
              <w:sz w:val="40"/>
              <w:szCs w:val="40"/>
              <w:highlight w:val="none"/>
            </w:rPr>
            <w:fldChar w:fldCharType="separate"/>
          </w:r>
          <w:r>
            <w:rPr>
              <w:color w:val="auto"/>
              <w:highlight w:val="none"/>
            </w:rPr>
            <w:fldChar w:fldCharType="begin"/>
          </w:r>
          <w:r>
            <w:rPr>
              <w:color w:val="auto"/>
              <w:highlight w:val="none"/>
            </w:rPr>
            <w:instrText xml:space="preserve"> HYPERLINK \l "_Toc6599" </w:instrText>
          </w:r>
          <w:r>
            <w:rPr>
              <w:color w:val="auto"/>
              <w:highlight w:val="none"/>
            </w:rPr>
            <w:fldChar w:fldCharType="separate"/>
          </w:r>
          <w:r>
            <w:rPr>
              <w:rFonts w:hint="eastAsia" w:ascii="宋体" w:hAnsi="宋体" w:cs="宋体"/>
              <w:color w:val="auto"/>
              <w:sz w:val="22"/>
              <w:szCs w:val="28"/>
              <w:highlight w:val="none"/>
            </w:rPr>
            <w:t>招标公告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color w:val="auto"/>
              <w:sz w:val="22"/>
              <w:szCs w:val="28"/>
              <w:highlight w:val="none"/>
            </w:rPr>
            <w:fldChar w:fldCharType="end"/>
          </w:r>
        </w:p>
        <w:p w14:paraId="0DBB0302">
          <w:pPr>
            <w:pStyle w:val="12"/>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"_Toc10401" </w:instrText>
          </w:r>
          <w:r>
            <w:rPr>
              <w:color w:val="auto"/>
              <w:highlight w:val="none"/>
            </w:rPr>
            <w:fldChar w:fldCharType="separate"/>
          </w:r>
          <w:r>
            <w:rPr>
              <w:rFonts w:hint="eastAsia" w:ascii="宋体" w:hAnsi="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color w:val="auto"/>
              <w:sz w:val="22"/>
              <w:szCs w:val="28"/>
              <w:highlight w:val="none"/>
            </w:rPr>
            <w:fldChar w:fldCharType="end"/>
          </w:r>
        </w:p>
        <w:p w14:paraId="7F56D2B6">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"_Toc6224" </w:instrText>
          </w:r>
          <w:r>
            <w:rPr>
              <w:color w:val="auto"/>
              <w:highlight w:val="none"/>
            </w:rPr>
            <w:fldChar w:fldCharType="separate"/>
          </w:r>
          <w:r>
            <w:rPr>
              <w:rFonts w:hint="eastAsia" w:ascii="宋体" w:hAnsi="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color w:val="auto"/>
              <w:sz w:val="22"/>
              <w:szCs w:val="28"/>
              <w:highlight w:val="none"/>
            </w:rPr>
            <w:fldChar w:fldCharType="end"/>
          </w:r>
        </w:p>
        <w:p w14:paraId="0F297912">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"_Toc19070" </w:instrText>
          </w:r>
          <w:r>
            <w:rPr>
              <w:color w:val="auto"/>
              <w:highlight w:val="none"/>
            </w:rPr>
            <w:fldChar w:fldCharType="separate"/>
          </w:r>
          <w:r>
            <w:rPr>
              <w:rFonts w:hint="eastAsia" w:ascii="宋体" w:hAnsi="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color w:val="auto"/>
              <w:sz w:val="22"/>
              <w:szCs w:val="28"/>
              <w:highlight w:val="none"/>
            </w:rPr>
            <w:fldChar w:fldCharType="end"/>
          </w:r>
        </w:p>
        <w:p w14:paraId="32594011">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"_Toc28278" </w:instrText>
          </w:r>
          <w:r>
            <w:rPr>
              <w:color w:val="auto"/>
              <w:highlight w:val="none"/>
            </w:rPr>
            <w:fldChar w:fldCharType="separate"/>
          </w:r>
          <w:r>
            <w:rPr>
              <w:rFonts w:hint="eastAsia" w:ascii="宋体" w:hAnsi="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color w:val="auto"/>
              <w:sz w:val="22"/>
              <w:szCs w:val="28"/>
              <w:highlight w:val="none"/>
            </w:rPr>
            <w:fldChar w:fldCharType="end"/>
          </w:r>
        </w:p>
        <w:p w14:paraId="70304D2C">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"_Toc22646" </w:instrText>
          </w:r>
          <w:r>
            <w:rPr>
              <w:color w:val="auto"/>
              <w:highlight w:val="none"/>
            </w:rPr>
            <w:fldChar w:fldCharType="separate"/>
          </w:r>
          <w:r>
            <w:rPr>
              <w:rFonts w:hint="eastAsia" w:ascii="宋体" w:hAnsi="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12</w:t>
          </w:r>
          <w:r>
            <w:rPr>
              <w:color w:val="auto"/>
              <w:sz w:val="22"/>
              <w:szCs w:val="28"/>
              <w:highlight w:val="none"/>
            </w:rPr>
            <w:fldChar w:fldCharType="end"/>
          </w:r>
          <w:r>
            <w:rPr>
              <w:color w:val="auto"/>
              <w:sz w:val="22"/>
              <w:szCs w:val="28"/>
              <w:highlight w:val="none"/>
            </w:rPr>
            <w:fldChar w:fldCharType="end"/>
          </w:r>
        </w:p>
        <w:p w14:paraId="0CF32C15">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"_Toc18542" </w:instrText>
          </w:r>
          <w:r>
            <w:rPr>
              <w:color w:val="auto"/>
              <w:highlight w:val="none"/>
            </w:rPr>
            <w:fldChar w:fldCharType="separate"/>
          </w:r>
          <w:r>
            <w:rPr>
              <w:rFonts w:hint="eastAsia" w:ascii="宋体" w:hAnsi="宋体" w:cs="宋体"/>
              <w:bCs/>
              <w:color w:val="auto"/>
              <w:sz w:val="22"/>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color w:val="auto"/>
              <w:sz w:val="22"/>
              <w:szCs w:val="28"/>
              <w:highlight w:val="none"/>
            </w:rPr>
            <w:fldChar w:fldCharType="end"/>
          </w:r>
        </w:p>
        <w:p w14:paraId="57E1E881">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"_Toc8079" </w:instrText>
          </w:r>
          <w:r>
            <w:rPr>
              <w:color w:val="auto"/>
              <w:highlight w:val="none"/>
            </w:rPr>
            <w:fldChar w:fldCharType="separate"/>
          </w:r>
          <w:r>
            <w:rPr>
              <w:rFonts w:hint="eastAsia" w:ascii="宋体" w:hAnsi="宋体" w:cs="宋体"/>
              <w:bCs/>
              <w:color w:val="auto"/>
              <w:sz w:val="22"/>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16</w:t>
          </w:r>
          <w:r>
            <w:rPr>
              <w:color w:val="auto"/>
              <w:sz w:val="22"/>
              <w:szCs w:val="28"/>
              <w:highlight w:val="none"/>
            </w:rPr>
            <w:fldChar w:fldCharType="end"/>
          </w:r>
          <w:r>
            <w:rPr>
              <w:color w:val="auto"/>
              <w:sz w:val="22"/>
              <w:szCs w:val="28"/>
              <w:highlight w:val="none"/>
            </w:rPr>
            <w:fldChar w:fldCharType="end"/>
          </w:r>
        </w:p>
        <w:p w14:paraId="54330871">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color w:val="auto"/>
              <w:sz w:val="22"/>
              <w:szCs w:val="28"/>
              <w:highlight w:val="none"/>
            </w:rPr>
            <w:fldChar w:fldCharType="end"/>
          </w:r>
        </w:p>
        <w:p w14:paraId="573B7BAE">
          <w:pPr>
            <w:pStyle w:val="12"/>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"_Toc19043" </w:instrText>
          </w:r>
          <w:r>
            <w:rPr>
              <w:color w:val="auto"/>
              <w:highlight w:val="none"/>
            </w:rPr>
            <w:fldChar w:fldCharType="separate"/>
          </w:r>
          <w:r>
            <w:rPr>
              <w:rFonts w:hint="eastAsia" w:ascii="宋体" w:hAnsi="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21</w:t>
          </w:r>
          <w:r>
            <w:rPr>
              <w:color w:val="auto"/>
              <w:sz w:val="22"/>
              <w:szCs w:val="28"/>
              <w:highlight w:val="none"/>
            </w:rPr>
            <w:fldChar w:fldCharType="end"/>
          </w:r>
          <w:r>
            <w:rPr>
              <w:color w:val="auto"/>
              <w:sz w:val="22"/>
              <w:szCs w:val="28"/>
              <w:highlight w:val="none"/>
            </w:rPr>
            <w:fldChar w:fldCharType="end"/>
          </w:r>
        </w:p>
        <w:p w14:paraId="30A449C7">
          <w:pPr>
            <w:pStyle w:val="12"/>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"_Toc18439" </w:instrText>
          </w:r>
          <w:r>
            <w:rPr>
              <w:color w:val="auto"/>
              <w:highlight w:val="none"/>
            </w:rPr>
            <w:fldChar w:fldCharType="separate"/>
          </w:r>
          <w:r>
            <w:rPr>
              <w:rFonts w:hint="eastAsia" w:ascii="宋体" w:hAnsi="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29</w:t>
          </w:r>
          <w:r>
            <w:rPr>
              <w:color w:val="auto"/>
              <w:sz w:val="22"/>
              <w:szCs w:val="28"/>
              <w:highlight w:val="none"/>
            </w:rPr>
            <w:fldChar w:fldCharType="end"/>
          </w:r>
          <w:r>
            <w:rPr>
              <w:color w:val="auto"/>
              <w:sz w:val="22"/>
              <w:szCs w:val="28"/>
              <w:highlight w:val="none"/>
            </w:rPr>
            <w:fldChar w:fldCharType="end"/>
          </w:r>
        </w:p>
        <w:p w14:paraId="21096350">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"_Toc6368" </w:instrText>
          </w:r>
          <w:r>
            <w:rPr>
              <w:color w:val="auto"/>
              <w:highlight w:val="none"/>
            </w:rPr>
            <w:fldChar w:fldCharType="separate"/>
          </w:r>
          <w:r>
            <w:rPr>
              <w:rFonts w:hint="eastAsia" w:ascii="宋体" w:hAnsi="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29</w:t>
          </w:r>
          <w:r>
            <w:rPr>
              <w:color w:val="auto"/>
              <w:sz w:val="22"/>
              <w:szCs w:val="28"/>
              <w:highlight w:val="none"/>
            </w:rPr>
            <w:fldChar w:fldCharType="end"/>
          </w:r>
          <w:r>
            <w:rPr>
              <w:color w:val="auto"/>
              <w:sz w:val="22"/>
              <w:szCs w:val="28"/>
              <w:highlight w:val="none"/>
            </w:rPr>
            <w:fldChar w:fldCharType="end"/>
          </w:r>
        </w:p>
        <w:p w14:paraId="299C2B9E">
          <w:pPr>
            <w:pStyle w:val="8"/>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"_Toc5430" </w:instrText>
          </w:r>
          <w:r>
            <w:rPr>
              <w:color w:val="auto"/>
              <w:highlight w:val="none"/>
            </w:rPr>
            <w:fldChar w:fldCharType="separate"/>
          </w:r>
          <w:r>
            <w:rPr>
              <w:rFonts w:hint="eastAsia" w:ascii="宋体" w:hAnsi="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29</w:t>
          </w:r>
          <w:r>
            <w:rPr>
              <w:color w:val="auto"/>
              <w:sz w:val="22"/>
              <w:szCs w:val="28"/>
              <w:highlight w:val="none"/>
            </w:rPr>
            <w:fldChar w:fldCharType="end"/>
          </w:r>
          <w:r>
            <w:rPr>
              <w:color w:val="auto"/>
              <w:sz w:val="22"/>
              <w:szCs w:val="28"/>
              <w:highlight w:val="none"/>
            </w:rPr>
            <w:fldChar w:fldCharType="end"/>
          </w:r>
        </w:p>
        <w:p w14:paraId="43D7AA57">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"_Toc12035" </w:instrText>
          </w:r>
          <w:r>
            <w:rPr>
              <w:color w:val="auto"/>
              <w:highlight w:val="none"/>
            </w:rPr>
            <w:fldChar w:fldCharType="separate"/>
          </w:r>
          <w:r>
            <w:rPr>
              <w:rFonts w:hint="eastAsia" w:ascii="宋体" w:hAnsi="宋体" w:cs="宋体"/>
              <w:color w:val="auto"/>
              <w:sz w:val="22"/>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color w:val="auto"/>
              <w:sz w:val="22"/>
              <w:szCs w:val="28"/>
              <w:highlight w:val="none"/>
            </w:rPr>
            <w:fldChar w:fldCharType="end"/>
          </w:r>
        </w:p>
        <w:p w14:paraId="3B96C8E6">
          <w:pPr>
            <w:pStyle w:val="8"/>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"_Toc25309" </w:instrText>
          </w:r>
          <w:r>
            <w:rPr>
              <w:color w:val="auto"/>
              <w:highlight w:val="none"/>
            </w:rPr>
            <w:fldChar w:fldCharType="separate"/>
          </w:r>
          <w:r>
            <w:rPr>
              <w:rFonts w:hint="eastAsia" w:ascii="宋体" w:hAnsi="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36</w:t>
          </w:r>
          <w:r>
            <w:rPr>
              <w:color w:val="auto"/>
              <w:sz w:val="22"/>
              <w:szCs w:val="28"/>
              <w:highlight w:val="none"/>
            </w:rPr>
            <w:fldChar w:fldCharType="end"/>
          </w:r>
          <w:r>
            <w:rPr>
              <w:color w:val="auto"/>
              <w:sz w:val="22"/>
              <w:szCs w:val="28"/>
              <w:highlight w:val="none"/>
            </w:rPr>
            <w:fldChar w:fldCharType="end"/>
          </w:r>
        </w:p>
        <w:p w14:paraId="1CFDE53B">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"_Toc31356" </w:instrText>
          </w:r>
          <w:r>
            <w:rPr>
              <w:color w:val="auto"/>
              <w:highlight w:val="none"/>
            </w:rPr>
            <w:fldChar w:fldCharType="separate"/>
          </w:r>
          <w:r>
            <w:rPr>
              <w:rFonts w:hint="eastAsia" w:ascii="宋体" w:hAnsi="宋体" w:cs="宋体"/>
              <w:bCs/>
              <w:color w:val="auto"/>
              <w:sz w:val="22"/>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36</w:t>
          </w:r>
          <w:r>
            <w:rPr>
              <w:color w:val="auto"/>
              <w:sz w:val="22"/>
              <w:szCs w:val="28"/>
              <w:highlight w:val="none"/>
            </w:rPr>
            <w:fldChar w:fldCharType="end"/>
          </w:r>
          <w:r>
            <w:rPr>
              <w:color w:val="auto"/>
              <w:sz w:val="22"/>
              <w:szCs w:val="28"/>
              <w:highlight w:val="none"/>
            </w:rPr>
            <w:fldChar w:fldCharType="end"/>
          </w:r>
        </w:p>
        <w:p w14:paraId="44BA0AE6">
          <w:pPr>
            <w:pStyle w:val="8"/>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"_Toc13639" </w:instrText>
          </w:r>
          <w:r>
            <w:rPr>
              <w:color w:val="auto"/>
              <w:highlight w:val="none"/>
            </w:rPr>
            <w:fldChar w:fldCharType="separate"/>
          </w:r>
          <w:r>
            <w:rPr>
              <w:rFonts w:hint="eastAsia" w:ascii="宋体" w:hAnsi="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43</w:t>
          </w:r>
          <w:r>
            <w:rPr>
              <w:color w:val="auto"/>
              <w:sz w:val="22"/>
              <w:szCs w:val="28"/>
              <w:highlight w:val="none"/>
            </w:rPr>
            <w:fldChar w:fldCharType="end"/>
          </w:r>
          <w:r>
            <w:rPr>
              <w:color w:val="auto"/>
              <w:sz w:val="22"/>
              <w:szCs w:val="28"/>
              <w:highlight w:val="none"/>
            </w:rPr>
            <w:fldChar w:fldCharType="end"/>
          </w:r>
        </w:p>
        <w:p w14:paraId="7F4D0561">
          <w:pPr>
            <w:pStyle w:val="12"/>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"_Toc3381" </w:instrText>
          </w:r>
          <w:r>
            <w:rPr>
              <w:color w:val="auto"/>
              <w:highlight w:val="none"/>
            </w:rPr>
            <w:fldChar w:fldCharType="separate"/>
          </w:r>
          <w:r>
            <w:rPr>
              <w:rFonts w:hint="eastAsia" w:ascii="宋体" w:hAnsi="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56</w:t>
          </w:r>
          <w:r>
            <w:rPr>
              <w:color w:val="auto"/>
              <w:sz w:val="22"/>
              <w:szCs w:val="28"/>
              <w:highlight w:val="none"/>
            </w:rPr>
            <w:fldChar w:fldCharType="end"/>
          </w:r>
          <w:r>
            <w:rPr>
              <w:color w:val="auto"/>
              <w:sz w:val="22"/>
              <w:szCs w:val="28"/>
              <w:highlight w:val="none"/>
            </w:rPr>
            <w:fldChar w:fldCharType="end"/>
          </w:r>
        </w:p>
        <w:p w14:paraId="41A00D28">
          <w:pPr>
            <w:pStyle w:val="12"/>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"_Toc18194" </w:instrText>
          </w:r>
          <w:r>
            <w:rPr>
              <w:color w:val="auto"/>
              <w:highlight w:val="none"/>
            </w:rPr>
            <w:fldChar w:fldCharType="separate"/>
          </w:r>
          <w:r>
            <w:rPr>
              <w:rFonts w:hint="eastAsia" w:ascii="宋体" w:hAnsi="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color w:val="auto"/>
              <w:sz w:val="22"/>
              <w:szCs w:val="28"/>
              <w:highlight w:val="none"/>
            </w:rPr>
            <w:fldChar w:fldCharType="end"/>
          </w:r>
        </w:p>
        <w:p w14:paraId="22C66DBA">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"_Toc15713" </w:instrText>
          </w:r>
          <w:r>
            <w:rPr>
              <w:color w:val="auto"/>
              <w:highlight w:val="none"/>
            </w:rPr>
            <w:fldChar w:fldCharType="separate"/>
          </w:r>
          <w:r>
            <w:rPr>
              <w:rFonts w:hint="eastAsia" w:ascii="宋体" w:hAnsi="宋体" w:cs="宋体"/>
              <w:color w:val="auto"/>
              <w:sz w:val="22"/>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color w:val="auto"/>
              <w:sz w:val="22"/>
              <w:szCs w:val="28"/>
              <w:highlight w:val="none"/>
            </w:rPr>
            <w:fldChar w:fldCharType="end"/>
          </w:r>
        </w:p>
        <w:p w14:paraId="3F08ED8A">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"_Toc23152" </w:instrText>
          </w:r>
          <w:r>
            <w:rPr>
              <w:color w:val="auto"/>
              <w:highlight w:val="none"/>
            </w:rPr>
            <w:fldChar w:fldCharType="separate"/>
          </w:r>
          <w:r>
            <w:rPr>
              <w:rFonts w:hint="eastAsia" w:ascii="宋体" w:hAnsi="宋体" w:cs="宋体"/>
              <w:color w:val="auto"/>
              <w:sz w:val="22"/>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color w:val="auto"/>
              <w:sz w:val="22"/>
              <w:szCs w:val="28"/>
              <w:highlight w:val="none"/>
            </w:rPr>
            <w:fldChar w:fldCharType="end"/>
          </w:r>
        </w:p>
        <w:p w14:paraId="3EEC027F">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"_Toc67" </w:instrText>
          </w:r>
          <w:r>
            <w:rPr>
              <w:color w:val="auto"/>
              <w:highlight w:val="none"/>
            </w:rPr>
            <w:fldChar w:fldCharType="separate"/>
          </w:r>
          <w:r>
            <w:rPr>
              <w:rFonts w:hint="eastAsia" w:ascii="宋体" w:hAnsi="宋体" w:cs="宋体"/>
              <w:color w:val="auto"/>
              <w:sz w:val="22"/>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color w:val="auto"/>
              <w:sz w:val="22"/>
              <w:szCs w:val="28"/>
              <w:highlight w:val="none"/>
            </w:rPr>
            <w:fldChar w:fldCharType="end"/>
          </w:r>
        </w:p>
        <w:p w14:paraId="2B3B547F">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宋体" w:hAnsi="宋体" w:cs="宋体"/>
              <w:color w:val="auto"/>
              <w:sz w:val="22"/>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color w:val="auto"/>
              <w:sz w:val="22"/>
              <w:szCs w:val="28"/>
              <w:highlight w:val="none"/>
            </w:rPr>
            <w:fldChar w:fldCharType="end"/>
          </w:r>
        </w:p>
        <w:p w14:paraId="1898B02A">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"_Toc11450" </w:instrText>
          </w:r>
          <w:r>
            <w:rPr>
              <w:color w:val="auto"/>
              <w:highlight w:val="none"/>
            </w:rPr>
            <w:fldChar w:fldCharType="separate"/>
          </w:r>
          <w:r>
            <w:rPr>
              <w:rFonts w:hint="eastAsia" w:ascii="宋体" w:hAnsi="宋体" w:cs="宋体"/>
              <w:color w:val="auto"/>
              <w:sz w:val="22"/>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color w:val="auto"/>
              <w:sz w:val="22"/>
              <w:szCs w:val="28"/>
              <w:highlight w:val="none"/>
            </w:rPr>
            <w:fldChar w:fldCharType="end"/>
          </w:r>
        </w:p>
        <w:p w14:paraId="2E60CA79">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"_Toc4727" </w:instrText>
          </w:r>
          <w:r>
            <w:rPr>
              <w:color w:val="auto"/>
              <w:highlight w:val="none"/>
            </w:rPr>
            <w:fldChar w:fldCharType="separate"/>
          </w:r>
          <w:r>
            <w:rPr>
              <w:rFonts w:hint="eastAsia" w:ascii="宋体" w:hAnsi="宋体" w:cs="宋体"/>
              <w:bCs/>
              <w:color w:val="auto"/>
              <w:sz w:val="22"/>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color w:val="auto"/>
              <w:sz w:val="22"/>
              <w:szCs w:val="28"/>
              <w:highlight w:val="none"/>
            </w:rPr>
            <w:fldChar w:fldCharType="end"/>
          </w:r>
        </w:p>
        <w:p w14:paraId="214D733D">
          <w:pPr>
            <w:pStyle w:val="13"/>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"_Toc3629" </w:instrText>
          </w:r>
          <w:r>
            <w:rPr>
              <w:color w:val="auto"/>
              <w:highlight w:val="none"/>
            </w:rPr>
            <w:fldChar w:fldCharType="separate"/>
          </w:r>
          <w:r>
            <w:rPr>
              <w:rFonts w:hint="eastAsia" w:ascii="宋体" w:hAnsi="宋体" w:cs="宋体"/>
              <w:color w:val="auto"/>
              <w:sz w:val="22"/>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69</w:t>
          </w:r>
          <w:r>
            <w:rPr>
              <w:color w:val="auto"/>
              <w:sz w:val="22"/>
              <w:szCs w:val="28"/>
              <w:highlight w:val="none"/>
            </w:rPr>
            <w:fldChar w:fldCharType="end"/>
          </w:r>
          <w:r>
            <w:rPr>
              <w:color w:val="auto"/>
              <w:sz w:val="22"/>
              <w:szCs w:val="28"/>
              <w:highlight w:val="none"/>
            </w:rPr>
            <w:fldChar w:fldCharType="end"/>
          </w:r>
        </w:p>
        <w:p w14:paraId="6DBD742E">
          <w:pPr>
            <w:spacing w:line="360" w:lineRule="auto"/>
            <w:ind w:firstLine="1870" w:firstLineChars="850"/>
            <w:rPr>
              <w:rFonts w:ascii="宋体" w:hAnsi="宋体" w:cs="宋体"/>
              <w:b/>
              <w:color w:val="auto"/>
              <w:sz w:val="22"/>
              <w:szCs w:val="22"/>
              <w:highlight w:val="none"/>
            </w:rPr>
          </w:pPr>
          <w:r>
            <w:rPr>
              <w:rFonts w:hint="eastAsia" w:ascii="宋体" w:hAnsi="宋体" w:cs="宋体"/>
              <w:color w:val="auto"/>
              <w:sz w:val="22"/>
              <w:szCs w:val="40"/>
              <w:highlight w:val="none"/>
            </w:rPr>
            <w:fldChar w:fldCharType="end"/>
          </w:r>
        </w:p>
      </w:sdtContent>
    </w:sdt>
    <w:p w14:paraId="7E59099E">
      <w:pPr>
        <w:pStyle w:val="2"/>
        <w:rPr>
          <w:rFonts w:ascii="宋体" w:hAnsi="宋体" w:eastAsia="宋体" w:cs="宋体"/>
          <w:color w:val="auto"/>
          <w:highlight w:val="none"/>
        </w:rPr>
      </w:pPr>
      <w:bookmarkStart w:id="0" w:name="_Toc32649"/>
      <w:bookmarkStart w:id="1" w:name="_Toc6599"/>
      <w:r>
        <w:rPr>
          <w:rFonts w:hint="eastAsia" w:ascii="宋体" w:hAnsi="宋体" w:eastAsia="宋体" w:cs="宋体"/>
          <w:color w:val="auto"/>
          <w:highlight w:val="none"/>
        </w:rPr>
        <w:t>招标公告</w:t>
      </w:r>
      <w:bookmarkEnd w:id="0"/>
      <w:bookmarkEnd w:id="1"/>
    </w:p>
    <w:p w14:paraId="2D1213DE">
      <w:pPr>
        <w:tabs>
          <w:tab w:val="left" w:pos="360"/>
        </w:tabs>
        <w:spacing w:line="460" w:lineRule="exact"/>
        <w:ind w:firstLine="552" w:firstLineChars="250"/>
        <w:rPr>
          <w:rFonts w:ascii="宋体" w:hAnsi="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1270635"/>
                <wp:effectExtent l="6350" t="6350" r="9525" b="18415"/>
                <wp:wrapNone/>
                <wp:docPr id="1" name="矩形 1"/>
                <wp:cNvGraphicFramePr/>
                <a:graphic xmlns:a="http://schemas.openxmlformats.org/drawingml/2006/main">
                  <a:graphicData uri="http://schemas.microsoft.com/office/word/2010/wordprocessingShape">
                    <wps:wsp>
                      <wps:cNvSpPr/>
                      <wps:spPr>
                        <a:xfrm>
                          <a:off x="0" y="0"/>
                          <a:ext cx="6499225" cy="1270635"/>
                        </a:xfrm>
                        <a:prstGeom prst="rect">
                          <a:avLst/>
                        </a:prstGeom>
                        <a:noFill/>
                        <a:ln w="12700" cap="flat" cmpd="sng">
                          <a:solidFill>
                            <a:srgbClr val="000000"/>
                          </a:solidFill>
                          <a:prstDash val="solid"/>
                          <a:round/>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15.5pt;margin-top:0.3pt;height:100.05pt;width:511.75pt;z-index:251661312;v-text-anchor:middle;mso-width-relative:page;mso-height-relative:page;" filled="f" stroked="t" coordsize="21600,21600" o:gfxdata="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B9STXAAAACAEAAA8AAAAAAAAAAQAgAAAAIgAAAGRy&#10;cy9kb3ducmV2LnhtbFBLAQIUABQAAAAIAIdO4kAy0d+oBgIAACAEAAAOAAAAAAAAAAEAIAAAACYB&#10;AABkcnMvZTJvRG9jLnhtbFBLBQYAAAAABgAGAFkBAACeBQAAAAA=&#10;">
                <v:fill on="f" focussize="0,0"/>
                <v:stroke weight="1pt" color="#000000" joinstyle="round"/>
                <v:imagedata o:title=""/>
                <o:lock v:ext="edit" aspectratio="f"/>
              </v:rect>
            </w:pict>
          </mc:Fallback>
        </mc:AlternateContent>
      </w:r>
      <w:r>
        <w:rPr>
          <w:rFonts w:hint="eastAsia" w:ascii="宋体" w:hAnsi="宋体" w:cs="宋体"/>
          <w:b/>
          <w:bCs/>
          <w:color w:val="auto"/>
          <w:sz w:val="22"/>
          <w:highlight w:val="none"/>
        </w:rPr>
        <w:t>项目概况</w:t>
      </w:r>
    </w:p>
    <w:p w14:paraId="2591BD1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lang w:eastAsia="zh-CN"/>
        </w:rPr>
        <w:t>2024年至2025年扣押车辆保管服务（瓯海区因交通违法、事故被扣押车辆停放保管服务）（重）</w:t>
      </w:r>
      <w:r>
        <w:rPr>
          <w:rFonts w:hint="eastAsia" w:ascii="宋体" w:hAnsi="宋体" w:cs="宋体"/>
          <w:color w:val="auto"/>
          <w:sz w:val="22"/>
          <w:highlight w:val="none"/>
        </w:rPr>
        <w:t>的潜在投标人应在浙江政府采购网获取（下载）招标文件，并于2024年</w:t>
      </w:r>
      <w:r>
        <w:rPr>
          <w:rFonts w:hint="eastAsia" w:ascii="宋体" w:hAnsi="宋体" w:cs="宋体"/>
          <w:color w:val="auto"/>
          <w:sz w:val="22"/>
          <w:highlight w:val="none"/>
          <w:lang w:val="en-US" w:eastAsia="zh-CN"/>
        </w:rPr>
        <w:t>12</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19</w:t>
      </w:r>
      <w:r>
        <w:rPr>
          <w:rFonts w:hint="eastAsia" w:ascii="宋体" w:hAnsi="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cs="宋体"/>
          <w:color w:val="auto"/>
          <w:sz w:val="22"/>
          <w:highlight w:val="none"/>
        </w:rPr>
        <w:t>（北京时间）前递交（上传）投标文件。</w:t>
      </w:r>
    </w:p>
    <w:p w14:paraId="1C6359D1">
      <w:pPr>
        <w:pStyle w:val="14"/>
        <w:spacing w:before="0" w:beforeAutospacing="0" w:after="0" w:afterAutospacing="0" w:line="460" w:lineRule="exact"/>
        <w:rPr>
          <w:b/>
          <w:bCs/>
          <w:color w:val="auto"/>
          <w:sz w:val="22"/>
          <w:szCs w:val="22"/>
          <w:highlight w:val="none"/>
        </w:rPr>
      </w:pPr>
    </w:p>
    <w:p w14:paraId="616F0D5F">
      <w:pPr>
        <w:pStyle w:val="14"/>
        <w:spacing w:before="0" w:beforeAutospacing="0" w:after="0" w:afterAutospacing="0" w:line="460" w:lineRule="exact"/>
        <w:rPr>
          <w:color w:val="auto"/>
          <w:sz w:val="22"/>
          <w:szCs w:val="22"/>
          <w:highlight w:val="none"/>
        </w:rPr>
      </w:pPr>
      <w:r>
        <w:rPr>
          <w:rFonts w:hint="eastAsia"/>
          <w:b/>
          <w:bCs/>
          <w:color w:val="auto"/>
          <w:sz w:val="22"/>
          <w:szCs w:val="22"/>
          <w:highlight w:val="none"/>
        </w:rPr>
        <w:t>一、项目基本情况</w:t>
      </w:r>
      <w:r>
        <w:rPr>
          <w:rFonts w:hint="eastAsia"/>
          <w:color w:val="auto"/>
          <w:sz w:val="22"/>
          <w:szCs w:val="22"/>
          <w:highlight w:val="none"/>
        </w:rPr>
        <w:t>                                           </w:t>
      </w:r>
    </w:p>
    <w:p w14:paraId="1C039DD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olor w:val="auto"/>
          <w:sz w:val="22"/>
          <w:szCs w:val="22"/>
          <w:highlight w:val="none"/>
        </w:rPr>
        <w:t>项目编号：</w:t>
      </w:r>
      <w:r>
        <w:rPr>
          <w:rFonts w:hint="eastAsia"/>
          <w:color w:val="auto"/>
          <w:sz w:val="22"/>
          <w:szCs w:val="22"/>
          <w:highlight w:val="none"/>
          <w:lang w:eastAsia="zh-CN"/>
        </w:rPr>
        <w:t>WZLCZB（W）-2024-11478-1</w:t>
      </w:r>
      <w:r>
        <w:rPr>
          <w:rFonts w:hint="eastAsia"/>
          <w:color w:val="auto"/>
          <w:sz w:val="22"/>
          <w:szCs w:val="22"/>
          <w:highlight w:val="none"/>
        </w:rPr>
        <w:t> </w:t>
      </w:r>
    </w:p>
    <w:p w14:paraId="4DF75A9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rPr>
        <w:t>项目名称：</w:t>
      </w:r>
      <w:r>
        <w:rPr>
          <w:rFonts w:hint="eastAsia"/>
          <w:color w:val="auto"/>
          <w:sz w:val="22"/>
          <w:szCs w:val="22"/>
          <w:highlight w:val="none"/>
          <w:lang w:eastAsia="zh-CN"/>
        </w:rPr>
        <w:t>2024年至2025年扣押车辆保管服务（瓯海区因交通违法、事故被扣押车辆停放保管服务）（重）</w:t>
      </w:r>
    </w:p>
    <w:p w14:paraId="4374AABE">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olor w:val="auto"/>
          <w:sz w:val="22"/>
          <w:szCs w:val="22"/>
          <w:highlight w:val="none"/>
        </w:rPr>
        <w:t>预算金额（元）：</w:t>
      </w:r>
      <w:r>
        <w:rPr>
          <w:rFonts w:hint="eastAsia"/>
          <w:color w:val="auto"/>
          <w:sz w:val="22"/>
          <w:szCs w:val="22"/>
          <w:highlight w:val="none"/>
          <w:lang w:val="en-US" w:eastAsia="zh-CN"/>
        </w:rPr>
        <w:t>1160000</w:t>
      </w:r>
      <w:r>
        <w:rPr>
          <w:rFonts w:hint="eastAsia"/>
          <w:color w:val="auto"/>
          <w:sz w:val="22"/>
          <w:szCs w:val="22"/>
          <w:highlight w:val="none"/>
        </w:rPr>
        <w:t>  </w:t>
      </w:r>
    </w:p>
    <w:p w14:paraId="7AEDA68E">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olor w:val="auto"/>
          <w:sz w:val="22"/>
          <w:szCs w:val="22"/>
          <w:highlight w:val="none"/>
        </w:rPr>
        <w:t>最高限价（元）：</w:t>
      </w:r>
      <w:r>
        <w:rPr>
          <w:rFonts w:hint="eastAsia"/>
          <w:color w:val="auto"/>
          <w:sz w:val="22"/>
          <w:szCs w:val="22"/>
          <w:highlight w:val="none"/>
          <w:lang w:val="en-US" w:eastAsia="zh-CN"/>
        </w:rPr>
        <w:t>1160000</w:t>
      </w:r>
      <w:r>
        <w:rPr>
          <w:rFonts w:hint="eastAsia"/>
          <w:color w:val="auto"/>
          <w:sz w:val="22"/>
          <w:szCs w:val="22"/>
          <w:highlight w:val="none"/>
        </w:rPr>
        <w:t> </w:t>
      </w:r>
    </w:p>
    <w:p w14:paraId="5B5B606D">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olor w:val="auto"/>
          <w:sz w:val="22"/>
          <w:szCs w:val="22"/>
          <w:highlight w:val="none"/>
        </w:rPr>
        <w:t>采购需求：</w:t>
      </w:r>
    </w:p>
    <w:p w14:paraId="61E81119">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color w:val="auto"/>
          <w:sz w:val="22"/>
          <w:szCs w:val="22"/>
          <w:highlight w:val="none"/>
        </w:rPr>
      </w:pPr>
    </w:p>
    <w:p w14:paraId="689D9243">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olor w:val="auto"/>
          <w:sz w:val="22"/>
          <w:szCs w:val="22"/>
          <w:highlight w:val="none"/>
        </w:rPr>
        <w:t>标项一</w:t>
      </w:r>
    </w:p>
    <w:p w14:paraId="609F14F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rPr>
        <w:t>标项名称:</w:t>
      </w:r>
      <w:r>
        <w:rPr>
          <w:rFonts w:hint="eastAsia"/>
          <w:color w:val="auto"/>
          <w:sz w:val="22"/>
          <w:szCs w:val="22"/>
          <w:highlight w:val="none"/>
          <w:lang w:eastAsia="zh-CN"/>
        </w:rPr>
        <w:t>2024年至2025年扣押车辆保管服务（瓯海区因交通违法、事故被扣押车辆停放保管服务）（重）</w:t>
      </w:r>
    </w:p>
    <w:p w14:paraId="4286003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olor w:val="auto"/>
          <w:sz w:val="22"/>
          <w:szCs w:val="22"/>
          <w:highlight w:val="none"/>
        </w:rPr>
        <w:t xml:space="preserve">数量: </w:t>
      </w:r>
      <w:r>
        <w:rPr>
          <w:rFonts w:hint="eastAsia"/>
          <w:color w:val="auto"/>
          <w:sz w:val="22"/>
          <w:szCs w:val="22"/>
          <w:highlight w:val="none"/>
          <w:lang w:val="en-US" w:eastAsia="zh-CN"/>
        </w:rPr>
        <w:t>1</w:t>
      </w:r>
      <w:r>
        <w:rPr>
          <w:rFonts w:hint="eastAsia"/>
          <w:color w:val="auto"/>
          <w:sz w:val="22"/>
          <w:szCs w:val="22"/>
          <w:highlight w:val="none"/>
        </w:rPr>
        <w:t xml:space="preserve">                   </w:t>
      </w:r>
    </w:p>
    <w:p w14:paraId="2D5BDA8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rPr>
      </w:pPr>
      <w:r>
        <w:rPr>
          <w:rFonts w:hint="eastAsia"/>
          <w:color w:val="auto"/>
          <w:sz w:val="22"/>
          <w:szCs w:val="22"/>
          <w:highlight w:val="none"/>
        </w:rPr>
        <w:t>预算金额（元）:</w:t>
      </w:r>
      <w:r>
        <w:rPr>
          <w:rFonts w:hint="eastAsia"/>
          <w:color w:val="auto"/>
          <w:sz w:val="22"/>
          <w:szCs w:val="22"/>
          <w:highlight w:val="none"/>
          <w:lang w:val="en-US" w:eastAsia="zh-CN"/>
        </w:rPr>
        <w:t>1160000</w:t>
      </w:r>
    </w:p>
    <w:p w14:paraId="6FCF683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rPr>
      </w:pPr>
      <w:r>
        <w:rPr>
          <w:rFonts w:hint="eastAsia"/>
          <w:color w:val="auto"/>
          <w:sz w:val="22"/>
          <w:szCs w:val="22"/>
          <w:highlight w:val="none"/>
        </w:rPr>
        <w:t>单位：年</w:t>
      </w:r>
    </w:p>
    <w:p w14:paraId="7F69333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rPr>
      </w:pPr>
      <w:r>
        <w:rPr>
          <w:rFonts w:hint="eastAsia"/>
          <w:color w:val="auto"/>
          <w:sz w:val="22"/>
          <w:szCs w:val="22"/>
          <w:highlight w:val="none"/>
        </w:rPr>
        <w:t xml:space="preserve">简要规格描述：具体详见招标文件          </w:t>
      </w:r>
    </w:p>
    <w:p w14:paraId="11EC0C0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rPr>
      </w:pPr>
      <w:r>
        <w:rPr>
          <w:rFonts w:hint="eastAsia"/>
          <w:color w:val="auto"/>
          <w:sz w:val="22"/>
          <w:szCs w:val="22"/>
          <w:highlight w:val="none"/>
        </w:rPr>
        <w:t>备注：</w:t>
      </w:r>
    </w:p>
    <w:p w14:paraId="48FB2C54">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rPr>
      </w:pPr>
      <w:r>
        <w:rPr>
          <w:rFonts w:hint="eastAsia"/>
          <w:color w:val="auto"/>
          <w:sz w:val="22"/>
          <w:szCs w:val="22"/>
          <w:highlight w:val="none"/>
        </w:rPr>
        <w:t>合同履约期限：标项 1，具体详见招标文件</w:t>
      </w:r>
    </w:p>
    <w:p w14:paraId="0C535B7D">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lang w:eastAsia="zh-CN"/>
        </w:rPr>
      </w:pPr>
      <w:r>
        <w:rPr>
          <w:rFonts w:hint="eastAsia"/>
          <w:color w:val="auto"/>
          <w:sz w:val="22"/>
          <w:szCs w:val="22"/>
          <w:highlight w:val="none"/>
        </w:rPr>
        <w:t>本项目接受联合体投标。</w:t>
      </w:r>
    </w:p>
    <w:p w14:paraId="3878F928">
      <w:pPr>
        <w:keepNext w:val="0"/>
        <w:keepLines w:val="0"/>
        <w:pageBreakBefore w:val="0"/>
        <w:kinsoku/>
        <w:wordWrap/>
        <w:overflowPunct/>
        <w:topLinePunct w:val="0"/>
        <w:autoSpaceDE/>
        <w:autoSpaceDN/>
        <w:bidi w:val="0"/>
        <w:adjustRightInd/>
        <w:snapToGrid/>
        <w:spacing w:line="460" w:lineRule="exact"/>
        <w:textAlignment w:val="auto"/>
        <w:rPr>
          <w:color w:val="auto"/>
          <w:sz w:val="22"/>
          <w:szCs w:val="22"/>
          <w:highlight w:val="none"/>
        </w:rPr>
      </w:pPr>
      <w:r>
        <w:rPr>
          <w:rFonts w:hint="eastAsia"/>
          <w:b/>
          <w:bCs/>
          <w:color w:val="auto"/>
          <w:sz w:val="22"/>
          <w:szCs w:val="22"/>
          <w:highlight w:val="none"/>
        </w:rPr>
        <w:t>二、申请人的资格要求：</w:t>
      </w:r>
    </w:p>
    <w:p w14:paraId="38E7CE5C">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6AD3482">
      <w:pPr>
        <w:pStyle w:val="14"/>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2.落实政府采购政策需满足的资格要求：</w:t>
      </w:r>
      <w:r>
        <w:rPr>
          <w:rFonts w:hint="eastAsia"/>
          <w:color w:val="auto"/>
          <w:sz w:val="22"/>
          <w:szCs w:val="22"/>
          <w:highlight w:val="none"/>
          <w:u w:val="none"/>
          <w:lang w:val="en-US" w:eastAsia="zh-CN"/>
        </w:rPr>
        <w:t>无</w:t>
      </w:r>
      <w:r>
        <w:rPr>
          <w:rFonts w:hint="eastAsia"/>
          <w:color w:val="auto"/>
          <w:sz w:val="22"/>
          <w:szCs w:val="22"/>
          <w:highlight w:val="none"/>
          <w:lang w:eastAsia="zh-CN"/>
        </w:rPr>
        <w:t>。</w:t>
      </w:r>
    </w:p>
    <w:p w14:paraId="0CC6D4C1">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3.本项目的特定资格要求：无。  </w:t>
      </w:r>
    </w:p>
    <w:p w14:paraId="7D4C46B5">
      <w:pPr>
        <w:pStyle w:val="14"/>
        <w:spacing w:before="0" w:beforeAutospacing="0" w:after="0" w:afterAutospacing="0" w:line="460" w:lineRule="exact"/>
        <w:rPr>
          <w:b/>
          <w:bCs/>
          <w:color w:val="auto"/>
          <w:sz w:val="22"/>
          <w:szCs w:val="22"/>
          <w:highlight w:val="none"/>
        </w:rPr>
      </w:pPr>
      <w:r>
        <w:rPr>
          <w:rFonts w:hint="eastAsia"/>
          <w:b/>
          <w:bCs/>
          <w:color w:val="auto"/>
          <w:sz w:val="22"/>
          <w:szCs w:val="22"/>
          <w:highlight w:val="none"/>
        </w:rPr>
        <w:t>三、获取招标文件 </w:t>
      </w:r>
    </w:p>
    <w:p w14:paraId="2B2703F1">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时间：</w:t>
      </w:r>
      <w:r>
        <w:rPr>
          <w:rFonts w:hint="eastAsia" w:cs="宋体"/>
          <w:color w:val="auto"/>
          <w:sz w:val="22"/>
          <w:highlight w:val="none"/>
          <w:lang w:val="en-US" w:eastAsia="zh-CN"/>
        </w:rPr>
        <w:t>2024年11月28日</w:t>
      </w:r>
      <w:r>
        <w:rPr>
          <w:rFonts w:hint="eastAsia"/>
          <w:color w:val="auto"/>
          <w:sz w:val="22"/>
          <w:szCs w:val="22"/>
          <w:highlight w:val="none"/>
        </w:rPr>
        <w:t>至</w:t>
      </w:r>
      <w:r>
        <w:rPr>
          <w:rFonts w:hint="eastAsia" w:cs="宋体"/>
          <w:color w:val="auto"/>
          <w:sz w:val="22"/>
          <w:highlight w:val="none"/>
          <w:lang w:val="en-US" w:eastAsia="zh-CN"/>
        </w:rPr>
        <w:t>2024年12月19日</w:t>
      </w:r>
      <w:r>
        <w:rPr>
          <w:rFonts w:hint="eastAsia"/>
          <w:color w:val="auto"/>
          <w:sz w:val="22"/>
          <w:szCs w:val="22"/>
          <w:highlight w:val="none"/>
        </w:rPr>
        <w:t>，每天上午00:00至12:00，下午12:00至23:59（北京时间，线上获取法定节假日均可，线下获取文件法定节假日除外）</w:t>
      </w:r>
    </w:p>
    <w:p w14:paraId="0309968D">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地点（网址）：浙江政府采购网（https://zfcg.czt.zj.gov.cn/） </w:t>
      </w:r>
    </w:p>
    <w:p w14:paraId="4636A145">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方式：供应商登录政采云平台https://www.zcygov.cn/在线申请获取采购文件（进入“项目采购”应用，在获取采购文件菜单中选择项目，申请获取采购文件）</w:t>
      </w:r>
    </w:p>
    <w:p w14:paraId="39DDCCEF">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售价（元）：0 </w:t>
      </w:r>
    </w:p>
    <w:p w14:paraId="6E9CD683">
      <w:pPr>
        <w:pStyle w:val="14"/>
        <w:spacing w:before="0" w:beforeAutospacing="0" w:after="0" w:afterAutospacing="0" w:line="460" w:lineRule="exact"/>
        <w:rPr>
          <w:b/>
          <w:bCs/>
          <w:color w:val="auto"/>
          <w:sz w:val="22"/>
          <w:szCs w:val="22"/>
          <w:highlight w:val="none"/>
        </w:rPr>
      </w:pPr>
      <w:r>
        <w:rPr>
          <w:rFonts w:hint="eastAsia"/>
          <w:b/>
          <w:bCs/>
          <w:color w:val="auto"/>
          <w:sz w:val="22"/>
          <w:szCs w:val="22"/>
          <w:highlight w:val="none"/>
        </w:rPr>
        <w:t>四、提交投标文件截止时间、开标时间和地点</w:t>
      </w:r>
    </w:p>
    <w:p w14:paraId="0A6A6C7E">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提交投标文件截止时间：</w:t>
      </w:r>
      <w:r>
        <w:rPr>
          <w:rFonts w:hint="eastAsia" w:cs="宋体"/>
          <w:color w:val="auto"/>
          <w:sz w:val="22"/>
          <w:highlight w:val="none"/>
          <w:lang w:val="en-US" w:eastAsia="zh-CN"/>
        </w:rPr>
        <w:t>2024年12月19日0</w:t>
      </w:r>
      <w:r>
        <w:rPr>
          <w:rFonts w:hint="eastAsia" w:ascii="宋体" w:hAnsi="宋体" w:cs="宋体"/>
          <w:color w:val="auto"/>
          <w:sz w:val="22"/>
          <w:highlight w:val="none"/>
          <w:lang w:val="en-US" w:eastAsia="zh-CN"/>
        </w:rPr>
        <w:t>9点30分</w:t>
      </w:r>
      <w:r>
        <w:rPr>
          <w:rFonts w:hint="eastAsia"/>
          <w:color w:val="auto"/>
          <w:sz w:val="22"/>
          <w:szCs w:val="22"/>
          <w:highlight w:val="none"/>
        </w:rPr>
        <w:t>（北京时间）</w:t>
      </w:r>
    </w:p>
    <w:p w14:paraId="0B1E4A5C">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投标地点（网址）：</w:t>
      </w:r>
      <w:r>
        <w:rPr>
          <w:rFonts w:hint="eastAsia"/>
          <w:color w:val="auto"/>
          <w:sz w:val="22"/>
          <w:highlight w:val="none"/>
          <w:lang w:eastAsia="zh-CN"/>
        </w:rPr>
        <w:t>温州市鹿城区南汇街道勤民路鹿城壹号18幢803室</w:t>
      </w:r>
      <w:r>
        <w:rPr>
          <w:rFonts w:hint="eastAsia"/>
          <w:color w:val="auto"/>
          <w:sz w:val="22"/>
          <w:highlight w:val="none"/>
        </w:rPr>
        <w:t>（政采云平台：http://zfcg.czt.zj.gov.cn）</w:t>
      </w:r>
      <w:r>
        <w:rPr>
          <w:rFonts w:hint="eastAsia"/>
          <w:color w:val="auto"/>
          <w:sz w:val="22"/>
          <w:szCs w:val="22"/>
          <w:highlight w:val="none"/>
        </w:rPr>
        <w:t> </w:t>
      </w:r>
    </w:p>
    <w:p w14:paraId="78893C42">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开标时间：</w:t>
      </w:r>
      <w:r>
        <w:rPr>
          <w:rFonts w:hint="eastAsia" w:cs="宋体"/>
          <w:color w:val="auto"/>
          <w:sz w:val="22"/>
          <w:highlight w:val="none"/>
          <w:lang w:val="en-US" w:eastAsia="zh-CN"/>
        </w:rPr>
        <w:t>2024年12月19</w:t>
      </w:r>
      <w:bookmarkStart w:id="83" w:name="_GoBack"/>
      <w:bookmarkEnd w:id="83"/>
      <w:r>
        <w:rPr>
          <w:rFonts w:hint="eastAsia" w:cs="宋体"/>
          <w:color w:val="auto"/>
          <w:sz w:val="22"/>
          <w:highlight w:val="none"/>
          <w:lang w:val="en-US" w:eastAsia="zh-CN"/>
        </w:rPr>
        <w:t>日0</w:t>
      </w:r>
      <w:r>
        <w:rPr>
          <w:rFonts w:hint="eastAsia" w:ascii="宋体" w:hAnsi="宋体" w:cs="宋体"/>
          <w:color w:val="auto"/>
          <w:sz w:val="22"/>
          <w:highlight w:val="none"/>
          <w:lang w:val="en-US" w:eastAsia="zh-CN"/>
        </w:rPr>
        <w:t>9点30分</w:t>
      </w:r>
      <w:r>
        <w:rPr>
          <w:rFonts w:hint="eastAsia"/>
          <w:color w:val="auto"/>
          <w:sz w:val="22"/>
          <w:szCs w:val="22"/>
          <w:highlight w:val="none"/>
        </w:rPr>
        <w:t>（北京时间） </w:t>
      </w:r>
    </w:p>
    <w:p w14:paraId="49F0AA9D">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开标地点（网址）：</w:t>
      </w:r>
      <w:r>
        <w:rPr>
          <w:rFonts w:hint="eastAsia"/>
          <w:color w:val="auto"/>
          <w:sz w:val="22"/>
          <w:highlight w:val="none"/>
          <w:lang w:eastAsia="zh-CN"/>
        </w:rPr>
        <w:t>温州市鹿城区南汇街道勤民路鹿城壹号18幢803室</w:t>
      </w:r>
      <w:r>
        <w:rPr>
          <w:rFonts w:hint="eastAsia"/>
          <w:color w:val="auto"/>
          <w:sz w:val="22"/>
          <w:highlight w:val="none"/>
        </w:rPr>
        <w:t>（政采云平台：http://zfcg.czt.zj.gov.cn）</w:t>
      </w:r>
      <w:r>
        <w:rPr>
          <w:rFonts w:hint="eastAsia"/>
          <w:color w:val="auto"/>
          <w:sz w:val="22"/>
          <w:szCs w:val="22"/>
          <w:highlight w:val="none"/>
        </w:rPr>
        <w:t>  </w:t>
      </w:r>
    </w:p>
    <w:p w14:paraId="637A6AFB">
      <w:pPr>
        <w:pStyle w:val="14"/>
        <w:spacing w:before="0" w:beforeAutospacing="0" w:after="0" w:afterAutospacing="0" w:line="460" w:lineRule="exact"/>
        <w:rPr>
          <w:color w:val="auto"/>
          <w:sz w:val="22"/>
          <w:szCs w:val="22"/>
          <w:highlight w:val="none"/>
        </w:rPr>
      </w:pPr>
      <w:r>
        <w:rPr>
          <w:rFonts w:hint="eastAsia"/>
          <w:b/>
          <w:bCs/>
          <w:color w:val="auto"/>
          <w:sz w:val="22"/>
          <w:szCs w:val="22"/>
          <w:highlight w:val="none"/>
        </w:rPr>
        <w:t>五、公告期限</w:t>
      </w:r>
      <w:r>
        <w:rPr>
          <w:rFonts w:hint="eastAsia"/>
          <w:color w:val="auto"/>
          <w:sz w:val="22"/>
          <w:szCs w:val="22"/>
          <w:highlight w:val="none"/>
        </w:rPr>
        <w:t> </w:t>
      </w:r>
    </w:p>
    <w:p w14:paraId="7A48C80C">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自本公告发布之日起5个工作日。</w:t>
      </w:r>
    </w:p>
    <w:p w14:paraId="6DD60518">
      <w:pPr>
        <w:pStyle w:val="14"/>
        <w:spacing w:before="0" w:beforeAutospacing="0" w:after="0" w:afterAutospacing="0" w:line="460" w:lineRule="exact"/>
        <w:rPr>
          <w:b/>
          <w:bCs/>
          <w:color w:val="auto"/>
          <w:sz w:val="22"/>
          <w:szCs w:val="22"/>
          <w:highlight w:val="none"/>
        </w:rPr>
      </w:pPr>
      <w:r>
        <w:rPr>
          <w:rFonts w:hint="eastAsia"/>
          <w:b/>
          <w:bCs/>
          <w:color w:val="auto"/>
          <w:sz w:val="22"/>
          <w:szCs w:val="22"/>
          <w:highlight w:val="none"/>
        </w:rPr>
        <w:t>六、其他补充事宜</w:t>
      </w:r>
    </w:p>
    <w:p w14:paraId="160B0ED6">
      <w:pPr>
        <w:pStyle w:val="14"/>
        <w:spacing w:before="0" w:beforeAutospacing="0" w:after="0" w:afterAutospacing="0" w:line="460" w:lineRule="exact"/>
        <w:ind w:firstLine="440" w:firstLineChars="200"/>
        <w:rPr>
          <w:color w:val="auto"/>
          <w:sz w:val="22"/>
          <w:highlight w:val="none"/>
        </w:rPr>
      </w:pPr>
      <w:r>
        <w:rPr>
          <w:rFonts w:hint="eastAsia"/>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A6DD543">
      <w:pPr>
        <w:pStyle w:val="14"/>
        <w:spacing w:before="0" w:beforeAutospacing="0" w:after="0" w:afterAutospacing="0" w:line="460" w:lineRule="exact"/>
        <w:ind w:firstLine="440" w:firstLineChars="200"/>
        <w:rPr>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98415E4">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14:paraId="384E47AA">
      <w:pPr>
        <w:tabs>
          <w:tab w:val="left" w:pos="360"/>
        </w:tabs>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七、对本次招标提出询问，请按以下方式联系</w:t>
      </w:r>
      <w:r>
        <w:rPr>
          <w:rFonts w:hint="eastAsia" w:ascii="宋体" w:hAnsi="宋体" w:cs="宋体"/>
          <w:color w:val="auto"/>
          <w:sz w:val="22"/>
          <w:szCs w:val="22"/>
          <w:highlight w:val="none"/>
        </w:rPr>
        <w:t>　　　　　　　　　　　　</w:t>
      </w:r>
    </w:p>
    <w:p w14:paraId="518F3410">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1.采购人信息</w:t>
      </w:r>
    </w:p>
    <w:p w14:paraId="38511EBE">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称：温州市公安局交通管理局</w:t>
      </w:r>
    </w:p>
    <w:p w14:paraId="115C0233">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地  址：温州市鹿城区金桥路1号  </w:t>
      </w:r>
    </w:p>
    <w:p w14:paraId="54599468">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传  真：/   　　</w:t>
      </w:r>
    </w:p>
    <w:p w14:paraId="7CD41A5B">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w:t>
      </w:r>
      <w:r>
        <w:rPr>
          <w:rFonts w:hint="eastAsia" w:ascii="新宋体" w:hAnsi="新宋体" w:eastAsia="新宋体"/>
          <w:color w:val="auto"/>
          <w:sz w:val="22"/>
          <w:highlight w:val="none"/>
        </w:rPr>
        <w:t>张先生</w:t>
      </w:r>
      <w:r>
        <w:rPr>
          <w:rFonts w:hint="eastAsia"/>
          <w:color w:val="auto"/>
          <w:sz w:val="22"/>
          <w:szCs w:val="22"/>
          <w:highlight w:val="none"/>
        </w:rPr>
        <w:t> </w:t>
      </w:r>
    </w:p>
    <w:p w14:paraId="5BA513D2">
      <w:pPr>
        <w:pStyle w:val="14"/>
        <w:spacing w:before="0" w:beforeAutospacing="0" w:after="0" w:afterAutospacing="0" w:line="460" w:lineRule="exact"/>
        <w:ind w:firstLine="440" w:firstLineChars="200"/>
        <w:rPr>
          <w:rFonts w:hint="default" w:eastAsia="新宋体"/>
          <w:color w:val="auto"/>
          <w:sz w:val="22"/>
          <w:szCs w:val="22"/>
          <w:highlight w:val="none"/>
          <w:lang w:val="en-US" w:eastAsia="zh-CN"/>
        </w:rPr>
      </w:pPr>
      <w:r>
        <w:rPr>
          <w:rFonts w:hint="eastAsia"/>
          <w:color w:val="auto"/>
          <w:sz w:val="22"/>
          <w:szCs w:val="22"/>
          <w:highlight w:val="none"/>
        </w:rPr>
        <w:t>项目联系方式（询问）：</w:t>
      </w:r>
      <w:r>
        <w:rPr>
          <w:rFonts w:hint="eastAsia" w:ascii="新宋体" w:hAnsi="新宋体" w:eastAsia="新宋体"/>
          <w:color w:val="auto"/>
          <w:sz w:val="22"/>
          <w:highlight w:val="none"/>
        </w:rPr>
        <w:t>0577-88300</w:t>
      </w:r>
      <w:r>
        <w:rPr>
          <w:rFonts w:hint="eastAsia" w:ascii="新宋体" w:hAnsi="新宋体" w:eastAsia="新宋体"/>
          <w:color w:val="auto"/>
          <w:sz w:val="22"/>
          <w:highlight w:val="none"/>
          <w:lang w:val="en-US" w:eastAsia="zh-CN"/>
        </w:rPr>
        <w:t>033</w:t>
      </w:r>
    </w:p>
    <w:p w14:paraId="08C243D9">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w:t>
      </w:r>
      <w:r>
        <w:rPr>
          <w:rFonts w:hint="eastAsia" w:ascii="新宋体" w:hAnsi="新宋体" w:eastAsia="新宋体"/>
          <w:color w:val="auto"/>
          <w:sz w:val="22"/>
          <w:highlight w:val="none"/>
        </w:rPr>
        <w:t>张先生</w:t>
      </w:r>
    </w:p>
    <w:p w14:paraId="3379D7A6">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w:t>
      </w:r>
      <w:r>
        <w:rPr>
          <w:rFonts w:hint="eastAsia" w:ascii="新宋体" w:hAnsi="新宋体" w:eastAsia="新宋体"/>
          <w:color w:val="auto"/>
          <w:sz w:val="22"/>
          <w:highlight w:val="none"/>
        </w:rPr>
        <w:t>0577-</w:t>
      </w:r>
      <w:r>
        <w:rPr>
          <w:rFonts w:hint="eastAsia" w:ascii="新宋体" w:hAnsi="新宋体" w:eastAsia="新宋体"/>
          <w:color w:val="auto"/>
          <w:sz w:val="22"/>
          <w:highlight w:val="none"/>
          <w:lang w:eastAsia="zh-CN"/>
        </w:rPr>
        <w:t>88300033</w:t>
      </w:r>
      <w:r>
        <w:rPr>
          <w:rFonts w:hint="eastAsia"/>
          <w:color w:val="auto"/>
          <w:sz w:val="22"/>
          <w:szCs w:val="22"/>
          <w:highlight w:val="none"/>
        </w:rPr>
        <w:t>　　　　　　　</w:t>
      </w:r>
    </w:p>
    <w:p w14:paraId="2E7A1CB4">
      <w:pPr>
        <w:pStyle w:val="14"/>
        <w:spacing w:before="0" w:beforeAutospacing="0" w:after="0" w:afterAutospacing="0" w:line="460" w:lineRule="exact"/>
        <w:rPr>
          <w:color w:val="auto"/>
          <w:sz w:val="22"/>
          <w:szCs w:val="22"/>
          <w:highlight w:val="none"/>
        </w:rPr>
      </w:pPr>
      <w:r>
        <w:rPr>
          <w:rFonts w:hint="eastAsia"/>
          <w:color w:val="auto"/>
          <w:sz w:val="22"/>
          <w:szCs w:val="22"/>
          <w:highlight w:val="none"/>
        </w:rPr>
        <w:t>  2.采购代理机构信息</w:t>
      </w:r>
    </w:p>
    <w:p w14:paraId="736126BC">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称：温州历程招标有限公司 </w:t>
      </w:r>
    </w:p>
    <w:p w14:paraId="2BFD48FF">
      <w:pPr>
        <w:pStyle w:val="14"/>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地  址：</w:t>
      </w:r>
      <w:r>
        <w:rPr>
          <w:rFonts w:hint="eastAsia"/>
          <w:color w:val="auto"/>
          <w:sz w:val="22"/>
          <w:szCs w:val="22"/>
          <w:highlight w:val="none"/>
          <w:lang w:eastAsia="zh-CN"/>
        </w:rPr>
        <w:t>温州市鹿城区南汇街道勤民路鹿城壹号18幢803室</w:t>
      </w:r>
    </w:p>
    <w:p w14:paraId="00EAA8D3">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传  真：0577-89887255   </w:t>
      </w:r>
    </w:p>
    <w:p w14:paraId="0BBD4219">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 温碧霞、郑永强 </w:t>
      </w:r>
    </w:p>
    <w:p w14:paraId="13ED667A">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项目联系方式（询问）：0577-89887322、13757727199</w:t>
      </w:r>
    </w:p>
    <w:p w14:paraId="5A2F96CF">
      <w:pPr>
        <w:pStyle w:val="14"/>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质疑联系人：肖忠文</w:t>
      </w:r>
    </w:p>
    <w:p w14:paraId="1D4C8659">
      <w:pPr>
        <w:pStyle w:val="14"/>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质疑联系方式：13757727199 </w:t>
      </w:r>
    </w:p>
    <w:p w14:paraId="7EF3B258">
      <w:pPr>
        <w:pStyle w:val="14"/>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3.同级政府采购监督管理部门</w:t>
      </w:r>
    </w:p>
    <w:p w14:paraId="47D1AF4D">
      <w:pPr>
        <w:pStyle w:val="14"/>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名    称：温州市财政局政府采购监管处 </w:t>
      </w:r>
    </w:p>
    <w:p w14:paraId="42359ABB">
      <w:pPr>
        <w:pStyle w:val="14"/>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地    址：温州市鹿城区绣山路299号 </w:t>
      </w:r>
    </w:p>
    <w:p w14:paraId="50FBAB82">
      <w:pPr>
        <w:pStyle w:val="14"/>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传    真：/ </w:t>
      </w:r>
    </w:p>
    <w:p w14:paraId="09D0AA08">
      <w:pPr>
        <w:pStyle w:val="14"/>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联系人 ：项先生、蔡女士 </w:t>
      </w:r>
    </w:p>
    <w:p w14:paraId="11CBE787">
      <w:pPr>
        <w:pStyle w:val="14"/>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监督投诉电话：0577-88532725、88521948</w:t>
      </w:r>
    </w:p>
    <w:p w14:paraId="394C85F5">
      <w:pPr>
        <w:pStyle w:val="14"/>
        <w:spacing w:before="0" w:beforeAutospacing="0" w:after="0" w:afterAutospacing="0" w:line="460" w:lineRule="exact"/>
        <w:rPr>
          <w:color w:val="auto"/>
          <w:sz w:val="22"/>
          <w:szCs w:val="22"/>
          <w:highlight w:val="none"/>
        </w:rPr>
      </w:pPr>
      <w:r>
        <w:rPr>
          <w:rFonts w:hint="eastAsia"/>
          <w:color w:val="auto"/>
          <w:sz w:val="22"/>
          <w:szCs w:val="22"/>
          <w:highlight w:val="none"/>
        </w:rPr>
        <w:t>　</w:t>
      </w:r>
    </w:p>
    <w:p w14:paraId="42B183D3">
      <w:pPr>
        <w:rPr>
          <w:rFonts w:ascii="宋体" w:hAnsi="宋体" w:cs="宋体"/>
          <w:color w:val="auto"/>
          <w:highlight w:val="none"/>
        </w:rPr>
      </w:pPr>
      <w:bookmarkStart w:id="2" w:name="_Toc10401"/>
      <w:bookmarkStart w:id="3" w:name="_Toc5772"/>
      <w:r>
        <w:rPr>
          <w:rFonts w:hint="eastAsia" w:ascii="宋体" w:hAnsi="宋体" w:cs="宋体"/>
          <w:color w:val="auto"/>
          <w:highlight w:val="none"/>
        </w:rPr>
        <w:br w:type="page"/>
      </w:r>
    </w:p>
    <w:p w14:paraId="5B35E8D2">
      <w:pPr>
        <w:pStyle w:val="2"/>
        <w:rPr>
          <w:rFonts w:ascii="宋体" w:hAnsi="宋体" w:eastAsia="宋体" w:cs="宋体"/>
          <w:color w:val="auto"/>
          <w:highlight w:val="none"/>
        </w:rPr>
      </w:pPr>
      <w:r>
        <w:rPr>
          <w:rFonts w:hint="eastAsia" w:ascii="宋体" w:hAnsi="宋体" w:eastAsia="宋体" w:cs="宋体"/>
          <w:color w:val="auto"/>
          <w:highlight w:val="none"/>
        </w:rPr>
        <w:t>第一部分    投标人须知</w:t>
      </w:r>
      <w:bookmarkEnd w:id="2"/>
      <w:bookmarkEnd w:id="3"/>
    </w:p>
    <w:p w14:paraId="644C8353">
      <w:pPr>
        <w:keepNext/>
        <w:keepLines/>
        <w:shd w:val="clear" w:color="auto" w:fill="FFFFFF"/>
        <w:tabs>
          <w:tab w:val="left" w:pos="706"/>
        </w:tabs>
        <w:snapToGrid w:val="0"/>
        <w:spacing w:line="360" w:lineRule="auto"/>
        <w:jc w:val="center"/>
        <w:outlineLvl w:val="1"/>
        <w:rPr>
          <w:rFonts w:ascii="宋体" w:hAnsi="宋体" w:cs="宋体"/>
          <w:b/>
          <w:bCs/>
          <w:color w:val="auto"/>
          <w:sz w:val="24"/>
          <w:highlight w:val="none"/>
        </w:rPr>
      </w:pPr>
      <w:bookmarkStart w:id="4" w:name="_Toc6224"/>
      <w:bookmarkStart w:id="5" w:name="_Toc33194387"/>
      <w:bookmarkStart w:id="6" w:name="_Toc1839"/>
      <w:bookmarkStart w:id="7" w:name="_Toc233618971"/>
      <w:bookmarkStart w:id="8" w:name="_Toc354996695"/>
      <w:r>
        <w:rPr>
          <w:rFonts w:hint="eastAsia" w:ascii="宋体" w:hAnsi="宋体" w:cs="宋体"/>
          <w:b/>
          <w:bCs/>
          <w:color w:val="auto"/>
          <w:sz w:val="24"/>
          <w:highlight w:val="none"/>
        </w:rPr>
        <w:t>前 附 表</w:t>
      </w:r>
      <w:bookmarkEnd w:id="4"/>
      <w:bookmarkEnd w:id="5"/>
      <w:bookmarkEnd w:id="6"/>
      <w:bookmarkEnd w:id="7"/>
      <w:bookmarkEnd w:id="8"/>
    </w:p>
    <w:tbl>
      <w:tblPr>
        <w:tblStyle w:val="16"/>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4F149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27439D8D">
            <w:pPr>
              <w:snapToGrid w:val="0"/>
              <w:spacing w:line="46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314BC66F">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内容规定</w:t>
            </w:r>
          </w:p>
        </w:tc>
      </w:tr>
      <w:tr w14:paraId="17A6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D2949A8">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5E16FFD4">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rPr>
              <w:t>一、项目名称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2024年至2025年扣押车辆保管服务（瓯海区因交通违法、事故被扣押车辆停放保管服务）（重）</w:t>
            </w:r>
          </w:p>
          <w:p w14:paraId="6E51F8CF">
            <w:pPr>
              <w:spacing w:line="460" w:lineRule="exact"/>
              <w:rPr>
                <w:rFonts w:ascii="宋体" w:hAnsi="宋体" w:cs="宋体"/>
                <w:b/>
                <w:bCs/>
                <w:color w:val="auto"/>
                <w:sz w:val="22"/>
                <w:szCs w:val="22"/>
                <w:highlight w:val="none"/>
              </w:rPr>
            </w:pPr>
            <w:bookmarkStart w:id="9" w:name="_Hlt75139851"/>
            <w:bookmarkEnd w:id="9"/>
            <w:r>
              <w:rPr>
                <w:rFonts w:hint="eastAsia" w:ascii="宋体" w:hAnsi="宋体" w:cs="宋体"/>
                <w:b/>
                <w:bCs/>
                <w:color w:val="auto"/>
                <w:sz w:val="22"/>
                <w:szCs w:val="22"/>
                <w:highlight w:val="none"/>
              </w:rPr>
              <w:t>二、采购内容：</w:t>
            </w:r>
          </w:p>
          <w:tbl>
            <w:tblPr>
              <w:tblStyle w:val="16"/>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1"/>
              <w:gridCol w:w="5190"/>
              <w:gridCol w:w="810"/>
              <w:gridCol w:w="1305"/>
              <w:gridCol w:w="1393"/>
            </w:tblGrid>
            <w:tr w14:paraId="1F5F7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08DBF6CE">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标项</w:t>
                  </w:r>
                </w:p>
              </w:tc>
              <w:tc>
                <w:tcPr>
                  <w:tcW w:w="5190" w:type="dxa"/>
                  <w:tcBorders>
                    <w:top w:val="single" w:color="auto" w:sz="4" w:space="0"/>
                    <w:left w:val="single" w:color="auto" w:sz="4" w:space="0"/>
                    <w:bottom w:val="single" w:color="auto" w:sz="4" w:space="0"/>
                    <w:right w:val="single" w:color="auto" w:sz="4" w:space="0"/>
                  </w:tcBorders>
                  <w:vAlign w:val="center"/>
                </w:tcPr>
                <w:p w14:paraId="49C6B587">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标项名称</w:t>
                  </w:r>
                </w:p>
              </w:tc>
              <w:tc>
                <w:tcPr>
                  <w:tcW w:w="810" w:type="dxa"/>
                  <w:tcBorders>
                    <w:top w:val="single" w:color="auto" w:sz="4" w:space="0"/>
                    <w:left w:val="single" w:color="auto" w:sz="4" w:space="0"/>
                    <w:bottom w:val="single" w:color="auto" w:sz="4" w:space="0"/>
                    <w:right w:val="single" w:color="auto" w:sz="4" w:space="0"/>
                  </w:tcBorders>
                  <w:vAlign w:val="center"/>
                </w:tcPr>
                <w:p w14:paraId="65FA981D">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单位</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E135CB9">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highlight w:val="none"/>
                    </w:rPr>
                    <w:t>预算金额</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0A389C56">
                  <w:pPr>
                    <w:tabs>
                      <w:tab w:val="left" w:pos="360"/>
                    </w:tabs>
                    <w:spacing w:line="460" w:lineRule="exact"/>
                    <w:jc w:val="center"/>
                    <w:rPr>
                      <w:rFonts w:ascii="宋体" w:hAnsi="宋体" w:cs="宋体"/>
                      <w:color w:val="auto"/>
                      <w:sz w:val="22"/>
                      <w:highlight w:val="none"/>
                    </w:rPr>
                  </w:pPr>
                  <w:r>
                    <w:rPr>
                      <w:rFonts w:hint="eastAsia" w:ascii="宋体" w:hAnsi="宋体" w:cs="宋体"/>
                      <w:color w:val="auto"/>
                      <w:sz w:val="22"/>
                      <w:highlight w:val="none"/>
                    </w:rPr>
                    <w:t>月最高限价</w:t>
                  </w:r>
                </w:p>
              </w:tc>
            </w:tr>
            <w:tr w14:paraId="6816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2D1EC311">
                  <w:pPr>
                    <w:tabs>
                      <w:tab w:val="left" w:pos="360"/>
                    </w:tabs>
                    <w:spacing w:line="460" w:lineRule="exact"/>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1</w:t>
                  </w:r>
                </w:p>
              </w:tc>
              <w:tc>
                <w:tcPr>
                  <w:tcW w:w="5190" w:type="dxa"/>
                  <w:tcBorders>
                    <w:top w:val="single" w:color="auto" w:sz="4" w:space="0"/>
                    <w:left w:val="single" w:color="auto" w:sz="4" w:space="0"/>
                    <w:bottom w:val="single" w:color="auto" w:sz="4" w:space="0"/>
                    <w:right w:val="single" w:color="auto" w:sz="4" w:space="0"/>
                  </w:tcBorders>
                  <w:vAlign w:val="center"/>
                </w:tcPr>
                <w:p w14:paraId="1451B509">
                  <w:pPr>
                    <w:pStyle w:val="14"/>
                    <w:spacing w:before="0" w:beforeAutospacing="0" w:after="0" w:afterAutospacing="0" w:line="460" w:lineRule="exact"/>
                    <w:jc w:val="center"/>
                    <w:rPr>
                      <w:rFonts w:hint="eastAsia" w:eastAsia="宋体"/>
                      <w:color w:val="auto"/>
                      <w:sz w:val="22"/>
                      <w:highlight w:val="none"/>
                      <w:lang w:eastAsia="zh-CN"/>
                    </w:rPr>
                  </w:pPr>
                  <w:r>
                    <w:rPr>
                      <w:rFonts w:hint="eastAsia"/>
                      <w:color w:val="auto"/>
                      <w:sz w:val="22"/>
                      <w:szCs w:val="22"/>
                      <w:highlight w:val="none"/>
                      <w:lang w:eastAsia="zh-CN"/>
                    </w:rPr>
                    <w:t>2024年至2025年扣押车辆保管服务（瓯海区因交通违法、事故被扣押车辆停放保管服务）（</w:t>
                  </w:r>
                  <w:r>
                    <w:rPr>
                      <w:rFonts w:hint="eastAsia"/>
                      <w:color w:val="auto"/>
                      <w:sz w:val="22"/>
                      <w:szCs w:val="22"/>
                      <w:highlight w:val="none"/>
                      <w:lang w:val="en-US" w:eastAsia="zh-CN"/>
                    </w:rPr>
                    <w:t>重</w:t>
                  </w:r>
                  <w:r>
                    <w:rPr>
                      <w:rFonts w:hint="eastAsia"/>
                      <w:color w:val="auto"/>
                      <w:sz w:val="22"/>
                      <w:szCs w:val="22"/>
                      <w:highlight w:val="none"/>
                      <w:lang w:eastAsia="zh-CN"/>
                    </w:rPr>
                    <w:t>）</w:t>
                  </w:r>
                </w:p>
              </w:tc>
              <w:tc>
                <w:tcPr>
                  <w:tcW w:w="810" w:type="dxa"/>
                  <w:tcBorders>
                    <w:top w:val="single" w:color="auto" w:sz="4" w:space="0"/>
                    <w:left w:val="single" w:color="auto" w:sz="4" w:space="0"/>
                    <w:bottom w:val="single" w:color="auto" w:sz="4" w:space="0"/>
                    <w:right w:val="single" w:color="auto" w:sz="4" w:space="0"/>
                  </w:tcBorders>
                  <w:vAlign w:val="center"/>
                </w:tcPr>
                <w:p w14:paraId="2620F538">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rPr>
                    <w:t>年</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A95467B">
                  <w:pPr>
                    <w:spacing w:line="320" w:lineRule="exact"/>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eastAsiaTheme="minorEastAsia"/>
                      <w:color w:val="auto"/>
                      <w:kern w:val="0"/>
                      <w:sz w:val="22"/>
                      <w:szCs w:val="22"/>
                      <w:highlight w:val="none"/>
                      <w:lang w:val="en-US" w:eastAsia="zh-CN" w:bidi="ar-SA"/>
                    </w:rPr>
                    <w:t>1160000元</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137D7118">
                  <w:pPr>
                    <w:spacing w:line="320" w:lineRule="exact"/>
                    <w:jc w:val="center"/>
                    <w:rPr>
                      <w:rFonts w:hint="eastAsia" w:ascii="宋体" w:hAnsi="宋体" w:cs="宋体" w:eastAsiaTheme="minorEastAsia"/>
                      <w:color w:val="auto"/>
                      <w:kern w:val="0"/>
                      <w:sz w:val="22"/>
                      <w:szCs w:val="22"/>
                      <w:highlight w:val="none"/>
                      <w:lang w:val="en-US" w:eastAsia="zh-CN" w:bidi="ar-SA"/>
                    </w:rPr>
                  </w:pPr>
                  <w:r>
                    <w:rPr>
                      <w:rFonts w:hint="eastAsia" w:ascii="宋体" w:hAnsi="宋体" w:cs="宋体" w:eastAsiaTheme="minorEastAsia"/>
                      <w:color w:val="auto"/>
                      <w:kern w:val="0"/>
                      <w:sz w:val="22"/>
                      <w:szCs w:val="22"/>
                      <w:highlight w:val="none"/>
                      <w:lang w:val="en-US" w:eastAsia="zh-CN" w:bidi="ar-SA"/>
                    </w:rPr>
                    <w:t>96666元</w:t>
                  </w:r>
                </w:p>
              </w:tc>
            </w:tr>
          </w:tbl>
          <w:p w14:paraId="1EDF1FD2">
            <w:pPr>
              <w:snapToGrid w:val="0"/>
              <w:spacing w:line="460" w:lineRule="exact"/>
              <w:rPr>
                <w:rFonts w:ascii="宋体" w:hAnsi="宋体" w:cs="宋体"/>
                <w:color w:val="auto"/>
                <w:highlight w:val="none"/>
              </w:rPr>
            </w:pPr>
            <w:r>
              <w:rPr>
                <w:rFonts w:hint="eastAsia" w:ascii="新宋体" w:hAnsi="新宋体" w:eastAsia="新宋体"/>
                <w:b/>
                <w:bCs/>
                <w:color w:val="auto"/>
                <w:sz w:val="22"/>
                <w:highlight w:val="none"/>
              </w:rPr>
              <w:t>如投标人报价超过预算或月最高限价按无效标处理。</w:t>
            </w:r>
          </w:p>
        </w:tc>
      </w:tr>
      <w:tr w14:paraId="2F02F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34A6E31">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2CE1DB74">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lang w:val="zh-CN"/>
              </w:rPr>
              <w:t>投标</w:t>
            </w:r>
            <w:r>
              <w:rPr>
                <w:rFonts w:hint="eastAsia" w:ascii="宋体" w:hAnsi="宋体" w:cs="宋体"/>
                <w:b/>
                <w:bCs/>
                <w:color w:val="auto"/>
                <w:sz w:val="22"/>
                <w:szCs w:val="22"/>
                <w:highlight w:val="none"/>
              </w:rPr>
              <w:t>有效期：</w:t>
            </w:r>
            <w:r>
              <w:rPr>
                <w:rFonts w:hint="eastAsia" w:ascii="宋体" w:hAnsi="宋体" w:cs="宋体"/>
                <w:color w:val="auto"/>
                <w:sz w:val="22"/>
                <w:szCs w:val="22"/>
                <w:highlight w:val="none"/>
              </w:rPr>
              <w:t>自投标截止日起120天。</w:t>
            </w:r>
          </w:p>
        </w:tc>
      </w:tr>
      <w:tr w14:paraId="02B0D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F31C40A">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492BEAE5">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投标保证金数额：无</w:t>
            </w:r>
            <w:r>
              <w:rPr>
                <w:rFonts w:hint="eastAsia" w:ascii="宋体" w:hAnsi="宋体" w:cs="宋体"/>
                <w:color w:val="auto"/>
                <w:sz w:val="22"/>
                <w:szCs w:val="22"/>
                <w:highlight w:val="none"/>
              </w:rPr>
              <w:t>。</w:t>
            </w:r>
          </w:p>
        </w:tc>
      </w:tr>
      <w:tr w14:paraId="3B67B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8DE2F31">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42FB3D2D">
            <w:pPr>
              <w:snapToGrid w:val="0"/>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招标服务费：</w:t>
            </w:r>
            <w:r>
              <w:rPr>
                <w:rFonts w:hint="eastAsia" w:ascii="宋体" w:hAnsi="宋体" w:eastAsia="宋体" w:cs="宋体"/>
                <w:b/>
                <w:bCs/>
                <w:color w:val="auto"/>
                <w:sz w:val="22"/>
                <w:szCs w:val="22"/>
                <w:highlight w:val="none"/>
              </w:rPr>
              <w:t>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标准按预算金额</w:t>
            </w:r>
            <w:r>
              <w:rPr>
                <w:rFonts w:hint="eastAsia" w:ascii="宋体" w:hAnsi="宋体" w:eastAsia="宋体" w:cs="宋体"/>
                <w:b/>
                <w:bCs/>
                <w:color w:val="auto"/>
                <w:sz w:val="22"/>
                <w:szCs w:val="22"/>
                <w:highlight w:val="none"/>
              </w:rPr>
              <w:t>的差额定率累计法</w:t>
            </w:r>
            <w:r>
              <w:rPr>
                <w:rFonts w:hint="eastAsia" w:ascii="宋体" w:hAnsi="宋体" w:eastAsia="宋体" w:cs="宋体"/>
                <w:b/>
                <w:bCs/>
                <w:color w:val="auto"/>
                <w:sz w:val="22"/>
                <w:szCs w:val="22"/>
                <w:highlight w:val="none"/>
                <w:lang w:val="en-US" w:eastAsia="zh-CN"/>
              </w:rPr>
              <w:t>计算后下浮35%后再下浮20%</w:t>
            </w:r>
            <w:r>
              <w:rPr>
                <w:rFonts w:hint="eastAsia" w:ascii="宋体" w:hAnsi="宋体" w:cs="宋体"/>
                <w:b/>
                <w:bCs/>
                <w:color w:val="auto"/>
                <w:sz w:val="22"/>
                <w:szCs w:val="22"/>
                <w:highlight w:val="none"/>
              </w:rPr>
              <w:t>,由中标人在领取中标通知书时支付。</w:t>
            </w:r>
          </w:p>
          <w:p w14:paraId="4CEBF76E">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户   名：温州历程招标有限公司</w:t>
            </w:r>
          </w:p>
          <w:p w14:paraId="25B2BE7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账   号：33050162870409101001</w:t>
            </w:r>
          </w:p>
          <w:p w14:paraId="05B7ED2D">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开户银行：中国建设银行股份有限公司温州新城支行</w:t>
            </w:r>
          </w:p>
          <w:p w14:paraId="63B9515A">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行   号：105333000038</w:t>
            </w:r>
          </w:p>
        </w:tc>
      </w:tr>
      <w:tr w14:paraId="5659E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B5B35AE">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2E300316">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投标文件的组成：</w:t>
            </w:r>
            <w:r>
              <w:rPr>
                <w:rFonts w:hint="eastAsia" w:ascii="宋体" w:hAnsi="宋体" w:cs="宋体"/>
                <w:color w:val="auto"/>
                <w:sz w:val="22"/>
                <w:szCs w:val="22"/>
                <w:highlight w:val="none"/>
              </w:rPr>
              <w:t>完整的《投标文件》由“资格文件”、“报价文件”和“商务技术文件”三个部分组成。</w:t>
            </w:r>
          </w:p>
        </w:tc>
      </w:tr>
      <w:tr w14:paraId="7B21F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B533733">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365AEF6">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投标文件的编制：</w:t>
            </w:r>
            <w:r>
              <w:rPr>
                <w:rFonts w:hint="eastAsia" w:ascii="宋体" w:hAnsi="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33FAE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E8EBCE2">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4D3E26F4">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投标文件的签章：</w:t>
            </w:r>
            <w:r>
              <w:rPr>
                <w:rFonts w:hint="eastAsia" w:ascii="宋体" w:hAnsi="宋体" w:cs="宋体"/>
                <w:color w:val="auto"/>
                <w:sz w:val="22"/>
                <w:szCs w:val="22"/>
                <w:highlight w:val="none"/>
              </w:rPr>
              <w:t>电子签章。</w:t>
            </w:r>
          </w:p>
        </w:tc>
      </w:tr>
      <w:tr w14:paraId="11054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86080F0">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11525669">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投标文件的形式：</w:t>
            </w:r>
            <w:r>
              <w:rPr>
                <w:rFonts w:hint="eastAsia" w:ascii="宋体" w:hAnsi="宋体" w:cs="宋体"/>
                <w:color w:val="auto"/>
                <w:sz w:val="22"/>
                <w:szCs w:val="22"/>
                <w:highlight w:val="none"/>
              </w:rPr>
              <w:t>☑电子投标文件（包括“电子加密投标文件”和“备份投标文件”，在投标文件编制完成后同时生成）；</w:t>
            </w:r>
          </w:p>
          <w:p w14:paraId="186061D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0C8589D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5F49B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965B80A">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6F48FAC">
            <w:pPr>
              <w:spacing w:line="460" w:lineRule="exact"/>
              <w:rPr>
                <w:color w:val="auto"/>
                <w:sz w:val="22"/>
                <w:szCs w:val="28"/>
                <w:highlight w:val="none"/>
              </w:rPr>
            </w:pPr>
            <w:r>
              <w:rPr>
                <w:rFonts w:hint="eastAsia"/>
                <w:color w:val="auto"/>
                <w:sz w:val="22"/>
                <w:szCs w:val="28"/>
                <w:highlight w:val="none"/>
              </w:rPr>
              <w:t>投标文件份数：</w:t>
            </w:r>
          </w:p>
          <w:p w14:paraId="24A6A547">
            <w:pPr>
              <w:numPr>
                <w:ilvl w:val="0"/>
                <w:numId w:val="1"/>
              </w:numPr>
              <w:spacing w:line="460" w:lineRule="exact"/>
              <w:rPr>
                <w:color w:val="auto"/>
                <w:sz w:val="22"/>
                <w:szCs w:val="28"/>
                <w:highlight w:val="none"/>
              </w:rPr>
            </w:pPr>
            <w:r>
              <w:rPr>
                <w:rFonts w:hint="eastAsia"/>
                <w:color w:val="auto"/>
                <w:sz w:val="22"/>
                <w:szCs w:val="28"/>
                <w:highlight w:val="none"/>
              </w:rPr>
              <w:t>“电子加密投标文件”：在线上传递交、一份。</w:t>
            </w:r>
          </w:p>
          <w:p w14:paraId="12C0294D">
            <w:pPr>
              <w:numPr>
                <w:ilvl w:val="0"/>
                <w:numId w:val="1"/>
              </w:numPr>
              <w:spacing w:line="460" w:lineRule="exact"/>
              <w:rPr>
                <w:color w:val="auto"/>
                <w:sz w:val="22"/>
                <w:szCs w:val="28"/>
                <w:highlight w:val="none"/>
              </w:rPr>
            </w:pPr>
            <w:r>
              <w:rPr>
                <w:rFonts w:hint="eastAsia"/>
                <w:color w:val="auto"/>
                <w:sz w:val="22"/>
                <w:szCs w:val="28"/>
                <w:highlight w:val="none"/>
              </w:rPr>
              <w:t>“备份投标文件”：密封包装后投标截止时间前递交、一份</w:t>
            </w:r>
          </w:p>
          <w:p w14:paraId="470A7C04">
            <w:pPr>
              <w:spacing w:line="460" w:lineRule="exact"/>
              <w:rPr>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6B675963">
            <w:pPr>
              <w:tabs>
                <w:tab w:val="left" w:pos="360"/>
              </w:tabs>
              <w:spacing w:line="460" w:lineRule="exact"/>
              <w:rPr>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48344C6D">
            <w:pPr>
              <w:spacing w:line="460" w:lineRule="exact"/>
              <w:rPr>
                <w:rFonts w:hint="eastAsia" w:ascii="宋体" w:hAnsi="宋体" w:eastAsia="宋体" w:cs="宋体"/>
                <w:color w:val="auto"/>
                <w:sz w:val="22"/>
                <w:szCs w:val="28"/>
                <w:highlight w:val="none"/>
                <w:lang w:eastAsia="zh-CN"/>
              </w:rPr>
            </w:pPr>
            <w:r>
              <w:rPr>
                <w:rFonts w:hint="eastAsia"/>
                <w:color w:val="auto"/>
                <w:sz w:val="22"/>
                <w:szCs w:val="28"/>
                <w:highlight w:val="none"/>
              </w:rPr>
              <w:t>邮寄地址：</w:t>
            </w:r>
            <w:r>
              <w:rPr>
                <w:rFonts w:hint="eastAsia" w:ascii="宋体" w:hAnsi="宋体" w:eastAsia="宋体" w:cs="宋体"/>
                <w:color w:val="auto"/>
                <w:sz w:val="22"/>
                <w:szCs w:val="28"/>
                <w:highlight w:val="none"/>
                <w:lang w:eastAsia="zh-CN"/>
              </w:rPr>
              <w:t>温州市鹿城区南汇街道勤民路鹿城壹号18幢803室</w:t>
            </w:r>
          </w:p>
          <w:p w14:paraId="214844B6">
            <w:pPr>
              <w:spacing w:line="460" w:lineRule="exact"/>
              <w:rPr>
                <w:color w:val="auto"/>
                <w:highlight w:val="none"/>
              </w:rPr>
            </w:pPr>
            <w:r>
              <w:rPr>
                <w:rFonts w:hint="eastAsia"/>
                <w:color w:val="auto"/>
                <w:sz w:val="22"/>
                <w:szCs w:val="28"/>
                <w:highlight w:val="none"/>
              </w:rPr>
              <w:t>联系人：</w:t>
            </w:r>
            <w:r>
              <w:rPr>
                <w:rFonts w:hint="eastAsia"/>
                <w:color w:val="auto"/>
                <w:sz w:val="22"/>
                <w:szCs w:val="28"/>
                <w:highlight w:val="none"/>
                <w:lang w:val="en-US" w:eastAsia="zh-CN"/>
              </w:rPr>
              <w:t>王先生</w:t>
            </w:r>
            <w:r>
              <w:rPr>
                <w:rFonts w:hint="eastAsia"/>
                <w:color w:val="auto"/>
                <w:sz w:val="22"/>
                <w:szCs w:val="28"/>
                <w:highlight w:val="none"/>
              </w:rPr>
              <w:t xml:space="preserve">    联系电话：</w:t>
            </w:r>
            <w:r>
              <w:rPr>
                <w:rFonts w:hint="eastAsia" w:ascii="宋体" w:hAnsi="宋体" w:eastAsia="宋体" w:cs="宋体"/>
                <w:color w:val="auto"/>
                <w:sz w:val="22"/>
                <w:szCs w:val="28"/>
                <w:highlight w:val="none"/>
                <w:lang w:eastAsia="zh-CN"/>
              </w:rPr>
              <w:t>13757727199</w:t>
            </w:r>
          </w:p>
        </w:tc>
      </w:tr>
      <w:tr w14:paraId="7A788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445A668">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34E4F74D">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投标文件的上传和递交：</w:t>
            </w:r>
          </w:p>
          <w:p w14:paraId="453375A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667BCEC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a.投标人应在投标截止时间前将“电子加密投标文件”成功上传递交至“政府采购云平台”，否则投标无效。</w:t>
            </w:r>
          </w:p>
          <w:p w14:paraId="3BC9690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65435F5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73D8A7A4">
            <w:pPr>
              <w:tabs>
                <w:tab w:val="left" w:pos="360"/>
              </w:tabs>
              <w:spacing w:line="460" w:lineRule="exact"/>
              <w:ind w:firstLine="550" w:firstLineChars="250"/>
              <w:rPr>
                <w:rFonts w:ascii="宋体" w:hAnsi="宋体" w:cs="宋体"/>
                <w:b/>
                <w:bCs/>
                <w:color w:val="auto"/>
                <w:sz w:val="22"/>
                <w:szCs w:val="22"/>
                <w:highlight w:val="none"/>
              </w:rPr>
            </w:pPr>
            <w:r>
              <w:rPr>
                <w:rFonts w:hint="eastAsia" w:ascii="宋体" w:hAnsi="宋体" w:cs="宋体"/>
                <w:color w:val="auto"/>
                <w:sz w:val="22"/>
                <w:szCs w:val="22"/>
                <w:highlight w:val="none"/>
              </w:rPr>
              <w:t>a.投标人在“政府采购云平台”完成“电子加密投标文件”的上传递交后，</w:t>
            </w:r>
            <w:r>
              <w:rPr>
                <w:rFonts w:hint="eastAsia" w:ascii="宋体" w:hAnsi="宋体" w:cs="宋体"/>
                <w:b/>
                <w:bCs/>
                <w:color w:val="auto"/>
                <w:sz w:val="22"/>
                <w:szCs w:val="22"/>
                <w:highlight w:val="none"/>
              </w:rPr>
              <w:t>还可以在投标截止时间前递交以介质（U盘）存储的数据电文形式的“备份投标文件”，（可以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14:paraId="1182A8C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388FD8C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4E472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5C9CC7E">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0118D279">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7C0665D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66DE1E3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97051B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（3）投标截止时间前，投标人仅递交了“备份投标文件”而未将电子加密投标文件上传至“政府采购云平台”的，投标无效。</w:t>
            </w:r>
          </w:p>
        </w:tc>
      </w:tr>
      <w:tr w14:paraId="20978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761BCF4">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119FCF14">
            <w:pPr>
              <w:widowControl/>
              <w:snapToGrid w:val="0"/>
              <w:spacing w:line="460" w:lineRule="exact"/>
              <w:jc w:val="left"/>
              <w:rPr>
                <w:color w:val="auto"/>
                <w:highlight w:val="none"/>
              </w:rPr>
            </w:pPr>
            <w:r>
              <w:rPr>
                <w:rFonts w:hint="eastAsia" w:ascii="宋体" w:hAnsi="宋体" w:cs="宋体"/>
                <w:color w:val="auto"/>
                <w:sz w:val="22"/>
                <w:szCs w:val="22"/>
                <w:highlight w:val="none"/>
              </w:rPr>
              <w:t>提交投标文件截止时间、投标地点：详见招标公告。</w:t>
            </w:r>
          </w:p>
        </w:tc>
      </w:tr>
      <w:tr w14:paraId="50BF2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522297E2">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14:paraId="0B3DBD53">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开标时间、开标地点：详见招标公告。</w:t>
            </w:r>
          </w:p>
        </w:tc>
      </w:tr>
      <w:tr w14:paraId="7F6E4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20FBC9A6">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9590" w:type="dxa"/>
            <w:tcBorders>
              <w:top w:val="single" w:color="auto" w:sz="4" w:space="0"/>
              <w:left w:val="single" w:color="000000" w:sz="2" w:space="0"/>
              <w:bottom w:val="single" w:color="auto" w:sz="4" w:space="0"/>
              <w:right w:val="single" w:color="000000" w:sz="8" w:space="0"/>
            </w:tcBorders>
            <w:vAlign w:val="center"/>
          </w:tcPr>
          <w:p w14:paraId="7BCCDBA9">
            <w:pPr>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带“▲”条款系指实质性要求条款。“★”是关键技术参数及要求。</w:t>
            </w:r>
          </w:p>
        </w:tc>
      </w:tr>
      <w:tr w14:paraId="37579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167E8C2D">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w:t>
            </w:r>
          </w:p>
        </w:tc>
        <w:tc>
          <w:tcPr>
            <w:tcW w:w="9590" w:type="dxa"/>
            <w:tcBorders>
              <w:top w:val="single" w:color="auto" w:sz="4" w:space="0"/>
              <w:left w:val="single" w:color="000000" w:sz="2" w:space="0"/>
              <w:bottom w:val="single" w:color="auto" w:sz="4" w:space="0"/>
              <w:right w:val="single" w:color="000000" w:sz="8" w:space="0"/>
            </w:tcBorders>
            <w:vAlign w:val="center"/>
          </w:tcPr>
          <w:p w14:paraId="1B5B7349">
            <w:pPr>
              <w:widowControl/>
              <w:snapToGrid w:val="0"/>
              <w:spacing w:line="460" w:lineRule="exact"/>
              <w:jc w:val="left"/>
              <w:rPr>
                <w:rFonts w:ascii="宋体" w:hAnsi="宋体" w:cs="宋体"/>
                <w:b/>
                <w:bCs/>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7703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1AAAA19">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w:t>
            </w:r>
          </w:p>
        </w:tc>
        <w:tc>
          <w:tcPr>
            <w:tcW w:w="9590" w:type="dxa"/>
            <w:tcBorders>
              <w:top w:val="single" w:color="000000" w:sz="2" w:space="0"/>
              <w:left w:val="single" w:color="000000" w:sz="2" w:space="0"/>
              <w:bottom w:val="single" w:color="000000" w:sz="2" w:space="0"/>
              <w:right w:val="single" w:color="000000" w:sz="8" w:space="0"/>
            </w:tcBorders>
            <w:vAlign w:val="center"/>
          </w:tcPr>
          <w:p w14:paraId="178678F5">
            <w:pPr>
              <w:snapToGrid w:val="0"/>
              <w:spacing w:line="460" w:lineRule="exact"/>
              <w:rPr>
                <w:rFonts w:ascii="宋体" w:hAnsi="宋体" w:cs="宋体"/>
                <w:color w:val="auto"/>
                <w:sz w:val="22"/>
                <w:szCs w:val="22"/>
                <w:highlight w:val="none"/>
              </w:rPr>
            </w:pPr>
            <w:r>
              <w:rPr>
                <w:rFonts w:hint="eastAsia" w:ascii="宋体" w:hAnsi="宋体" w:cs="宋体"/>
                <w:b/>
                <w:color w:val="auto"/>
                <w:kern w:val="10"/>
                <w:sz w:val="22"/>
                <w:szCs w:val="22"/>
                <w:highlight w:val="none"/>
              </w:rPr>
              <w:t>潜在供应商需在浙江政府采购网http://http://zfcg.czt.zj.gov.cn/进行免费注册，具体详见浙江政府采购网供应商注册要求。</w:t>
            </w:r>
          </w:p>
        </w:tc>
      </w:tr>
      <w:tr w14:paraId="7CD50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18B6D36">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w:t>
            </w:r>
          </w:p>
        </w:tc>
        <w:tc>
          <w:tcPr>
            <w:tcW w:w="9590" w:type="dxa"/>
            <w:tcBorders>
              <w:top w:val="single" w:color="000000" w:sz="2" w:space="0"/>
              <w:left w:val="single" w:color="000000" w:sz="2" w:space="0"/>
              <w:bottom w:val="single" w:color="000000" w:sz="2" w:space="0"/>
              <w:right w:val="single" w:color="000000" w:sz="8" w:space="0"/>
            </w:tcBorders>
            <w:vAlign w:val="center"/>
          </w:tcPr>
          <w:p w14:paraId="49511E96">
            <w:pPr>
              <w:adjustRightInd w:val="0"/>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2892638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0788D82">
            <w:pPr>
              <w:widowControl/>
              <w:numPr>
                <w:ilvl w:val="0"/>
                <w:numId w:val="2"/>
              </w:numPr>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116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50BA0C74">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 xml:space="preserve"> ②服务类</w:t>
            </w:r>
            <w:r>
              <w:rPr>
                <w:rFonts w:hint="eastAsia" w:ascii="新宋体" w:hAnsi="新宋体" w:eastAsia="新宋体" w:cs="新宋体"/>
                <w:color w:val="auto"/>
                <w:sz w:val="22"/>
                <w:szCs w:val="28"/>
                <w:highlight w:val="none"/>
              </w:rPr>
              <w:t xml:space="preserve"> （①货物类/②服务类/③工程类）</w:t>
            </w:r>
          </w:p>
          <w:p w14:paraId="055FF735">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 xml:space="preserve"> 其他未列明行业 </w:t>
            </w:r>
            <w:r>
              <w:rPr>
                <w:rFonts w:hint="eastAsia" w:ascii="新宋体" w:hAnsi="新宋体" w:eastAsia="新宋体" w:cs="新宋体"/>
                <w:color w:val="auto"/>
                <w:sz w:val="22"/>
                <w:szCs w:val="28"/>
                <w:highlight w:val="none"/>
              </w:rPr>
              <w:t>（具体根据《中小企业划型标准规定》执行）</w:t>
            </w:r>
          </w:p>
          <w:p w14:paraId="5E35C2F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备注：现行中小企业划分标准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业服务业和其他未列明行业（包括科学研究和技术服务业，水利、环境和公共设施管理业，居民服务、修理和其他服务业，社会工作，文化、体育和娱乐业等）  </w:t>
            </w:r>
          </w:p>
          <w:p w14:paraId="5B2E3DBB">
            <w:pPr>
              <w:widowControl/>
              <w:shd w:val="clear"/>
              <w:snapToGrid w:val="0"/>
              <w:spacing w:line="460" w:lineRule="exact"/>
              <w:ind w:firstLine="440" w:firstLineChars="200"/>
              <w:rPr>
                <w:rFonts w:hint="eastAsia" w:ascii="新宋体" w:hAnsi="新宋体" w:eastAsia="新宋体" w:cs="新宋体"/>
                <w:color w:val="auto"/>
                <w:sz w:val="22"/>
                <w:szCs w:val="28"/>
                <w:highlight w:val="none"/>
                <w:lang w:eastAsia="zh-CN"/>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679992A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w:t>
            </w:r>
            <w:r>
              <w:rPr>
                <w:rFonts w:hint="eastAsia" w:ascii="新宋体" w:hAnsi="新宋体" w:eastAsia="新宋体" w:cs="新宋体"/>
                <w:color w:val="auto"/>
                <w:sz w:val="22"/>
                <w:szCs w:val="28"/>
                <w:highlight w:val="none"/>
                <w:lang w:val="en-US" w:eastAsia="zh-CN"/>
              </w:rPr>
              <w:t>/</w:t>
            </w:r>
            <w:r>
              <w:rPr>
                <w:rFonts w:hint="eastAsia" w:ascii="新宋体" w:hAnsi="新宋体" w:eastAsia="新宋体" w:cs="新宋体"/>
                <w:color w:val="auto"/>
                <w:sz w:val="22"/>
                <w:szCs w:val="28"/>
                <w:highlight w:val="none"/>
              </w:rPr>
              <w:t>）措施进行：</w:t>
            </w:r>
          </w:p>
          <w:p w14:paraId="53B033E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40BD91A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②要求供应商以联合体形式参加采购活动，且联合体中中小企业承担的部分达到 (比例)； </w:t>
            </w:r>
          </w:p>
          <w:p w14:paraId="1F672379">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③要求获得采购合同的供应商将采购项目中的 (比例)分包给一家或者多家中小企业。</w:t>
            </w:r>
          </w:p>
          <w:p w14:paraId="456D372E">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10%</w:t>
            </w:r>
            <w:r>
              <w:rPr>
                <w:rFonts w:hint="eastAsia" w:ascii="新宋体" w:hAnsi="新宋体" w:eastAsia="新宋体" w:cs="新宋体"/>
                <w:color w:val="auto"/>
                <w:sz w:val="22"/>
                <w:szCs w:val="28"/>
                <w:highlight w:val="none"/>
              </w:rPr>
              <w:t xml:space="preserve">（工程项目为3%）的扣除，用扣除后的价格参加评审。 </w:t>
            </w:r>
          </w:p>
          <w:p w14:paraId="1B09FD45">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4%</w:t>
            </w:r>
            <w:r>
              <w:rPr>
                <w:rFonts w:hint="eastAsia" w:ascii="新宋体" w:hAnsi="新宋体" w:eastAsia="新宋体" w:cs="新宋体"/>
                <w:color w:val="auto"/>
                <w:sz w:val="22"/>
                <w:szCs w:val="28"/>
                <w:highlight w:val="none"/>
              </w:rPr>
              <w:t>（工程项目为1%）的扣除，用扣除后的价格参加评审。</w:t>
            </w:r>
          </w:p>
          <w:p w14:paraId="03AFCF28">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29AEEB4D">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14:paraId="187C1B4B">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7E158F62">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14:paraId="5EA1A44A">
            <w:pPr>
              <w:widowControl/>
              <w:snapToGrid w:val="0"/>
              <w:spacing w:line="460" w:lineRule="exact"/>
              <w:ind w:firstLine="440" w:firstLineChars="200"/>
              <w:jc w:val="lef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C577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0379820">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color w:val="auto"/>
                <w:kern w:val="0"/>
                <w:sz w:val="22"/>
                <w:szCs w:val="22"/>
                <w:highlight w:val="none"/>
              </w:rPr>
              <w:t>18</w:t>
            </w:r>
          </w:p>
        </w:tc>
        <w:tc>
          <w:tcPr>
            <w:tcW w:w="9590" w:type="dxa"/>
            <w:tcBorders>
              <w:top w:val="single" w:color="000000" w:sz="2" w:space="0"/>
              <w:left w:val="single" w:color="000000" w:sz="2" w:space="0"/>
              <w:bottom w:val="single" w:color="000000" w:sz="2" w:space="0"/>
              <w:right w:val="single" w:color="000000" w:sz="8" w:space="0"/>
            </w:tcBorders>
            <w:vAlign w:val="center"/>
          </w:tcPr>
          <w:p w14:paraId="66BA7DC4">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sz w:val="22"/>
                <w:szCs w:val="22"/>
                <w:highlight w:val="none"/>
              </w:rPr>
              <w:t>根据《关于在政府采购活动中查询及使用信用记录有关问题的通知》财库[2016]125号的规定：</w:t>
            </w:r>
          </w:p>
          <w:p w14:paraId="54BCE220">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1）招标人或采购代理机构将对本项目供应商的信用记录进行查询。查询渠道为信用中国网站（www.creditchina.gov.cn）、中国政府采购网（www.ccgp.gov.cn）；</w:t>
            </w:r>
          </w:p>
          <w:p w14:paraId="7F17A7AD">
            <w:pPr>
              <w:snapToGrid w:val="0"/>
              <w:spacing w:line="460" w:lineRule="exact"/>
              <w:ind w:firstLine="110" w:firstLine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hint="eastAsia" w:ascii="宋体" w:hAnsi="宋体" w:cs="宋体"/>
                <w:color w:val="auto"/>
                <w:sz w:val="22"/>
                <w:szCs w:val="22"/>
                <w:highlight w:val="none"/>
              </w:rPr>
              <w:t>；</w:t>
            </w:r>
          </w:p>
          <w:p w14:paraId="027B9BE5">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3）查询记录和证据的留存：信用信息查询记录和证据以网页截图等方式留存。</w:t>
            </w:r>
          </w:p>
          <w:p w14:paraId="6421C5B6">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03611C9">
            <w:pPr>
              <w:snapToGrid w:val="0"/>
              <w:spacing w:line="460" w:lineRule="exac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5）联合体成员任意一方存在不良信用记录的，视同联合体存在不良信用记录。</w:t>
            </w:r>
          </w:p>
        </w:tc>
      </w:tr>
      <w:tr w14:paraId="6B8F8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350D75F1">
            <w:pPr>
              <w:snapToGrid w:val="0"/>
              <w:spacing w:line="460" w:lineRule="exact"/>
              <w:ind w:left="105" w:leftChars="50"/>
              <w:jc w:val="left"/>
              <w:rPr>
                <w:rFonts w:ascii="宋体" w:hAnsi="宋体" w:cs="宋体"/>
                <w:color w:val="auto"/>
                <w:sz w:val="22"/>
                <w:szCs w:val="22"/>
                <w:highlight w:val="none"/>
              </w:rPr>
            </w:pPr>
            <w:r>
              <w:rPr>
                <w:rFonts w:hint="eastAsia" w:ascii="宋体" w:hAnsi="宋体" w:cs="宋体"/>
                <w:color w:val="auto"/>
                <w:sz w:val="22"/>
                <w:szCs w:val="22"/>
                <w:highlight w:val="none"/>
              </w:rPr>
              <w:t>注：招标文件其他组成部分涉及与前附表相同内容，如有不明确或不一致，以前附表规定为准。</w:t>
            </w:r>
          </w:p>
        </w:tc>
      </w:tr>
    </w:tbl>
    <w:p w14:paraId="2A90386E">
      <w:pPr>
        <w:rPr>
          <w:rFonts w:ascii="宋体" w:hAnsi="宋体" w:cs="宋体"/>
          <w:b/>
          <w:bCs/>
          <w:color w:val="auto"/>
          <w:sz w:val="26"/>
          <w:szCs w:val="26"/>
          <w:highlight w:val="none"/>
        </w:rPr>
      </w:pPr>
      <w:bookmarkStart w:id="10" w:name="_Toc19070"/>
      <w:bookmarkStart w:id="11" w:name="_Toc20846"/>
      <w:r>
        <w:rPr>
          <w:rFonts w:hint="eastAsia" w:ascii="宋体" w:hAnsi="宋体" w:cs="宋体"/>
          <w:b/>
          <w:bCs/>
          <w:color w:val="auto"/>
          <w:sz w:val="26"/>
          <w:szCs w:val="26"/>
          <w:highlight w:val="none"/>
        </w:rPr>
        <w:br w:type="page"/>
      </w:r>
    </w:p>
    <w:p w14:paraId="172E56C0">
      <w:pPr>
        <w:spacing w:before="100" w:beforeAutospacing="1" w:after="100" w:afterAutospacing="1" w:line="460" w:lineRule="exact"/>
        <w:jc w:val="center"/>
        <w:outlineLvl w:val="1"/>
        <w:rPr>
          <w:rFonts w:ascii="宋体" w:hAnsi="宋体" w:cs="宋体"/>
          <w:b/>
          <w:bCs/>
          <w:color w:val="auto"/>
          <w:sz w:val="32"/>
          <w:szCs w:val="32"/>
          <w:highlight w:val="none"/>
        </w:rPr>
      </w:pPr>
      <w:r>
        <w:rPr>
          <w:rFonts w:hint="eastAsia" w:ascii="宋体" w:hAnsi="宋体" w:cs="宋体"/>
          <w:b/>
          <w:bCs/>
          <w:color w:val="auto"/>
          <w:sz w:val="26"/>
          <w:szCs w:val="26"/>
          <w:highlight w:val="none"/>
        </w:rPr>
        <w:t>一、 说   明</w:t>
      </w:r>
      <w:bookmarkEnd w:id="10"/>
      <w:bookmarkEnd w:id="11"/>
    </w:p>
    <w:p w14:paraId="746A1369">
      <w:pPr>
        <w:tabs>
          <w:tab w:val="left" w:pos="360"/>
        </w:tabs>
        <w:spacing w:line="460" w:lineRule="exact"/>
        <w:ind w:firstLine="550" w:firstLineChars="250"/>
        <w:rPr>
          <w:rFonts w:ascii="宋体" w:hAnsi="宋体" w:cs="宋体"/>
          <w:b/>
          <w:color w:val="auto"/>
          <w:sz w:val="22"/>
          <w:szCs w:val="22"/>
          <w:highlight w:val="none"/>
        </w:rPr>
      </w:pPr>
      <w:r>
        <w:rPr>
          <w:rFonts w:hint="eastAsia" w:ascii="宋体" w:hAnsi="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5D531837">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14:paraId="0C6ECB6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招标人：是指依法进行政府采购的国家机关、事业单位、团体组织</w:t>
      </w:r>
    </w:p>
    <w:p w14:paraId="7623734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招标代理机构：受招标人委托，在委托的范围内办理政府采购事宜的机构；</w:t>
      </w:r>
    </w:p>
    <w:p w14:paraId="6E55FB3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14:paraId="4014347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14:paraId="1236B3E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投标联合体：是指两个以上供应商组成联合体，以一个供应商的身份参加投标；</w:t>
      </w:r>
    </w:p>
    <w:p w14:paraId="7E05AF9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甲方：是指合同签订的一方，一般与招标人、用户相同；</w:t>
      </w:r>
    </w:p>
    <w:p w14:paraId="5284ED2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乙方：是指合同签订的另一方，与中标人相同；</w:t>
      </w:r>
    </w:p>
    <w:p w14:paraId="116A260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制造商：是指拥有投标产品自主知识产权的单位；</w:t>
      </w:r>
    </w:p>
    <w:p w14:paraId="4725631B">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E2BE0EA">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带“▲”条款系指实质性要求条款。“★”是关键技术参数及要求。</w:t>
      </w:r>
    </w:p>
    <w:p w14:paraId="179D3D43">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14:paraId="43BF7CD2">
      <w:pPr>
        <w:tabs>
          <w:tab w:val="left" w:pos="360"/>
        </w:tabs>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szCs w:val="22"/>
          <w:highlight w:val="none"/>
        </w:rPr>
        <w:t>3.1</w:t>
      </w:r>
      <w:r>
        <w:rPr>
          <w:rFonts w:hint="eastAsia" w:ascii="宋体" w:hAnsi="宋体" w:cs="宋体"/>
          <w:bCs/>
          <w:color w:val="auto"/>
          <w:sz w:val="22"/>
          <w:highlight w:val="none"/>
        </w:rPr>
        <w:t>指全权代表投标人参加投标活动并签署投标文件的人。如果投标人代表不是法定代表人，须持有《法定代表人授权书》（见附件）</w:t>
      </w:r>
    </w:p>
    <w:p w14:paraId="1A759079">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color w:val="auto"/>
          <w:sz w:val="22"/>
          <w:szCs w:val="22"/>
          <w:highlight w:val="none"/>
        </w:rPr>
        <w:t>。</w:t>
      </w:r>
    </w:p>
    <w:p w14:paraId="2E91D9C4">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4、投标费用</w:t>
      </w:r>
    </w:p>
    <w:p w14:paraId="0D2400C4">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4.1投</w:t>
      </w:r>
      <w:r>
        <w:rPr>
          <w:rFonts w:hint="eastAsia" w:ascii="宋体" w:hAnsi="宋体" w:cs="宋体"/>
          <w:color w:val="auto"/>
          <w:sz w:val="22"/>
          <w:szCs w:val="22"/>
          <w:highlight w:val="none"/>
        </w:rPr>
        <w:t>标人应承担所有与准备和参加投标有关费用，不论投标的结果如何，招标人或招标代理机构均无义务和责任承担这些费用。</w:t>
      </w:r>
    </w:p>
    <w:p w14:paraId="4CF44D08">
      <w:pPr>
        <w:spacing w:before="100" w:beforeAutospacing="1" w:after="100" w:afterAutospacing="1" w:line="460" w:lineRule="exact"/>
        <w:jc w:val="center"/>
        <w:outlineLvl w:val="1"/>
        <w:rPr>
          <w:rFonts w:ascii="宋体" w:hAnsi="宋体" w:cs="宋体"/>
          <w:b/>
          <w:bCs/>
          <w:color w:val="auto"/>
          <w:sz w:val="26"/>
          <w:szCs w:val="26"/>
          <w:highlight w:val="none"/>
        </w:rPr>
      </w:pPr>
      <w:bookmarkStart w:id="12" w:name="_Toc28278"/>
      <w:bookmarkStart w:id="13" w:name="_Toc9899"/>
      <w:r>
        <w:rPr>
          <w:rFonts w:hint="eastAsia" w:ascii="宋体" w:hAnsi="宋体" w:cs="宋体"/>
          <w:b/>
          <w:bCs/>
          <w:color w:val="auto"/>
          <w:sz w:val="26"/>
          <w:szCs w:val="26"/>
          <w:highlight w:val="none"/>
        </w:rPr>
        <w:t>二、 招标文件</w:t>
      </w:r>
      <w:bookmarkEnd w:id="12"/>
      <w:bookmarkEnd w:id="13"/>
    </w:p>
    <w:p w14:paraId="5140001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77A3F7AA">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34A2722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7FE1E295">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0F9216B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2058AB2F">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1511D761">
      <w:pPr>
        <w:spacing w:line="460" w:lineRule="exact"/>
        <w:ind w:firstLine="539" w:firstLineChars="245"/>
        <w:rPr>
          <w:rFonts w:hint="eastAsia" w:ascii="宋体" w:hAnsi="宋体" w:eastAsia="宋体" w:cs="宋体"/>
          <w:b/>
          <w:color w:val="auto"/>
          <w:sz w:val="22"/>
          <w:szCs w:val="22"/>
          <w:highlight w:val="yellow"/>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56E0ABA9">
      <w:pPr>
        <w:spacing w:line="460" w:lineRule="exact"/>
        <w:ind w:firstLine="541" w:firstLineChars="245"/>
        <w:rPr>
          <w:rFonts w:ascii="宋体" w:hAnsi="宋体" w:cs="宋体"/>
          <w:b/>
          <w:color w:val="auto"/>
          <w:sz w:val="22"/>
          <w:szCs w:val="22"/>
          <w:highlight w:val="none"/>
        </w:rPr>
      </w:pPr>
    </w:p>
    <w:p w14:paraId="071F5180">
      <w:pPr>
        <w:spacing w:before="100" w:beforeAutospacing="1" w:after="100" w:afterAutospacing="1" w:line="460" w:lineRule="exact"/>
        <w:jc w:val="center"/>
        <w:outlineLvl w:val="1"/>
        <w:rPr>
          <w:rFonts w:ascii="宋体" w:hAnsi="宋体" w:cs="宋体"/>
          <w:b/>
          <w:bCs/>
          <w:color w:val="auto"/>
          <w:sz w:val="26"/>
          <w:szCs w:val="26"/>
          <w:highlight w:val="none"/>
        </w:rPr>
      </w:pPr>
      <w:bookmarkStart w:id="14" w:name="_Toc22646"/>
      <w:bookmarkStart w:id="15" w:name="_Toc12726"/>
      <w:r>
        <w:rPr>
          <w:rFonts w:hint="eastAsia" w:ascii="宋体" w:hAnsi="宋体" w:cs="宋体"/>
          <w:b/>
          <w:bCs/>
          <w:color w:val="auto"/>
          <w:sz w:val="26"/>
          <w:szCs w:val="26"/>
          <w:highlight w:val="none"/>
        </w:rPr>
        <w:t>三、 投标文件的编制</w:t>
      </w:r>
      <w:bookmarkEnd w:id="14"/>
      <w:bookmarkEnd w:id="15"/>
    </w:p>
    <w:p w14:paraId="07EF885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3196DA9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2、投标人应保证所提供文件资料的真实性，所有文件资料必须是针对本次投标的。如发现投标人提供了虚假文件资料，其投标将被否决，并自行承担相应的法律责任。</w:t>
      </w:r>
    </w:p>
    <w:p w14:paraId="317548DE">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14:paraId="7FAD832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文件应当包括以下主要内容：资格文件、报价文件、商务技术文件。</w:t>
      </w:r>
    </w:p>
    <w:p w14:paraId="3CC9D674">
      <w:pPr>
        <w:spacing w:line="460" w:lineRule="exact"/>
        <w:ind w:firstLine="541" w:firstLineChars="245"/>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14:paraId="781B86CC">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基本资格条件审查材料：</w:t>
      </w:r>
      <w:r>
        <w:rPr>
          <w:rFonts w:hint="eastAsia" w:ascii="宋体" w:hAnsi="宋体" w:cs="宋体"/>
          <w:color w:val="auto"/>
          <w:kern w:val="0"/>
          <w:sz w:val="22"/>
          <w:szCs w:val="22"/>
          <w:highlight w:val="none"/>
        </w:rPr>
        <w:t>即证明供应商</w:t>
      </w:r>
      <w:r>
        <w:rPr>
          <w:rFonts w:hint="eastAsia" w:ascii="宋体" w:hAnsi="宋体" w:cs="宋体"/>
          <w:color w:val="auto"/>
          <w:kern w:val="0"/>
          <w:sz w:val="22"/>
          <w:szCs w:val="22"/>
          <w:highlight w:val="none"/>
          <w:lang w:val="zh-CN"/>
        </w:rPr>
        <w:t>参加本次政府采购活动前3年内</w:t>
      </w:r>
      <w:r>
        <w:rPr>
          <w:rFonts w:hint="eastAsia"/>
          <w:color w:val="auto"/>
          <w:sz w:val="22"/>
          <w:szCs w:val="22"/>
          <w:highlight w:val="none"/>
        </w:rPr>
        <w:t>满足《中华人民共和国政府采购法》</w:t>
      </w:r>
      <w:r>
        <w:rPr>
          <w:rFonts w:hint="eastAsia" w:ascii="宋体" w:hAnsi="宋体" w:cs="宋体"/>
          <w:color w:val="auto"/>
          <w:kern w:val="0"/>
          <w:sz w:val="22"/>
          <w:szCs w:val="22"/>
          <w:highlight w:val="none"/>
          <w:lang w:val="zh-CN"/>
        </w:rPr>
        <w:t>的有关资格证明文件。</w:t>
      </w:r>
      <w:r>
        <w:rPr>
          <w:rFonts w:hint="eastAsia" w:ascii="宋体" w:hAnsi="宋体" w:cs="宋体"/>
          <w:color w:val="auto"/>
          <w:kern w:val="0"/>
          <w:sz w:val="22"/>
          <w:szCs w:val="22"/>
          <w:highlight w:val="none"/>
        </w:rPr>
        <w:t>包括：</w:t>
      </w:r>
    </w:p>
    <w:p w14:paraId="03E92369">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（1）资格条件承诺函；</w:t>
      </w:r>
    </w:p>
    <w:p w14:paraId="53AC0B9B">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（2）营业执照(或事业法人登记证书或其它工商等登记证明材料；自然人参与政府采购，提供身份证)复印件； </w:t>
      </w:r>
    </w:p>
    <w:p w14:paraId="5DE6C02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C2AC760">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（3）投标人信用查询；</w:t>
      </w:r>
    </w:p>
    <w:p w14:paraId="40F8D2C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（4）政府采购活动现场确认声明书；</w:t>
      </w:r>
    </w:p>
    <w:p w14:paraId="5FB60C0D">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（5）落实政府采购政策需满足的资格要求证明材料（如有）；</w:t>
      </w:r>
    </w:p>
    <w:p w14:paraId="60726D88">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）联合体协议书（如有）。</w:t>
      </w:r>
    </w:p>
    <w:p w14:paraId="1ECF1413">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上述资格条件审查材料有一项不提供的，视为资格审查不通过。</w:t>
      </w:r>
    </w:p>
    <w:p w14:paraId="2E6C154D">
      <w:pPr>
        <w:snapToGrid w:val="0"/>
        <w:spacing w:line="460" w:lineRule="exact"/>
        <w:ind w:left="105" w:leftChars="50"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14:paraId="530BF906">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（1）投标函；</w:t>
      </w:r>
    </w:p>
    <w:p w14:paraId="04385EAC">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（2）投标报价一览表；</w:t>
      </w:r>
    </w:p>
    <w:p w14:paraId="7F22D17C">
      <w:pPr>
        <w:snapToGrid w:val="0"/>
        <w:spacing w:line="460" w:lineRule="exact"/>
        <w:ind w:left="105" w:leftChars="50"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（3）投标分项报价表</w:t>
      </w:r>
      <w:r>
        <w:rPr>
          <w:rFonts w:hint="eastAsia" w:ascii="宋体" w:hAnsi="宋体" w:cs="宋体"/>
          <w:color w:val="auto"/>
          <w:sz w:val="22"/>
          <w:szCs w:val="22"/>
          <w:highlight w:val="none"/>
          <w:lang w:eastAsia="zh-CN"/>
        </w:rPr>
        <w:t>；</w:t>
      </w:r>
    </w:p>
    <w:p w14:paraId="485F3F6E">
      <w:pPr>
        <w:snapToGrid w:val="0"/>
        <w:spacing w:line="460" w:lineRule="exact"/>
        <w:ind w:left="105" w:leftChars="50" w:firstLine="440" w:firstLineChars="200"/>
        <w:rPr>
          <w:rFonts w:hint="eastAsia"/>
          <w:color w:val="auto"/>
          <w:lang w:eastAsia="zh-CN"/>
        </w:rPr>
      </w:pPr>
      <w:r>
        <w:rPr>
          <w:rFonts w:hint="eastAsia" w:ascii="宋体" w:hAnsi="宋体" w:cs="宋体"/>
          <w:color w:val="auto"/>
          <w:sz w:val="22"/>
          <w:szCs w:val="22"/>
          <w:highlight w:val="none"/>
        </w:rPr>
        <w:t>（4）中小企业声明函、监狱企业、残疾人福利性单位及其他相关的充分的证明材料。（如有）</w:t>
      </w:r>
    </w:p>
    <w:p w14:paraId="4529FC02">
      <w:pPr>
        <w:snapToGrid w:val="0"/>
        <w:spacing w:line="460" w:lineRule="exact"/>
        <w:ind w:firstLine="442" w:firstLineChars="20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3.3</w:t>
      </w:r>
      <w:r>
        <w:rPr>
          <w:rFonts w:hint="eastAsia" w:ascii="宋体" w:hAnsi="宋体" w:cs="宋体"/>
          <w:b/>
          <w:bCs/>
          <w:color w:val="auto"/>
          <w:kern w:val="0"/>
          <w:sz w:val="22"/>
          <w:szCs w:val="22"/>
          <w:highlight w:val="none"/>
          <w:lang w:val="zh-CN"/>
        </w:rPr>
        <w:t xml:space="preserve">投标人的商务技术文件应包括以下内容： </w:t>
      </w:r>
    </w:p>
    <w:p w14:paraId="41DEFAE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14:paraId="1F55DB38">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14:paraId="32D9624B">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14:paraId="52FD7DDB">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（4）各涉案车辆保管场地情况/待处置车辆停放保管场地情况</w:t>
      </w:r>
    </w:p>
    <w:p w14:paraId="5CB0C2F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（5）针对本项目的特点和难点分析及解决措施</w:t>
      </w:r>
    </w:p>
    <w:p w14:paraId="6F386B7E">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（6）服务方案</w:t>
      </w:r>
    </w:p>
    <w:p w14:paraId="2FCCC9B0">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（7）服务质量保证措施</w:t>
      </w:r>
    </w:p>
    <w:p w14:paraId="0DD3571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（8）应急措施</w:t>
      </w:r>
    </w:p>
    <w:p w14:paraId="0BA8F472">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（9）人员配备情况</w:t>
      </w:r>
    </w:p>
    <w:p w14:paraId="7636462C">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（10）涉案车辆保管场地管理服务经验</w:t>
      </w:r>
    </w:p>
    <w:p w14:paraId="024B25B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（11）器材、工具配备计划合理性</w:t>
      </w:r>
    </w:p>
    <w:p w14:paraId="5B0ECAB4">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（12）其他必要提供的资料。</w:t>
      </w:r>
    </w:p>
    <w:p w14:paraId="2A34621B">
      <w:pPr>
        <w:spacing w:line="460" w:lineRule="exact"/>
        <w:ind w:firstLine="440" w:firstLineChars="20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投标文件中所需的各种证书、证件、证明资料如是复印件，须在复印件上加盖有效公章。</w:t>
      </w:r>
    </w:p>
    <w:p w14:paraId="489E3FD3">
      <w:pPr>
        <w:pStyle w:val="9"/>
        <w:snapToGrid w:val="0"/>
        <w:spacing w:line="460" w:lineRule="exact"/>
        <w:ind w:firstLine="440" w:firstLineChars="200"/>
        <w:rPr>
          <w:rFonts w:hAnsi="宋体" w:cs="宋体"/>
          <w:b w:val="0"/>
          <w:bCs/>
          <w:color w:val="auto"/>
          <w:sz w:val="22"/>
          <w:szCs w:val="22"/>
          <w:highlight w:val="none"/>
        </w:rPr>
      </w:pPr>
      <w:r>
        <w:rPr>
          <w:rFonts w:hint="eastAsia" w:hAnsi="宋体" w:cs="宋体"/>
          <w:b w:val="0"/>
          <w:bCs/>
          <w:color w:val="auto"/>
          <w:sz w:val="22"/>
          <w:szCs w:val="22"/>
          <w:highlight w:val="none"/>
          <w:lang w:val="zh-CN"/>
        </w:rPr>
        <w:t>投标人的</w:t>
      </w:r>
      <w:r>
        <w:rPr>
          <w:rFonts w:hint="eastAsia" w:hAnsi="宋体" w:cs="宋体"/>
          <w:b w:val="0"/>
          <w:bCs/>
          <w:color w:val="auto"/>
          <w:sz w:val="22"/>
          <w:szCs w:val="22"/>
          <w:highlight w:val="none"/>
        </w:rPr>
        <w:t>投标文件必须按照招标文件要求制作。</w:t>
      </w:r>
    </w:p>
    <w:p w14:paraId="69EB1B6D">
      <w:pPr>
        <w:pStyle w:val="9"/>
        <w:snapToGrid w:val="0"/>
        <w:spacing w:line="460" w:lineRule="exact"/>
        <w:ind w:firstLine="440" w:firstLineChars="200"/>
        <w:rPr>
          <w:rFonts w:hAnsi="宋体" w:cs="宋体"/>
          <w:bCs/>
          <w:color w:val="auto"/>
          <w:sz w:val="22"/>
          <w:szCs w:val="22"/>
          <w:highlight w:val="none"/>
        </w:rPr>
      </w:pPr>
      <w:r>
        <w:rPr>
          <w:rFonts w:hint="eastAsia" w:hAnsi="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279E67EB">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4、投标报价</w:t>
      </w:r>
    </w:p>
    <w:p w14:paraId="517E33E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投标人应根据国家的有关规定和招标文件要求并结合企业的实际情况进行投标报价。月报价是月完成本项目承包内容所需发生的直接成本、简接成本、利润、税金及为完成本项目及本项目不可或缺的所有附带工作而涉及到的一切费用。凡未列入的，将被认为均已包含在合同价格中，今后不得以任何理由追加或调整投标人应根据上述因素自行考虑含入投标报价。</w:t>
      </w:r>
    </w:p>
    <w:p w14:paraId="32C57FEB">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4.2投标人必须按附件中的投标报价一览表、投标分项报价表内容填写价格，并由投标人代表签署。</w:t>
      </w:r>
    </w:p>
    <w:p w14:paraId="2735153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投标货币以人民币进行投标</w:t>
      </w:r>
      <w:r>
        <w:rPr>
          <w:rFonts w:hint="eastAsia" w:ascii="宋体" w:hAnsi="宋体" w:cs="宋体"/>
          <w:color w:val="auto"/>
          <w:sz w:val="22"/>
          <w:szCs w:val="22"/>
          <w:highlight w:val="none"/>
        </w:rPr>
        <w:t>。</w:t>
      </w:r>
    </w:p>
    <w:p w14:paraId="43E45C5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招标人和招标代理机构不接受任何选择投标，对任何服务只允许一个价格。</w:t>
      </w:r>
    </w:p>
    <w:p w14:paraId="2CBD977D">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4.5招标人和</w:t>
      </w:r>
      <w:r>
        <w:rPr>
          <w:rFonts w:hint="eastAsia" w:ascii="宋体" w:hAnsi="宋体" w:cs="宋体"/>
          <w:color w:val="auto"/>
          <w:sz w:val="22"/>
          <w:highlight w:val="none"/>
        </w:rPr>
        <w:t>招标代理机构</w:t>
      </w:r>
      <w:r>
        <w:rPr>
          <w:rFonts w:hint="eastAsia" w:ascii="宋体" w:hAnsi="宋体" w:cs="宋体"/>
          <w:color w:val="auto"/>
          <w:sz w:val="22"/>
          <w:szCs w:val="22"/>
          <w:highlight w:val="none"/>
        </w:rPr>
        <w:t>要求分类报价是为了方便评标，但在任何情况下不限制招标人以其认为最合适的条款、条件签订合同的权利。</w:t>
      </w:r>
    </w:p>
    <w:p w14:paraId="465C4674">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4.6投标报价报出后，投标人不得以任何理由予以变更。任何包含价格调整的要求，将被认为是非实质性响应投标而予以否决。</w:t>
      </w:r>
    </w:p>
    <w:p w14:paraId="1D06DFC3">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4.7最低报价不能作为中标的保证。</w:t>
      </w:r>
    </w:p>
    <w:p w14:paraId="5E59374D">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14:paraId="6754920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5.1自开标之日起 120 天内投标应保持有效。</w:t>
      </w:r>
    </w:p>
    <w:p w14:paraId="029DA7D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62D5839">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14:paraId="719BB0B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无。</w:t>
      </w:r>
    </w:p>
    <w:p w14:paraId="7125F2D8">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14:paraId="4F50B0F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7.1本项目通过“政府采购云平台（http://zfcg.czt.zj.gov.cn）”实行在线投标响应（电子投标）。供应商应通过“政采云电子交易客户端”，并按照本招标文件和“政府采购云平台”的要求编制并加密投标文件。</w:t>
      </w:r>
    </w:p>
    <w:p w14:paraId="0D7B939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“投标文件的构成”规定的内容及顺序在“政采云电子交易客户端”编制投标文件。其中《资格文件》和《商务技术文件》中不得出现本项目投标报价，如发生报价泄露的，由投标人自行承担相关责任。</w:t>
      </w:r>
    </w:p>
    <w:p w14:paraId="55379D9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548EFA8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14:paraId="64119D3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14:paraId="763037C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78BB3C67">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8、投标文件的签章</w:t>
      </w:r>
    </w:p>
    <w:p w14:paraId="0EFE2A0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14:paraId="0A92A58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8.2《投标文件》应由投标人法定代表人或其授权代表签字（或盖章），并时加盖投标人公章。</w:t>
      </w:r>
    </w:p>
    <w:p w14:paraId="3117390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14:paraId="0B783E72">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9、投标文件的形式</w:t>
      </w:r>
    </w:p>
    <w:p w14:paraId="4A86AE4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14:paraId="21F7806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9.2“电子加密投标文件”：“电子加密投标文件”是指通过“政采云电子交易客户端”完成投标文件编制后生成并加密的数据电文形式的投标文件。</w:t>
      </w:r>
    </w:p>
    <w:p w14:paraId="7724911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752F39CD">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10、投标文件的份数</w:t>
      </w:r>
    </w:p>
    <w:p w14:paraId="7C69F884">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10.1投标文件的份数：见《前附表》。</w:t>
      </w:r>
    </w:p>
    <w:p w14:paraId="412B3B38">
      <w:pPr>
        <w:spacing w:before="100" w:beforeAutospacing="1" w:after="100" w:afterAutospacing="1" w:line="440" w:lineRule="exact"/>
        <w:jc w:val="center"/>
        <w:outlineLvl w:val="1"/>
        <w:rPr>
          <w:rFonts w:ascii="宋体" w:hAnsi="宋体" w:cs="宋体"/>
          <w:b/>
          <w:bCs/>
          <w:color w:val="auto"/>
          <w:sz w:val="22"/>
          <w:szCs w:val="22"/>
          <w:highlight w:val="none"/>
        </w:rPr>
      </w:pPr>
      <w:bookmarkStart w:id="16" w:name="_Toc15422"/>
      <w:bookmarkStart w:id="17" w:name="_Toc18542"/>
      <w:r>
        <w:rPr>
          <w:rFonts w:hint="eastAsia" w:ascii="宋体" w:hAnsi="宋体" w:cs="宋体"/>
          <w:b/>
          <w:bCs/>
          <w:color w:val="auto"/>
          <w:sz w:val="22"/>
          <w:szCs w:val="22"/>
          <w:highlight w:val="none"/>
        </w:rPr>
        <w:t>四、 投标文件的递交</w:t>
      </w:r>
      <w:bookmarkEnd w:id="16"/>
      <w:bookmarkEnd w:id="17"/>
    </w:p>
    <w:p w14:paraId="654218E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14:paraId="6500E40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14:paraId="1723B1F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14:paraId="0942AF0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14:paraId="7EC4E6B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14:paraId="301CB1F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5997B4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14:paraId="6479C81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14:paraId="5213BB64">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5CDB16E5">
      <w:pPr>
        <w:spacing w:before="100" w:beforeAutospacing="1" w:after="100" w:afterAutospacing="1" w:line="460" w:lineRule="exact"/>
        <w:jc w:val="center"/>
        <w:outlineLvl w:val="1"/>
        <w:rPr>
          <w:rFonts w:ascii="宋体" w:hAnsi="宋体" w:cs="宋体"/>
          <w:b/>
          <w:bCs/>
          <w:color w:val="auto"/>
          <w:sz w:val="22"/>
          <w:szCs w:val="22"/>
          <w:highlight w:val="none"/>
        </w:rPr>
      </w:pPr>
      <w:bookmarkStart w:id="18" w:name="_Toc8079"/>
      <w:bookmarkStart w:id="19" w:name="_Toc30172"/>
      <w:r>
        <w:rPr>
          <w:rFonts w:hint="eastAsia" w:ascii="宋体" w:hAnsi="宋体" w:cs="宋体"/>
          <w:b/>
          <w:bCs/>
          <w:color w:val="auto"/>
          <w:sz w:val="22"/>
          <w:szCs w:val="22"/>
          <w:highlight w:val="none"/>
        </w:rPr>
        <w:t>五、 开标和评标</w:t>
      </w:r>
      <w:bookmarkEnd w:id="18"/>
      <w:bookmarkEnd w:id="19"/>
    </w:p>
    <w:p w14:paraId="2F38124A">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14:paraId="7A18E31C">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招标人和招标代理机构组建评标委员会。评标委员会的成员在评标过程中必须严格遵守《政府采购法》等有关法律、法规的规定。</w:t>
      </w:r>
    </w:p>
    <w:p w14:paraId="311ACD0D">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14:paraId="14B74165">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1C4C0EFA">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3、开标形式</w:t>
      </w:r>
    </w:p>
    <w:p w14:paraId="5D49DBB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采购组织机构将按照招标文件规定的时间通过“政府采购云平台”组织开标、开启投标文件，所有供应商均应当准时(在线)参加。</w:t>
      </w:r>
    </w:p>
    <w:p w14:paraId="1FA6E4A9">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4、开标准备</w:t>
      </w:r>
    </w:p>
    <w:p w14:paraId="362FC10C">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73B2FB9E">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cs="宋体"/>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2525C93F">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5、开标流程</w:t>
      </w:r>
    </w:p>
    <w:p w14:paraId="5020A8AB">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14:paraId="7BEF40C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10857D78">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14:paraId="0EEE5D7F">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14:paraId="5C3A8765">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14:paraId="0B0D00BE">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2C8334A3">
      <w:pPr>
        <w:spacing w:line="460" w:lineRule="exact"/>
        <w:ind w:firstLine="539" w:firstLineChars="245"/>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14:paraId="58818A64">
      <w:pPr>
        <w:spacing w:line="460" w:lineRule="exact"/>
        <w:ind w:firstLine="541" w:firstLineChars="245"/>
        <w:rPr>
          <w:rFonts w:ascii="宋体" w:hAnsi="宋体" w:cs="宋体"/>
          <w:bCs/>
          <w:color w:val="auto"/>
          <w:sz w:val="22"/>
          <w:szCs w:val="22"/>
          <w:highlight w:val="none"/>
        </w:rPr>
      </w:pPr>
      <w:r>
        <w:rPr>
          <w:rFonts w:hint="eastAsia" w:ascii="宋体" w:hAnsi="宋体" w:cs="宋体"/>
          <w:b/>
          <w:color w:val="auto"/>
          <w:sz w:val="22"/>
          <w:szCs w:val="22"/>
          <w:highlight w:val="none"/>
        </w:rPr>
        <w:t>没有满足招标文件的实质性要求的投标作无效标处理。</w:t>
      </w:r>
      <w:r>
        <w:rPr>
          <w:rFonts w:hint="eastAsia" w:ascii="宋体" w:hAnsi="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3895843A">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14:paraId="7D10B393">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14:paraId="1204BD2D">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19BC0F9F">
      <w:pPr>
        <w:spacing w:line="460" w:lineRule="exact"/>
        <w:ind w:firstLine="541" w:firstLineChars="245"/>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特别说明：如遇“政府采购云平台”电子化开标或评审程序调整的，按调整后程序执行。</w:t>
      </w:r>
    </w:p>
    <w:p w14:paraId="2F4608D4">
      <w:pPr>
        <w:spacing w:line="460" w:lineRule="exact"/>
        <w:ind w:firstLine="539" w:firstLineChars="245"/>
        <w:rPr>
          <w:rFonts w:ascii="宋体" w:hAnsi="宋体" w:cs="宋体"/>
          <w:color w:val="auto"/>
          <w:sz w:val="22"/>
          <w:szCs w:val="22"/>
          <w:highlight w:val="none"/>
        </w:rPr>
      </w:pPr>
      <w:bookmarkStart w:id="20" w:name="_Toc24550037"/>
      <w:bookmarkStart w:id="21" w:name="_Toc33194393"/>
      <w:r>
        <w:rPr>
          <w:rFonts w:hint="eastAsia" w:ascii="宋体" w:hAnsi="宋体" w:cs="宋体"/>
          <w:color w:val="auto"/>
          <w:sz w:val="22"/>
          <w:szCs w:val="22"/>
          <w:highlight w:val="none"/>
        </w:rPr>
        <w:t>6、投标人资格审查</w:t>
      </w:r>
      <w:bookmarkEnd w:id="20"/>
      <w:bookmarkEnd w:id="21"/>
    </w:p>
    <w:p w14:paraId="143E8C8D">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1AB00F8D">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6.2投标人提交的资格证明材料无法证明其符合招标文件规定的“投标人资格要求”的，招标人或采购代理机构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14:paraId="104EBFB4">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14:paraId="260AFB5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14:paraId="2E2AB6E5">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14:paraId="25ED038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（1）投标文件未按招标文件要求签署、盖章的；</w:t>
      </w:r>
    </w:p>
    <w:p w14:paraId="09EA0EF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（2）不具备招标文件中规定的资格要求的； </w:t>
      </w:r>
    </w:p>
    <w:p w14:paraId="61506C3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（3）明显不符合招标文件中主要技术规格、技术标准的；</w:t>
      </w:r>
    </w:p>
    <w:p w14:paraId="53AF354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（4）投标文件内容不全或关键字迹模糊无法辨认的；</w:t>
      </w:r>
    </w:p>
    <w:p w14:paraId="6038B1D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（5）报价超过招标文件中规定的预算金额的；</w:t>
      </w:r>
    </w:p>
    <w:p w14:paraId="39EF1F37">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（6）投标人代表没有法定代表人合法、有效委托的；</w:t>
      </w:r>
    </w:p>
    <w:p w14:paraId="73B1F77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（7）投标文件存在一个或一个以上备选（替代）投标方案的；</w:t>
      </w:r>
    </w:p>
    <w:p w14:paraId="193284E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（8）仅提交“备份投标文件”的；</w:t>
      </w:r>
    </w:p>
    <w:p w14:paraId="449F852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（9）投标文件含有招标人不能接受的附加条件的；</w:t>
      </w:r>
    </w:p>
    <w:p w14:paraId="65D963B8">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（10）法律、法规和招标文件规定的其他无效情形。</w:t>
      </w:r>
    </w:p>
    <w:p w14:paraId="2102B962">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14:paraId="11370CD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14:paraId="57B86FD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14:paraId="5E70073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14:paraId="1D952F1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（4）不同投标人的投标文件异常一致或者投标报价呈规律性差异；</w:t>
      </w:r>
    </w:p>
    <w:p w14:paraId="49BA98C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（5）不同投标人的投标文件相互混装。</w:t>
      </w:r>
    </w:p>
    <w:p w14:paraId="5708CB83">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的IP、MAC、硬件信息相同、响应文件细节错误一致且无合理解释等情形</w:t>
      </w:r>
      <w:r>
        <w:rPr>
          <w:rFonts w:hint="eastAsia" w:ascii="宋体" w:hAnsi="宋体" w:eastAsia="宋体" w:cs="宋体"/>
          <w:color w:val="auto"/>
          <w:sz w:val="22"/>
          <w:szCs w:val="22"/>
          <w:highlight w:val="none"/>
          <w:lang w:eastAsia="zh-CN"/>
        </w:rPr>
        <w:t>；</w:t>
      </w:r>
    </w:p>
    <w:p w14:paraId="3CDC4564">
      <w:pPr>
        <w:spacing w:line="460" w:lineRule="exact"/>
        <w:ind w:firstLine="539" w:firstLineChars="245"/>
        <w:rPr>
          <w:color w:val="auto"/>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）不同</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lang w:eastAsia="zh-CN"/>
        </w:rPr>
        <w:t>的电子投标(响应)文件上传时的手机号信息相同且无法合理解释的。</w:t>
      </w:r>
    </w:p>
    <w:p w14:paraId="39B149AB">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14:paraId="415C4B3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0814714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14:paraId="753EFC8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14:paraId="3DEC9A2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14:paraId="6C7C16F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520799B9">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6ACD3832">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14:paraId="09971582">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32D2E230">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7C1A6EC9">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14:paraId="2488BBAA">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12.2经澄清后，若偏差仍存在，且不可接受，投标人则被认为是“没有实质性响应招标文件要求”，其投标将被拒绝。</w:t>
      </w:r>
    </w:p>
    <w:p w14:paraId="1740F066">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14:paraId="5E949E2E">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13.1评标结果汇总完成后，除下列情形外，任何人不得修改评标结果：</w:t>
      </w:r>
    </w:p>
    <w:p w14:paraId="747E08AD">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14:paraId="7EC2B70D">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14:paraId="20939322">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（3）评标委员会成员对客观评审因素评分不一致的；</w:t>
      </w:r>
    </w:p>
    <w:p w14:paraId="7EE84246">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（4）经评标委员会认定评分畸高、畸低的。</w:t>
      </w:r>
    </w:p>
    <w:p w14:paraId="3110A5BF">
      <w:pPr>
        <w:spacing w:line="460" w:lineRule="exact"/>
        <w:ind w:firstLine="759" w:firstLineChars="345"/>
        <w:rPr>
          <w:rFonts w:ascii="宋体" w:hAnsi="宋体" w:cs="宋体"/>
          <w:bCs/>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14:paraId="6B834875">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58734F30">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14.1由评标委员会确定中标候选人。</w:t>
      </w:r>
    </w:p>
    <w:p w14:paraId="29229621">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5373BF78">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15、确定中标人</w:t>
      </w:r>
    </w:p>
    <w:p w14:paraId="04867DCC">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73EB4579">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依法视情况直接确定排名第二的候选人为中标人或重新组织招标。</w:t>
      </w:r>
    </w:p>
    <w:p w14:paraId="488DB051">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2036BFDF">
      <w:pPr>
        <w:spacing w:line="460" w:lineRule="exact"/>
        <w:ind w:firstLine="759" w:firstLineChars="345"/>
        <w:rPr>
          <w:rFonts w:ascii="宋体" w:hAnsi="宋体" w:cs="宋体"/>
          <w:b/>
          <w:bCs/>
          <w:color w:val="auto"/>
          <w:sz w:val="22"/>
          <w:szCs w:val="22"/>
          <w:highlight w:val="none"/>
        </w:rPr>
      </w:pPr>
      <w:r>
        <w:rPr>
          <w:rFonts w:hint="eastAsia" w:ascii="宋体" w:hAnsi="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1E9D27B">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中标人确定后，招标人将在政府指定媒体公告中标结果，招标人向中标人发出中标通知书。</w:t>
      </w:r>
    </w:p>
    <w:p w14:paraId="5176A9E9">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18、招标人对决标结果不做任何解释，也不保证最低价中标。</w:t>
      </w:r>
    </w:p>
    <w:p w14:paraId="120BF1F0">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19、评标细则详见“评标原则及方法”。</w:t>
      </w:r>
    </w:p>
    <w:p w14:paraId="0AA19566">
      <w:pPr>
        <w:spacing w:before="100" w:beforeAutospacing="1" w:after="100" w:afterAutospacing="1" w:line="440" w:lineRule="exact"/>
        <w:jc w:val="center"/>
        <w:outlineLvl w:val="1"/>
        <w:rPr>
          <w:rFonts w:ascii="宋体" w:hAnsi="宋体" w:cs="宋体"/>
          <w:b/>
          <w:bCs/>
          <w:color w:val="auto"/>
          <w:sz w:val="26"/>
          <w:szCs w:val="26"/>
          <w:highlight w:val="none"/>
        </w:rPr>
      </w:pPr>
      <w:bookmarkStart w:id="22" w:name="_Toc21056"/>
      <w:bookmarkStart w:id="23" w:name="_Toc26836"/>
      <w:r>
        <w:rPr>
          <w:rFonts w:hint="eastAsia" w:ascii="宋体" w:hAnsi="宋体" w:cs="宋体"/>
          <w:b/>
          <w:bCs/>
          <w:color w:val="auto"/>
          <w:sz w:val="26"/>
          <w:szCs w:val="26"/>
          <w:highlight w:val="none"/>
        </w:rPr>
        <w:t>六、 授予合同</w:t>
      </w:r>
      <w:bookmarkEnd w:id="22"/>
      <w:bookmarkEnd w:id="23"/>
    </w:p>
    <w:p w14:paraId="3F7ADB6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1、中标通知书</w:t>
      </w:r>
    </w:p>
    <w:p w14:paraId="6A7CE75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1.1中标人确定后，招标人将向中标人发出中标通知书。 </w:t>
      </w:r>
    </w:p>
    <w:p w14:paraId="0696A7F7">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1.2中标通知书是合同的一个组成部分,对招标人和中标人均具有同等法律效力。</w:t>
      </w:r>
    </w:p>
    <w:p w14:paraId="350C522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14:paraId="436F750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2.1招标人在授予合同时有权对采购货物的数量和服务在一定幅度范围内予以增加或减少,但不得对单价和其他的条款和条件作任何改变。</w:t>
      </w:r>
    </w:p>
    <w:p w14:paraId="5C0BA6F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3、签订合同</w:t>
      </w:r>
    </w:p>
    <w:p w14:paraId="47A1BB4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3.1中标人应按中标通知书规定的时间、地点与招标人签订合同。</w:t>
      </w:r>
    </w:p>
    <w:p w14:paraId="6DBCE09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101E388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3.3招标文件、中标人的投标文件、投标修改文件、评标过程中有关澄清文件及经投标人和评委双方签字的询标纪要和中标通知书均作为合同附件。</w:t>
      </w:r>
    </w:p>
    <w:p w14:paraId="3FBF3C8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3.4拒签合同的违约责任</w:t>
      </w:r>
    </w:p>
    <w:p w14:paraId="4058502E">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14:paraId="38658E1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14:paraId="2042295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14:paraId="32397248">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6881D4EB">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74199D61">
      <w:pPr>
        <w:rPr>
          <w:rFonts w:ascii="宋体" w:hAnsi="宋体" w:cs="宋体"/>
          <w:color w:val="auto"/>
          <w:highlight w:val="none"/>
        </w:rPr>
      </w:pPr>
      <w:bookmarkStart w:id="24" w:name="_Toc28194"/>
      <w:bookmarkStart w:id="25" w:name="_Toc19043"/>
    </w:p>
    <w:p w14:paraId="41BB536C">
      <w:pPr>
        <w:rPr>
          <w:rFonts w:ascii="宋体" w:hAnsi="宋体" w:cs="宋体"/>
          <w:color w:val="auto"/>
          <w:highlight w:val="none"/>
        </w:rPr>
      </w:pPr>
      <w:r>
        <w:rPr>
          <w:rFonts w:hint="eastAsia" w:ascii="宋体" w:hAnsi="宋体" w:cs="宋体"/>
          <w:color w:val="auto"/>
          <w:highlight w:val="none"/>
        </w:rPr>
        <w:br w:type="page"/>
      </w:r>
    </w:p>
    <w:p w14:paraId="1F734758">
      <w:pPr>
        <w:pStyle w:val="2"/>
        <w:rPr>
          <w:rFonts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2CA396AB">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14:paraId="3BC1ABB5">
      <w:pPr>
        <w:spacing w:line="460" w:lineRule="exact"/>
        <w:rPr>
          <w:rFonts w:hint="eastAsia" w:ascii="新宋体" w:hAnsi="新宋体" w:eastAsia="新宋体"/>
          <w:bCs/>
          <w:color w:val="auto"/>
          <w:sz w:val="22"/>
          <w:szCs w:val="22"/>
          <w:highlight w:val="none"/>
        </w:rPr>
      </w:pPr>
    </w:p>
    <w:p w14:paraId="5B22E541">
      <w:pPr>
        <w:spacing w:line="46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招标人：</w:t>
      </w:r>
      <w:r>
        <w:rPr>
          <w:rFonts w:hint="eastAsia" w:ascii="新宋体" w:hAnsi="新宋体" w:eastAsia="新宋体"/>
          <w:bCs/>
          <w:color w:val="auto"/>
          <w:sz w:val="22"/>
          <w:szCs w:val="22"/>
          <w:highlight w:val="none"/>
          <w:u w:val="single"/>
        </w:rPr>
        <w:t>温州市公安局交通管理局</w:t>
      </w:r>
      <w:r>
        <w:rPr>
          <w:rFonts w:hint="eastAsia" w:ascii="新宋体" w:hAnsi="新宋体" w:eastAsia="新宋体"/>
          <w:bCs/>
          <w:color w:val="auto"/>
          <w:sz w:val="22"/>
          <w:szCs w:val="22"/>
          <w:highlight w:val="none"/>
        </w:rPr>
        <w:t>（以下简称甲方）</w:t>
      </w:r>
    </w:p>
    <w:p w14:paraId="1E805909">
      <w:pPr>
        <w:spacing w:line="46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中标人：</w:t>
      </w:r>
      <w:r>
        <w:rPr>
          <w:rFonts w:hint="eastAsia" w:ascii="新宋体" w:hAnsi="新宋体" w:eastAsia="新宋体"/>
          <w:bCs/>
          <w:color w:val="auto"/>
          <w:sz w:val="22"/>
          <w:szCs w:val="22"/>
          <w:highlight w:val="none"/>
          <w:u w:val="single"/>
          <w:lang w:val="en-US" w:eastAsia="zh-CN"/>
        </w:rPr>
        <w:t xml:space="preserve">                      </w:t>
      </w:r>
      <w:r>
        <w:rPr>
          <w:rFonts w:hint="eastAsia" w:ascii="新宋体" w:hAnsi="新宋体" w:eastAsia="新宋体"/>
          <w:bCs/>
          <w:color w:val="auto"/>
          <w:sz w:val="22"/>
          <w:szCs w:val="22"/>
          <w:highlight w:val="none"/>
        </w:rPr>
        <w:t>（以下简称乙方）</w:t>
      </w:r>
    </w:p>
    <w:p w14:paraId="62A7ABF9">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温州市公安局交通管理局的</w:t>
      </w:r>
      <w:r>
        <w:rPr>
          <w:rFonts w:hint="eastAsia" w:ascii="新宋体" w:hAnsi="新宋体" w:eastAsia="新宋体"/>
          <w:bCs/>
          <w:color w:val="auto"/>
          <w:sz w:val="22"/>
          <w:szCs w:val="22"/>
          <w:highlight w:val="none"/>
          <w:u w:val="single"/>
        </w:rPr>
        <w:t>（</w:t>
      </w:r>
      <w:r>
        <w:rPr>
          <w:rFonts w:hint="eastAsia" w:ascii="新宋体" w:hAnsi="新宋体" w:eastAsia="新宋体" w:cs="新宋体"/>
          <w:color w:val="auto"/>
          <w:sz w:val="22"/>
          <w:szCs w:val="22"/>
          <w:highlight w:val="none"/>
          <w:u w:val="single"/>
        </w:rPr>
        <w:t>项目名称、编号、标段</w:t>
      </w:r>
      <w:r>
        <w:rPr>
          <w:rFonts w:hint="eastAsia" w:ascii="新宋体" w:hAnsi="新宋体" w:eastAsia="新宋体"/>
          <w:bCs/>
          <w:color w:val="auto"/>
          <w:sz w:val="22"/>
          <w:szCs w:val="22"/>
          <w:highlight w:val="none"/>
          <w:u w:val="single"/>
        </w:rPr>
        <w:t>）</w:t>
      </w:r>
      <w:r>
        <w:rPr>
          <w:rFonts w:hint="eastAsia" w:ascii="新宋体" w:hAnsi="新宋体" w:eastAsia="新宋体"/>
          <w:bCs/>
          <w:color w:val="auto"/>
          <w:sz w:val="22"/>
          <w:szCs w:val="22"/>
          <w:highlight w:val="none"/>
        </w:rPr>
        <w:t>在国内以公开招标方式进行招标，经评标委员会评定</w:t>
      </w:r>
      <w:r>
        <w:rPr>
          <w:rFonts w:hint="eastAsia" w:ascii="新宋体" w:hAnsi="新宋体" w:eastAsia="新宋体"/>
          <w:bCs/>
          <w:color w:val="auto"/>
          <w:sz w:val="22"/>
          <w:szCs w:val="22"/>
          <w:highlight w:val="none"/>
          <w:u w:val="single"/>
        </w:rPr>
        <w:t>（中标人名称）</w:t>
      </w:r>
      <w:r>
        <w:rPr>
          <w:rFonts w:hint="eastAsia" w:ascii="新宋体" w:hAnsi="新宋体" w:eastAsia="新宋体"/>
          <w:bCs/>
          <w:color w:val="auto"/>
          <w:sz w:val="22"/>
          <w:szCs w:val="22"/>
          <w:highlight w:val="none"/>
        </w:rPr>
        <w:t>为中标人。甲、乙双方本着诚信及互利互惠的原则，同意按照下面条款和条件，签署本合同。</w:t>
      </w:r>
    </w:p>
    <w:p w14:paraId="76351995">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一、本合同签订依据</w:t>
      </w:r>
    </w:p>
    <w:p w14:paraId="4E7FB91D">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w:t>
      </w:r>
      <w:r>
        <w:rPr>
          <w:rFonts w:hint="eastAsia" w:ascii="新宋体" w:hAnsi="新宋体" w:eastAsia="新宋体" w:cs="新宋体"/>
          <w:color w:val="auto"/>
          <w:sz w:val="22"/>
          <w:szCs w:val="22"/>
          <w:highlight w:val="none"/>
        </w:rPr>
        <w:t>中华人民共和国民法典</w:t>
      </w:r>
      <w:r>
        <w:rPr>
          <w:rFonts w:hint="eastAsia" w:ascii="新宋体" w:hAnsi="新宋体" w:eastAsia="新宋体"/>
          <w:bCs/>
          <w:color w:val="auto"/>
          <w:sz w:val="22"/>
          <w:szCs w:val="22"/>
          <w:highlight w:val="none"/>
        </w:rPr>
        <w:t>》</w:t>
      </w:r>
    </w:p>
    <w:p w14:paraId="54AA1ED3">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二、合同文件的优先次序</w:t>
      </w:r>
    </w:p>
    <w:p w14:paraId="3B2D18A5">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合同文件如存在歧义或不一致则根据以下优先次序来判断：</w:t>
      </w:r>
    </w:p>
    <w:p w14:paraId="5F952F5E">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 xml:space="preserve">1、合同书及合同补充条款或说明 </w:t>
      </w:r>
    </w:p>
    <w:p w14:paraId="1CCDF57F">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2、中标通知书</w:t>
      </w:r>
    </w:p>
    <w:p w14:paraId="0FC74EEB">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3、承诺书（含询标记录和优惠条款）</w:t>
      </w:r>
    </w:p>
    <w:p w14:paraId="6354DBC3">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4、投标文件</w:t>
      </w:r>
    </w:p>
    <w:p w14:paraId="490A5E8B">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5、招标文件</w:t>
      </w:r>
    </w:p>
    <w:p w14:paraId="5EB1A4C8">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三、基本情况</w:t>
      </w:r>
    </w:p>
    <w:p w14:paraId="5D95C132">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ascii="新宋体" w:hAnsi="新宋体" w:eastAsia="新宋体"/>
          <w:color w:val="auto"/>
          <w:sz w:val="22"/>
          <w:szCs w:val="22"/>
          <w:highlight w:val="none"/>
        </w:rPr>
        <w:t>地点：</w:t>
      </w:r>
      <w:r>
        <w:rPr>
          <w:rFonts w:ascii="新宋体" w:hAnsi="新宋体" w:eastAsia="新宋体"/>
          <w:color w:val="auto"/>
          <w:sz w:val="22"/>
          <w:szCs w:val="22"/>
          <w:highlight w:val="none"/>
          <w:u w:val="single"/>
        </w:rPr>
        <w:t>            </w:t>
      </w:r>
      <w:r>
        <w:rPr>
          <w:rFonts w:ascii="新宋体" w:hAnsi="新宋体" w:eastAsia="新宋体"/>
          <w:color w:val="auto"/>
          <w:sz w:val="22"/>
          <w:szCs w:val="22"/>
          <w:highlight w:val="none"/>
        </w:rPr>
        <w:t>；</w:t>
      </w:r>
    </w:p>
    <w:p w14:paraId="2B158503">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2、场地总面积：</w:t>
      </w:r>
      <w:r>
        <w:rPr>
          <w:rFonts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u w:val="single"/>
          <w:lang w:val="en-US" w:eastAsia="zh-CN"/>
        </w:rPr>
        <w:t xml:space="preserve">   </w:t>
      </w:r>
      <w:r>
        <w:rPr>
          <w:rFonts w:ascii="新宋体" w:hAnsi="新宋体" w:eastAsia="新宋体"/>
          <w:color w:val="auto"/>
          <w:sz w:val="22"/>
          <w:szCs w:val="22"/>
          <w:highlight w:val="none"/>
        </w:rPr>
        <w:t>；</w:t>
      </w:r>
    </w:p>
    <w:p w14:paraId="28711236">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ascii="新宋体" w:hAnsi="新宋体" w:eastAsia="新宋体"/>
          <w:color w:val="auto"/>
          <w:sz w:val="22"/>
          <w:szCs w:val="22"/>
          <w:highlight w:val="none"/>
        </w:rPr>
        <w:t>管理期</w:t>
      </w:r>
      <w:r>
        <w:rPr>
          <w:rFonts w:hint="eastAsia" w:ascii="新宋体" w:hAnsi="新宋体" w:eastAsia="新宋体"/>
          <w:color w:val="auto"/>
          <w:sz w:val="22"/>
          <w:szCs w:val="22"/>
          <w:highlight w:val="none"/>
        </w:rPr>
        <w:t>限</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lang w:val="en-US" w:eastAsia="zh-CN"/>
        </w:rPr>
        <w:t>1年</w:t>
      </w:r>
      <w:r>
        <w:rPr>
          <w:rFonts w:ascii="新宋体" w:hAnsi="新宋体" w:eastAsia="新宋体"/>
          <w:color w:val="auto"/>
          <w:sz w:val="22"/>
          <w:szCs w:val="22"/>
          <w:highlight w:val="none"/>
        </w:rPr>
        <w:t>；</w:t>
      </w:r>
    </w:p>
    <w:p w14:paraId="58C607F0">
      <w:pPr>
        <w:spacing w:line="460" w:lineRule="exact"/>
        <w:ind w:firstLine="539" w:firstLineChars="245"/>
        <w:rPr>
          <w:rFonts w:ascii="新宋体" w:hAnsi="新宋体" w:eastAsia="新宋体"/>
          <w:b w:val="0"/>
          <w:bCs/>
          <w:color w:val="auto"/>
          <w:sz w:val="22"/>
          <w:szCs w:val="22"/>
          <w:highlight w:val="none"/>
        </w:rPr>
      </w:pPr>
      <w:r>
        <w:rPr>
          <w:rFonts w:hint="eastAsia" w:ascii="新宋体" w:hAnsi="新宋体" w:eastAsia="新宋体"/>
          <w:b w:val="0"/>
          <w:bCs/>
          <w:color w:val="auto"/>
          <w:sz w:val="22"/>
          <w:szCs w:val="22"/>
          <w:highlight w:val="none"/>
        </w:rPr>
        <w:t>4、合同价格</w:t>
      </w:r>
    </w:p>
    <w:p w14:paraId="2715F0E9">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年服务费：人民币</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元整（¥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.00），</w:t>
      </w:r>
    </w:p>
    <w:p w14:paraId="4562A3D1">
      <w:pPr>
        <w:spacing w:line="460" w:lineRule="exact"/>
        <w:ind w:firstLine="539" w:firstLineChars="245"/>
        <w:rPr>
          <w:rFonts w:ascii="新宋体" w:hAnsi="新宋体" w:eastAsia="新宋体"/>
          <w:color w:val="auto"/>
          <w:sz w:val="22"/>
          <w:highlight w:val="none"/>
        </w:rPr>
      </w:pPr>
      <w:r>
        <w:rPr>
          <w:rFonts w:hint="eastAsia" w:ascii="宋体" w:hAnsi="宋体" w:eastAsia="宋体" w:cs="宋体"/>
          <w:color w:val="auto"/>
          <w:sz w:val="22"/>
          <w:highlight w:val="none"/>
        </w:rPr>
        <w:t>月服务费：人民币</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元整（¥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.00）    </w:t>
      </w:r>
      <w:r>
        <w:rPr>
          <w:rFonts w:hint="eastAsia" w:ascii="新宋体" w:hAnsi="新宋体" w:eastAsia="新宋体"/>
          <w:color w:val="auto"/>
          <w:sz w:val="22"/>
          <w:highlight w:val="none"/>
        </w:rPr>
        <w:t xml:space="preserve">                                                                      </w:t>
      </w:r>
    </w:p>
    <w:p w14:paraId="49B1B8FF">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乙方认为为完成本项目承包内容所需发生的直接成本、简接成本、利润、税金、政策性文件规定的费用、等一切费用、等一切费用均应计入合同价格;凡未列入的，将被认为均已包含在合同价格中，今后不得以任何理由追加或调整。</w:t>
      </w:r>
    </w:p>
    <w:p w14:paraId="67468F4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四、付费方式</w:t>
      </w:r>
    </w:p>
    <w:p w14:paraId="6C0D055A">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本项目无需缴纳履约保证金；</w:t>
      </w:r>
    </w:p>
    <w:p w14:paraId="55161E1C">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合同签订生效以及具备实施条件后7个工作日内支付40%的预付款；服务费用每月统计一次（扣除考核应扣费用及预付款费用），每三个月支付一次（中标人根据实际服务费用，提供正规发票后付款）。</w:t>
      </w:r>
    </w:p>
    <w:p w14:paraId="3E729BDF">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五、考评条款</w:t>
      </w:r>
    </w:p>
    <w:p w14:paraId="0BC30E77">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车辆保管服务工作，甲方会派人员对工作进行抽查。检查人员由双方组成，并记录在案，双方签字认可；考评与服务费用挂钩。</w:t>
      </w:r>
    </w:p>
    <w:tbl>
      <w:tblPr>
        <w:tblStyle w:val="17"/>
        <w:tblW w:w="9914"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51"/>
        <w:gridCol w:w="19"/>
        <w:gridCol w:w="3663"/>
        <w:gridCol w:w="1067"/>
        <w:gridCol w:w="2874"/>
      </w:tblGrid>
      <w:tr w14:paraId="0843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0" w:type="dxa"/>
            <w:vAlign w:val="center"/>
          </w:tcPr>
          <w:p w14:paraId="2523EE63">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5233" w:type="dxa"/>
            <w:gridSpan w:val="3"/>
            <w:vAlign w:val="center"/>
          </w:tcPr>
          <w:p w14:paraId="5722C934">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考核分类</w:t>
            </w:r>
          </w:p>
        </w:tc>
        <w:tc>
          <w:tcPr>
            <w:tcW w:w="1067" w:type="dxa"/>
            <w:vAlign w:val="center"/>
          </w:tcPr>
          <w:p w14:paraId="1541340B">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计分单位（次）</w:t>
            </w:r>
          </w:p>
        </w:tc>
        <w:tc>
          <w:tcPr>
            <w:tcW w:w="2874" w:type="dxa"/>
            <w:vAlign w:val="center"/>
          </w:tcPr>
          <w:p w14:paraId="4E608F2C">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计分标准（金额）（元）</w:t>
            </w:r>
          </w:p>
        </w:tc>
      </w:tr>
      <w:tr w14:paraId="2D69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40" w:type="dxa"/>
            <w:vAlign w:val="center"/>
          </w:tcPr>
          <w:p w14:paraId="4076031B">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5233" w:type="dxa"/>
            <w:gridSpan w:val="3"/>
            <w:vAlign w:val="center"/>
          </w:tcPr>
          <w:p w14:paraId="69AEF37E">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在遵章守规中发生重大失误或违规事件</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被当事人投诉</w:t>
            </w:r>
            <w:r>
              <w:rPr>
                <w:rFonts w:hint="eastAsia" w:ascii="新宋体" w:hAnsi="新宋体" w:eastAsia="新宋体" w:cs="新宋体"/>
                <w:bCs/>
                <w:color w:val="auto"/>
                <w:sz w:val="22"/>
                <w:szCs w:val="22"/>
                <w:highlight w:val="none"/>
                <w:lang w:val="en-US" w:eastAsia="zh-CN"/>
              </w:rPr>
              <w:t>且确认为有责的</w:t>
            </w:r>
            <w:r>
              <w:rPr>
                <w:rFonts w:hint="eastAsia" w:ascii="新宋体" w:hAnsi="新宋体" w:eastAsia="新宋体" w:cs="新宋体"/>
                <w:bCs/>
                <w:color w:val="auto"/>
                <w:sz w:val="22"/>
                <w:szCs w:val="22"/>
                <w:highlight w:val="none"/>
              </w:rPr>
              <w:t>、上级点名批评</w:t>
            </w:r>
            <w:r>
              <w:rPr>
                <w:rFonts w:hint="eastAsia" w:ascii="新宋体" w:hAnsi="新宋体" w:eastAsia="新宋体" w:cs="新宋体"/>
                <w:bCs/>
                <w:color w:val="auto"/>
                <w:sz w:val="22"/>
                <w:szCs w:val="22"/>
                <w:highlight w:val="none"/>
                <w:lang w:val="en-US" w:eastAsia="zh-CN"/>
              </w:rPr>
              <w:t>或</w:t>
            </w:r>
            <w:r>
              <w:rPr>
                <w:rFonts w:hint="eastAsia" w:ascii="新宋体" w:hAnsi="新宋体" w:eastAsia="新宋体" w:cs="新宋体"/>
                <w:bCs/>
                <w:color w:val="auto"/>
                <w:sz w:val="22"/>
                <w:szCs w:val="22"/>
                <w:highlight w:val="none"/>
              </w:rPr>
              <w:t>媒体曝光至相关部门的</w:t>
            </w:r>
          </w:p>
        </w:tc>
        <w:tc>
          <w:tcPr>
            <w:tcW w:w="1067" w:type="dxa"/>
            <w:vAlign w:val="center"/>
          </w:tcPr>
          <w:p w14:paraId="6FFD24B5">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79B1E58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扣1000-5000</w:t>
            </w:r>
          </w:p>
        </w:tc>
      </w:tr>
      <w:tr w14:paraId="7F42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40" w:type="dxa"/>
            <w:vAlign w:val="center"/>
          </w:tcPr>
          <w:p w14:paraId="297D6D85">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5233" w:type="dxa"/>
            <w:gridSpan w:val="3"/>
            <w:vAlign w:val="center"/>
          </w:tcPr>
          <w:p w14:paraId="184F048A">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接到甲方服务指令后，拒不提供服务或拖延服务时间的（无正当理由的）</w:t>
            </w:r>
          </w:p>
        </w:tc>
        <w:tc>
          <w:tcPr>
            <w:tcW w:w="1067" w:type="dxa"/>
            <w:vAlign w:val="center"/>
          </w:tcPr>
          <w:p w14:paraId="1C1C1A3A">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57716B11">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扣</w:t>
            </w:r>
            <w:r>
              <w:rPr>
                <w:rFonts w:hint="eastAsia" w:ascii="新宋体" w:hAnsi="新宋体" w:eastAsia="新宋体" w:cs="新宋体"/>
                <w:bCs/>
                <w:color w:val="auto"/>
                <w:sz w:val="22"/>
                <w:szCs w:val="22"/>
                <w:highlight w:val="none"/>
                <w:lang w:val="en-US" w:eastAsia="zh-CN"/>
              </w:rPr>
              <w:t>1000-</w:t>
            </w:r>
            <w:r>
              <w:rPr>
                <w:rFonts w:hint="eastAsia" w:ascii="新宋体" w:hAnsi="新宋体" w:eastAsia="新宋体" w:cs="新宋体"/>
                <w:bCs/>
                <w:color w:val="auto"/>
                <w:sz w:val="22"/>
                <w:szCs w:val="22"/>
                <w:highlight w:val="none"/>
              </w:rPr>
              <w:t>2000</w:t>
            </w:r>
          </w:p>
        </w:tc>
      </w:tr>
      <w:tr w14:paraId="1A5B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14:paraId="13F35BAD">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1551" w:type="dxa"/>
            <w:vMerge w:val="restart"/>
            <w:vAlign w:val="center"/>
          </w:tcPr>
          <w:p w14:paraId="53E99EC4">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在涉案车辆保管中发生盗窃或遗失或置换涉案车辆零配件或车上物品的</w:t>
            </w:r>
          </w:p>
          <w:p w14:paraId="35C41065">
            <w:pPr>
              <w:spacing w:line="460" w:lineRule="exact"/>
              <w:jc w:val="center"/>
              <w:rPr>
                <w:rFonts w:ascii="新宋体" w:hAnsi="新宋体" w:eastAsia="新宋体" w:cs="新宋体"/>
                <w:bCs/>
                <w:color w:val="auto"/>
                <w:sz w:val="22"/>
                <w:szCs w:val="22"/>
                <w:highlight w:val="none"/>
              </w:rPr>
            </w:pPr>
          </w:p>
        </w:tc>
        <w:tc>
          <w:tcPr>
            <w:tcW w:w="3682" w:type="dxa"/>
            <w:gridSpan w:val="2"/>
            <w:vAlign w:val="center"/>
          </w:tcPr>
          <w:p w14:paraId="601888A1">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物品（车辆）已追回、或损失金额较小的（1万元以下），每次</w:t>
            </w:r>
          </w:p>
        </w:tc>
        <w:tc>
          <w:tcPr>
            <w:tcW w:w="1067" w:type="dxa"/>
            <w:vAlign w:val="center"/>
          </w:tcPr>
          <w:p w14:paraId="4DCECB93">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0B232BCF">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扣1000</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同时照价赔偿车主损失</w:t>
            </w:r>
          </w:p>
        </w:tc>
      </w:tr>
      <w:tr w14:paraId="65AB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40" w:type="dxa"/>
            <w:vMerge w:val="continue"/>
            <w:vAlign w:val="center"/>
          </w:tcPr>
          <w:p w14:paraId="2E5DD842">
            <w:pPr>
              <w:spacing w:line="460" w:lineRule="exact"/>
              <w:jc w:val="center"/>
              <w:rPr>
                <w:rFonts w:ascii="新宋体" w:hAnsi="新宋体" w:eastAsia="新宋体" w:cs="新宋体"/>
                <w:bCs/>
                <w:color w:val="auto"/>
                <w:sz w:val="22"/>
                <w:szCs w:val="22"/>
                <w:highlight w:val="none"/>
              </w:rPr>
            </w:pPr>
          </w:p>
        </w:tc>
        <w:tc>
          <w:tcPr>
            <w:tcW w:w="1551" w:type="dxa"/>
            <w:vMerge w:val="continue"/>
            <w:vAlign w:val="center"/>
          </w:tcPr>
          <w:p w14:paraId="0DFD08ED">
            <w:pPr>
              <w:spacing w:line="460" w:lineRule="exact"/>
              <w:jc w:val="center"/>
              <w:rPr>
                <w:rFonts w:ascii="新宋体" w:hAnsi="新宋体" w:eastAsia="新宋体" w:cs="新宋体"/>
                <w:bCs/>
                <w:color w:val="auto"/>
                <w:sz w:val="22"/>
                <w:szCs w:val="22"/>
                <w:highlight w:val="none"/>
              </w:rPr>
            </w:pPr>
          </w:p>
        </w:tc>
        <w:tc>
          <w:tcPr>
            <w:tcW w:w="3682" w:type="dxa"/>
            <w:gridSpan w:val="2"/>
            <w:vAlign w:val="center"/>
          </w:tcPr>
          <w:p w14:paraId="74664797">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数量或金额较大的（如盗窃或置换整车、一次盗窃或置换10</w:t>
            </w:r>
            <w:r>
              <w:rPr>
                <w:rFonts w:hint="eastAsia" w:ascii="新宋体" w:hAnsi="新宋体" w:eastAsia="新宋体" w:cs="新宋体"/>
                <w:bCs/>
                <w:color w:val="auto"/>
                <w:sz w:val="22"/>
                <w:szCs w:val="22"/>
                <w:highlight w:val="none"/>
                <w:lang w:val="en-US" w:eastAsia="zh-CN"/>
              </w:rPr>
              <w:t>辆</w:t>
            </w:r>
            <w:r>
              <w:rPr>
                <w:rFonts w:hint="eastAsia" w:ascii="新宋体" w:hAnsi="新宋体" w:eastAsia="新宋体" w:cs="新宋体"/>
                <w:bCs/>
                <w:color w:val="auto"/>
                <w:sz w:val="22"/>
                <w:szCs w:val="22"/>
                <w:highlight w:val="none"/>
              </w:rPr>
              <w:t>以上</w:t>
            </w:r>
            <w:r>
              <w:rPr>
                <w:rFonts w:hint="eastAsia" w:ascii="新宋体" w:hAnsi="新宋体" w:eastAsia="新宋体" w:cs="新宋体"/>
                <w:bCs/>
                <w:color w:val="auto"/>
                <w:sz w:val="22"/>
                <w:szCs w:val="22"/>
                <w:highlight w:val="none"/>
                <w:lang w:val="en-US" w:eastAsia="zh-CN"/>
              </w:rPr>
              <w:t>车辆的配件</w:t>
            </w:r>
            <w:r>
              <w:rPr>
                <w:rFonts w:hint="eastAsia" w:ascii="新宋体" w:hAnsi="新宋体" w:eastAsia="新宋体" w:cs="新宋体"/>
                <w:bCs/>
                <w:color w:val="auto"/>
                <w:sz w:val="22"/>
                <w:szCs w:val="22"/>
                <w:highlight w:val="none"/>
              </w:rPr>
              <w:t>、盗窃车上物品估计价值超过1万元的）</w:t>
            </w:r>
          </w:p>
        </w:tc>
        <w:tc>
          <w:tcPr>
            <w:tcW w:w="1067" w:type="dxa"/>
            <w:vAlign w:val="center"/>
          </w:tcPr>
          <w:p w14:paraId="0B7A1268">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13F86C20">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扣</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000</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同时照价赔偿车主损失，且甲方可单方面解除合同</w:t>
            </w:r>
          </w:p>
        </w:tc>
      </w:tr>
      <w:tr w14:paraId="2E58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40" w:type="dxa"/>
            <w:vMerge w:val="continue"/>
            <w:vAlign w:val="center"/>
          </w:tcPr>
          <w:p w14:paraId="66DA535C">
            <w:pPr>
              <w:spacing w:line="460" w:lineRule="exact"/>
              <w:jc w:val="center"/>
              <w:rPr>
                <w:rFonts w:ascii="新宋体" w:hAnsi="新宋体" w:eastAsia="新宋体" w:cs="新宋体"/>
                <w:bCs/>
                <w:color w:val="auto"/>
                <w:sz w:val="22"/>
                <w:szCs w:val="22"/>
                <w:highlight w:val="none"/>
              </w:rPr>
            </w:pPr>
          </w:p>
        </w:tc>
        <w:tc>
          <w:tcPr>
            <w:tcW w:w="1551" w:type="dxa"/>
            <w:vMerge w:val="continue"/>
            <w:vAlign w:val="center"/>
          </w:tcPr>
          <w:p w14:paraId="60FEBFFE">
            <w:pPr>
              <w:spacing w:line="460" w:lineRule="exact"/>
              <w:jc w:val="center"/>
              <w:rPr>
                <w:rFonts w:ascii="新宋体" w:hAnsi="新宋体" w:eastAsia="新宋体" w:cs="新宋体"/>
                <w:bCs/>
                <w:color w:val="auto"/>
                <w:sz w:val="22"/>
                <w:szCs w:val="22"/>
                <w:highlight w:val="none"/>
              </w:rPr>
            </w:pPr>
          </w:p>
        </w:tc>
        <w:tc>
          <w:tcPr>
            <w:tcW w:w="3682" w:type="dxa"/>
            <w:gridSpan w:val="2"/>
            <w:vAlign w:val="center"/>
          </w:tcPr>
          <w:p w14:paraId="40DCCF8E">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暂扣涉案车辆不知去向的</w:t>
            </w:r>
          </w:p>
          <w:p w14:paraId="5DCCB0D9">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（如有证据证明是因保管服务失责，造成车辆被车辆所有人或管理人所窃取的，按照已追回予以处罚。）</w:t>
            </w:r>
          </w:p>
        </w:tc>
        <w:tc>
          <w:tcPr>
            <w:tcW w:w="1067" w:type="dxa"/>
            <w:vAlign w:val="center"/>
          </w:tcPr>
          <w:p w14:paraId="5BE6D94B">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23FCE48E">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每辆/次扣</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000或涉案车辆价值的5%（就高原则），同时照价赔偿车主损失并追究乙方法律责任，且甲方可单方面解除合同。</w:t>
            </w:r>
          </w:p>
        </w:tc>
      </w:tr>
      <w:tr w14:paraId="2F44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40" w:type="dxa"/>
            <w:vAlign w:val="center"/>
          </w:tcPr>
          <w:p w14:paraId="7F7BAFE9">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5233" w:type="dxa"/>
            <w:gridSpan w:val="3"/>
            <w:vAlign w:val="center"/>
          </w:tcPr>
          <w:p w14:paraId="0995F674">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因乙方人为原因造成涉案车辆严重损坏（无法修复）的。</w:t>
            </w:r>
          </w:p>
        </w:tc>
        <w:tc>
          <w:tcPr>
            <w:tcW w:w="1067" w:type="dxa"/>
            <w:vAlign w:val="center"/>
          </w:tcPr>
          <w:p w14:paraId="1A4BA3B8">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7382455A">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扣</w:t>
            </w:r>
            <w:r>
              <w:rPr>
                <w:rFonts w:hint="eastAsia" w:ascii="新宋体" w:hAnsi="新宋体" w:eastAsia="新宋体" w:cs="新宋体"/>
                <w:bCs/>
                <w:color w:val="auto"/>
                <w:sz w:val="22"/>
                <w:szCs w:val="22"/>
                <w:highlight w:val="none"/>
                <w:lang w:val="en-US" w:eastAsia="zh-CN"/>
              </w:rPr>
              <w:t>500-</w:t>
            </w:r>
            <w:r>
              <w:rPr>
                <w:rFonts w:hint="eastAsia" w:ascii="新宋体" w:hAnsi="新宋体" w:eastAsia="新宋体" w:cs="新宋体"/>
                <w:bCs/>
                <w:color w:val="auto"/>
                <w:sz w:val="22"/>
                <w:szCs w:val="22"/>
                <w:highlight w:val="none"/>
              </w:rPr>
              <w:t>2000（乙方负责对车主给予损失赔偿。）</w:t>
            </w:r>
          </w:p>
        </w:tc>
      </w:tr>
      <w:tr w14:paraId="06FF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40" w:type="dxa"/>
            <w:vAlign w:val="center"/>
          </w:tcPr>
          <w:p w14:paraId="4DA4113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5233" w:type="dxa"/>
            <w:gridSpan w:val="3"/>
            <w:vAlign w:val="center"/>
          </w:tcPr>
          <w:p w14:paraId="762C222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乙方私自使用涉案车辆或车上物品</w:t>
            </w:r>
          </w:p>
        </w:tc>
        <w:tc>
          <w:tcPr>
            <w:tcW w:w="1067" w:type="dxa"/>
            <w:vAlign w:val="center"/>
          </w:tcPr>
          <w:p w14:paraId="52ABF577">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3639F687">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扣</w:t>
            </w: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00-2000</w:t>
            </w:r>
          </w:p>
        </w:tc>
      </w:tr>
      <w:tr w14:paraId="13C9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0" w:type="dxa"/>
            <w:vAlign w:val="center"/>
          </w:tcPr>
          <w:p w14:paraId="6FAC744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5233" w:type="dxa"/>
            <w:gridSpan w:val="3"/>
            <w:vAlign w:val="center"/>
          </w:tcPr>
          <w:p w14:paraId="5037F388">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乙方在规费执行中违规收费的</w:t>
            </w:r>
          </w:p>
        </w:tc>
        <w:tc>
          <w:tcPr>
            <w:tcW w:w="1067" w:type="dxa"/>
            <w:vAlign w:val="center"/>
          </w:tcPr>
          <w:p w14:paraId="7CB58D2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74" w:type="dxa"/>
            <w:vAlign w:val="center"/>
          </w:tcPr>
          <w:p w14:paraId="7E4DBCD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每发现一次扣2000或违规收取费用2倍（就高原则）</w:t>
            </w:r>
          </w:p>
        </w:tc>
      </w:tr>
      <w:tr w14:paraId="3ADB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0" w:type="dxa"/>
            <w:vMerge w:val="restart"/>
            <w:vAlign w:val="center"/>
          </w:tcPr>
          <w:p w14:paraId="78863DE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570" w:type="dxa"/>
            <w:gridSpan w:val="2"/>
            <w:vMerge w:val="restart"/>
            <w:vAlign w:val="center"/>
          </w:tcPr>
          <w:p w14:paraId="07BE43FD">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乙方不按甲方要求使用车辆管理系统</w:t>
            </w:r>
          </w:p>
          <w:p w14:paraId="07E4DF06">
            <w:pPr>
              <w:tabs>
                <w:tab w:val="left" w:pos="420"/>
              </w:tabs>
              <w:adjustRightInd w:val="0"/>
              <w:spacing w:line="460" w:lineRule="exact"/>
              <w:jc w:val="center"/>
              <w:rPr>
                <w:rFonts w:ascii="新宋体" w:hAnsi="新宋体" w:eastAsia="新宋体" w:cs="新宋体"/>
                <w:color w:val="auto"/>
                <w:sz w:val="22"/>
                <w:szCs w:val="22"/>
                <w:highlight w:val="none"/>
              </w:rPr>
            </w:pPr>
          </w:p>
        </w:tc>
        <w:tc>
          <w:tcPr>
            <w:tcW w:w="3663" w:type="dxa"/>
            <w:vAlign w:val="center"/>
          </w:tcPr>
          <w:p w14:paraId="281473FC">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其中硬件、管理人员配备不符合要求及管理人员操作不当等情况</w:t>
            </w:r>
          </w:p>
        </w:tc>
        <w:tc>
          <w:tcPr>
            <w:tcW w:w="1067" w:type="dxa"/>
            <w:vAlign w:val="center"/>
          </w:tcPr>
          <w:p w14:paraId="38BB250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74" w:type="dxa"/>
            <w:vAlign w:val="center"/>
          </w:tcPr>
          <w:p w14:paraId="64E56A1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每次扣500并限期整改</w:t>
            </w:r>
          </w:p>
        </w:tc>
      </w:tr>
      <w:tr w14:paraId="253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0" w:type="dxa"/>
            <w:vMerge w:val="continue"/>
            <w:vAlign w:val="center"/>
          </w:tcPr>
          <w:p w14:paraId="08C1C29D">
            <w:pPr>
              <w:spacing w:line="460" w:lineRule="exact"/>
              <w:jc w:val="center"/>
              <w:rPr>
                <w:rFonts w:ascii="新宋体" w:hAnsi="新宋体" w:eastAsia="新宋体" w:cs="新宋体"/>
                <w:color w:val="auto"/>
                <w:sz w:val="22"/>
                <w:szCs w:val="22"/>
                <w:highlight w:val="none"/>
              </w:rPr>
            </w:pPr>
          </w:p>
        </w:tc>
        <w:tc>
          <w:tcPr>
            <w:tcW w:w="1570" w:type="dxa"/>
            <w:gridSpan w:val="2"/>
            <w:vMerge w:val="continue"/>
            <w:vAlign w:val="center"/>
          </w:tcPr>
          <w:p w14:paraId="551915DC">
            <w:pPr>
              <w:tabs>
                <w:tab w:val="left" w:pos="420"/>
              </w:tabs>
              <w:adjustRightInd w:val="0"/>
              <w:spacing w:line="460" w:lineRule="exact"/>
              <w:jc w:val="center"/>
              <w:rPr>
                <w:rFonts w:ascii="新宋体" w:hAnsi="新宋体" w:eastAsia="新宋体" w:cs="新宋体"/>
                <w:bCs/>
                <w:color w:val="auto"/>
                <w:sz w:val="22"/>
                <w:szCs w:val="22"/>
                <w:highlight w:val="none"/>
              </w:rPr>
            </w:pPr>
          </w:p>
        </w:tc>
        <w:tc>
          <w:tcPr>
            <w:tcW w:w="3663" w:type="dxa"/>
            <w:vAlign w:val="center"/>
          </w:tcPr>
          <w:p w14:paraId="4002B708">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不按甲方要求实施整改的</w:t>
            </w:r>
          </w:p>
        </w:tc>
        <w:tc>
          <w:tcPr>
            <w:tcW w:w="1067" w:type="dxa"/>
            <w:vAlign w:val="center"/>
          </w:tcPr>
          <w:p w14:paraId="0D7A791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74" w:type="dxa"/>
            <w:vAlign w:val="center"/>
          </w:tcPr>
          <w:p w14:paraId="3D5C1CBC">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每延迟一天扣</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00-</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000，至整改至符合甲方要求止</w:t>
            </w:r>
          </w:p>
        </w:tc>
      </w:tr>
      <w:tr w14:paraId="2215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0" w:type="dxa"/>
            <w:vMerge w:val="continue"/>
            <w:vAlign w:val="center"/>
          </w:tcPr>
          <w:p w14:paraId="41D76D5B">
            <w:pPr>
              <w:spacing w:line="460" w:lineRule="exact"/>
              <w:jc w:val="center"/>
              <w:rPr>
                <w:rFonts w:ascii="新宋体" w:hAnsi="新宋体" w:eastAsia="新宋体" w:cs="新宋体"/>
                <w:color w:val="auto"/>
                <w:sz w:val="22"/>
                <w:szCs w:val="22"/>
                <w:highlight w:val="none"/>
              </w:rPr>
            </w:pPr>
          </w:p>
        </w:tc>
        <w:tc>
          <w:tcPr>
            <w:tcW w:w="1570" w:type="dxa"/>
            <w:gridSpan w:val="2"/>
            <w:vMerge w:val="continue"/>
            <w:vAlign w:val="center"/>
          </w:tcPr>
          <w:p w14:paraId="6509CC7A">
            <w:pPr>
              <w:tabs>
                <w:tab w:val="left" w:pos="420"/>
              </w:tabs>
              <w:adjustRightInd w:val="0"/>
              <w:spacing w:line="460" w:lineRule="exact"/>
              <w:jc w:val="center"/>
              <w:rPr>
                <w:rFonts w:ascii="新宋体" w:hAnsi="新宋体" w:eastAsia="新宋体" w:cs="新宋体"/>
                <w:bCs/>
                <w:color w:val="auto"/>
                <w:sz w:val="22"/>
                <w:szCs w:val="22"/>
                <w:highlight w:val="none"/>
              </w:rPr>
            </w:pPr>
          </w:p>
        </w:tc>
        <w:tc>
          <w:tcPr>
            <w:tcW w:w="3663" w:type="dxa"/>
            <w:vAlign w:val="center"/>
          </w:tcPr>
          <w:p w14:paraId="605B8858">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影响系统正常运转的，造成后果的</w:t>
            </w:r>
          </w:p>
        </w:tc>
        <w:tc>
          <w:tcPr>
            <w:tcW w:w="1067" w:type="dxa"/>
            <w:vAlign w:val="center"/>
          </w:tcPr>
          <w:p w14:paraId="7B889205">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74" w:type="dxa"/>
            <w:vAlign w:val="center"/>
          </w:tcPr>
          <w:p w14:paraId="5C6FB6A6">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每次扣1000</w:t>
            </w:r>
          </w:p>
        </w:tc>
      </w:tr>
      <w:tr w14:paraId="5C69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0" w:type="dxa"/>
            <w:vAlign w:val="center"/>
          </w:tcPr>
          <w:p w14:paraId="235AC82E">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5233" w:type="dxa"/>
            <w:gridSpan w:val="3"/>
            <w:vAlign w:val="center"/>
          </w:tcPr>
          <w:p w14:paraId="07C1C4D8">
            <w:pPr>
              <w:tabs>
                <w:tab w:val="left" w:pos="420"/>
              </w:tabs>
              <w:adjustRightInd w:val="0"/>
              <w:spacing w:line="460" w:lineRule="exact"/>
              <w:jc w:val="cente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保管场地或配套设施不符合要求的</w:t>
            </w:r>
          </w:p>
        </w:tc>
        <w:tc>
          <w:tcPr>
            <w:tcW w:w="1067" w:type="dxa"/>
            <w:vAlign w:val="center"/>
          </w:tcPr>
          <w:p w14:paraId="60825607">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2874" w:type="dxa"/>
            <w:vAlign w:val="center"/>
          </w:tcPr>
          <w:p w14:paraId="3EC8B36F">
            <w:pPr>
              <w:spacing w:line="460" w:lineRule="exact"/>
              <w:jc w:val="cente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视情扣500-2000，并整改至符合甲方要求止</w:t>
            </w:r>
          </w:p>
        </w:tc>
      </w:tr>
    </w:tbl>
    <w:p w14:paraId="15D77399">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六、由乙方负责本涉案车辆保管场地的管理。包括：</w:t>
      </w:r>
    </w:p>
    <w:p w14:paraId="3F577976">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1、时间要求</w:t>
      </w:r>
    </w:p>
    <w:p w14:paraId="4117DB3F">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（1）乙方提供涉案车辆保管时间为进入保管场地开始起至涉案车辆放行、当事人取走或甲方指定转移其他场地等期间的全过程保管服务。</w:t>
      </w:r>
    </w:p>
    <w:p w14:paraId="4BDE82B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2、保管场地配套设施要求（包括保管场地管理用房、办公设施及监控设备等方面。）</w:t>
      </w:r>
    </w:p>
    <w:p w14:paraId="6102EDE7">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提供足够完成甲方及下属单位要求的涉案车辆保管服务的保管场地。所有保管场地须提前向甲方备案，如有变动的，须在征得甲方同意后落实同一区域且不少于原有保管场地面积的备用保管场地替代。乙方提供的保管场地须具有合法、完备的手续，保证保管场地适合车辆停放，并</w:t>
      </w:r>
      <w:r>
        <w:rPr>
          <w:rFonts w:hint="eastAsia" w:ascii="新宋体" w:hAnsi="新宋体" w:eastAsia="新宋体" w:cs="新宋体"/>
          <w:color w:val="auto"/>
          <w:sz w:val="22"/>
          <w:szCs w:val="22"/>
          <w:highlight w:val="none"/>
          <w:lang w:val="en-US" w:eastAsia="zh-CN"/>
        </w:rPr>
        <w:t>予以分区保管</w:t>
      </w:r>
      <w:r>
        <w:rPr>
          <w:rFonts w:hint="eastAsia" w:ascii="新宋体" w:hAnsi="新宋体" w:eastAsia="新宋体" w:cs="新宋体"/>
          <w:color w:val="auto"/>
          <w:sz w:val="22"/>
          <w:szCs w:val="22"/>
          <w:highlight w:val="none"/>
        </w:rPr>
        <w:t>，做到妥善保管。</w:t>
      </w:r>
    </w:p>
    <w:p w14:paraId="67B5DF6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（2）乙方提供的保管场地须设立专门的管理用房（面积需满足日常管理使用），并配备电脑（安装交管局统一的涉案车辆管理系统）、打印机、采集设备等设备，实时维护系统及上传相关涉案车辆信息。</w:t>
      </w:r>
    </w:p>
    <w:p w14:paraId="349A8407">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乙方提供的保管场地的车辆出入口及车辆停放位置须安装视频监控系统，系统可实现对整个保管场地进行监控，且监控记录可保存3个月以上，并能正常回放。视频监控系统应根据甲方需求，接入温州市公安视频监控共享平台并保持系统设备完好、有效。</w:t>
      </w:r>
    </w:p>
    <w:p w14:paraId="217080A4">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停车场所有车辆出入口应配备招标人的涉案车辆管理系统配套使用的信息化联动道闸系统、扫码、射频感应等软硬件设备，记录车辆进出场时间，实现运用物联技术与涉案车辆管理系统相关联，物账一致的管理要求，确保甲方能有效开展涉案车辆出入场管理。</w:t>
      </w:r>
    </w:p>
    <w:p w14:paraId="38333035">
      <w:pPr>
        <w:tabs>
          <w:tab w:val="left" w:pos="2340"/>
        </w:tabs>
        <w:adjustRightIn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（5）涉案车辆停放区域与社会车辆、非涉案车辆停放区域应当明显区分。有条件的停车场所，应当根据入场车辆性质和办案单位不同，分区停放并分别设置标志牌</w:t>
      </w:r>
      <w:r>
        <w:rPr>
          <w:rFonts w:hint="eastAsia" w:ascii="新宋体" w:hAnsi="新宋体" w:eastAsia="新宋体" w:cs="新宋体"/>
          <w:color w:val="auto"/>
          <w:sz w:val="22"/>
          <w:szCs w:val="22"/>
          <w:highlight w:val="none"/>
          <w:lang w:eastAsia="zh-CN"/>
        </w:rPr>
        <w:t>。</w:t>
      </w:r>
    </w:p>
    <w:p w14:paraId="4F6BE557">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3、人员配备</w:t>
      </w:r>
    </w:p>
    <w:p w14:paraId="0D7F9250">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（1）乙方要配备足够完成甲方及下属单位要求的涉案车辆保管服务配套的工作人员，保管场地工作人员配备不少于4人。所有工作人员如有变动的，须在征得甲方同意后配备相同能力的其他工作人员替代。</w:t>
      </w:r>
    </w:p>
    <w:p w14:paraId="04370C5E">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（2）乙方要保证保管场地24小时有工作人员值守，日常时段内工作人员不少于设2人（夜间22点至次日7点可缩减为1人）。</w:t>
      </w:r>
    </w:p>
    <w:p w14:paraId="34609B66">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（3）信息管理人员需熟练掌握计算机应用，持有电脑操作证书。</w:t>
      </w:r>
    </w:p>
    <w:p w14:paraId="5C6E0B0F">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（4）乙方配备的管理人员须与乙方签订劳动合同。管理人员熟练规范安全操作，且必须听从执勤交警的指挥调度，文明服务。</w:t>
      </w:r>
    </w:p>
    <w:p w14:paraId="7FA7A2ED">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4、车辆保管场地管理</w:t>
      </w:r>
    </w:p>
    <w:p w14:paraId="0A1B32ED">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（1）车辆保管场地应具备完善的场地管理制度、安全、保卫管理、货物卸驳载管理、门卫管理制度，并及时上墙公示。</w:t>
      </w:r>
    </w:p>
    <w:p w14:paraId="792EECF2">
      <w:pPr>
        <w:tabs>
          <w:tab w:val="left" w:pos="2340"/>
        </w:tabs>
        <w:adjustRightInd w:val="0"/>
        <w:spacing w:line="460" w:lineRule="exact"/>
        <w:ind w:firstLine="440" w:firstLineChars="200"/>
        <w:rPr>
          <w:color w:val="auto"/>
          <w:highlight w:val="none"/>
        </w:rPr>
      </w:pPr>
      <w:r>
        <w:rPr>
          <w:rFonts w:hint="eastAsia" w:ascii="新宋体" w:hAnsi="新宋体" w:eastAsia="新宋体" w:cs="新宋体"/>
          <w:color w:val="auto"/>
          <w:sz w:val="22"/>
          <w:szCs w:val="22"/>
          <w:highlight w:val="none"/>
        </w:rPr>
        <w:t>（2）按照相关规定收费(车辆扣留日起至强制措施解除后2日是停车费由财政承担)，应由车主承担的停车费用，乙方应按照《关于印发温州市区机动车停放服务收费管理暂行办法的通知》（温政发</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2016</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35号）规定向</w:t>
      </w:r>
      <w:r>
        <w:rPr>
          <w:rFonts w:hint="eastAsia" w:ascii="新宋体" w:hAnsi="新宋体" w:eastAsia="新宋体"/>
          <w:color w:val="auto"/>
          <w:sz w:val="22"/>
          <w:szCs w:val="22"/>
          <w:highlight w:val="none"/>
        </w:rPr>
        <w:t>车主收费</w:t>
      </w:r>
      <w:r>
        <w:rPr>
          <w:rFonts w:hint="eastAsia" w:ascii="新宋体" w:hAnsi="新宋体" w:eastAsia="新宋体" w:cs="新宋体"/>
          <w:color w:val="auto"/>
          <w:sz w:val="22"/>
          <w:szCs w:val="22"/>
          <w:highlight w:val="none"/>
        </w:rPr>
        <w:t>，且收费标准不得高于《温州市区机动车停放服务收费管理暂行办法》附件3中公立医院停车场的收费标准，不得擅自提高收费标准，并及时将收费标准进行上墙公示。不得向当事车主收取其他违规费用。</w:t>
      </w:r>
    </w:p>
    <w:p w14:paraId="1715BA1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（3）车辆保管场地应使用合法的收费票据进行收费。</w:t>
      </w:r>
    </w:p>
    <w:p w14:paraId="077D9730">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5、停车管理</w:t>
      </w:r>
    </w:p>
    <w:p w14:paraId="0CE1F8BA">
      <w:pPr>
        <w:tabs>
          <w:tab w:val="left" w:pos="2340"/>
        </w:tabs>
        <w:adjustRightIn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进场管理。涉案车辆应根据甲方及下属单位的民警要求进入保管场地，其他车辆进入车辆保管场地的，乙方一律不得保管，若乙方对不属于甲方及下属单位的要求的车辆进行了保管，所产生的费用由乙方自行承担。车辆进场时，</w:t>
      </w:r>
      <w:r>
        <w:rPr>
          <w:rFonts w:hint="eastAsia" w:ascii="新宋体" w:hAnsi="新宋体" w:eastAsia="新宋体" w:cs="新宋体"/>
          <w:color w:val="auto"/>
          <w:sz w:val="22"/>
          <w:szCs w:val="22"/>
          <w:highlight w:val="none"/>
          <w:lang w:val="en-US" w:eastAsia="zh-CN"/>
        </w:rPr>
        <w:t>应</w:t>
      </w:r>
      <w:r>
        <w:rPr>
          <w:rFonts w:hint="eastAsia" w:ascii="新宋体" w:hAnsi="新宋体" w:eastAsia="新宋体" w:cs="新宋体"/>
          <w:color w:val="auto"/>
          <w:sz w:val="22"/>
          <w:szCs w:val="22"/>
          <w:highlight w:val="none"/>
        </w:rPr>
        <w:t>对保管的涉案车辆进行全面检查，分清车辆状况（包括油料、</w:t>
      </w:r>
      <w:r>
        <w:rPr>
          <w:rFonts w:hint="eastAsia" w:ascii="新宋体" w:hAnsi="新宋体" w:eastAsia="新宋体" w:cs="新宋体"/>
          <w:color w:val="auto"/>
          <w:sz w:val="22"/>
          <w:szCs w:val="22"/>
          <w:highlight w:val="none"/>
          <w:lang w:val="en-US" w:eastAsia="zh-CN"/>
        </w:rPr>
        <w:t>轮胎或</w:t>
      </w:r>
      <w:r>
        <w:rPr>
          <w:rFonts w:hint="eastAsia" w:ascii="新宋体" w:hAnsi="新宋体" w:eastAsia="新宋体" w:cs="新宋体"/>
          <w:color w:val="auto"/>
          <w:sz w:val="22"/>
          <w:szCs w:val="22"/>
          <w:highlight w:val="none"/>
        </w:rPr>
        <w:t>电瓶等</w:t>
      </w:r>
      <w:r>
        <w:rPr>
          <w:rFonts w:hint="eastAsia" w:ascii="新宋体" w:hAnsi="新宋体" w:eastAsia="新宋体" w:cs="新宋体"/>
          <w:color w:val="auto"/>
          <w:sz w:val="22"/>
          <w:szCs w:val="22"/>
          <w:highlight w:val="none"/>
          <w:lang w:val="en-US" w:eastAsia="zh-CN"/>
        </w:rPr>
        <w:t>车辆配件存在损坏或缺失，应予以备注并固定证据材料</w:t>
      </w:r>
      <w:r>
        <w:rPr>
          <w:rFonts w:hint="eastAsia" w:ascii="新宋体" w:hAnsi="新宋体" w:eastAsia="新宋体" w:cs="新宋体"/>
          <w:color w:val="auto"/>
          <w:sz w:val="22"/>
          <w:szCs w:val="22"/>
          <w:highlight w:val="none"/>
        </w:rPr>
        <w:t>）。</w:t>
      </w:r>
    </w:p>
    <w:p w14:paraId="4D70D2D9">
      <w:pPr>
        <w:tabs>
          <w:tab w:val="left" w:pos="2340"/>
        </w:tabs>
        <w:adjustRightIn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停放管理。乙方应认真履行保管职责，建立严格的安全、保管制度，涉案车辆停入保管场地的同时，乙方应立即将凭证信息、移交单信息、车辆信息、车辆照片等按要求录入涉案车辆管理系统。做好涉案车辆登记台帐，对涉案车辆应使用甲方的涉案车辆管理系统的要使用具有防水、防热、抗撕性能的信息码或编码设备，实施一车一号管理，放置于车辆可以明显观察的部位。对无牌车辆，甲方应会同车辆保管场地编制自编号（如1号、2号、3号……），并及时登记发动机和车架号码，自编号编制后不得随意变动。乙方对涉案车辆要履行保管措施，对车辆保管期间发生的损坏（包括自燃、被盗等情况）、车辆设备遗失和随车物品的丢失，承担赔偿责任。乙方应定期检查涉案车辆管理系统中信息，对涉案车辆逐一核对（同时要登陆涉案车辆管理系统进行核对），发现异常情况立即更正并与暂扣涉案车辆的中队管理人员汇报</w:t>
      </w:r>
      <w:r>
        <w:rPr>
          <w:rFonts w:hint="eastAsia" w:ascii="新宋体" w:hAnsi="新宋体" w:eastAsia="新宋体" w:cs="新宋体"/>
          <w:color w:val="auto"/>
          <w:sz w:val="22"/>
          <w:szCs w:val="22"/>
          <w:highlight w:val="none"/>
          <w:lang w:eastAsia="zh-CN"/>
        </w:rPr>
        <w:t>。</w:t>
      </w:r>
    </w:p>
    <w:p w14:paraId="0332B078">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（3）出场管理。甲方所扣押车辆处理结束时，乙方对涉案车辆放行必须凭甲方及下属单位向当事人出具的放车凭证放行。乙方</w:t>
      </w:r>
      <w:r>
        <w:rPr>
          <w:rFonts w:hint="eastAsia" w:ascii="新宋体" w:hAnsi="新宋体" w:eastAsia="新宋体" w:cs="新宋体"/>
          <w:color w:val="auto"/>
          <w:sz w:val="22"/>
          <w:szCs w:val="22"/>
          <w:highlight w:val="none"/>
          <w:lang w:val="en-US" w:eastAsia="zh-CN"/>
        </w:rPr>
        <w:t>收到</w:t>
      </w:r>
      <w:r>
        <w:rPr>
          <w:rFonts w:hint="eastAsia" w:ascii="新宋体" w:hAnsi="新宋体" w:eastAsia="新宋体" w:cs="新宋体"/>
          <w:color w:val="auto"/>
          <w:sz w:val="22"/>
          <w:szCs w:val="22"/>
          <w:highlight w:val="none"/>
        </w:rPr>
        <w:t>放车凭证后，核查无误后放车。车辆保管场地不得擅自处置委托停放的车辆，包括擅自放车、转卖、拆解等。</w:t>
      </w:r>
    </w:p>
    <w:p w14:paraId="641CD574">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超载车辆的卸货程序及要求。超载车辆按规定进入保管场地后，经甲方及下属单位的同意后，由驾驶员或车主自行卸货。如委托保管场地卸货的应有书面协议书，必须事先与车主谈妥卸货费用并由车主在委托书上签字，必须承诺自愿要求，杜绝出现乱收费现象。由驾驶员或车主自行驳货或委托车辆保管场地安排驳货，车辆保管场地不得以任何理由阻止驳货。对因驳货需要进入停车场地的其他社会车辆，乙方应按照《关于印发温州市区机动车停放服务收费管理暂行办法的通知》（温政发</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2016</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35号）规定向</w:t>
      </w:r>
      <w:r>
        <w:rPr>
          <w:rFonts w:hint="eastAsia" w:ascii="新宋体" w:hAnsi="新宋体" w:eastAsia="新宋体"/>
          <w:color w:val="auto"/>
          <w:sz w:val="22"/>
          <w:szCs w:val="22"/>
          <w:highlight w:val="none"/>
        </w:rPr>
        <w:t>车主收费</w:t>
      </w:r>
      <w:r>
        <w:rPr>
          <w:rFonts w:hint="eastAsia" w:ascii="新宋体" w:hAnsi="新宋体" w:eastAsia="新宋体" w:cs="新宋体"/>
          <w:color w:val="auto"/>
          <w:sz w:val="22"/>
          <w:szCs w:val="22"/>
          <w:highlight w:val="none"/>
        </w:rPr>
        <w:t>，且收费标准不得高于《温州市区机动车停放服务收费管理暂行办法》附件3中公立医院停车场的收费标准，不得擅自提高收费标准，并及时将收费标准进行上墙公示。</w:t>
      </w:r>
    </w:p>
    <w:p w14:paraId="4BC48A7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（5）危险化学品运输车辆不得停放在普通货物车辆保管场地内。</w:t>
      </w:r>
    </w:p>
    <w:p w14:paraId="537FE32D">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乙方拆卸涉案车辆零件、私自放行涉案车辆离开保管地点，将涉案辆挪作他用、擅自报废车辆的，造成涉案车辆损坏、其他人员伤害、物品损坏、油料失少等其他损失的，均由乙方负责；造成严重影响或后果的，甲方有权解除合同并同时追究乙方法律责任。</w:t>
      </w:r>
    </w:p>
    <w:p w14:paraId="689E0A7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（7）涉案车辆服务费用每季向甲方结算；乙方不得向当事人或其他单位（人）另行收取甲方已承担的涉案车辆拖车、保管等服务费用。</w:t>
      </w:r>
    </w:p>
    <w:p w14:paraId="28AF8B5B">
      <w:pPr>
        <w:tabs>
          <w:tab w:val="left" w:pos="2340"/>
        </w:tabs>
        <w:adjustRightIn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应在合同签订后的15日内，完成原中标辖区内库存涉案车辆（预计每个标项库存涉案车辆在2000辆左右，以实际为准）从原车辆保管场地拖移至</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提供的车辆保管场地，并按要求做好车辆停放管理工作，拖移费用由</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承担。完成转场前，原车辆保管场地停车费用由</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支付。</w:t>
      </w:r>
    </w:p>
    <w:p w14:paraId="0C5522D9">
      <w:pPr>
        <w:tabs>
          <w:tab w:val="left" w:pos="2340"/>
        </w:tabs>
        <w:adjustRightIn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）合同</w:t>
      </w:r>
      <w:r>
        <w:rPr>
          <w:rFonts w:hint="eastAsia" w:ascii="新宋体" w:hAnsi="新宋体" w:eastAsia="新宋体" w:cs="新宋体"/>
          <w:color w:val="auto"/>
          <w:sz w:val="22"/>
          <w:szCs w:val="22"/>
          <w:highlight w:val="none"/>
          <w:lang w:val="en-US" w:eastAsia="zh-CN"/>
        </w:rPr>
        <w:t>期限达到后</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因甲方未找到新的停车场所并未完成车辆转移的，</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lang w:val="en-US" w:eastAsia="zh-CN"/>
        </w:rPr>
        <w:t>应继续</w:t>
      </w:r>
      <w:r>
        <w:rPr>
          <w:rFonts w:hint="eastAsia" w:ascii="新宋体" w:hAnsi="新宋体" w:eastAsia="新宋体" w:cs="新宋体"/>
          <w:color w:val="auto"/>
          <w:sz w:val="22"/>
          <w:szCs w:val="22"/>
          <w:highlight w:val="none"/>
        </w:rPr>
        <w:t>提供的车辆保管</w:t>
      </w:r>
      <w:r>
        <w:rPr>
          <w:rFonts w:hint="eastAsia" w:ascii="新宋体" w:hAnsi="新宋体" w:eastAsia="新宋体" w:cs="新宋体"/>
          <w:color w:val="auto"/>
          <w:sz w:val="22"/>
          <w:szCs w:val="22"/>
          <w:highlight w:val="none"/>
          <w:lang w:val="en-US" w:eastAsia="zh-CN"/>
        </w:rPr>
        <w:t>服务</w:t>
      </w:r>
      <w:r>
        <w:rPr>
          <w:rFonts w:hint="eastAsia" w:ascii="新宋体" w:hAnsi="新宋体" w:eastAsia="新宋体" w:cs="新宋体"/>
          <w:color w:val="auto"/>
          <w:sz w:val="22"/>
          <w:szCs w:val="22"/>
          <w:highlight w:val="none"/>
        </w:rPr>
        <w:t>，并按要求做好车辆停放管理工作。</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完成转场</w:t>
      </w:r>
      <w:r>
        <w:rPr>
          <w:rFonts w:hint="eastAsia" w:ascii="新宋体" w:hAnsi="新宋体" w:eastAsia="新宋体" w:cs="新宋体"/>
          <w:color w:val="auto"/>
          <w:sz w:val="22"/>
          <w:szCs w:val="22"/>
          <w:highlight w:val="none"/>
          <w:lang w:val="en-US" w:eastAsia="zh-CN"/>
        </w:rPr>
        <w:t>前</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超期产生的</w:t>
      </w:r>
      <w:r>
        <w:rPr>
          <w:rFonts w:hint="eastAsia" w:ascii="新宋体" w:hAnsi="新宋体" w:eastAsia="新宋体" w:cs="新宋体"/>
          <w:color w:val="auto"/>
          <w:sz w:val="22"/>
          <w:szCs w:val="22"/>
          <w:highlight w:val="none"/>
        </w:rPr>
        <w:t>车辆保管</w:t>
      </w:r>
      <w:r>
        <w:rPr>
          <w:rFonts w:hint="eastAsia" w:ascii="新宋体" w:hAnsi="新宋体" w:eastAsia="新宋体" w:cs="新宋体"/>
          <w:color w:val="auto"/>
          <w:sz w:val="22"/>
          <w:szCs w:val="22"/>
          <w:highlight w:val="none"/>
          <w:lang w:val="en-US" w:eastAsia="zh-CN"/>
        </w:rPr>
        <w:t>服务</w:t>
      </w:r>
      <w:r>
        <w:rPr>
          <w:rFonts w:hint="eastAsia" w:ascii="新宋体" w:hAnsi="新宋体" w:eastAsia="新宋体" w:cs="新宋体"/>
          <w:color w:val="auto"/>
          <w:sz w:val="22"/>
          <w:szCs w:val="22"/>
          <w:highlight w:val="none"/>
        </w:rPr>
        <w:t>费用由</w:t>
      </w:r>
      <w:r>
        <w:rPr>
          <w:rFonts w:hint="eastAsia" w:ascii="新宋体" w:hAnsi="新宋体" w:eastAsia="新宋体" w:cs="新宋体"/>
          <w:color w:val="auto"/>
          <w:sz w:val="22"/>
          <w:szCs w:val="22"/>
          <w:highlight w:val="none"/>
          <w:lang w:val="en-US" w:eastAsia="zh-CN"/>
        </w:rPr>
        <w:t>甲方或后续服务供应商</w:t>
      </w:r>
      <w:r>
        <w:rPr>
          <w:rFonts w:hint="eastAsia" w:ascii="新宋体" w:hAnsi="新宋体" w:eastAsia="新宋体" w:cs="新宋体"/>
          <w:color w:val="auto"/>
          <w:sz w:val="22"/>
          <w:szCs w:val="22"/>
          <w:highlight w:val="none"/>
        </w:rPr>
        <w:t>支付。</w:t>
      </w:r>
    </w:p>
    <w:p w14:paraId="150F052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）因乙方原因，造成严重影响或后果的，甲方有权解除合同。</w:t>
      </w:r>
    </w:p>
    <w:p w14:paraId="1F5F3C79">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）除上述规定外，必须严格遵守温州市公安局交通管理局的涉案车辆管理规定要求执行。</w:t>
      </w:r>
    </w:p>
    <w:p w14:paraId="28F20E7A">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6、安全管理</w:t>
      </w:r>
    </w:p>
    <w:p w14:paraId="461921C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（1）车辆保管场地应建立完善的安全、保安管理制度，加强车辆保管场地地的保安巡查，特别是夜间巡查，防止盗窃、火灾事故发生。</w:t>
      </w:r>
    </w:p>
    <w:p w14:paraId="0F07DA08">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（2）车辆进场时，甲方及车辆保管场地工作人员应对随车所运货物进行鉴别，需采取特殊防护措施的，应</w:t>
      </w:r>
      <w:r>
        <w:rPr>
          <w:rFonts w:hint="eastAsia" w:ascii="新宋体" w:hAnsi="新宋体" w:eastAsia="新宋体" w:cs="新宋体"/>
          <w:color w:val="auto"/>
          <w:sz w:val="22"/>
          <w:szCs w:val="22"/>
          <w:highlight w:val="none"/>
          <w:lang w:eastAsia="zh-CN"/>
        </w:rPr>
        <w:t>告知</w:t>
      </w:r>
      <w:r>
        <w:rPr>
          <w:rFonts w:hint="eastAsia" w:ascii="新宋体" w:hAnsi="新宋体" w:eastAsia="新宋体" w:cs="新宋体"/>
          <w:color w:val="auto"/>
          <w:sz w:val="22"/>
          <w:szCs w:val="22"/>
          <w:highlight w:val="none"/>
        </w:rPr>
        <w:t>车主或驾驶人员采取相应的防护措施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车主或驾驶人员</w:t>
      </w:r>
      <w:r>
        <w:rPr>
          <w:rFonts w:hint="eastAsia" w:ascii="新宋体" w:hAnsi="新宋体" w:eastAsia="新宋体" w:cs="新宋体"/>
          <w:color w:val="auto"/>
          <w:sz w:val="22"/>
          <w:szCs w:val="22"/>
          <w:highlight w:val="none"/>
          <w:lang w:eastAsia="zh-CN"/>
        </w:rPr>
        <w:t>拒绝采用防护措施的，应予以书面告知</w:t>
      </w:r>
      <w:r>
        <w:rPr>
          <w:rFonts w:hint="eastAsia" w:ascii="新宋体" w:hAnsi="新宋体" w:eastAsia="新宋体" w:cs="新宋体"/>
          <w:color w:val="auto"/>
          <w:sz w:val="22"/>
          <w:szCs w:val="22"/>
          <w:highlight w:val="none"/>
        </w:rPr>
        <w:t>。在车辆停放期间，车辆保管场地应加强对上述车辆的停放管理，防止意外事故发生。</w:t>
      </w:r>
    </w:p>
    <w:p w14:paraId="7F187622">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乙方提供的保管场地按消防要求设置消防灭火设施、防火隔离通道等设施，在保管场地必要位置设立消防通道等相关标识，在必要位置设路障和防护栏，且有专人定期检查和管理使用，确保消防设施完好、有效。保管场地应购买足额的有效意外损失保险，保额总额不得低于100万元（含）</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如有客观原因导致无法购买</w:t>
      </w:r>
      <w:r>
        <w:rPr>
          <w:rFonts w:hint="eastAsia" w:ascii="新宋体" w:hAnsi="新宋体" w:eastAsia="新宋体" w:cs="新宋体"/>
          <w:color w:val="auto"/>
          <w:sz w:val="22"/>
          <w:szCs w:val="22"/>
          <w:highlight w:val="none"/>
        </w:rPr>
        <w:t>意外损失保险</w:t>
      </w:r>
      <w:r>
        <w:rPr>
          <w:rFonts w:hint="eastAsia" w:ascii="新宋体" w:hAnsi="新宋体" w:eastAsia="新宋体" w:cs="新宋体"/>
          <w:color w:val="auto"/>
          <w:sz w:val="22"/>
          <w:szCs w:val="22"/>
          <w:highlight w:val="none"/>
          <w:lang w:val="en-US" w:eastAsia="zh-CN"/>
        </w:rPr>
        <w:t>的，应提供证明材料</w:t>
      </w:r>
      <w:r>
        <w:rPr>
          <w:rFonts w:hint="eastAsia" w:ascii="新宋体" w:hAnsi="新宋体" w:eastAsia="新宋体" w:cs="新宋体"/>
          <w:color w:val="auto"/>
          <w:sz w:val="22"/>
          <w:szCs w:val="22"/>
          <w:highlight w:val="none"/>
        </w:rPr>
        <w:t>。</w:t>
      </w:r>
    </w:p>
    <w:p w14:paraId="7AB3D69B">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7、台账管理</w:t>
      </w:r>
    </w:p>
    <w:p w14:paraId="3380D2C2">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（1）台账完整度：准确、及时登记车辆信息，及时变更车辆状态，保证每辆车辆的信息准确、完整。</w:t>
      </w:r>
    </w:p>
    <w:p w14:paraId="14F7FC83">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（2）台账准确率:保证车辆信息准确无误，如车辆信息登记有误，及时上报甲方，予以纠正。</w:t>
      </w:r>
    </w:p>
    <w:p w14:paraId="2C2CAD28">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8、车辆转场或处置</w:t>
      </w:r>
    </w:p>
    <w:p w14:paraId="7356D13E">
      <w:pPr>
        <w:tabs>
          <w:tab w:val="left" w:pos="2340"/>
        </w:tabs>
        <w:adjustRightIn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经甲方及下属单位的确定需转场或处置的车辆，乙方需在3</w:t>
      </w:r>
      <w:r>
        <w:rPr>
          <w:rFonts w:hint="eastAsia" w:ascii="新宋体" w:hAnsi="新宋体" w:eastAsia="新宋体" w:cs="新宋体"/>
          <w:color w:val="auto"/>
          <w:sz w:val="22"/>
          <w:szCs w:val="22"/>
          <w:highlight w:val="none"/>
          <w:lang w:val="en-US" w:eastAsia="zh-CN"/>
        </w:rPr>
        <w:t>个工作</w:t>
      </w:r>
      <w:r>
        <w:rPr>
          <w:rFonts w:hint="eastAsia" w:ascii="新宋体" w:hAnsi="新宋体" w:eastAsia="新宋体" w:cs="新宋体"/>
          <w:color w:val="auto"/>
          <w:sz w:val="22"/>
          <w:szCs w:val="22"/>
          <w:highlight w:val="none"/>
        </w:rPr>
        <w:t>日内将涉案车辆整理至相对独立的场地，等待后续处置。因乙方场地变更造成的涉案车辆转场需要，应由乙方自行负责。</w:t>
      </w:r>
    </w:p>
    <w:p w14:paraId="384B52F0">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9、监督管理</w:t>
      </w:r>
    </w:p>
    <w:p w14:paraId="02CD6099">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严禁车辆保管场地工作人员参与交通执法活动，包括上路拦车、驾驶违章车辆、参与罚款处理等。</w:t>
      </w:r>
    </w:p>
    <w:p w14:paraId="244A0FB9">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、责任追究</w:t>
      </w:r>
    </w:p>
    <w:p w14:paraId="472BDA1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（1）乙方不按照标准进行收费的，除由车辆保管场地退还全部停车费外，甲方应及时提出整改意见，整改不到位的，</w:t>
      </w:r>
      <w:r>
        <w:rPr>
          <w:rFonts w:hint="eastAsia" w:ascii="新宋体" w:hAnsi="新宋体" w:eastAsia="新宋体" w:cs="新宋体"/>
          <w:color w:val="auto"/>
          <w:sz w:val="22"/>
          <w:szCs w:val="22"/>
          <w:highlight w:val="none"/>
          <w:lang w:val="en-US" w:eastAsia="zh-CN"/>
        </w:rPr>
        <w:t>可视情</w:t>
      </w:r>
      <w:r>
        <w:rPr>
          <w:rFonts w:hint="eastAsia" w:ascii="新宋体" w:hAnsi="新宋体" w:eastAsia="新宋体" w:cs="新宋体"/>
          <w:color w:val="auto"/>
          <w:sz w:val="22"/>
          <w:szCs w:val="22"/>
          <w:highlight w:val="none"/>
        </w:rPr>
        <w:t>终止委托协议。</w:t>
      </w:r>
    </w:p>
    <w:p w14:paraId="0F4BF3AD">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（2）乙方擅自处置委托停放车辆的，终止委托协议，其引起的一切法律、经济后果由乙方承担。</w:t>
      </w:r>
    </w:p>
    <w:p w14:paraId="29F98E8E">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（3）因车辆保管场地管理不善造成车主</w:t>
      </w:r>
      <w:r>
        <w:rPr>
          <w:rFonts w:hint="eastAsia" w:ascii="新宋体" w:hAnsi="新宋体" w:eastAsia="新宋体" w:cs="新宋体"/>
          <w:color w:val="auto"/>
          <w:sz w:val="22"/>
          <w:szCs w:val="22"/>
          <w:highlight w:val="none"/>
          <w:lang w:val="en-US" w:eastAsia="zh-CN"/>
        </w:rPr>
        <w:t>财产</w:t>
      </w:r>
      <w:r>
        <w:rPr>
          <w:rFonts w:hint="eastAsia" w:ascii="新宋体" w:hAnsi="新宋体" w:eastAsia="新宋体" w:cs="新宋体"/>
          <w:color w:val="auto"/>
          <w:sz w:val="22"/>
          <w:szCs w:val="22"/>
          <w:highlight w:val="none"/>
        </w:rPr>
        <w:t>损失的，由</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进行赔偿。</w:t>
      </w:r>
    </w:p>
    <w:p w14:paraId="31CA03D5">
      <w:pPr>
        <w:tabs>
          <w:tab w:val="left" w:pos="2340"/>
        </w:tabs>
        <w:adjustRightInd w:val="0"/>
        <w:spacing w:line="460" w:lineRule="exact"/>
        <w:ind w:firstLine="440" w:firstLineChars="200"/>
        <w:rPr>
          <w:rFonts w:ascii="新宋体" w:hAnsi="新宋体" w:eastAsia="新宋体"/>
          <w:color w:val="auto"/>
          <w:sz w:val="22"/>
          <w:szCs w:val="22"/>
          <w:highlight w:val="none"/>
          <w:u w:val="single"/>
        </w:rPr>
      </w:pPr>
      <w:r>
        <w:rPr>
          <w:rFonts w:hint="eastAsia" w:ascii="新宋体" w:hAnsi="新宋体" w:eastAsia="新宋体" w:cs="新宋体"/>
          <w:color w:val="auto"/>
          <w:sz w:val="22"/>
          <w:szCs w:val="22"/>
          <w:highlight w:val="none"/>
        </w:rPr>
        <w:t xml:space="preserve">（4）乙方工作人员参与执法活动的，按照责任追究制对相关人员进行处理。  </w:t>
      </w:r>
    </w:p>
    <w:p w14:paraId="57CCC1F4">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七、乙方的权利和义务</w:t>
      </w:r>
    </w:p>
    <w:p w14:paraId="043125CD">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ascii="新宋体" w:hAnsi="新宋体" w:eastAsia="新宋体"/>
          <w:color w:val="auto"/>
          <w:sz w:val="22"/>
          <w:szCs w:val="22"/>
          <w:highlight w:val="none"/>
        </w:rPr>
        <w:t>有权按</w:t>
      </w:r>
      <w:r>
        <w:rPr>
          <w:rFonts w:hint="eastAsia" w:ascii="新宋体" w:hAnsi="新宋体" w:eastAsia="新宋体"/>
          <w:color w:val="auto"/>
          <w:sz w:val="22"/>
          <w:szCs w:val="22"/>
          <w:highlight w:val="none"/>
        </w:rPr>
        <w:t>国家</w:t>
      </w:r>
      <w:r>
        <w:rPr>
          <w:rFonts w:ascii="新宋体" w:hAnsi="新宋体" w:eastAsia="新宋体"/>
          <w:color w:val="auto"/>
          <w:sz w:val="22"/>
          <w:szCs w:val="22"/>
          <w:highlight w:val="none"/>
        </w:rPr>
        <w:t>有关政策制定停车管理制度；</w:t>
      </w:r>
    </w:p>
    <w:p w14:paraId="6A2E7371">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ascii="新宋体" w:hAnsi="新宋体" w:eastAsia="新宋体"/>
          <w:color w:val="auto"/>
          <w:sz w:val="22"/>
          <w:szCs w:val="22"/>
          <w:highlight w:val="none"/>
        </w:rPr>
        <w:t>有权按照本协议约定向甲方收取管理服务费；</w:t>
      </w:r>
    </w:p>
    <w:p w14:paraId="068AF20B">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ascii="新宋体" w:hAnsi="新宋体" w:eastAsia="新宋体"/>
          <w:color w:val="auto"/>
          <w:sz w:val="22"/>
          <w:szCs w:val="22"/>
          <w:highlight w:val="none"/>
        </w:rPr>
        <w:t>有权根据</w:t>
      </w:r>
      <w:r>
        <w:rPr>
          <w:rFonts w:hint="eastAsia" w:ascii="新宋体" w:hAnsi="新宋体" w:eastAsia="新宋体"/>
          <w:color w:val="auto"/>
          <w:sz w:val="22"/>
          <w:szCs w:val="22"/>
          <w:highlight w:val="none"/>
        </w:rPr>
        <w:t>国家</w:t>
      </w:r>
      <w:r>
        <w:rPr>
          <w:rFonts w:ascii="新宋体" w:hAnsi="新宋体" w:eastAsia="新宋体"/>
          <w:color w:val="auto"/>
          <w:sz w:val="22"/>
          <w:szCs w:val="22"/>
          <w:highlight w:val="none"/>
        </w:rPr>
        <w:t>相关规定调整本</w:t>
      </w:r>
      <w:r>
        <w:rPr>
          <w:rFonts w:hint="eastAsia" w:ascii="新宋体" w:hAnsi="新宋体" w:eastAsia="新宋体"/>
          <w:color w:val="auto"/>
          <w:sz w:val="22"/>
          <w:szCs w:val="22"/>
          <w:highlight w:val="none"/>
        </w:rPr>
        <w:t>车辆保管场地</w:t>
      </w:r>
      <w:r>
        <w:rPr>
          <w:rFonts w:ascii="新宋体" w:hAnsi="新宋体" w:eastAsia="新宋体"/>
          <w:color w:val="auto"/>
          <w:sz w:val="22"/>
          <w:szCs w:val="22"/>
          <w:highlight w:val="none"/>
        </w:rPr>
        <w:t>的</w:t>
      </w:r>
      <w:r>
        <w:rPr>
          <w:rFonts w:hint="eastAsia" w:ascii="新宋体" w:hAnsi="新宋体" w:eastAsia="新宋体"/>
          <w:color w:val="auto"/>
          <w:sz w:val="22"/>
          <w:szCs w:val="22"/>
          <w:highlight w:val="none"/>
        </w:rPr>
        <w:t>向当事人提供服务的</w:t>
      </w:r>
      <w:r>
        <w:rPr>
          <w:rFonts w:ascii="新宋体" w:hAnsi="新宋体" w:eastAsia="新宋体"/>
          <w:color w:val="auto"/>
          <w:sz w:val="22"/>
          <w:szCs w:val="22"/>
          <w:highlight w:val="none"/>
        </w:rPr>
        <w:t>收费标准,但需提前一个月通知甲方</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并取得甲方同意</w:t>
      </w:r>
      <w:r>
        <w:rPr>
          <w:rFonts w:ascii="新宋体" w:hAnsi="新宋体" w:eastAsia="新宋体"/>
          <w:color w:val="auto"/>
          <w:sz w:val="22"/>
          <w:szCs w:val="22"/>
          <w:highlight w:val="none"/>
        </w:rPr>
        <w:t>；</w:t>
      </w:r>
    </w:p>
    <w:p w14:paraId="523F21EE">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w:t>
      </w:r>
      <w:r>
        <w:rPr>
          <w:rFonts w:ascii="新宋体" w:hAnsi="新宋体" w:eastAsia="新宋体"/>
          <w:color w:val="auto"/>
          <w:sz w:val="22"/>
          <w:szCs w:val="22"/>
          <w:highlight w:val="none"/>
        </w:rPr>
        <w:t>有权</w:t>
      </w:r>
      <w:r>
        <w:rPr>
          <w:rFonts w:hint="eastAsia" w:ascii="新宋体" w:hAnsi="新宋体" w:eastAsia="新宋体"/>
          <w:color w:val="auto"/>
          <w:sz w:val="22"/>
          <w:szCs w:val="22"/>
          <w:highlight w:val="none"/>
        </w:rPr>
        <w:t>根据工作需求，</w:t>
      </w:r>
      <w:r>
        <w:rPr>
          <w:rFonts w:ascii="新宋体" w:hAnsi="新宋体" w:eastAsia="新宋体"/>
          <w:color w:val="auto"/>
          <w:sz w:val="22"/>
          <w:szCs w:val="22"/>
          <w:highlight w:val="none"/>
        </w:rPr>
        <w:t>获取停入本</w:t>
      </w:r>
      <w:r>
        <w:rPr>
          <w:rFonts w:hint="eastAsia" w:ascii="新宋体" w:hAnsi="新宋体" w:eastAsia="新宋体"/>
          <w:color w:val="auto"/>
          <w:sz w:val="22"/>
          <w:szCs w:val="22"/>
          <w:highlight w:val="none"/>
        </w:rPr>
        <w:t>车辆保管场地</w:t>
      </w:r>
      <w:r>
        <w:rPr>
          <w:rFonts w:ascii="新宋体" w:hAnsi="新宋体" w:eastAsia="新宋体"/>
          <w:color w:val="auto"/>
          <w:sz w:val="22"/>
          <w:szCs w:val="22"/>
          <w:highlight w:val="none"/>
        </w:rPr>
        <w:t>车辆的</w:t>
      </w:r>
      <w:r>
        <w:rPr>
          <w:rFonts w:hint="eastAsia" w:ascii="新宋体" w:hAnsi="新宋体" w:eastAsia="新宋体"/>
          <w:color w:val="auto"/>
          <w:sz w:val="22"/>
          <w:szCs w:val="22"/>
          <w:highlight w:val="none"/>
        </w:rPr>
        <w:t>基本信息资料（包括车牌、车架号、发动机号及车主等信息）</w:t>
      </w:r>
      <w:r>
        <w:rPr>
          <w:rFonts w:ascii="新宋体" w:hAnsi="新宋体" w:eastAsia="新宋体"/>
          <w:color w:val="auto"/>
          <w:sz w:val="22"/>
          <w:szCs w:val="22"/>
          <w:highlight w:val="none"/>
        </w:rPr>
        <w:t>，如发现所提供资料虚假，有权拒绝甲方将车辆停入本</w:t>
      </w:r>
      <w:r>
        <w:rPr>
          <w:rFonts w:hint="eastAsia" w:ascii="新宋体" w:hAnsi="新宋体" w:eastAsia="新宋体"/>
          <w:color w:val="auto"/>
          <w:sz w:val="22"/>
          <w:szCs w:val="22"/>
          <w:highlight w:val="none"/>
        </w:rPr>
        <w:t>车辆保管场地</w:t>
      </w:r>
      <w:r>
        <w:rPr>
          <w:rFonts w:ascii="新宋体" w:hAnsi="新宋体" w:eastAsia="新宋体"/>
          <w:color w:val="auto"/>
          <w:sz w:val="22"/>
          <w:szCs w:val="22"/>
          <w:highlight w:val="none"/>
        </w:rPr>
        <w:t>；</w:t>
      </w:r>
    </w:p>
    <w:p w14:paraId="5FF6FB26">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w:t>
      </w:r>
      <w:r>
        <w:rPr>
          <w:rFonts w:ascii="新宋体" w:hAnsi="新宋体" w:eastAsia="新宋体"/>
          <w:color w:val="auto"/>
          <w:sz w:val="22"/>
          <w:szCs w:val="22"/>
          <w:highlight w:val="none"/>
        </w:rPr>
        <w:t>有权对进出车辆进行登记，查验凭证；</w:t>
      </w:r>
    </w:p>
    <w:p w14:paraId="00AA79D2">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w:t>
      </w:r>
      <w:r>
        <w:rPr>
          <w:rFonts w:ascii="新宋体" w:hAnsi="新宋体" w:eastAsia="新宋体"/>
          <w:color w:val="auto"/>
          <w:sz w:val="22"/>
          <w:szCs w:val="22"/>
          <w:highlight w:val="none"/>
        </w:rPr>
        <w:t>负责本</w:t>
      </w:r>
      <w:r>
        <w:rPr>
          <w:rFonts w:hint="eastAsia" w:ascii="新宋体" w:hAnsi="新宋体" w:eastAsia="新宋体"/>
          <w:color w:val="auto"/>
          <w:sz w:val="22"/>
          <w:szCs w:val="22"/>
          <w:highlight w:val="none"/>
        </w:rPr>
        <w:t>车辆保管场地</w:t>
      </w:r>
      <w:r>
        <w:rPr>
          <w:rFonts w:ascii="新宋体" w:hAnsi="新宋体" w:eastAsia="新宋体"/>
          <w:color w:val="auto"/>
          <w:sz w:val="22"/>
          <w:szCs w:val="22"/>
          <w:highlight w:val="none"/>
        </w:rPr>
        <w:t>及设施、设备的检查、维修及管理工作；</w:t>
      </w:r>
    </w:p>
    <w:p w14:paraId="6A192919">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w:t>
      </w:r>
      <w:r>
        <w:rPr>
          <w:rFonts w:ascii="新宋体" w:hAnsi="新宋体" w:eastAsia="新宋体"/>
          <w:color w:val="auto"/>
          <w:sz w:val="22"/>
          <w:szCs w:val="22"/>
          <w:highlight w:val="none"/>
        </w:rPr>
        <w:t>负责安排专人看管</w:t>
      </w:r>
      <w:r>
        <w:rPr>
          <w:rFonts w:hint="eastAsia" w:ascii="新宋体" w:hAnsi="新宋体" w:eastAsia="新宋体"/>
          <w:color w:val="auto"/>
          <w:sz w:val="22"/>
          <w:szCs w:val="22"/>
          <w:highlight w:val="none"/>
        </w:rPr>
        <w:t>车辆保管场地</w:t>
      </w:r>
      <w:r>
        <w:rPr>
          <w:rFonts w:ascii="新宋体" w:hAnsi="新宋体" w:eastAsia="新宋体"/>
          <w:color w:val="auto"/>
          <w:sz w:val="22"/>
          <w:szCs w:val="22"/>
          <w:highlight w:val="none"/>
        </w:rPr>
        <w:t>,采取各种防范措施，防止车辆丢失；有权劝阻、制止任何损害停放车辆的行为；</w:t>
      </w:r>
    </w:p>
    <w:p w14:paraId="69D29E5E">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8、保证车辆保管场地内车辆停放有序，能及时找出停放的车辆。</w:t>
      </w:r>
    </w:p>
    <w:p w14:paraId="0FF1FDB9">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w:t>
      </w:r>
      <w:r>
        <w:rPr>
          <w:rFonts w:ascii="新宋体" w:hAnsi="新宋体" w:eastAsia="新宋体"/>
          <w:color w:val="auto"/>
          <w:sz w:val="22"/>
          <w:szCs w:val="22"/>
          <w:highlight w:val="none"/>
        </w:rPr>
        <w:t>负责向甲方开具管理企业发票；</w:t>
      </w:r>
    </w:p>
    <w:p w14:paraId="57F17943">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八、甲方的权利和义务</w:t>
      </w:r>
    </w:p>
    <w:p w14:paraId="284708D5">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ascii="新宋体" w:hAnsi="新宋体" w:eastAsia="新宋体"/>
          <w:color w:val="auto"/>
          <w:sz w:val="22"/>
          <w:szCs w:val="22"/>
          <w:highlight w:val="none"/>
        </w:rPr>
        <w:t>有权对</w:t>
      </w:r>
      <w:r>
        <w:rPr>
          <w:rFonts w:ascii="新宋体" w:hAnsi="新宋体" w:eastAsia="新宋体"/>
          <w:color w:val="auto"/>
          <w:sz w:val="22"/>
          <w:highlight w:val="none"/>
        </w:rPr>
        <w:t>乙</w:t>
      </w:r>
      <w:r>
        <w:rPr>
          <w:rFonts w:ascii="新宋体" w:hAnsi="新宋体" w:eastAsia="新宋体"/>
          <w:color w:val="auto"/>
          <w:sz w:val="22"/>
          <w:szCs w:val="22"/>
          <w:highlight w:val="none"/>
        </w:rPr>
        <w:t>方提供的管理服务进行监督，提出批评和建议；</w:t>
      </w:r>
    </w:p>
    <w:p w14:paraId="262AAF21">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ascii="新宋体" w:hAnsi="新宋体" w:eastAsia="新宋体"/>
          <w:color w:val="auto"/>
          <w:sz w:val="22"/>
          <w:szCs w:val="22"/>
          <w:highlight w:val="none"/>
        </w:rPr>
        <w:t>因</w:t>
      </w:r>
      <w:r>
        <w:rPr>
          <w:rFonts w:ascii="新宋体" w:hAnsi="新宋体" w:eastAsia="新宋体"/>
          <w:color w:val="auto"/>
          <w:sz w:val="22"/>
          <w:highlight w:val="none"/>
        </w:rPr>
        <w:t>乙</w:t>
      </w:r>
      <w:r>
        <w:rPr>
          <w:rFonts w:ascii="新宋体" w:hAnsi="新宋体" w:eastAsia="新宋体"/>
          <w:color w:val="auto"/>
          <w:sz w:val="22"/>
          <w:szCs w:val="22"/>
          <w:highlight w:val="none"/>
        </w:rPr>
        <w:t>方管理不善造成车辆丢失的，有权依据相关法律法规要求</w:t>
      </w:r>
      <w:r>
        <w:rPr>
          <w:rFonts w:ascii="新宋体" w:hAnsi="新宋体" w:eastAsia="新宋体"/>
          <w:color w:val="auto"/>
          <w:sz w:val="22"/>
          <w:highlight w:val="none"/>
        </w:rPr>
        <w:t>乙</w:t>
      </w:r>
      <w:r>
        <w:rPr>
          <w:rFonts w:ascii="新宋体" w:hAnsi="新宋体" w:eastAsia="新宋体"/>
          <w:color w:val="auto"/>
          <w:sz w:val="22"/>
          <w:szCs w:val="22"/>
          <w:highlight w:val="none"/>
        </w:rPr>
        <w:t>方承担相应责任；</w:t>
      </w:r>
    </w:p>
    <w:p w14:paraId="0270C0F3">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ascii="新宋体" w:hAnsi="新宋体" w:eastAsia="新宋体"/>
          <w:color w:val="auto"/>
          <w:sz w:val="22"/>
          <w:szCs w:val="22"/>
          <w:highlight w:val="none"/>
        </w:rPr>
        <w:t>遵守</w:t>
      </w:r>
      <w:r>
        <w:rPr>
          <w:rFonts w:hint="eastAsia" w:ascii="新宋体" w:hAnsi="新宋体" w:eastAsia="新宋体"/>
          <w:color w:val="auto"/>
          <w:sz w:val="22"/>
          <w:szCs w:val="22"/>
          <w:highlight w:val="none"/>
        </w:rPr>
        <w:t>车辆保管场地</w:t>
      </w:r>
      <w:r>
        <w:rPr>
          <w:rFonts w:ascii="新宋体" w:hAnsi="新宋体" w:eastAsia="新宋体"/>
          <w:color w:val="auto"/>
          <w:sz w:val="22"/>
          <w:szCs w:val="22"/>
          <w:highlight w:val="none"/>
        </w:rPr>
        <w:t>管理的规章制度，</w:t>
      </w:r>
    </w:p>
    <w:p w14:paraId="1E4A6F2B">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w:t>
      </w:r>
      <w:r>
        <w:rPr>
          <w:rFonts w:ascii="新宋体" w:hAnsi="新宋体" w:eastAsia="新宋体"/>
          <w:color w:val="auto"/>
          <w:sz w:val="22"/>
          <w:szCs w:val="22"/>
          <w:highlight w:val="none"/>
        </w:rPr>
        <w:t>按规定使用本车场的设备、设施；</w:t>
      </w:r>
    </w:p>
    <w:p w14:paraId="404F08E9">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九、其他事项：</w:t>
      </w:r>
    </w:p>
    <w:p w14:paraId="69C433EC">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default" w:ascii="新宋体" w:hAnsi="新宋体" w:eastAsia="新宋体"/>
          <w:b/>
          <w:color w:val="auto"/>
          <w:sz w:val="22"/>
          <w:szCs w:val="22"/>
          <w:highlight w:val="none"/>
          <w:u w:val="single"/>
          <w:lang w:val="en-US" w:eastAsia="zh-CN"/>
        </w:rPr>
      </w:pPr>
      <w:r>
        <w:rPr>
          <w:rFonts w:hint="eastAsia" w:ascii="新宋体" w:hAnsi="新宋体" w:eastAsia="新宋体"/>
          <w:b/>
          <w:color w:val="auto"/>
          <w:sz w:val="22"/>
          <w:szCs w:val="22"/>
          <w:highlight w:val="none"/>
          <w:u w:val="single"/>
          <w:lang w:val="en-US" w:eastAsia="zh-CN"/>
        </w:rPr>
        <w:t xml:space="preserve">                                                                             </w:t>
      </w:r>
    </w:p>
    <w:p w14:paraId="350990F3">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十、管理责任</w:t>
      </w:r>
    </w:p>
    <w:p w14:paraId="016C7598">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ascii="新宋体" w:hAnsi="新宋体" w:eastAsia="新宋体"/>
          <w:color w:val="auto"/>
          <w:sz w:val="22"/>
          <w:szCs w:val="22"/>
          <w:highlight w:val="none"/>
        </w:rPr>
        <w:t>因</w:t>
      </w:r>
      <w:r>
        <w:rPr>
          <w:rFonts w:ascii="新宋体" w:hAnsi="新宋体" w:eastAsia="新宋体"/>
          <w:color w:val="auto"/>
          <w:sz w:val="22"/>
          <w:highlight w:val="none"/>
        </w:rPr>
        <w:t>乙</w:t>
      </w:r>
      <w:r>
        <w:rPr>
          <w:rFonts w:ascii="新宋体" w:hAnsi="新宋体" w:eastAsia="新宋体"/>
          <w:color w:val="auto"/>
          <w:sz w:val="22"/>
          <w:szCs w:val="22"/>
          <w:highlight w:val="none"/>
        </w:rPr>
        <w:t>方管理不善，使甲方车辆在</w:t>
      </w:r>
      <w:r>
        <w:rPr>
          <w:rFonts w:hint="eastAsia" w:ascii="新宋体" w:hAnsi="新宋体" w:eastAsia="新宋体"/>
          <w:color w:val="auto"/>
          <w:sz w:val="22"/>
          <w:szCs w:val="22"/>
          <w:highlight w:val="none"/>
        </w:rPr>
        <w:t>车辆保管场地</w:t>
      </w:r>
      <w:r>
        <w:rPr>
          <w:rFonts w:ascii="新宋体" w:hAnsi="新宋体" w:eastAsia="新宋体"/>
          <w:color w:val="auto"/>
          <w:sz w:val="22"/>
          <w:szCs w:val="22"/>
          <w:highlight w:val="none"/>
        </w:rPr>
        <w:t>中被盗丢失，</w:t>
      </w:r>
      <w:r>
        <w:rPr>
          <w:rFonts w:ascii="新宋体" w:hAnsi="新宋体" w:eastAsia="新宋体"/>
          <w:color w:val="auto"/>
          <w:sz w:val="22"/>
          <w:highlight w:val="none"/>
        </w:rPr>
        <w:t>乙</w:t>
      </w:r>
      <w:r>
        <w:rPr>
          <w:rFonts w:ascii="新宋体" w:hAnsi="新宋体" w:eastAsia="新宋体"/>
          <w:color w:val="auto"/>
          <w:sz w:val="22"/>
          <w:szCs w:val="22"/>
          <w:highlight w:val="none"/>
        </w:rPr>
        <w:t>方依照相关法律法规承担相应责任</w:t>
      </w:r>
      <w:r>
        <w:rPr>
          <w:rFonts w:hint="eastAsia" w:ascii="新宋体" w:hAnsi="新宋体" w:eastAsia="新宋体"/>
          <w:color w:val="auto"/>
          <w:sz w:val="22"/>
          <w:szCs w:val="22"/>
          <w:highlight w:val="none"/>
        </w:rPr>
        <w:t>。</w:t>
      </w:r>
    </w:p>
    <w:p w14:paraId="54829AD8">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ascii="新宋体" w:hAnsi="新宋体" w:eastAsia="新宋体"/>
          <w:color w:val="auto"/>
          <w:sz w:val="22"/>
          <w:szCs w:val="22"/>
          <w:highlight w:val="none"/>
        </w:rPr>
        <w:t>因</w:t>
      </w:r>
      <w:r>
        <w:rPr>
          <w:rFonts w:ascii="新宋体" w:hAnsi="新宋体" w:eastAsia="新宋体"/>
          <w:color w:val="auto"/>
          <w:sz w:val="22"/>
          <w:highlight w:val="none"/>
        </w:rPr>
        <w:t>乙</w:t>
      </w:r>
      <w:r>
        <w:rPr>
          <w:rFonts w:ascii="新宋体" w:hAnsi="新宋体" w:eastAsia="新宋体"/>
          <w:color w:val="auto"/>
          <w:sz w:val="22"/>
          <w:szCs w:val="22"/>
          <w:highlight w:val="none"/>
        </w:rPr>
        <w:t>方违反本</w:t>
      </w:r>
      <w:r>
        <w:rPr>
          <w:rFonts w:hint="eastAsia" w:ascii="新宋体" w:hAnsi="新宋体" w:eastAsia="新宋体"/>
          <w:color w:val="auto"/>
          <w:sz w:val="22"/>
          <w:szCs w:val="22"/>
          <w:highlight w:val="none"/>
        </w:rPr>
        <w:t>车辆保管场地</w:t>
      </w:r>
      <w:r>
        <w:rPr>
          <w:rFonts w:ascii="新宋体" w:hAnsi="新宋体" w:eastAsia="新宋体"/>
          <w:color w:val="auto"/>
          <w:sz w:val="22"/>
          <w:szCs w:val="22"/>
          <w:highlight w:val="none"/>
        </w:rPr>
        <w:t>管理规定或由于</w:t>
      </w:r>
      <w:r>
        <w:rPr>
          <w:rFonts w:ascii="新宋体" w:hAnsi="新宋体" w:eastAsia="新宋体"/>
          <w:color w:val="auto"/>
          <w:sz w:val="22"/>
          <w:highlight w:val="none"/>
        </w:rPr>
        <w:t>乙</w:t>
      </w:r>
      <w:r>
        <w:rPr>
          <w:rFonts w:ascii="新宋体" w:hAnsi="新宋体" w:eastAsia="新宋体"/>
          <w:color w:val="auto"/>
          <w:sz w:val="22"/>
          <w:szCs w:val="22"/>
          <w:highlight w:val="none"/>
        </w:rPr>
        <w:t>方自身原因造成自身及他人车辆被刮、碰或损坏的，损失由</w:t>
      </w:r>
      <w:r>
        <w:rPr>
          <w:rFonts w:ascii="新宋体" w:hAnsi="新宋体" w:eastAsia="新宋体"/>
          <w:color w:val="auto"/>
          <w:sz w:val="22"/>
          <w:highlight w:val="none"/>
        </w:rPr>
        <w:t>乙</w:t>
      </w:r>
      <w:r>
        <w:rPr>
          <w:rFonts w:ascii="新宋体" w:hAnsi="新宋体" w:eastAsia="新宋体"/>
          <w:color w:val="auto"/>
          <w:sz w:val="22"/>
          <w:szCs w:val="22"/>
          <w:highlight w:val="none"/>
        </w:rPr>
        <w:t>方承担，由此给他人车辆造成损失的，亦应由</w:t>
      </w:r>
      <w:r>
        <w:rPr>
          <w:rFonts w:ascii="新宋体" w:hAnsi="新宋体" w:eastAsia="新宋体"/>
          <w:color w:val="auto"/>
          <w:sz w:val="22"/>
          <w:highlight w:val="none"/>
        </w:rPr>
        <w:t>乙</w:t>
      </w:r>
      <w:r>
        <w:rPr>
          <w:rFonts w:ascii="新宋体" w:hAnsi="新宋体" w:eastAsia="新宋体"/>
          <w:color w:val="auto"/>
          <w:sz w:val="22"/>
          <w:szCs w:val="22"/>
          <w:highlight w:val="none"/>
        </w:rPr>
        <w:t>方负责赔偿</w:t>
      </w:r>
      <w:r>
        <w:rPr>
          <w:rFonts w:hint="eastAsia" w:ascii="新宋体" w:hAnsi="新宋体" w:eastAsia="新宋体"/>
          <w:color w:val="auto"/>
          <w:sz w:val="22"/>
          <w:szCs w:val="22"/>
          <w:highlight w:val="none"/>
        </w:rPr>
        <w:t>。</w:t>
      </w:r>
    </w:p>
    <w:p w14:paraId="4BE92346">
      <w:pPr>
        <w:spacing w:line="500" w:lineRule="exact"/>
        <w:ind w:firstLine="4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3、乙方应对每辆进车辆保管场地的车辆进行检查，禁止</w:t>
      </w:r>
      <w:r>
        <w:rPr>
          <w:rFonts w:ascii="新宋体" w:hAnsi="新宋体" w:eastAsia="新宋体"/>
          <w:color w:val="auto"/>
          <w:sz w:val="22"/>
          <w:szCs w:val="22"/>
          <w:highlight w:val="none"/>
        </w:rPr>
        <w:t>可燃、可爆、腐蚀物等</w:t>
      </w:r>
      <w:r>
        <w:rPr>
          <w:rFonts w:hint="eastAsia" w:ascii="新宋体" w:hAnsi="新宋体" w:eastAsia="新宋体"/>
          <w:color w:val="auto"/>
          <w:sz w:val="22"/>
          <w:szCs w:val="22"/>
          <w:highlight w:val="none"/>
        </w:rPr>
        <w:t>危险品进入车辆保管场地，确保车辆保管场地安全有序。</w:t>
      </w:r>
    </w:p>
    <w:p w14:paraId="7F23FC79">
      <w:pPr>
        <w:spacing w:line="500" w:lineRule="exact"/>
        <w:ind w:firstLine="450"/>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4．乙方要按《公安机关涉案财物管理若干规定》等相关规定要求，对扣押车辆划定专门区域保管，将社会车辆和扣押车辆予以区分，并将车辆按照同类型有序停放。</w:t>
      </w:r>
    </w:p>
    <w:p w14:paraId="6CCBE21E">
      <w:pPr>
        <w:spacing w:line="500" w:lineRule="exact"/>
        <w:ind w:firstLine="450"/>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十一、违约责任的处理：</w:t>
      </w:r>
    </w:p>
    <w:p w14:paraId="37A97A09">
      <w:pPr>
        <w:spacing w:line="500" w:lineRule="exact"/>
        <w:ind w:firstLine="450"/>
        <w:rPr>
          <w:rFonts w:hint="eastAsia" w:ascii="新宋体" w:hAnsi="新宋体" w:eastAsia="新宋体" w:cs="新宋体"/>
          <w:color w:val="auto"/>
          <w:sz w:val="22"/>
          <w:szCs w:val="22"/>
          <w:highlight w:val="none"/>
        </w:rPr>
      </w:pPr>
      <w:r>
        <w:rPr>
          <w:rFonts w:hint="eastAsia" w:ascii="新宋体" w:hAnsi="新宋体" w:eastAsia="新宋体"/>
          <w:color w:val="auto"/>
          <w:sz w:val="22"/>
          <w:szCs w:val="22"/>
          <w:highlight w:val="none"/>
          <w:lang w:val="en-US" w:eastAsia="zh-CN"/>
        </w:rPr>
        <w:t>1、</w:t>
      </w:r>
      <w:r>
        <w:rPr>
          <w:rFonts w:ascii="新宋体" w:hAnsi="新宋体" w:eastAsia="新宋体"/>
          <w:color w:val="auto"/>
          <w:sz w:val="22"/>
          <w:szCs w:val="22"/>
          <w:highlight w:val="none"/>
        </w:rPr>
        <w:t>一方违约造成另一方损失的，必须赔偿。</w:t>
      </w:r>
      <w:r>
        <w:rPr>
          <w:rFonts w:hint="eastAsia" w:ascii="新宋体" w:hAnsi="新宋体" w:eastAsia="新宋体" w:cs="新宋体"/>
          <w:color w:val="auto"/>
          <w:sz w:val="22"/>
          <w:szCs w:val="22"/>
          <w:highlight w:val="none"/>
        </w:rPr>
        <w:t>乙方不按标准进行收费或擅自处置委托保管车辆等，被甲方检查发现或被投诉查实的，每发生一起，</w:t>
      </w:r>
      <w:r>
        <w:rPr>
          <w:rFonts w:ascii="新宋体" w:hAnsi="新宋体" w:eastAsia="新宋体"/>
          <w:color w:val="auto"/>
          <w:sz w:val="22"/>
          <w:highlight w:val="none"/>
        </w:rPr>
        <w:t>乙</w:t>
      </w:r>
      <w:r>
        <w:rPr>
          <w:rFonts w:ascii="新宋体" w:hAnsi="新宋体" w:eastAsia="新宋体"/>
          <w:color w:val="auto"/>
          <w:sz w:val="22"/>
          <w:szCs w:val="22"/>
          <w:highlight w:val="none"/>
        </w:rPr>
        <w:t>方</w:t>
      </w:r>
      <w:r>
        <w:rPr>
          <w:rFonts w:hint="eastAsia" w:ascii="新宋体" w:hAnsi="新宋体" w:eastAsia="新宋体"/>
          <w:color w:val="auto"/>
          <w:sz w:val="22"/>
          <w:szCs w:val="22"/>
          <w:highlight w:val="none"/>
        </w:rPr>
        <w:t>必须</w:t>
      </w:r>
      <w:r>
        <w:rPr>
          <w:rFonts w:ascii="新宋体" w:hAnsi="新宋体" w:eastAsia="新宋体"/>
          <w:color w:val="auto"/>
          <w:sz w:val="22"/>
          <w:szCs w:val="22"/>
          <w:highlight w:val="none"/>
        </w:rPr>
        <w:t>依照相关法律法规承担相应责任</w:t>
      </w:r>
      <w:r>
        <w:rPr>
          <w:rFonts w:hint="eastAsia" w:ascii="新宋体" w:hAnsi="新宋体" w:eastAsia="新宋体" w:cs="新宋体"/>
          <w:color w:val="auto"/>
          <w:sz w:val="22"/>
          <w:szCs w:val="22"/>
          <w:highlight w:val="none"/>
        </w:rPr>
        <w:t>，并由甲方提出整改意见，乙方</w:t>
      </w:r>
      <w:r>
        <w:rPr>
          <w:rFonts w:hint="eastAsia" w:ascii="新宋体" w:hAnsi="新宋体" w:eastAsia="新宋体" w:cs="新宋体"/>
          <w:color w:val="auto"/>
          <w:sz w:val="22"/>
          <w:szCs w:val="22"/>
          <w:highlight w:val="none"/>
          <w:lang w:eastAsia="zh-CN"/>
        </w:rPr>
        <w:t>应按照整改意见落实整改措施。</w:t>
      </w:r>
      <w:r>
        <w:rPr>
          <w:rFonts w:hint="eastAsia" w:ascii="新宋体" w:hAnsi="新宋体" w:eastAsia="新宋体" w:cs="新宋体"/>
          <w:color w:val="auto"/>
          <w:sz w:val="22"/>
          <w:szCs w:val="22"/>
          <w:highlight w:val="none"/>
        </w:rPr>
        <w:t>第二次</w:t>
      </w:r>
      <w:r>
        <w:rPr>
          <w:rFonts w:hint="eastAsia" w:ascii="新宋体" w:hAnsi="新宋体" w:eastAsia="新宋体" w:cs="新宋体"/>
          <w:color w:val="auto"/>
          <w:sz w:val="22"/>
          <w:szCs w:val="22"/>
          <w:highlight w:val="none"/>
          <w:lang w:eastAsia="zh-CN"/>
        </w:rPr>
        <w:t>发现的</w:t>
      </w:r>
      <w:r>
        <w:rPr>
          <w:rFonts w:hint="eastAsia" w:ascii="新宋体" w:hAnsi="新宋体" w:eastAsia="新宋体" w:cs="新宋体"/>
          <w:color w:val="auto"/>
          <w:sz w:val="22"/>
          <w:szCs w:val="22"/>
          <w:highlight w:val="none"/>
        </w:rPr>
        <w:t>乙方不按标准进行收费或擅自处置委托保管车辆等</w:t>
      </w:r>
      <w:r>
        <w:rPr>
          <w:rFonts w:hint="eastAsia" w:ascii="新宋体" w:hAnsi="新宋体" w:eastAsia="新宋体" w:cs="新宋体"/>
          <w:color w:val="auto"/>
          <w:sz w:val="22"/>
          <w:szCs w:val="22"/>
          <w:highlight w:val="none"/>
          <w:lang w:eastAsia="zh-CN"/>
        </w:rPr>
        <w:t>，甲方有权</w:t>
      </w:r>
      <w:r>
        <w:rPr>
          <w:rFonts w:hint="eastAsia" w:ascii="新宋体" w:hAnsi="新宋体" w:eastAsia="新宋体" w:cs="新宋体"/>
          <w:color w:val="auto"/>
          <w:sz w:val="22"/>
          <w:szCs w:val="22"/>
          <w:highlight w:val="none"/>
        </w:rPr>
        <w:t>终止委托协议。</w:t>
      </w:r>
    </w:p>
    <w:p w14:paraId="728C195D">
      <w:pPr>
        <w:spacing w:line="500" w:lineRule="exact"/>
        <w:ind w:firstLine="450"/>
        <w:rPr>
          <w:rFonts w:hint="eastAsia" w:ascii="新宋体" w:hAnsi="新宋体" w:eastAsia="新宋体"/>
          <w:b w:val="0"/>
          <w:bCs w:val="0"/>
          <w:color w:val="auto"/>
          <w:sz w:val="22"/>
          <w:highlight w:val="none"/>
          <w:shd w:val="clear" w:color="auto" w:fill="auto"/>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olor w:val="auto"/>
          <w:sz w:val="22"/>
          <w:highlight w:val="none"/>
          <w:shd w:val="clear" w:color="auto" w:fill="auto"/>
        </w:rPr>
        <w:t>甲方应按照合同规定时限办理服务费用的支付手续，每拖延1天，乙方可加收逾期未付服务费用</w:t>
      </w:r>
      <w:r>
        <w:rPr>
          <w:rFonts w:hint="eastAsia" w:ascii="新宋体" w:hAnsi="新宋体" w:eastAsia="新宋体"/>
          <w:color w:val="auto"/>
          <w:sz w:val="22"/>
          <w:highlight w:val="none"/>
          <w:shd w:val="clear" w:color="auto" w:fill="auto"/>
          <w:lang w:val="en-US" w:eastAsia="zh-CN"/>
        </w:rPr>
        <w:t>0.5</w:t>
      </w:r>
      <w:r>
        <w:rPr>
          <w:rFonts w:hint="eastAsia" w:ascii="新宋体" w:hAnsi="新宋体" w:eastAsia="新宋体"/>
          <w:color w:val="auto"/>
          <w:sz w:val="22"/>
          <w:highlight w:val="none"/>
          <w:shd w:val="clear" w:color="auto" w:fill="auto"/>
        </w:rPr>
        <w:t>‰的违约金，逾期超过</w:t>
      </w:r>
      <w:r>
        <w:rPr>
          <w:rFonts w:hint="eastAsia" w:ascii="新宋体" w:hAnsi="新宋体" w:eastAsia="新宋体"/>
          <w:color w:val="auto"/>
          <w:sz w:val="22"/>
          <w:highlight w:val="none"/>
          <w:shd w:val="clear" w:color="auto" w:fill="auto"/>
          <w:lang w:val="en-US" w:eastAsia="zh-CN"/>
        </w:rPr>
        <w:t>60</w:t>
      </w:r>
      <w:r>
        <w:rPr>
          <w:rFonts w:hint="eastAsia" w:ascii="新宋体" w:hAnsi="新宋体" w:eastAsia="新宋体"/>
          <w:color w:val="auto"/>
          <w:sz w:val="22"/>
          <w:highlight w:val="none"/>
          <w:shd w:val="clear" w:color="auto" w:fill="auto"/>
        </w:rPr>
        <w:t>天，乙方有权撤回</w:t>
      </w:r>
      <w:r>
        <w:rPr>
          <w:rFonts w:hint="eastAsia" w:ascii="新宋体" w:hAnsi="新宋体" w:eastAsia="新宋体"/>
          <w:color w:val="auto"/>
          <w:sz w:val="22"/>
          <w:highlight w:val="none"/>
          <w:shd w:val="clear" w:color="auto" w:fill="auto"/>
          <w:lang w:val="en-US" w:eastAsia="zh-CN"/>
        </w:rPr>
        <w:t>所</w:t>
      </w:r>
      <w:r>
        <w:rPr>
          <w:rFonts w:hint="eastAsia" w:ascii="新宋体" w:hAnsi="新宋体" w:eastAsia="新宋体"/>
          <w:color w:val="auto"/>
          <w:sz w:val="22"/>
          <w:highlight w:val="none"/>
          <w:shd w:val="clear" w:color="auto" w:fill="auto"/>
        </w:rPr>
        <w:t>提供</w:t>
      </w:r>
      <w:r>
        <w:rPr>
          <w:rFonts w:hint="eastAsia" w:ascii="新宋体" w:hAnsi="新宋体" w:eastAsia="新宋体"/>
          <w:color w:val="auto"/>
          <w:sz w:val="22"/>
          <w:highlight w:val="none"/>
          <w:shd w:val="clear" w:color="auto" w:fill="auto"/>
          <w:lang w:val="en-US" w:eastAsia="zh-CN"/>
        </w:rPr>
        <w:t>的</w:t>
      </w:r>
      <w:r>
        <w:rPr>
          <w:rFonts w:hint="eastAsia" w:ascii="新宋体" w:hAnsi="新宋体" w:eastAsia="新宋体"/>
          <w:color w:val="auto"/>
          <w:sz w:val="22"/>
          <w:highlight w:val="none"/>
          <w:shd w:val="clear" w:color="auto" w:fill="auto"/>
        </w:rPr>
        <w:t>服务。但由于财政资金拨款</w:t>
      </w:r>
      <w:r>
        <w:rPr>
          <w:rFonts w:hint="eastAsia" w:ascii="新宋体" w:hAnsi="新宋体" w:eastAsia="新宋体"/>
          <w:color w:val="auto"/>
          <w:sz w:val="22"/>
          <w:highlight w:val="none"/>
          <w:shd w:val="clear" w:color="auto" w:fill="auto"/>
          <w:lang w:eastAsia="zh-CN"/>
        </w:rPr>
        <w:t>未</w:t>
      </w:r>
      <w:r>
        <w:rPr>
          <w:rFonts w:hint="eastAsia" w:ascii="新宋体" w:hAnsi="新宋体" w:eastAsia="新宋体"/>
          <w:color w:val="auto"/>
          <w:sz w:val="22"/>
          <w:highlight w:val="none"/>
          <w:shd w:val="clear" w:color="auto" w:fill="auto"/>
        </w:rPr>
        <w:t>到位而导致甲方逾期付款的，甲方不承担违约责任，并且此情况不能成为乙方拒绝提供服务的理由。</w:t>
      </w:r>
    </w:p>
    <w:p w14:paraId="6209CC96">
      <w:pPr>
        <w:spacing w:line="5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lang w:val="en-US" w:eastAsia="zh-CN"/>
        </w:rPr>
        <w:t>3、</w:t>
      </w:r>
      <w:r>
        <w:rPr>
          <w:rFonts w:ascii="新宋体" w:hAnsi="新宋体" w:eastAsia="新宋体"/>
          <w:color w:val="auto"/>
          <w:sz w:val="22"/>
          <w:szCs w:val="22"/>
          <w:highlight w:val="none"/>
        </w:rPr>
        <w:t>双方在履行合同时发生争议的，可协商解决；协商不一致的，可向人民法院提起诉讼。</w:t>
      </w:r>
    </w:p>
    <w:p w14:paraId="6E984BAD">
      <w:pPr>
        <w:spacing w:line="500" w:lineRule="exact"/>
        <w:ind w:firstLine="450"/>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十二、合同的解除与终止：</w:t>
      </w:r>
    </w:p>
    <w:p w14:paraId="389702EB">
      <w:pPr>
        <w:spacing w:line="460" w:lineRule="exact"/>
        <w:ind w:firstLine="539" w:firstLineChars="245"/>
        <w:rPr>
          <w:rFonts w:ascii="新宋体" w:hAnsi="新宋体" w:eastAsia="新宋体"/>
          <w:color w:val="auto"/>
          <w:sz w:val="22"/>
          <w:szCs w:val="22"/>
          <w:highlight w:val="none"/>
        </w:rPr>
      </w:pPr>
      <w:r>
        <w:rPr>
          <w:rFonts w:ascii="新宋体" w:hAnsi="新宋体" w:eastAsia="新宋体"/>
          <w:color w:val="auto"/>
          <w:sz w:val="22"/>
          <w:szCs w:val="22"/>
          <w:highlight w:val="none"/>
        </w:rPr>
        <w:t>凡符合下列条件之一者，本合同解除：</w:t>
      </w:r>
    </w:p>
    <w:p w14:paraId="52D92048">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ascii="新宋体" w:hAnsi="新宋体" w:eastAsia="新宋体"/>
          <w:color w:val="auto"/>
          <w:sz w:val="22"/>
          <w:szCs w:val="22"/>
          <w:highlight w:val="none"/>
        </w:rPr>
        <w:t>双方协商一致；</w:t>
      </w:r>
    </w:p>
    <w:p w14:paraId="3AA27C44">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ascii="新宋体" w:hAnsi="新宋体" w:eastAsia="新宋体"/>
          <w:color w:val="auto"/>
          <w:sz w:val="22"/>
          <w:szCs w:val="22"/>
          <w:highlight w:val="none"/>
        </w:rPr>
        <w:t>不可抗力因素导致任何一方或双方不能履行合同的；</w:t>
      </w:r>
    </w:p>
    <w:p w14:paraId="6D085F37">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ascii="新宋体" w:hAnsi="新宋体" w:eastAsia="新宋体"/>
          <w:color w:val="auto"/>
          <w:sz w:val="22"/>
          <w:highlight w:val="none"/>
        </w:rPr>
        <w:t>乙</w:t>
      </w:r>
      <w:r>
        <w:rPr>
          <w:rFonts w:ascii="新宋体" w:hAnsi="新宋体" w:eastAsia="新宋体"/>
          <w:color w:val="auto"/>
          <w:sz w:val="22"/>
          <w:szCs w:val="22"/>
          <w:highlight w:val="none"/>
        </w:rPr>
        <w:t>方明显怠于行使管理责任的；</w:t>
      </w:r>
    </w:p>
    <w:p w14:paraId="1B3542D2">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w:t>
      </w:r>
      <w:r>
        <w:rPr>
          <w:rFonts w:ascii="新宋体" w:hAnsi="新宋体" w:eastAsia="新宋体"/>
          <w:color w:val="auto"/>
          <w:sz w:val="22"/>
          <w:szCs w:val="22"/>
          <w:highlight w:val="none"/>
        </w:rPr>
        <w:t>甲方不按本协议约定的期限和标准交纳管理服务费的；</w:t>
      </w:r>
    </w:p>
    <w:p w14:paraId="0072EF09">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5、期满终止或其他原因解除协议的，乙方应无条件配合甲方做好车辆保管场地内车辆清理转运。</w:t>
      </w:r>
    </w:p>
    <w:p w14:paraId="47798A97">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w:t>
      </w:r>
      <w:r>
        <w:rPr>
          <w:rFonts w:ascii="新宋体" w:hAnsi="新宋体" w:eastAsia="新宋体"/>
          <w:color w:val="auto"/>
          <w:sz w:val="22"/>
          <w:szCs w:val="22"/>
          <w:highlight w:val="none"/>
        </w:rPr>
        <w:t>本合同期限届满自行终止，如需延期，双方应另行签定合同。</w:t>
      </w:r>
    </w:p>
    <w:p w14:paraId="444F5982">
      <w:pPr>
        <w:spacing w:line="460" w:lineRule="exact"/>
        <w:ind w:firstLine="539" w:firstLineChars="245"/>
        <w:rPr>
          <w:rFonts w:ascii="新宋体" w:hAnsi="新宋体" w:eastAsia="新宋体"/>
          <w:b/>
          <w:bCs/>
          <w:color w:val="auto"/>
          <w:sz w:val="22"/>
          <w:szCs w:val="22"/>
          <w:highlight w:val="none"/>
        </w:rPr>
      </w:pPr>
      <w:r>
        <w:rPr>
          <w:rFonts w:hint="eastAsia" w:ascii="新宋体" w:hAnsi="新宋体" w:eastAsia="新宋体"/>
          <w:b w:val="0"/>
          <w:bCs w:val="0"/>
          <w:color w:val="auto"/>
          <w:sz w:val="22"/>
          <w:szCs w:val="22"/>
          <w:highlight w:val="none"/>
          <w:lang w:val="en-US" w:eastAsia="zh-CN"/>
        </w:rPr>
        <w:t>7</w:t>
      </w:r>
      <w:r>
        <w:rPr>
          <w:rFonts w:hint="eastAsia" w:ascii="新宋体" w:hAnsi="新宋体" w:eastAsia="新宋体"/>
          <w:b w:val="0"/>
          <w:bCs w:val="0"/>
          <w:color w:val="auto"/>
          <w:sz w:val="22"/>
          <w:szCs w:val="22"/>
          <w:highlight w:val="none"/>
        </w:rPr>
        <w:t>、</w:t>
      </w:r>
      <w:r>
        <w:rPr>
          <w:rFonts w:ascii="新宋体" w:hAnsi="新宋体" w:eastAsia="新宋体"/>
          <w:b w:val="0"/>
          <w:bCs w:val="0"/>
          <w:color w:val="auto"/>
          <w:sz w:val="22"/>
          <w:szCs w:val="22"/>
          <w:highlight w:val="none"/>
        </w:rPr>
        <w:t>本合同一式</w:t>
      </w:r>
      <w:r>
        <w:rPr>
          <w:rFonts w:hint="eastAsia" w:ascii="新宋体" w:hAnsi="新宋体" w:eastAsia="新宋体"/>
          <w:b w:val="0"/>
          <w:bCs w:val="0"/>
          <w:color w:val="auto"/>
          <w:sz w:val="22"/>
          <w:szCs w:val="22"/>
          <w:highlight w:val="none"/>
        </w:rPr>
        <w:t>伍</w:t>
      </w:r>
      <w:r>
        <w:rPr>
          <w:rFonts w:ascii="新宋体" w:hAnsi="新宋体" w:eastAsia="新宋体"/>
          <w:b w:val="0"/>
          <w:bCs w:val="0"/>
          <w:color w:val="auto"/>
          <w:sz w:val="22"/>
          <w:szCs w:val="22"/>
          <w:highlight w:val="none"/>
        </w:rPr>
        <w:t>份，甲、乙双方各执</w:t>
      </w:r>
      <w:r>
        <w:rPr>
          <w:rFonts w:hint="eastAsia" w:ascii="新宋体" w:hAnsi="新宋体" w:eastAsia="新宋体"/>
          <w:b w:val="0"/>
          <w:bCs w:val="0"/>
          <w:color w:val="auto"/>
          <w:sz w:val="22"/>
          <w:szCs w:val="22"/>
          <w:highlight w:val="none"/>
        </w:rPr>
        <w:t>贰</w:t>
      </w:r>
      <w:r>
        <w:rPr>
          <w:rFonts w:ascii="新宋体" w:hAnsi="新宋体" w:eastAsia="新宋体"/>
          <w:b w:val="0"/>
          <w:bCs w:val="0"/>
          <w:color w:val="auto"/>
          <w:sz w:val="22"/>
          <w:szCs w:val="22"/>
          <w:highlight w:val="none"/>
        </w:rPr>
        <w:t>份，具有同等法律效力</w:t>
      </w:r>
      <w:r>
        <w:rPr>
          <w:rFonts w:hint="eastAsia" w:ascii="新宋体" w:hAnsi="新宋体" w:eastAsia="新宋体"/>
          <w:b w:val="0"/>
          <w:bCs w:val="0"/>
          <w:color w:val="auto"/>
          <w:sz w:val="22"/>
          <w:szCs w:val="22"/>
          <w:highlight w:val="none"/>
        </w:rPr>
        <w:t>，其中一份送招标代理公司备案</w:t>
      </w:r>
      <w:r>
        <w:rPr>
          <w:rFonts w:ascii="新宋体" w:hAnsi="新宋体" w:eastAsia="新宋体"/>
          <w:b w:val="0"/>
          <w:bCs w:val="0"/>
          <w:color w:val="auto"/>
          <w:sz w:val="22"/>
          <w:szCs w:val="22"/>
          <w:highlight w:val="none"/>
        </w:rPr>
        <w:t>。</w:t>
      </w:r>
      <w:r>
        <w:rPr>
          <w:rFonts w:ascii="新宋体" w:hAnsi="新宋体" w:eastAsia="新宋体"/>
          <w:b/>
          <w:bCs/>
          <w:color w:val="auto"/>
          <w:sz w:val="22"/>
          <w:szCs w:val="22"/>
          <w:highlight w:val="none"/>
        </w:rPr>
        <w:br w:type="textWrapping"/>
      </w:r>
    </w:p>
    <w:p w14:paraId="22702984">
      <w:pPr>
        <w:keepNext/>
        <w:keepLines w:val="0"/>
        <w:pageBreakBefore w:val="0"/>
        <w:widowControl w:val="0"/>
        <w:kinsoku/>
        <w:wordWrap/>
        <w:overflowPunct/>
        <w:topLinePunct w:val="0"/>
        <w:autoSpaceDE/>
        <w:autoSpaceDN/>
        <w:bidi w:val="0"/>
        <w:adjustRightInd/>
        <w:snapToGrid/>
        <w:textAlignment w:val="auto"/>
        <w:outlineLvl w:val="9"/>
        <w:rPr>
          <w:rFonts w:ascii="新宋体" w:hAnsi="新宋体" w:eastAsia="新宋体"/>
          <w:b/>
          <w:bCs/>
          <w:color w:val="auto"/>
          <w:sz w:val="22"/>
          <w:szCs w:val="22"/>
          <w:highlight w:val="none"/>
        </w:rPr>
      </w:pPr>
    </w:p>
    <w:p w14:paraId="780E2993">
      <w:pPr>
        <w:rPr>
          <w:color w:val="auto"/>
          <w:highlight w:val="none"/>
        </w:rPr>
      </w:pPr>
    </w:p>
    <w:p w14:paraId="5966D532">
      <w:pPr>
        <w:spacing w:line="460" w:lineRule="exact"/>
        <w:ind w:left="0" w:leftChars="0" w:firstLine="638" w:firstLineChars="2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甲方：（盖章）                       乙方：（盖章）</w:t>
      </w:r>
    </w:p>
    <w:p w14:paraId="5D4DDBBB">
      <w:pPr>
        <w:spacing w:line="460" w:lineRule="exact"/>
        <w:ind w:left="0" w:leftChars="0" w:firstLine="638" w:firstLineChars="2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全权代表:（签字）                    全权代表:（签字）</w:t>
      </w:r>
    </w:p>
    <w:p w14:paraId="06CD7A7B">
      <w:pPr>
        <w:spacing w:line="460" w:lineRule="exact"/>
        <w:ind w:left="0" w:leftChars="0" w:firstLine="638" w:firstLineChars="2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地址：                               地址：</w:t>
      </w:r>
    </w:p>
    <w:p w14:paraId="69CE2963">
      <w:pPr>
        <w:spacing w:line="460" w:lineRule="exact"/>
        <w:ind w:left="0" w:leftChars="0" w:firstLine="638" w:firstLineChars="2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                           邮政编码：</w:t>
      </w:r>
    </w:p>
    <w:p w14:paraId="2C4FC03F">
      <w:pPr>
        <w:spacing w:line="460" w:lineRule="exact"/>
        <w:ind w:left="0" w:leftChars="0" w:firstLine="638" w:firstLineChars="2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                               电话：</w:t>
      </w:r>
    </w:p>
    <w:p w14:paraId="6FA52CCF">
      <w:pPr>
        <w:spacing w:line="460" w:lineRule="exact"/>
        <w:ind w:left="0" w:leftChars="0" w:firstLine="638" w:firstLineChars="2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                               传真：</w:t>
      </w:r>
    </w:p>
    <w:p w14:paraId="23854694">
      <w:pPr>
        <w:spacing w:line="460" w:lineRule="exact"/>
        <w:ind w:left="0" w:leftChars="0" w:firstLine="638" w:firstLineChars="2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开户银行：                           开户银行：</w:t>
      </w:r>
    </w:p>
    <w:p w14:paraId="72F77CA8">
      <w:pPr>
        <w:spacing w:line="460" w:lineRule="exact"/>
        <w:ind w:left="0" w:leftChars="0" w:firstLine="638" w:firstLineChars="29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帐号：                               帐号：</w:t>
      </w:r>
    </w:p>
    <w:p w14:paraId="442B8EFD">
      <w:pPr>
        <w:spacing w:line="460" w:lineRule="exact"/>
        <w:ind w:left="0" w:leftChars="0" w:firstLine="638" w:firstLineChars="290"/>
        <w:rPr>
          <w:rFonts w:ascii="宋体" w:hAnsi="宋体" w:cs="宋体"/>
          <w:b/>
          <w:color w:val="auto"/>
          <w:sz w:val="30"/>
          <w:highlight w:val="none"/>
        </w:rPr>
      </w:pPr>
      <w:r>
        <w:rPr>
          <w:rFonts w:hint="eastAsia" w:ascii="新宋体" w:hAnsi="新宋体" w:eastAsia="新宋体"/>
          <w:color w:val="auto"/>
          <w:sz w:val="22"/>
          <w:highlight w:val="none"/>
        </w:rPr>
        <w:t>日期：                               日期：</w:t>
      </w:r>
      <w:r>
        <w:rPr>
          <w:rFonts w:hint="eastAsia" w:ascii="宋体" w:hAnsi="宋体" w:cs="宋体"/>
          <w:b/>
          <w:color w:val="auto"/>
          <w:sz w:val="30"/>
          <w:highlight w:val="none"/>
        </w:rPr>
        <w:br w:type="page"/>
      </w:r>
    </w:p>
    <w:p w14:paraId="28291A0C">
      <w:pPr>
        <w:pStyle w:val="2"/>
        <w:rPr>
          <w:rFonts w:ascii="宋体" w:hAnsi="宋体" w:eastAsia="宋体" w:cs="宋体"/>
          <w:color w:val="auto"/>
          <w:highlight w:val="none"/>
        </w:rPr>
      </w:pPr>
      <w:bookmarkStart w:id="26" w:name="_Toc18439"/>
      <w:bookmarkStart w:id="27" w:name="_Toc19081"/>
      <w:r>
        <w:rPr>
          <w:rFonts w:hint="eastAsia" w:ascii="宋体" w:hAnsi="宋体" w:eastAsia="宋体" w:cs="宋体"/>
          <w:color w:val="auto"/>
          <w:highlight w:val="none"/>
        </w:rPr>
        <w:t>第三部分    附件</w:t>
      </w:r>
      <w:bookmarkEnd w:id="26"/>
      <w:bookmarkEnd w:id="27"/>
    </w:p>
    <w:p w14:paraId="390B54CB">
      <w:pPr>
        <w:pStyle w:val="7"/>
        <w:spacing w:line="460" w:lineRule="exact"/>
        <w:ind w:left="433" w:hanging="433" w:hangingChars="196"/>
        <w:outlineLvl w:val="1"/>
        <w:rPr>
          <w:rFonts w:ascii="宋体" w:hAnsi="宋体" w:cs="宋体"/>
          <w:b/>
          <w:color w:val="auto"/>
          <w:sz w:val="22"/>
          <w:highlight w:val="none"/>
        </w:rPr>
      </w:pPr>
      <w:bookmarkStart w:id="28" w:name="_Toc6368"/>
      <w:bookmarkStart w:id="29" w:name="_Toc7056"/>
      <w:r>
        <w:rPr>
          <w:rFonts w:hint="eastAsia" w:ascii="宋体" w:hAnsi="宋体" w:cs="宋体"/>
          <w:b/>
          <w:color w:val="auto"/>
          <w:sz w:val="22"/>
          <w:highlight w:val="none"/>
        </w:rPr>
        <w:t>附件一</w:t>
      </w:r>
      <w:bookmarkEnd w:id="28"/>
      <w:bookmarkEnd w:id="29"/>
    </w:p>
    <w:p w14:paraId="443E0A25">
      <w:pPr>
        <w:spacing w:line="400" w:lineRule="exact"/>
        <w:jc w:val="center"/>
        <w:outlineLvl w:val="2"/>
        <w:rPr>
          <w:rFonts w:ascii="宋体" w:hAnsi="宋体" w:cs="宋体"/>
          <w:b/>
          <w:bCs/>
          <w:color w:val="auto"/>
          <w:sz w:val="28"/>
          <w:szCs w:val="28"/>
          <w:highlight w:val="none"/>
        </w:rPr>
      </w:pPr>
      <w:bookmarkStart w:id="30" w:name="_Toc13365"/>
      <w:bookmarkStart w:id="31" w:name="_Toc5430"/>
      <w:r>
        <w:rPr>
          <w:rFonts w:hint="eastAsia" w:ascii="宋体" w:hAnsi="宋体" w:cs="宋体"/>
          <w:b/>
          <w:bCs/>
          <w:color w:val="auto"/>
          <w:sz w:val="28"/>
          <w:szCs w:val="28"/>
          <w:highlight w:val="none"/>
        </w:rPr>
        <w:t>报价文件</w:t>
      </w:r>
      <w:bookmarkEnd w:id="30"/>
      <w:bookmarkEnd w:id="31"/>
    </w:p>
    <w:p w14:paraId="58016073">
      <w:pPr>
        <w:spacing w:line="400" w:lineRule="exact"/>
        <w:jc w:val="center"/>
        <w:rPr>
          <w:rFonts w:ascii="宋体" w:hAnsi="宋体" w:cs="宋体"/>
          <w:b/>
          <w:color w:val="auto"/>
          <w:sz w:val="28"/>
          <w:szCs w:val="28"/>
          <w:highlight w:val="none"/>
        </w:rPr>
      </w:pPr>
    </w:p>
    <w:p w14:paraId="40FDCAD4">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lang w:val="zh-CN"/>
        </w:rPr>
        <w:t>投标函</w:t>
      </w:r>
    </w:p>
    <w:p w14:paraId="6E0B2D2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致：温州市公安局交通管理局</w:t>
      </w:r>
    </w:p>
    <w:p w14:paraId="16CCED7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14:paraId="01E4ECC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1AACDB9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14:paraId="2AE80EE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4A7F135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321AD64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22BA6A8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1077610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2D9E99B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7D8E089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4A9B03A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712E30F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14:paraId="6180A18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14:paraId="413595C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71BCF86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63B695D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095811B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251CA99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52B6AE7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14:paraId="21345B2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14:paraId="0406F44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1717869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14:paraId="43D2943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8、我方愿意向贵方提供任何与该项投标有关的数据、情况和服务资料。若贵方需要，我方愿意提供我方作出的一切承诺的证明材料。</w:t>
      </w:r>
    </w:p>
    <w:p w14:paraId="7C11DD2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21FD09F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46C2CA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3C6DF65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275589E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(3)与招标人、其它供应商或者招标代理机构恶意串通的；</w:t>
      </w:r>
    </w:p>
    <w:p w14:paraId="022C2F8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(4)向招标人、招标代理机构行贿或者提供其他不正当利益的；</w:t>
      </w:r>
    </w:p>
    <w:p w14:paraId="05116A4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(5)在招标采购过程中与招标人进行协商谈判的；</w:t>
      </w:r>
    </w:p>
    <w:p w14:paraId="71FFEF2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34B9544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供应商有前款第(1)至(6)项情形之一的，中标、成交无效。</w:t>
      </w:r>
    </w:p>
    <w:p w14:paraId="0CE1B4B2">
      <w:pPr>
        <w:shd w:val="clear" w:color="auto" w:fill="FFFFFF"/>
        <w:snapToGrid w:val="0"/>
        <w:spacing w:line="360" w:lineRule="auto"/>
        <w:rPr>
          <w:rFonts w:ascii="宋体" w:hAnsi="宋体" w:cs="宋体"/>
          <w:color w:val="auto"/>
          <w:kern w:val="0"/>
          <w:sz w:val="22"/>
          <w:szCs w:val="22"/>
          <w:highlight w:val="none"/>
          <w:lang w:val="zh-CN"/>
        </w:rPr>
      </w:pPr>
    </w:p>
    <w:p w14:paraId="17688BB3">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lang w:val="zh-CN"/>
        </w:rPr>
        <w:t>：</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ab/>
      </w:r>
    </w:p>
    <w:p w14:paraId="4E4045C6">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w:t>
      </w:r>
      <w:r>
        <w:rPr>
          <w:rFonts w:hint="eastAsia" w:ascii="宋体" w:hAnsi="宋体" w:cs="宋体"/>
          <w:color w:val="auto"/>
          <w:sz w:val="22"/>
          <w:szCs w:val="22"/>
          <w:highlight w:val="none"/>
        </w:rPr>
        <w:t>（盖章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lang w:val="zh-CN"/>
        </w:rPr>
        <w:t>：</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ab/>
      </w:r>
    </w:p>
    <w:p w14:paraId="0C641BC2">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联系电话：</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 xml:space="preserve"> 传真：</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 xml:space="preserve">  电子邮件：</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 xml:space="preserve">  </w:t>
      </w:r>
    </w:p>
    <w:p w14:paraId="3BAA8781">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ab/>
      </w:r>
    </w:p>
    <w:p w14:paraId="430C9D3A">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sz w:val="22"/>
          <w:szCs w:val="22"/>
          <w:highlight w:val="none"/>
          <w:u w:val="single"/>
        </w:rPr>
        <w:t xml:space="preserve">      　　</w:t>
      </w:r>
    </w:p>
    <w:p w14:paraId="13CFE2B2">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日期</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日</w:t>
      </w:r>
    </w:p>
    <w:p w14:paraId="2D05D7E8">
      <w:pPr>
        <w:spacing w:line="440" w:lineRule="exac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3EBDC7C2">
      <w:pPr>
        <w:pStyle w:val="7"/>
        <w:ind w:left="442" w:hanging="442"/>
        <w:rPr>
          <w:rFonts w:ascii="宋体" w:hAnsi="宋体" w:cs="宋体"/>
          <w:b/>
          <w:bCs/>
          <w:color w:val="auto"/>
          <w:sz w:val="22"/>
          <w:szCs w:val="22"/>
          <w:highlight w:val="none"/>
        </w:rPr>
      </w:pPr>
    </w:p>
    <w:p w14:paraId="1811F575">
      <w:pPr>
        <w:pStyle w:val="7"/>
        <w:ind w:left="442" w:hanging="442"/>
        <w:rPr>
          <w:rFonts w:ascii="宋体" w:hAnsi="宋体" w:cs="宋体"/>
          <w:b/>
          <w:bCs/>
          <w:color w:val="auto"/>
          <w:sz w:val="22"/>
          <w:szCs w:val="22"/>
          <w:highlight w:val="none"/>
        </w:rPr>
      </w:pPr>
    </w:p>
    <w:p w14:paraId="3FAB1BB4">
      <w:pPr>
        <w:pStyle w:val="7"/>
        <w:ind w:left="442" w:hanging="442"/>
        <w:rPr>
          <w:rFonts w:ascii="宋体" w:hAnsi="宋体" w:cs="宋体"/>
          <w:b/>
          <w:bCs/>
          <w:color w:val="auto"/>
          <w:sz w:val="22"/>
          <w:szCs w:val="22"/>
          <w:highlight w:val="none"/>
        </w:rPr>
      </w:pPr>
    </w:p>
    <w:p w14:paraId="76FF82A6">
      <w:pPr>
        <w:pStyle w:val="7"/>
        <w:ind w:left="442" w:hanging="442"/>
        <w:rPr>
          <w:rFonts w:ascii="宋体" w:hAnsi="宋体" w:cs="宋体"/>
          <w:b/>
          <w:bCs/>
          <w:color w:val="auto"/>
          <w:sz w:val="22"/>
          <w:szCs w:val="22"/>
          <w:highlight w:val="none"/>
        </w:rPr>
      </w:pPr>
    </w:p>
    <w:p w14:paraId="66EF2CF7">
      <w:pPr>
        <w:pStyle w:val="7"/>
        <w:ind w:left="442" w:hanging="442"/>
        <w:rPr>
          <w:rFonts w:ascii="宋体" w:hAnsi="宋体" w:cs="宋体"/>
          <w:b/>
          <w:bCs/>
          <w:color w:val="auto"/>
          <w:sz w:val="22"/>
          <w:szCs w:val="22"/>
          <w:highlight w:val="none"/>
        </w:rPr>
      </w:pPr>
    </w:p>
    <w:p w14:paraId="5219AD74">
      <w:pPr>
        <w:pStyle w:val="7"/>
        <w:ind w:left="442" w:hanging="442"/>
        <w:rPr>
          <w:rFonts w:ascii="宋体" w:hAnsi="宋体" w:cs="宋体"/>
          <w:b/>
          <w:bCs/>
          <w:color w:val="auto"/>
          <w:sz w:val="22"/>
          <w:szCs w:val="22"/>
          <w:highlight w:val="none"/>
        </w:rPr>
      </w:pPr>
    </w:p>
    <w:p w14:paraId="184F3D35">
      <w:pPr>
        <w:pStyle w:val="7"/>
        <w:ind w:left="442" w:hanging="442"/>
        <w:rPr>
          <w:rFonts w:ascii="宋体" w:hAnsi="宋体" w:cs="宋体"/>
          <w:b/>
          <w:bCs/>
          <w:color w:val="auto"/>
          <w:sz w:val="22"/>
          <w:szCs w:val="22"/>
          <w:highlight w:val="none"/>
        </w:rPr>
      </w:pPr>
    </w:p>
    <w:p w14:paraId="3781B119">
      <w:pPr>
        <w:pStyle w:val="7"/>
        <w:ind w:left="442" w:hanging="442"/>
        <w:rPr>
          <w:rFonts w:ascii="宋体" w:hAnsi="宋体" w:cs="宋体"/>
          <w:b/>
          <w:bCs/>
          <w:color w:val="auto"/>
          <w:sz w:val="22"/>
          <w:szCs w:val="22"/>
          <w:highlight w:val="none"/>
        </w:rPr>
      </w:pPr>
    </w:p>
    <w:p w14:paraId="4CF7E019">
      <w:pPr>
        <w:spacing w:line="460" w:lineRule="exact"/>
        <w:rPr>
          <w:rFonts w:ascii="宋体" w:hAnsi="宋体" w:cs="宋体"/>
          <w:b/>
          <w:bCs/>
          <w:color w:val="auto"/>
          <w:sz w:val="22"/>
          <w:szCs w:val="22"/>
          <w:highlight w:val="none"/>
        </w:rPr>
      </w:pPr>
    </w:p>
    <w:p w14:paraId="67DCFF6B">
      <w:pPr>
        <w:pStyle w:val="7"/>
        <w:ind w:left="0" w:firstLine="0" w:firstLineChars="0"/>
        <w:rPr>
          <w:rFonts w:ascii="宋体" w:hAnsi="宋体" w:cs="宋体"/>
          <w:b/>
          <w:bCs/>
          <w:color w:val="auto"/>
          <w:sz w:val="22"/>
          <w:szCs w:val="22"/>
          <w:highlight w:val="none"/>
        </w:rPr>
      </w:pPr>
    </w:p>
    <w:p w14:paraId="2CE31F22">
      <w:pPr>
        <w:pStyle w:val="7"/>
        <w:ind w:left="0" w:firstLine="0" w:firstLineChars="0"/>
        <w:rPr>
          <w:rFonts w:ascii="宋体" w:hAnsi="宋体" w:cs="宋体"/>
          <w:b/>
          <w:bCs/>
          <w:color w:val="auto"/>
          <w:sz w:val="22"/>
          <w:szCs w:val="22"/>
          <w:highlight w:val="none"/>
        </w:rPr>
      </w:pPr>
    </w:p>
    <w:p w14:paraId="4D0542E5">
      <w:pPr>
        <w:spacing w:line="400" w:lineRule="exact"/>
        <w:jc w:val="center"/>
        <w:outlineLvl w:val="3"/>
        <w:rPr>
          <w:rFonts w:ascii="宋体" w:hAnsi="宋体" w:cs="宋体"/>
          <w:b/>
          <w:color w:val="auto"/>
          <w:sz w:val="28"/>
          <w:szCs w:val="28"/>
          <w:highlight w:val="none"/>
          <w:lang w:val="zh-CN"/>
        </w:rPr>
      </w:pPr>
      <w:r>
        <w:rPr>
          <w:rFonts w:hint="eastAsia" w:ascii="宋体" w:hAnsi="宋体" w:cs="宋体"/>
          <w:b/>
          <w:color w:val="auto"/>
          <w:sz w:val="28"/>
          <w:szCs w:val="28"/>
          <w:highlight w:val="none"/>
        </w:rPr>
        <w:t>2、</w:t>
      </w:r>
      <w:r>
        <w:rPr>
          <w:rFonts w:hint="eastAsia" w:ascii="宋体" w:hAnsi="宋体" w:cs="宋体"/>
          <w:b/>
          <w:color w:val="auto"/>
          <w:sz w:val="28"/>
          <w:szCs w:val="28"/>
          <w:highlight w:val="none"/>
          <w:lang w:val="zh-CN"/>
        </w:rPr>
        <w:t>投标报价一览表</w:t>
      </w:r>
    </w:p>
    <w:p w14:paraId="4A8F82C1">
      <w:pPr>
        <w:spacing w:line="380" w:lineRule="exact"/>
        <w:rPr>
          <w:rFonts w:ascii="宋体" w:hAnsi="宋体" w:cs="宋体"/>
          <w:b/>
          <w:bCs/>
          <w:color w:val="auto"/>
          <w:sz w:val="22"/>
          <w:szCs w:val="22"/>
          <w:highlight w:val="none"/>
        </w:rPr>
      </w:pPr>
    </w:p>
    <w:p w14:paraId="2742D731">
      <w:pPr>
        <w:spacing w:line="380" w:lineRule="exact"/>
        <w:rPr>
          <w:rFonts w:ascii="宋体" w:hAnsi="宋体" w:cs="宋体"/>
          <w:color w:val="auto"/>
          <w:sz w:val="22"/>
          <w:szCs w:val="22"/>
          <w:highlight w:val="none"/>
        </w:rPr>
      </w:pPr>
    </w:p>
    <w:p w14:paraId="3481A11F">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09C02395">
      <w:pPr>
        <w:keepNext/>
        <w:spacing w:line="360" w:lineRule="auto"/>
        <w:rPr>
          <w:rFonts w:hint="eastAsia" w:eastAsia="宋体"/>
          <w:color w:val="auto"/>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7"/>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559"/>
        <w:gridCol w:w="1814"/>
        <w:gridCol w:w="1537"/>
        <w:gridCol w:w="1919"/>
        <w:gridCol w:w="758"/>
      </w:tblGrid>
      <w:tr w14:paraId="06A9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1" w:type="dxa"/>
            <w:vMerge w:val="restart"/>
            <w:vAlign w:val="center"/>
          </w:tcPr>
          <w:p w14:paraId="03BDD8D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w:t>
            </w:r>
          </w:p>
        </w:tc>
        <w:tc>
          <w:tcPr>
            <w:tcW w:w="3559" w:type="dxa"/>
            <w:vMerge w:val="restart"/>
            <w:vAlign w:val="center"/>
          </w:tcPr>
          <w:p w14:paraId="5E666C8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项目</w:t>
            </w:r>
            <w:r>
              <w:rPr>
                <w:rFonts w:hint="eastAsia" w:ascii="新宋体" w:hAnsi="新宋体" w:eastAsia="新宋体" w:cs="新宋体"/>
                <w:color w:val="auto"/>
                <w:sz w:val="22"/>
                <w:szCs w:val="22"/>
                <w:highlight w:val="none"/>
              </w:rPr>
              <w:t>名称</w:t>
            </w:r>
          </w:p>
        </w:tc>
        <w:tc>
          <w:tcPr>
            <w:tcW w:w="5270" w:type="dxa"/>
            <w:gridSpan w:val="3"/>
            <w:vAlign w:val="center"/>
          </w:tcPr>
          <w:p w14:paraId="5834490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w:t>
            </w:r>
          </w:p>
        </w:tc>
        <w:tc>
          <w:tcPr>
            <w:tcW w:w="758" w:type="dxa"/>
            <w:vMerge w:val="restart"/>
            <w:vAlign w:val="center"/>
          </w:tcPr>
          <w:p w14:paraId="2084A608">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F81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11" w:type="dxa"/>
            <w:vMerge w:val="continue"/>
            <w:vAlign w:val="center"/>
          </w:tcPr>
          <w:p w14:paraId="7AAC8F3F">
            <w:pPr>
              <w:spacing w:line="460" w:lineRule="exact"/>
              <w:jc w:val="center"/>
              <w:rPr>
                <w:rFonts w:ascii="新宋体" w:hAnsi="新宋体" w:eastAsia="新宋体" w:cs="新宋体"/>
                <w:color w:val="auto"/>
                <w:sz w:val="22"/>
                <w:szCs w:val="22"/>
                <w:highlight w:val="none"/>
              </w:rPr>
            </w:pPr>
          </w:p>
        </w:tc>
        <w:tc>
          <w:tcPr>
            <w:tcW w:w="3559" w:type="dxa"/>
            <w:vMerge w:val="continue"/>
            <w:vAlign w:val="center"/>
          </w:tcPr>
          <w:p w14:paraId="39003B94">
            <w:pPr>
              <w:spacing w:line="460" w:lineRule="exact"/>
              <w:jc w:val="center"/>
              <w:rPr>
                <w:rFonts w:ascii="新宋体" w:hAnsi="新宋体" w:eastAsia="新宋体" w:cs="新宋体"/>
                <w:color w:val="auto"/>
                <w:sz w:val="22"/>
                <w:szCs w:val="22"/>
                <w:highlight w:val="none"/>
              </w:rPr>
            </w:pPr>
          </w:p>
        </w:tc>
        <w:tc>
          <w:tcPr>
            <w:tcW w:w="1814" w:type="dxa"/>
            <w:vAlign w:val="center"/>
          </w:tcPr>
          <w:p w14:paraId="1DF34B3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月报价（元）</w:t>
            </w:r>
          </w:p>
        </w:tc>
        <w:tc>
          <w:tcPr>
            <w:tcW w:w="1537" w:type="dxa"/>
            <w:vAlign w:val="center"/>
          </w:tcPr>
          <w:p w14:paraId="1A11AA1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月份</w:t>
            </w:r>
          </w:p>
        </w:tc>
        <w:tc>
          <w:tcPr>
            <w:tcW w:w="1919" w:type="dxa"/>
            <w:vAlign w:val="center"/>
          </w:tcPr>
          <w:p w14:paraId="08B85AA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合价（元）</w:t>
            </w:r>
          </w:p>
        </w:tc>
        <w:tc>
          <w:tcPr>
            <w:tcW w:w="758" w:type="dxa"/>
            <w:vMerge w:val="continue"/>
            <w:vAlign w:val="center"/>
          </w:tcPr>
          <w:p w14:paraId="47D5FE80">
            <w:pPr>
              <w:spacing w:line="460" w:lineRule="exact"/>
              <w:jc w:val="center"/>
              <w:rPr>
                <w:rFonts w:ascii="新宋体" w:hAnsi="新宋体" w:eastAsia="新宋体" w:cs="新宋体"/>
                <w:color w:val="auto"/>
                <w:sz w:val="22"/>
                <w:szCs w:val="22"/>
                <w:highlight w:val="none"/>
              </w:rPr>
            </w:pPr>
          </w:p>
        </w:tc>
      </w:tr>
      <w:tr w14:paraId="61B2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11" w:type="dxa"/>
            <w:vAlign w:val="center"/>
          </w:tcPr>
          <w:p w14:paraId="7C2C964C">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3559" w:type="dxa"/>
            <w:vAlign w:val="center"/>
          </w:tcPr>
          <w:p w14:paraId="110B290B">
            <w:pPr>
              <w:keepNext/>
              <w:spacing w:line="360" w:lineRule="auto"/>
              <w:rPr>
                <w:rFonts w:ascii="新宋体" w:hAnsi="新宋体" w:eastAsia="新宋体" w:cs="新宋体"/>
                <w:color w:val="auto"/>
                <w:sz w:val="22"/>
                <w:szCs w:val="22"/>
                <w:highlight w:val="none"/>
              </w:rPr>
            </w:pPr>
            <w:r>
              <w:rPr>
                <w:rFonts w:hint="eastAsia" w:ascii="宋体" w:hAnsi="宋体" w:cs="宋体"/>
                <w:color w:val="auto"/>
                <w:sz w:val="22"/>
                <w:szCs w:val="22"/>
                <w:highlight w:val="none"/>
                <w:lang w:eastAsia="zh-CN"/>
              </w:rPr>
              <w:t>2024年至2025年扣押车辆保管服务（瓯海区因交通违法、事故被扣押车辆停放保管服务）（重）</w:t>
            </w:r>
          </w:p>
        </w:tc>
        <w:tc>
          <w:tcPr>
            <w:tcW w:w="1814" w:type="dxa"/>
            <w:vAlign w:val="center"/>
          </w:tcPr>
          <w:p w14:paraId="64D8C246">
            <w:pPr>
              <w:spacing w:line="460" w:lineRule="exact"/>
              <w:jc w:val="center"/>
              <w:rPr>
                <w:rFonts w:ascii="新宋体" w:hAnsi="新宋体" w:eastAsia="新宋体" w:cs="新宋体"/>
                <w:color w:val="auto"/>
                <w:sz w:val="22"/>
                <w:szCs w:val="22"/>
                <w:highlight w:val="none"/>
              </w:rPr>
            </w:pPr>
          </w:p>
        </w:tc>
        <w:tc>
          <w:tcPr>
            <w:tcW w:w="1537" w:type="dxa"/>
            <w:vAlign w:val="center"/>
          </w:tcPr>
          <w:p w14:paraId="61A0863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个月</w:t>
            </w:r>
          </w:p>
        </w:tc>
        <w:tc>
          <w:tcPr>
            <w:tcW w:w="1919" w:type="dxa"/>
            <w:vAlign w:val="center"/>
          </w:tcPr>
          <w:p w14:paraId="10D83B97">
            <w:pPr>
              <w:spacing w:line="460" w:lineRule="exact"/>
              <w:jc w:val="center"/>
              <w:rPr>
                <w:rFonts w:ascii="新宋体" w:hAnsi="新宋体" w:eastAsia="新宋体" w:cs="新宋体"/>
                <w:color w:val="auto"/>
                <w:sz w:val="22"/>
                <w:szCs w:val="22"/>
                <w:highlight w:val="none"/>
              </w:rPr>
            </w:pPr>
          </w:p>
        </w:tc>
        <w:tc>
          <w:tcPr>
            <w:tcW w:w="758" w:type="dxa"/>
          </w:tcPr>
          <w:p w14:paraId="30E59587">
            <w:pPr>
              <w:spacing w:line="460" w:lineRule="exact"/>
              <w:rPr>
                <w:rFonts w:ascii="新宋体" w:hAnsi="新宋体" w:eastAsia="新宋体" w:cs="新宋体"/>
                <w:color w:val="auto"/>
                <w:sz w:val="22"/>
                <w:szCs w:val="22"/>
                <w:highlight w:val="none"/>
              </w:rPr>
            </w:pPr>
          </w:p>
        </w:tc>
      </w:tr>
    </w:tbl>
    <w:p w14:paraId="0AF41BAE">
      <w:pPr>
        <w:spacing w:line="400" w:lineRule="exact"/>
        <w:ind w:firstLine="541" w:firstLineChars="245"/>
        <w:rPr>
          <w:rFonts w:ascii="宋体" w:hAnsi="宋体" w:cs="宋体"/>
          <w:b/>
          <w:color w:val="auto"/>
          <w:sz w:val="22"/>
          <w:highlight w:val="none"/>
        </w:rPr>
      </w:pPr>
    </w:p>
    <w:p w14:paraId="4793DFE9">
      <w:pPr>
        <w:spacing w:line="400" w:lineRule="exact"/>
        <w:rPr>
          <w:rFonts w:ascii="宋体" w:hAnsi="宋体" w:cs="宋体"/>
          <w:b/>
          <w:color w:val="auto"/>
          <w:sz w:val="22"/>
          <w:highlight w:val="none"/>
        </w:rPr>
      </w:pPr>
      <w:r>
        <w:rPr>
          <w:rFonts w:hint="eastAsia" w:ascii="宋体" w:hAnsi="宋体" w:cs="宋体"/>
          <w:b/>
          <w:color w:val="auto"/>
          <w:sz w:val="22"/>
          <w:highlight w:val="none"/>
        </w:rPr>
        <w:t>说明：</w:t>
      </w:r>
    </w:p>
    <w:p w14:paraId="53B05E1E">
      <w:p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1、此栏投标报价应与“3、投标分项报价表”中的总计价相一致。</w:t>
      </w:r>
    </w:p>
    <w:p w14:paraId="5C337F1A">
      <w:p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2、不提供此表格将被视为没有实质性响应招标文件</w:t>
      </w:r>
    </w:p>
    <w:p w14:paraId="6EA0F43B">
      <w:pPr>
        <w:spacing w:line="360" w:lineRule="auto"/>
        <w:jc w:val="center"/>
        <w:rPr>
          <w:rFonts w:ascii="宋体" w:hAnsi="宋体" w:cs="宋体"/>
          <w:color w:val="auto"/>
          <w:sz w:val="22"/>
          <w:szCs w:val="22"/>
          <w:highlight w:val="none"/>
        </w:rPr>
      </w:pPr>
    </w:p>
    <w:p w14:paraId="035162D0">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0AA32ABB">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1FA2B1FA">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357A4B65">
      <w:pPr>
        <w:pStyle w:val="15"/>
        <w:ind w:left="860" w:hanging="440"/>
        <w:rPr>
          <w:rFonts w:ascii="宋体" w:hAnsi="宋体"/>
          <w:color w:val="auto"/>
          <w:sz w:val="22"/>
          <w:szCs w:val="22"/>
          <w:highlight w:val="none"/>
        </w:rPr>
      </w:pPr>
    </w:p>
    <w:p w14:paraId="2F6AAE57">
      <w:pPr>
        <w:pStyle w:val="15"/>
        <w:ind w:left="860" w:hanging="440"/>
        <w:rPr>
          <w:rFonts w:ascii="宋体" w:hAnsi="宋体"/>
          <w:color w:val="auto"/>
          <w:sz w:val="22"/>
          <w:szCs w:val="22"/>
          <w:highlight w:val="none"/>
        </w:rPr>
      </w:pPr>
    </w:p>
    <w:p w14:paraId="63E8B1AA">
      <w:pPr>
        <w:pStyle w:val="15"/>
        <w:ind w:left="860" w:hanging="440"/>
        <w:rPr>
          <w:rFonts w:ascii="宋体" w:hAnsi="宋体"/>
          <w:color w:val="auto"/>
          <w:sz w:val="22"/>
          <w:szCs w:val="22"/>
          <w:highlight w:val="none"/>
        </w:rPr>
      </w:pPr>
    </w:p>
    <w:p w14:paraId="505D4E88">
      <w:pPr>
        <w:pStyle w:val="15"/>
        <w:ind w:left="860" w:hanging="440"/>
        <w:rPr>
          <w:rFonts w:ascii="宋体" w:hAnsi="宋体"/>
          <w:color w:val="auto"/>
          <w:sz w:val="22"/>
          <w:szCs w:val="22"/>
          <w:highlight w:val="none"/>
        </w:rPr>
      </w:pPr>
    </w:p>
    <w:p w14:paraId="0F6752FD">
      <w:pPr>
        <w:pStyle w:val="15"/>
        <w:ind w:left="860" w:hanging="440"/>
        <w:rPr>
          <w:rFonts w:ascii="宋体" w:hAnsi="宋体"/>
          <w:color w:val="auto"/>
          <w:sz w:val="22"/>
          <w:szCs w:val="22"/>
          <w:highlight w:val="none"/>
        </w:rPr>
      </w:pPr>
    </w:p>
    <w:p w14:paraId="113F3748">
      <w:pPr>
        <w:pStyle w:val="15"/>
        <w:ind w:left="860" w:hanging="440"/>
        <w:rPr>
          <w:rFonts w:ascii="宋体" w:hAnsi="宋体"/>
          <w:color w:val="auto"/>
          <w:sz w:val="22"/>
          <w:szCs w:val="22"/>
          <w:highlight w:val="none"/>
        </w:rPr>
      </w:pPr>
    </w:p>
    <w:p w14:paraId="1C8F5C4D">
      <w:pPr>
        <w:pStyle w:val="15"/>
        <w:ind w:left="860" w:hanging="440"/>
        <w:rPr>
          <w:rFonts w:ascii="宋体" w:hAnsi="宋体"/>
          <w:color w:val="auto"/>
          <w:sz w:val="22"/>
          <w:szCs w:val="22"/>
          <w:highlight w:val="none"/>
        </w:rPr>
      </w:pPr>
    </w:p>
    <w:p w14:paraId="1B485207">
      <w:pPr>
        <w:pStyle w:val="15"/>
        <w:ind w:left="860" w:hanging="440"/>
        <w:rPr>
          <w:rFonts w:ascii="宋体" w:hAnsi="宋体"/>
          <w:color w:val="auto"/>
          <w:sz w:val="22"/>
          <w:szCs w:val="22"/>
          <w:highlight w:val="none"/>
        </w:rPr>
      </w:pPr>
    </w:p>
    <w:p w14:paraId="3B03117A">
      <w:pPr>
        <w:pStyle w:val="15"/>
        <w:ind w:left="860" w:hanging="440"/>
        <w:rPr>
          <w:rFonts w:ascii="宋体" w:hAnsi="宋体"/>
          <w:color w:val="auto"/>
          <w:sz w:val="22"/>
          <w:szCs w:val="22"/>
          <w:highlight w:val="none"/>
        </w:rPr>
      </w:pPr>
    </w:p>
    <w:p w14:paraId="042CA3F7">
      <w:pPr>
        <w:pStyle w:val="15"/>
        <w:ind w:left="860" w:hanging="440"/>
        <w:rPr>
          <w:rFonts w:ascii="宋体" w:hAnsi="宋体"/>
          <w:color w:val="auto"/>
          <w:sz w:val="22"/>
          <w:szCs w:val="22"/>
          <w:highlight w:val="none"/>
        </w:rPr>
      </w:pPr>
    </w:p>
    <w:p w14:paraId="7825B4F6">
      <w:pPr>
        <w:pStyle w:val="15"/>
        <w:ind w:left="860" w:hanging="440"/>
        <w:rPr>
          <w:rFonts w:ascii="宋体" w:hAnsi="宋体"/>
          <w:color w:val="auto"/>
          <w:sz w:val="22"/>
          <w:szCs w:val="22"/>
          <w:highlight w:val="none"/>
        </w:rPr>
      </w:pPr>
    </w:p>
    <w:p w14:paraId="2B34C823">
      <w:pPr>
        <w:pStyle w:val="15"/>
        <w:ind w:left="860" w:hanging="440"/>
        <w:rPr>
          <w:rFonts w:ascii="宋体" w:hAnsi="宋体"/>
          <w:color w:val="auto"/>
          <w:sz w:val="22"/>
          <w:szCs w:val="22"/>
          <w:highlight w:val="none"/>
        </w:rPr>
      </w:pPr>
    </w:p>
    <w:p w14:paraId="53A21D48">
      <w:pPr>
        <w:pStyle w:val="15"/>
        <w:ind w:left="860" w:hanging="440"/>
        <w:rPr>
          <w:rFonts w:ascii="宋体" w:hAnsi="宋体"/>
          <w:color w:val="auto"/>
          <w:sz w:val="22"/>
          <w:szCs w:val="22"/>
          <w:highlight w:val="none"/>
        </w:rPr>
      </w:pPr>
    </w:p>
    <w:p w14:paraId="39CD19C5">
      <w:pPr>
        <w:pStyle w:val="15"/>
        <w:ind w:left="860" w:hanging="440"/>
        <w:rPr>
          <w:rFonts w:ascii="宋体" w:hAnsi="宋体"/>
          <w:color w:val="auto"/>
          <w:sz w:val="22"/>
          <w:szCs w:val="22"/>
          <w:highlight w:val="none"/>
        </w:rPr>
      </w:pPr>
    </w:p>
    <w:p w14:paraId="33ED0442">
      <w:pPr>
        <w:spacing w:line="400" w:lineRule="exact"/>
        <w:jc w:val="center"/>
        <w:outlineLvl w:val="3"/>
        <w:rPr>
          <w:rFonts w:ascii="宋体" w:hAnsi="宋体" w:cs="宋体"/>
          <w:b/>
          <w:color w:val="auto"/>
          <w:sz w:val="28"/>
          <w:szCs w:val="28"/>
          <w:highlight w:val="none"/>
          <w:lang w:val="zh-CN"/>
        </w:rPr>
      </w:pPr>
      <w:r>
        <w:rPr>
          <w:rFonts w:hint="eastAsia" w:ascii="宋体" w:hAnsi="宋体" w:cs="宋体"/>
          <w:b/>
          <w:color w:val="auto"/>
          <w:sz w:val="28"/>
          <w:szCs w:val="28"/>
          <w:highlight w:val="none"/>
          <w:lang w:val="zh-CN"/>
        </w:rPr>
        <w:t>3、分项报价表</w:t>
      </w:r>
    </w:p>
    <w:p w14:paraId="39A8064F">
      <w:pPr>
        <w:spacing w:line="360" w:lineRule="auto"/>
        <w:rPr>
          <w:rFonts w:ascii="宋体" w:hAnsi="宋体" w:cs="宋体"/>
          <w:color w:val="auto"/>
          <w:sz w:val="22"/>
          <w:szCs w:val="22"/>
          <w:highlight w:val="none"/>
        </w:rPr>
      </w:pPr>
    </w:p>
    <w:p w14:paraId="0A31F66A">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143AD452">
      <w:pPr>
        <w:keepNext/>
        <w:spacing w:line="360" w:lineRule="auto"/>
        <w:rPr>
          <w:rFonts w:hint="eastAsia" w:ascii="宋体" w:hAnsi="宋体" w:eastAsia="宋体" w:cs="宋体"/>
          <w:b/>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1047"/>
        <w:gridCol w:w="1046"/>
        <w:gridCol w:w="1277"/>
        <w:gridCol w:w="958"/>
      </w:tblGrid>
      <w:tr w14:paraId="35BB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14:paraId="1E311EBA">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p w14:paraId="4BE9CEDB">
            <w:pPr>
              <w:spacing w:line="460" w:lineRule="exact"/>
              <w:jc w:val="center"/>
              <w:rPr>
                <w:rFonts w:ascii="宋体" w:hAnsi="宋体" w:cs="宋体"/>
                <w:color w:val="auto"/>
                <w:sz w:val="22"/>
                <w:szCs w:val="22"/>
                <w:highlight w:val="none"/>
              </w:rPr>
            </w:pPr>
          </w:p>
        </w:tc>
        <w:tc>
          <w:tcPr>
            <w:tcW w:w="4346" w:type="dxa"/>
            <w:vAlign w:val="center"/>
          </w:tcPr>
          <w:p w14:paraId="37324170">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047" w:type="dxa"/>
            <w:vAlign w:val="center"/>
          </w:tcPr>
          <w:p w14:paraId="7451909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1046" w:type="dxa"/>
            <w:vAlign w:val="center"/>
          </w:tcPr>
          <w:p w14:paraId="2713A384">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单价 </w:t>
            </w:r>
          </w:p>
        </w:tc>
        <w:tc>
          <w:tcPr>
            <w:tcW w:w="1277" w:type="dxa"/>
            <w:vAlign w:val="center"/>
          </w:tcPr>
          <w:p w14:paraId="2AE5EA9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合价 </w:t>
            </w:r>
          </w:p>
        </w:tc>
        <w:tc>
          <w:tcPr>
            <w:tcW w:w="958" w:type="dxa"/>
            <w:vAlign w:val="center"/>
          </w:tcPr>
          <w:p w14:paraId="50834B57">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24CC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vAlign w:val="center"/>
          </w:tcPr>
          <w:p w14:paraId="6CBAB63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346" w:type="dxa"/>
            <w:shd w:val="clear" w:color="auto" w:fill="FFFFFF"/>
            <w:vAlign w:val="center"/>
          </w:tcPr>
          <w:p w14:paraId="72EB36E1">
            <w:pPr>
              <w:widowControl/>
              <w:spacing w:beforeLines="50" w:afterLines="50" w:line="460" w:lineRule="exact"/>
              <w:rPr>
                <w:rFonts w:ascii="宋体" w:hAnsi="宋体" w:cs="宋体"/>
                <w:color w:val="auto"/>
                <w:sz w:val="22"/>
                <w:szCs w:val="22"/>
                <w:highlight w:val="none"/>
              </w:rPr>
            </w:pPr>
          </w:p>
        </w:tc>
        <w:tc>
          <w:tcPr>
            <w:tcW w:w="1047" w:type="dxa"/>
            <w:vAlign w:val="center"/>
          </w:tcPr>
          <w:p w14:paraId="04BD54F6">
            <w:pPr>
              <w:spacing w:line="460" w:lineRule="exact"/>
              <w:jc w:val="center"/>
              <w:rPr>
                <w:rFonts w:ascii="宋体" w:hAnsi="宋体" w:cs="宋体"/>
                <w:color w:val="auto"/>
                <w:sz w:val="22"/>
                <w:szCs w:val="22"/>
                <w:highlight w:val="none"/>
              </w:rPr>
            </w:pPr>
          </w:p>
        </w:tc>
        <w:tc>
          <w:tcPr>
            <w:tcW w:w="1046" w:type="dxa"/>
            <w:vAlign w:val="center"/>
          </w:tcPr>
          <w:p w14:paraId="44103BBD">
            <w:pPr>
              <w:spacing w:line="460" w:lineRule="exact"/>
              <w:jc w:val="center"/>
              <w:rPr>
                <w:rFonts w:ascii="宋体" w:hAnsi="宋体" w:cs="宋体"/>
                <w:color w:val="auto"/>
                <w:sz w:val="22"/>
                <w:szCs w:val="22"/>
                <w:highlight w:val="none"/>
              </w:rPr>
            </w:pPr>
          </w:p>
        </w:tc>
        <w:tc>
          <w:tcPr>
            <w:tcW w:w="1277" w:type="dxa"/>
            <w:vAlign w:val="center"/>
          </w:tcPr>
          <w:p w14:paraId="0C62E770">
            <w:pPr>
              <w:spacing w:line="460" w:lineRule="exact"/>
              <w:jc w:val="center"/>
              <w:rPr>
                <w:rFonts w:ascii="宋体" w:hAnsi="宋体" w:cs="宋体"/>
                <w:color w:val="auto"/>
                <w:sz w:val="22"/>
                <w:szCs w:val="22"/>
                <w:highlight w:val="none"/>
              </w:rPr>
            </w:pPr>
          </w:p>
        </w:tc>
        <w:tc>
          <w:tcPr>
            <w:tcW w:w="958" w:type="dxa"/>
            <w:vAlign w:val="center"/>
          </w:tcPr>
          <w:p w14:paraId="4848D07C">
            <w:pPr>
              <w:spacing w:line="460" w:lineRule="exact"/>
              <w:jc w:val="center"/>
              <w:rPr>
                <w:rFonts w:ascii="宋体" w:hAnsi="宋体" w:cs="宋体"/>
                <w:color w:val="auto"/>
                <w:sz w:val="22"/>
                <w:szCs w:val="22"/>
                <w:highlight w:val="none"/>
              </w:rPr>
            </w:pPr>
          </w:p>
        </w:tc>
      </w:tr>
      <w:tr w14:paraId="5BD5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vAlign w:val="center"/>
          </w:tcPr>
          <w:p w14:paraId="2675BE1D">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346" w:type="dxa"/>
            <w:shd w:val="clear" w:color="auto" w:fill="FFFFFF"/>
            <w:vAlign w:val="center"/>
          </w:tcPr>
          <w:p w14:paraId="684FB20E">
            <w:pPr>
              <w:widowControl/>
              <w:spacing w:beforeLines="50" w:afterLines="50" w:line="460" w:lineRule="exact"/>
              <w:rPr>
                <w:rFonts w:ascii="宋体" w:hAnsi="宋体" w:cs="宋体"/>
                <w:color w:val="auto"/>
                <w:sz w:val="22"/>
                <w:szCs w:val="22"/>
                <w:highlight w:val="none"/>
              </w:rPr>
            </w:pPr>
          </w:p>
        </w:tc>
        <w:tc>
          <w:tcPr>
            <w:tcW w:w="1047" w:type="dxa"/>
            <w:vAlign w:val="center"/>
          </w:tcPr>
          <w:p w14:paraId="0C23E738">
            <w:pPr>
              <w:spacing w:line="460" w:lineRule="exact"/>
              <w:jc w:val="center"/>
              <w:rPr>
                <w:rFonts w:ascii="宋体" w:hAnsi="宋体" w:cs="宋体"/>
                <w:color w:val="auto"/>
                <w:sz w:val="22"/>
                <w:szCs w:val="22"/>
                <w:highlight w:val="none"/>
              </w:rPr>
            </w:pPr>
          </w:p>
        </w:tc>
        <w:tc>
          <w:tcPr>
            <w:tcW w:w="1046" w:type="dxa"/>
            <w:vAlign w:val="center"/>
          </w:tcPr>
          <w:p w14:paraId="6B83A8FB">
            <w:pPr>
              <w:spacing w:line="460" w:lineRule="exact"/>
              <w:jc w:val="center"/>
              <w:rPr>
                <w:rFonts w:ascii="宋体" w:hAnsi="宋体" w:cs="宋体"/>
                <w:color w:val="auto"/>
                <w:sz w:val="22"/>
                <w:szCs w:val="22"/>
                <w:highlight w:val="none"/>
              </w:rPr>
            </w:pPr>
          </w:p>
        </w:tc>
        <w:tc>
          <w:tcPr>
            <w:tcW w:w="1277" w:type="dxa"/>
            <w:vAlign w:val="center"/>
          </w:tcPr>
          <w:p w14:paraId="0AFBA88E">
            <w:pPr>
              <w:spacing w:line="460" w:lineRule="exact"/>
              <w:jc w:val="center"/>
              <w:rPr>
                <w:rFonts w:ascii="宋体" w:hAnsi="宋体" w:cs="宋体"/>
                <w:color w:val="auto"/>
                <w:sz w:val="22"/>
                <w:szCs w:val="22"/>
                <w:highlight w:val="none"/>
              </w:rPr>
            </w:pPr>
          </w:p>
        </w:tc>
        <w:tc>
          <w:tcPr>
            <w:tcW w:w="958" w:type="dxa"/>
            <w:vAlign w:val="center"/>
          </w:tcPr>
          <w:p w14:paraId="35A0B642">
            <w:pPr>
              <w:spacing w:line="460" w:lineRule="exact"/>
              <w:jc w:val="center"/>
              <w:rPr>
                <w:rFonts w:ascii="宋体" w:hAnsi="宋体" w:cs="宋体"/>
                <w:color w:val="auto"/>
                <w:sz w:val="22"/>
                <w:szCs w:val="22"/>
                <w:highlight w:val="none"/>
              </w:rPr>
            </w:pPr>
          </w:p>
        </w:tc>
      </w:tr>
      <w:tr w14:paraId="6138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vAlign w:val="center"/>
          </w:tcPr>
          <w:p w14:paraId="698282F2">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346" w:type="dxa"/>
            <w:shd w:val="clear" w:color="auto" w:fill="FFFFFF"/>
            <w:vAlign w:val="center"/>
          </w:tcPr>
          <w:p w14:paraId="5779BAEF">
            <w:pPr>
              <w:widowControl/>
              <w:spacing w:beforeLines="50" w:afterLines="50" w:line="460" w:lineRule="exact"/>
              <w:rPr>
                <w:rFonts w:ascii="宋体" w:hAnsi="宋体" w:cs="宋体"/>
                <w:color w:val="auto"/>
                <w:sz w:val="22"/>
                <w:szCs w:val="22"/>
                <w:highlight w:val="none"/>
              </w:rPr>
            </w:pPr>
          </w:p>
        </w:tc>
        <w:tc>
          <w:tcPr>
            <w:tcW w:w="1047" w:type="dxa"/>
            <w:vAlign w:val="center"/>
          </w:tcPr>
          <w:p w14:paraId="2807F889">
            <w:pPr>
              <w:spacing w:line="460" w:lineRule="exact"/>
              <w:jc w:val="center"/>
              <w:rPr>
                <w:rFonts w:ascii="宋体" w:hAnsi="宋体" w:cs="宋体"/>
                <w:color w:val="auto"/>
                <w:sz w:val="22"/>
                <w:szCs w:val="22"/>
                <w:highlight w:val="none"/>
              </w:rPr>
            </w:pPr>
          </w:p>
        </w:tc>
        <w:tc>
          <w:tcPr>
            <w:tcW w:w="1046" w:type="dxa"/>
            <w:vAlign w:val="center"/>
          </w:tcPr>
          <w:p w14:paraId="70C57205">
            <w:pPr>
              <w:spacing w:line="460" w:lineRule="exact"/>
              <w:jc w:val="center"/>
              <w:rPr>
                <w:rFonts w:ascii="宋体" w:hAnsi="宋体" w:cs="宋体"/>
                <w:color w:val="auto"/>
                <w:sz w:val="22"/>
                <w:szCs w:val="22"/>
                <w:highlight w:val="none"/>
              </w:rPr>
            </w:pPr>
          </w:p>
        </w:tc>
        <w:tc>
          <w:tcPr>
            <w:tcW w:w="1277" w:type="dxa"/>
            <w:vAlign w:val="center"/>
          </w:tcPr>
          <w:p w14:paraId="5523F932">
            <w:pPr>
              <w:spacing w:line="460" w:lineRule="exact"/>
              <w:jc w:val="center"/>
              <w:rPr>
                <w:rFonts w:ascii="宋体" w:hAnsi="宋体" w:cs="宋体"/>
                <w:color w:val="auto"/>
                <w:sz w:val="22"/>
                <w:szCs w:val="22"/>
                <w:highlight w:val="none"/>
              </w:rPr>
            </w:pPr>
          </w:p>
        </w:tc>
        <w:tc>
          <w:tcPr>
            <w:tcW w:w="958" w:type="dxa"/>
            <w:vAlign w:val="center"/>
          </w:tcPr>
          <w:p w14:paraId="7B629B47">
            <w:pPr>
              <w:spacing w:line="460" w:lineRule="exact"/>
              <w:jc w:val="center"/>
              <w:rPr>
                <w:rFonts w:ascii="宋体" w:hAnsi="宋体" w:cs="宋体"/>
                <w:color w:val="auto"/>
                <w:sz w:val="22"/>
                <w:szCs w:val="22"/>
                <w:highlight w:val="none"/>
              </w:rPr>
            </w:pPr>
          </w:p>
        </w:tc>
      </w:tr>
      <w:tr w14:paraId="197B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vAlign w:val="center"/>
          </w:tcPr>
          <w:p w14:paraId="3200F72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346" w:type="dxa"/>
            <w:shd w:val="clear" w:color="auto" w:fill="FFFFFF"/>
            <w:vAlign w:val="center"/>
          </w:tcPr>
          <w:p w14:paraId="5A41D2BC">
            <w:pPr>
              <w:widowControl/>
              <w:spacing w:beforeLines="50" w:afterLines="50" w:line="460" w:lineRule="exact"/>
              <w:rPr>
                <w:rFonts w:ascii="宋体" w:hAnsi="宋体" w:cs="宋体"/>
                <w:color w:val="auto"/>
                <w:sz w:val="22"/>
                <w:szCs w:val="22"/>
                <w:highlight w:val="none"/>
              </w:rPr>
            </w:pPr>
          </w:p>
        </w:tc>
        <w:tc>
          <w:tcPr>
            <w:tcW w:w="1047" w:type="dxa"/>
            <w:vAlign w:val="center"/>
          </w:tcPr>
          <w:p w14:paraId="25D7BB21">
            <w:pPr>
              <w:spacing w:line="460" w:lineRule="exact"/>
              <w:jc w:val="center"/>
              <w:rPr>
                <w:rFonts w:ascii="宋体" w:hAnsi="宋体" w:cs="宋体"/>
                <w:color w:val="auto"/>
                <w:sz w:val="22"/>
                <w:szCs w:val="22"/>
                <w:highlight w:val="none"/>
              </w:rPr>
            </w:pPr>
          </w:p>
        </w:tc>
        <w:tc>
          <w:tcPr>
            <w:tcW w:w="1046" w:type="dxa"/>
            <w:vAlign w:val="center"/>
          </w:tcPr>
          <w:p w14:paraId="37DF21EF">
            <w:pPr>
              <w:spacing w:line="460" w:lineRule="exact"/>
              <w:jc w:val="center"/>
              <w:rPr>
                <w:rFonts w:ascii="宋体" w:hAnsi="宋体" w:cs="宋体"/>
                <w:color w:val="auto"/>
                <w:sz w:val="22"/>
                <w:szCs w:val="22"/>
                <w:highlight w:val="none"/>
              </w:rPr>
            </w:pPr>
          </w:p>
        </w:tc>
        <w:tc>
          <w:tcPr>
            <w:tcW w:w="1277" w:type="dxa"/>
            <w:vAlign w:val="center"/>
          </w:tcPr>
          <w:p w14:paraId="37F8FB1D">
            <w:pPr>
              <w:spacing w:line="460" w:lineRule="exact"/>
              <w:jc w:val="center"/>
              <w:rPr>
                <w:rFonts w:ascii="宋体" w:hAnsi="宋体" w:cs="宋体"/>
                <w:color w:val="auto"/>
                <w:sz w:val="22"/>
                <w:szCs w:val="22"/>
                <w:highlight w:val="none"/>
              </w:rPr>
            </w:pPr>
          </w:p>
        </w:tc>
        <w:tc>
          <w:tcPr>
            <w:tcW w:w="958" w:type="dxa"/>
            <w:vAlign w:val="center"/>
          </w:tcPr>
          <w:p w14:paraId="6EE156F6">
            <w:pPr>
              <w:spacing w:line="460" w:lineRule="exact"/>
              <w:jc w:val="center"/>
              <w:rPr>
                <w:rFonts w:ascii="宋体" w:hAnsi="宋体" w:cs="宋体"/>
                <w:color w:val="auto"/>
                <w:sz w:val="22"/>
                <w:szCs w:val="22"/>
                <w:highlight w:val="none"/>
              </w:rPr>
            </w:pPr>
          </w:p>
        </w:tc>
      </w:tr>
      <w:tr w14:paraId="6A11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vAlign w:val="center"/>
          </w:tcPr>
          <w:p w14:paraId="1C1A94B7">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346" w:type="dxa"/>
            <w:shd w:val="clear" w:color="auto" w:fill="FFFFFF"/>
            <w:vAlign w:val="center"/>
          </w:tcPr>
          <w:p w14:paraId="739C651E">
            <w:pPr>
              <w:widowControl/>
              <w:spacing w:beforeLines="50" w:afterLines="50" w:line="460" w:lineRule="exact"/>
              <w:rPr>
                <w:rFonts w:ascii="宋体" w:hAnsi="宋体" w:cs="宋体"/>
                <w:color w:val="auto"/>
                <w:sz w:val="22"/>
                <w:szCs w:val="22"/>
                <w:highlight w:val="none"/>
              </w:rPr>
            </w:pPr>
          </w:p>
        </w:tc>
        <w:tc>
          <w:tcPr>
            <w:tcW w:w="1047" w:type="dxa"/>
            <w:vAlign w:val="center"/>
          </w:tcPr>
          <w:p w14:paraId="6C154BA5">
            <w:pPr>
              <w:spacing w:line="460" w:lineRule="exact"/>
              <w:jc w:val="center"/>
              <w:rPr>
                <w:rFonts w:ascii="宋体" w:hAnsi="宋体" w:cs="宋体"/>
                <w:color w:val="auto"/>
                <w:sz w:val="22"/>
                <w:szCs w:val="22"/>
                <w:highlight w:val="none"/>
              </w:rPr>
            </w:pPr>
          </w:p>
        </w:tc>
        <w:tc>
          <w:tcPr>
            <w:tcW w:w="1046" w:type="dxa"/>
            <w:vAlign w:val="center"/>
          </w:tcPr>
          <w:p w14:paraId="546F173E">
            <w:pPr>
              <w:spacing w:line="460" w:lineRule="exact"/>
              <w:jc w:val="center"/>
              <w:rPr>
                <w:rFonts w:ascii="宋体" w:hAnsi="宋体" w:cs="宋体"/>
                <w:color w:val="auto"/>
                <w:sz w:val="22"/>
                <w:szCs w:val="22"/>
                <w:highlight w:val="none"/>
              </w:rPr>
            </w:pPr>
          </w:p>
        </w:tc>
        <w:tc>
          <w:tcPr>
            <w:tcW w:w="1277" w:type="dxa"/>
            <w:vAlign w:val="center"/>
          </w:tcPr>
          <w:p w14:paraId="03566831">
            <w:pPr>
              <w:spacing w:line="460" w:lineRule="exact"/>
              <w:jc w:val="center"/>
              <w:rPr>
                <w:rFonts w:ascii="宋体" w:hAnsi="宋体" w:cs="宋体"/>
                <w:color w:val="auto"/>
                <w:sz w:val="22"/>
                <w:szCs w:val="22"/>
                <w:highlight w:val="none"/>
              </w:rPr>
            </w:pPr>
          </w:p>
        </w:tc>
        <w:tc>
          <w:tcPr>
            <w:tcW w:w="958" w:type="dxa"/>
            <w:vAlign w:val="center"/>
          </w:tcPr>
          <w:p w14:paraId="058C913D">
            <w:pPr>
              <w:spacing w:line="460" w:lineRule="exact"/>
              <w:jc w:val="center"/>
              <w:rPr>
                <w:rFonts w:ascii="宋体" w:hAnsi="宋体" w:cs="宋体"/>
                <w:color w:val="auto"/>
                <w:sz w:val="22"/>
                <w:szCs w:val="22"/>
                <w:highlight w:val="none"/>
              </w:rPr>
            </w:pPr>
          </w:p>
        </w:tc>
      </w:tr>
      <w:tr w14:paraId="6BB5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vAlign w:val="center"/>
          </w:tcPr>
          <w:p w14:paraId="22131A6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346" w:type="dxa"/>
            <w:shd w:val="clear" w:color="auto" w:fill="FFFFFF"/>
            <w:vAlign w:val="center"/>
          </w:tcPr>
          <w:p w14:paraId="6D42A453">
            <w:pPr>
              <w:widowControl/>
              <w:spacing w:beforeLines="50" w:afterLines="50" w:line="460" w:lineRule="exact"/>
              <w:rPr>
                <w:rFonts w:ascii="宋体" w:hAnsi="宋体" w:cs="宋体"/>
                <w:color w:val="auto"/>
                <w:sz w:val="22"/>
                <w:szCs w:val="22"/>
                <w:highlight w:val="none"/>
              </w:rPr>
            </w:pPr>
          </w:p>
        </w:tc>
        <w:tc>
          <w:tcPr>
            <w:tcW w:w="1047" w:type="dxa"/>
            <w:vAlign w:val="center"/>
          </w:tcPr>
          <w:p w14:paraId="1BA7236C">
            <w:pPr>
              <w:spacing w:line="460" w:lineRule="exact"/>
              <w:jc w:val="center"/>
              <w:rPr>
                <w:rFonts w:ascii="宋体" w:hAnsi="宋体" w:cs="宋体"/>
                <w:color w:val="auto"/>
                <w:sz w:val="22"/>
                <w:szCs w:val="22"/>
                <w:highlight w:val="none"/>
              </w:rPr>
            </w:pPr>
          </w:p>
        </w:tc>
        <w:tc>
          <w:tcPr>
            <w:tcW w:w="1046" w:type="dxa"/>
            <w:vAlign w:val="center"/>
          </w:tcPr>
          <w:p w14:paraId="4ED8FD2E">
            <w:pPr>
              <w:spacing w:line="460" w:lineRule="exact"/>
              <w:jc w:val="center"/>
              <w:rPr>
                <w:rFonts w:ascii="宋体" w:hAnsi="宋体" w:cs="宋体"/>
                <w:color w:val="auto"/>
                <w:sz w:val="22"/>
                <w:szCs w:val="22"/>
                <w:highlight w:val="none"/>
              </w:rPr>
            </w:pPr>
          </w:p>
        </w:tc>
        <w:tc>
          <w:tcPr>
            <w:tcW w:w="1277" w:type="dxa"/>
            <w:vAlign w:val="center"/>
          </w:tcPr>
          <w:p w14:paraId="691D4D86">
            <w:pPr>
              <w:spacing w:line="460" w:lineRule="exact"/>
              <w:jc w:val="center"/>
              <w:rPr>
                <w:rFonts w:ascii="宋体" w:hAnsi="宋体" w:cs="宋体"/>
                <w:color w:val="auto"/>
                <w:sz w:val="22"/>
                <w:szCs w:val="22"/>
                <w:highlight w:val="none"/>
              </w:rPr>
            </w:pPr>
          </w:p>
        </w:tc>
        <w:tc>
          <w:tcPr>
            <w:tcW w:w="958" w:type="dxa"/>
            <w:vAlign w:val="center"/>
          </w:tcPr>
          <w:p w14:paraId="32447CCF">
            <w:pPr>
              <w:spacing w:line="460" w:lineRule="exact"/>
              <w:jc w:val="center"/>
              <w:rPr>
                <w:rFonts w:ascii="宋体" w:hAnsi="宋体" w:cs="宋体"/>
                <w:color w:val="auto"/>
                <w:sz w:val="22"/>
                <w:szCs w:val="22"/>
                <w:highlight w:val="none"/>
              </w:rPr>
            </w:pPr>
          </w:p>
        </w:tc>
      </w:tr>
      <w:tr w14:paraId="15E3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vAlign w:val="center"/>
          </w:tcPr>
          <w:p w14:paraId="35867922">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346" w:type="dxa"/>
            <w:shd w:val="clear" w:color="auto" w:fill="FFFFFF"/>
            <w:vAlign w:val="center"/>
          </w:tcPr>
          <w:p w14:paraId="4E2A5C17">
            <w:pPr>
              <w:widowControl/>
              <w:spacing w:beforeLines="50" w:afterLines="50" w:line="460" w:lineRule="exact"/>
              <w:rPr>
                <w:rFonts w:ascii="宋体" w:hAnsi="宋体" w:cs="宋体"/>
                <w:color w:val="auto"/>
                <w:sz w:val="22"/>
                <w:szCs w:val="22"/>
                <w:highlight w:val="none"/>
              </w:rPr>
            </w:pPr>
          </w:p>
        </w:tc>
        <w:tc>
          <w:tcPr>
            <w:tcW w:w="1047" w:type="dxa"/>
            <w:vAlign w:val="center"/>
          </w:tcPr>
          <w:p w14:paraId="1448D049">
            <w:pPr>
              <w:spacing w:line="460" w:lineRule="exact"/>
              <w:jc w:val="center"/>
              <w:rPr>
                <w:rFonts w:ascii="宋体" w:hAnsi="宋体" w:cs="宋体"/>
                <w:color w:val="auto"/>
                <w:sz w:val="22"/>
                <w:szCs w:val="22"/>
                <w:highlight w:val="none"/>
              </w:rPr>
            </w:pPr>
          </w:p>
        </w:tc>
        <w:tc>
          <w:tcPr>
            <w:tcW w:w="1046" w:type="dxa"/>
            <w:vAlign w:val="center"/>
          </w:tcPr>
          <w:p w14:paraId="46A06331">
            <w:pPr>
              <w:spacing w:line="460" w:lineRule="exact"/>
              <w:jc w:val="center"/>
              <w:rPr>
                <w:rFonts w:ascii="宋体" w:hAnsi="宋体" w:cs="宋体"/>
                <w:color w:val="auto"/>
                <w:sz w:val="22"/>
                <w:szCs w:val="22"/>
                <w:highlight w:val="none"/>
              </w:rPr>
            </w:pPr>
          </w:p>
        </w:tc>
        <w:tc>
          <w:tcPr>
            <w:tcW w:w="1277" w:type="dxa"/>
            <w:vAlign w:val="center"/>
          </w:tcPr>
          <w:p w14:paraId="69C20BE7">
            <w:pPr>
              <w:spacing w:line="460" w:lineRule="exact"/>
              <w:jc w:val="center"/>
              <w:rPr>
                <w:rFonts w:ascii="宋体" w:hAnsi="宋体" w:cs="宋体"/>
                <w:color w:val="auto"/>
                <w:sz w:val="22"/>
                <w:szCs w:val="22"/>
                <w:highlight w:val="none"/>
              </w:rPr>
            </w:pPr>
          </w:p>
        </w:tc>
        <w:tc>
          <w:tcPr>
            <w:tcW w:w="958" w:type="dxa"/>
            <w:vAlign w:val="center"/>
          </w:tcPr>
          <w:p w14:paraId="005360A8">
            <w:pPr>
              <w:spacing w:line="460" w:lineRule="exact"/>
              <w:jc w:val="center"/>
              <w:rPr>
                <w:rFonts w:ascii="宋体" w:hAnsi="宋体" w:cs="宋体"/>
                <w:color w:val="auto"/>
                <w:sz w:val="22"/>
                <w:szCs w:val="22"/>
                <w:highlight w:val="none"/>
              </w:rPr>
            </w:pPr>
          </w:p>
        </w:tc>
      </w:tr>
      <w:tr w14:paraId="22A8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vAlign w:val="center"/>
          </w:tcPr>
          <w:p w14:paraId="4D82AC4D">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4346" w:type="dxa"/>
            <w:shd w:val="clear" w:color="auto" w:fill="FFFFFF"/>
            <w:vAlign w:val="center"/>
          </w:tcPr>
          <w:p w14:paraId="7F836C59">
            <w:pPr>
              <w:widowControl/>
              <w:spacing w:beforeLines="50" w:afterLines="50" w:line="460" w:lineRule="exact"/>
              <w:rPr>
                <w:rFonts w:ascii="宋体" w:hAnsi="宋体" w:cs="宋体"/>
                <w:color w:val="auto"/>
                <w:sz w:val="22"/>
                <w:szCs w:val="22"/>
                <w:highlight w:val="none"/>
              </w:rPr>
            </w:pPr>
          </w:p>
        </w:tc>
        <w:tc>
          <w:tcPr>
            <w:tcW w:w="1047" w:type="dxa"/>
            <w:vAlign w:val="center"/>
          </w:tcPr>
          <w:p w14:paraId="56726D93">
            <w:pPr>
              <w:spacing w:line="460" w:lineRule="exact"/>
              <w:jc w:val="center"/>
              <w:rPr>
                <w:rFonts w:ascii="宋体" w:hAnsi="宋体" w:cs="宋体"/>
                <w:color w:val="auto"/>
                <w:sz w:val="22"/>
                <w:szCs w:val="22"/>
                <w:highlight w:val="none"/>
              </w:rPr>
            </w:pPr>
          </w:p>
        </w:tc>
        <w:tc>
          <w:tcPr>
            <w:tcW w:w="1046" w:type="dxa"/>
            <w:vAlign w:val="center"/>
          </w:tcPr>
          <w:p w14:paraId="42D404B4">
            <w:pPr>
              <w:spacing w:line="460" w:lineRule="exact"/>
              <w:jc w:val="center"/>
              <w:rPr>
                <w:rFonts w:ascii="宋体" w:hAnsi="宋体" w:cs="宋体"/>
                <w:color w:val="auto"/>
                <w:sz w:val="22"/>
                <w:szCs w:val="22"/>
                <w:highlight w:val="none"/>
              </w:rPr>
            </w:pPr>
          </w:p>
        </w:tc>
        <w:tc>
          <w:tcPr>
            <w:tcW w:w="1277" w:type="dxa"/>
            <w:vAlign w:val="center"/>
          </w:tcPr>
          <w:p w14:paraId="63C09C92">
            <w:pPr>
              <w:spacing w:line="460" w:lineRule="exact"/>
              <w:jc w:val="center"/>
              <w:rPr>
                <w:rFonts w:ascii="宋体" w:hAnsi="宋体" w:cs="宋体"/>
                <w:color w:val="auto"/>
                <w:sz w:val="22"/>
                <w:szCs w:val="22"/>
                <w:highlight w:val="none"/>
              </w:rPr>
            </w:pPr>
          </w:p>
        </w:tc>
        <w:tc>
          <w:tcPr>
            <w:tcW w:w="958" w:type="dxa"/>
            <w:vAlign w:val="center"/>
          </w:tcPr>
          <w:p w14:paraId="245DE0F7">
            <w:pPr>
              <w:spacing w:line="460" w:lineRule="exact"/>
              <w:jc w:val="center"/>
              <w:rPr>
                <w:rFonts w:ascii="宋体" w:hAnsi="宋体" w:cs="宋体"/>
                <w:color w:val="auto"/>
                <w:sz w:val="22"/>
                <w:szCs w:val="22"/>
                <w:highlight w:val="none"/>
              </w:rPr>
            </w:pPr>
          </w:p>
        </w:tc>
      </w:tr>
      <w:tr w14:paraId="265D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vAlign w:val="center"/>
          </w:tcPr>
          <w:p w14:paraId="5CFF01A6">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4346" w:type="dxa"/>
            <w:shd w:val="clear" w:color="auto" w:fill="FFFFFF"/>
            <w:vAlign w:val="center"/>
          </w:tcPr>
          <w:p w14:paraId="295DB012">
            <w:pPr>
              <w:widowControl/>
              <w:spacing w:beforeLines="50" w:afterLines="50" w:line="460" w:lineRule="exact"/>
              <w:rPr>
                <w:rFonts w:ascii="宋体" w:hAnsi="宋体" w:cs="宋体"/>
                <w:color w:val="auto"/>
                <w:sz w:val="22"/>
                <w:szCs w:val="22"/>
                <w:highlight w:val="none"/>
              </w:rPr>
            </w:pPr>
          </w:p>
        </w:tc>
        <w:tc>
          <w:tcPr>
            <w:tcW w:w="1047" w:type="dxa"/>
            <w:vAlign w:val="center"/>
          </w:tcPr>
          <w:p w14:paraId="7E1BA4B8">
            <w:pPr>
              <w:spacing w:line="460" w:lineRule="exact"/>
              <w:jc w:val="center"/>
              <w:rPr>
                <w:rFonts w:ascii="宋体" w:hAnsi="宋体" w:cs="宋体"/>
                <w:color w:val="auto"/>
                <w:sz w:val="22"/>
                <w:szCs w:val="22"/>
                <w:highlight w:val="none"/>
              </w:rPr>
            </w:pPr>
          </w:p>
        </w:tc>
        <w:tc>
          <w:tcPr>
            <w:tcW w:w="1046" w:type="dxa"/>
            <w:vAlign w:val="center"/>
          </w:tcPr>
          <w:p w14:paraId="28B2A43A">
            <w:pPr>
              <w:spacing w:line="460" w:lineRule="exact"/>
              <w:jc w:val="center"/>
              <w:rPr>
                <w:rFonts w:ascii="宋体" w:hAnsi="宋体" w:cs="宋体"/>
                <w:color w:val="auto"/>
                <w:sz w:val="22"/>
                <w:szCs w:val="22"/>
                <w:highlight w:val="none"/>
              </w:rPr>
            </w:pPr>
          </w:p>
        </w:tc>
        <w:tc>
          <w:tcPr>
            <w:tcW w:w="1277" w:type="dxa"/>
            <w:vAlign w:val="center"/>
          </w:tcPr>
          <w:p w14:paraId="2F2A782A">
            <w:pPr>
              <w:spacing w:line="460" w:lineRule="exact"/>
              <w:jc w:val="center"/>
              <w:rPr>
                <w:rFonts w:ascii="宋体" w:hAnsi="宋体" w:cs="宋体"/>
                <w:color w:val="auto"/>
                <w:sz w:val="22"/>
                <w:szCs w:val="22"/>
                <w:highlight w:val="none"/>
              </w:rPr>
            </w:pPr>
          </w:p>
        </w:tc>
        <w:tc>
          <w:tcPr>
            <w:tcW w:w="958" w:type="dxa"/>
            <w:vAlign w:val="center"/>
          </w:tcPr>
          <w:p w14:paraId="782C1AAC">
            <w:pPr>
              <w:spacing w:line="460" w:lineRule="exact"/>
              <w:jc w:val="center"/>
              <w:rPr>
                <w:rFonts w:ascii="宋体" w:hAnsi="宋体" w:cs="宋体"/>
                <w:color w:val="auto"/>
                <w:sz w:val="22"/>
                <w:szCs w:val="22"/>
                <w:highlight w:val="none"/>
              </w:rPr>
            </w:pPr>
          </w:p>
        </w:tc>
      </w:tr>
      <w:tr w14:paraId="207C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vAlign w:val="center"/>
          </w:tcPr>
          <w:p w14:paraId="08BD6DF1">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4346" w:type="dxa"/>
            <w:shd w:val="clear" w:color="auto" w:fill="FFFFFF"/>
            <w:vAlign w:val="center"/>
          </w:tcPr>
          <w:p w14:paraId="4356BC75">
            <w:pPr>
              <w:widowControl/>
              <w:spacing w:beforeLines="50" w:afterLines="50"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w:t>
            </w:r>
          </w:p>
        </w:tc>
        <w:tc>
          <w:tcPr>
            <w:tcW w:w="1047" w:type="dxa"/>
            <w:vAlign w:val="center"/>
          </w:tcPr>
          <w:p w14:paraId="3FF9EE97">
            <w:pPr>
              <w:spacing w:line="460" w:lineRule="exact"/>
              <w:jc w:val="center"/>
              <w:rPr>
                <w:rFonts w:ascii="宋体" w:hAnsi="宋体" w:cs="宋体"/>
                <w:color w:val="auto"/>
                <w:sz w:val="22"/>
                <w:szCs w:val="22"/>
                <w:highlight w:val="none"/>
              </w:rPr>
            </w:pPr>
          </w:p>
        </w:tc>
        <w:tc>
          <w:tcPr>
            <w:tcW w:w="1046" w:type="dxa"/>
            <w:vAlign w:val="center"/>
          </w:tcPr>
          <w:p w14:paraId="45B6152F">
            <w:pPr>
              <w:spacing w:line="460" w:lineRule="exact"/>
              <w:jc w:val="center"/>
              <w:rPr>
                <w:rFonts w:ascii="宋体" w:hAnsi="宋体" w:cs="宋体"/>
                <w:color w:val="auto"/>
                <w:sz w:val="22"/>
                <w:szCs w:val="22"/>
                <w:highlight w:val="none"/>
              </w:rPr>
            </w:pPr>
          </w:p>
        </w:tc>
        <w:tc>
          <w:tcPr>
            <w:tcW w:w="1277" w:type="dxa"/>
            <w:vAlign w:val="center"/>
          </w:tcPr>
          <w:p w14:paraId="5EBC68D1">
            <w:pPr>
              <w:spacing w:line="460" w:lineRule="exact"/>
              <w:jc w:val="center"/>
              <w:rPr>
                <w:rFonts w:ascii="宋体" w:hAnsi="宋体" w:cs="宋体"/>
                <w:color w:val="auto"/>
                <w:sz w:val="22"/>
                <w:szCs w:val="22"/>
                <w:highlight w:val="none"/>
              </w:rPr>
            </w:pPr>
          </w:p>
        </w:tc>
        <w:tc>
          <w:tcPr>
            <w:tcW w:w="958" w:type="dxa"/>
            <w:vAlign w:val="center"/>
          </w:tcPr>
          <w:p w14:paraId="03D3CC58">
            <w:pPr>
              <w:spacing w:line="460" w:lineRule="exact"/>
              <w:jc w:val="center"/>
              <w:rPr>
                <w:rFonts w:ascii="宋体" w:hAnsi="宋体" w:cs="宋体"/>
                <w:color w:val="auto"/>
                <w:sz w:val="22"/>
                <w:szCs w:val="22"/>
                <w:highlight w:val="none"/>
              </w:rPr>
            </w:pPr>
          </w:p>
        </w:tc>
      </w:tr>
      <w:tr w14:paraId="6E10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14:paraId="164F4DA7">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4346" w:type="dxa"/>
            <w:vAlign w:val="center"/>
          </w:tcPr>
          <w:p w14:paraId="1CDD2C1B">
            <w:pPr>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人员费用</w:t>
            </w:r>
          </w:p>
        </w:tc>
        <w:tc>
          <w:tcPr>
            <w:tcW w:w="1047" w:type="dxa"/>
            <w:vAlign w:val="center"/>
          </w:tcPr>
          <w:p w14:paraId="49CF95F3">
            <w:pPr>
              <w:spacing w:line="460" w:lineRule="exact"/>
              <w:jc w:val="center"/>
              <w:rPr>
                <w:rFonts w:ascii="宋体" w:hAnsi="宋体" w:cs="宋体"/>
                <w:color w:val="auto"/>
                <w:sz w:val="22"/>
                <w:szCs w:val="22"/>
                <w:highlight w:val="none"/>
              </w:rPr>
            </w:pPr>
          </w:p>
        </w:tc>
        <w:tc>
          <w:tcPr>
            <w:tcW w:w="1046" w:type="dxa"/>
            <w:vAlign w:val="center"/>
          </w:tcPr>
          <w:p w14:paraId="5F675E26">
            <w:pPr>
              <w:spacing w:line="460" w:lineRule="exact"/>
              <w:jc w:val="center"/>
              <w:rPr>
                <w:rFonts w:ascii="宋体" w:hAnsi="宋体" w:cs="宋体"/>
                <w:color w:val="auto"/>
                <w:sz w:val="22"/>
                <w:szCs w:val="22"/>
                <w:highlight w:val="none"/>
              </w:rPr>
            </w:pPr>
          </w:p>
        </w:tc>
        <w:tc>
          <w:tcPr>
            <w:tcW w:w="1277" w:type="dxa"/>
            <w:vAlign w:val="center"/>
          </w:tcPr>
          <w:p w14:paraId="68DD1EDE">
            <w:pPr>
              <w:spacing w:line="460" w:lineRule="exact"/>
              <w:jc w:val="center"/>
              <w:rPr>
                <w:rFonts w:ascii="宋体" w:hAnsi="宋体" w:cs="宋体"/>
                <w:color w:val="auto"/>
                <w:sz w:val="22"/>
                <w:szCs w:val="22"/>
                <w:highlight w:val="none"/>
              </w:rPr>
            </w:pPr>
          </w:p>
        </w:tc>
        <w:tc>
          <w:tcPr>
            <w:tcW w:w="958" w:type="dxa"/>
            <w:vAlign w:val="center"/>
          </w:tcPr>
          <w:p w14:paraId="71D2F473">
            <w:pPr>
              <w:spacing w:line="460" w:lineRule="exact"/>
              <w:jc w:val="center"/>
              <w:rPr>
                <w:rFonts w:ascii="宋体" w:hAnsi="宋体" w:cs="宋体"/>
                <w:color w:val="auto"/>
                <w:sz w:val="22"/>
                <w:szCs w:val="22"/>
                <w:highlight w:val="none"/>
              </w:rPr>
            </w:pPr>
          </w:p>
        </w:tc>
      </w:tr>
      <w:tr w14:paraId="2582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vAlign w:val="center"/>
          </w:tcPr>
          <w:p w14:paraId="17CF4B81">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4346" w:type="dxa"/>
            <w:vAlign w:val="center"/>
          </w:tcPr>
          <w:p w14:paraId="7C55FFB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税金</w:t>
            </w:r>
          </w:p>
        </w:tc>
        <w:tc>
          <w:tcPr>
            <w:tcW w:w="4328" w:type="dxa"/>
            <w:gridSpan w:val="4"/>
            <w:vAlign w:val="center"/>
          </w:tcPr>
          <w:p w14:paraId="60144B19">
            <w:pPr>
              <w:spacing w:line="460" w:lineRule="exact"/>
              <w:jc w:val="center"/>
              <w:rPr>
                <w:rFonts w:ascii="宋体" w:hAnsi="宋体" w:cs="宋体"/>
                <w:color w:val="auto"/>
                <w:sz w:val="22"/>
                <w:szCs w:val="22"/>
                <w:highlight w:val="none"/>
              </w:rPr>
            </w:pPr>
          </w:p>
        </w:tc>
      </w:tr>
      <w:tr w14:paraId="3A56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vAlign w:val="center"/>
          </w:tcPr>
          <w:p w14:paraId="3BD22394">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4346" w:type="dxa"/>
            <w:vAlign w:val="center"/>
          </w:tcPr>
          <w:p w14:paraId="6A01BA1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其他</w:t>
            </w:r>
          </w:p>
        </w:tc>
        <w:tc>
          <w:tcPr>
            <w:tcW w:w="4328" w:type="dxa"/>
            <w:gridSpan w:val="4"/>
            <w:vAlign w:val="center"/>
          </w:tcPr>
          <w:p w14:paraId="162B0EB3">
            <w:pPr>
              <w:spacing w:line="460" w:lineRule="exact"/>
              <w:jc w:val="center"/>
              <w:rPr>
                <w:rFonts w:ascii="宋体" w:hAnsi="宋体" w:cs="宋体"/>
                <w:color w:val="auto"/>
                <w:sz w:val="22"/>
                <w:szCs w:val="22"/>
                <w:highlight w:val="none"/>
              </w:rPr>
            </w:pPr>
          </w:p>
        </w:tc>
      </w:tr>
      <w:tr w14:paraId="5AB4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vAlign w:val="center"/>
          </w:tcPr>
          <w:p w14:paraId="314FCB4A">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4346" w:type="dxa"/>
            <w:vAlign w:val="center"/>
          </w:tcPr>
          <w:p w14:paraId="07114EF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4328" w:type="dxa"/>
            <w:gridSpan w:val="4"/>
            <w:vAlign w:val="center"/>
          </w:tcPr>
          <w:p w14:paraId="722CD6E6">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含</w:t>
            </w:r>
          </w:p>
        </w:tc>
      </w:tr>
      <w:tr w14:paraId="3AD5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tcPr>
          <w:p w14:paraId="6BD58A20">
            <w:pPr>
              <w:spacing w:line="460" w:lineRule="exact"/>
              <w:ind w:firstLine="1650" w:firstLineChars="750"/>
              <w:rPr>
                <w:rFonts w:ascii="宋体" w:hAnsi="宋体" w:cs="宋体"/>
                <w:color w:val="auto"/>
                <w:sz w:val="22"/>
                <w:szCs w:val="22"/>
                <w:highlight w:val="none"/>
              </w:rPr>
            </w:pPr>
            <w:r>
              <w:rPr>
                <w:rFonts w:hint="eastAsia" w:ascii="宋体" w:hAnsi="宋体" w:cs="宋体"/>
                <w:color w:val="auto"/>
                <w:sz w:val="22"/>
                <w:szCs w:val="22"/>
                <w:highlight w:val="none"/>
              </w:rPr>
              <w:t>总    计   价</w:t>
            </w:r>
          </w:p>
        </w:tc>
        <w:tc>
          <w:tcPr>
            <w:tcW w:w="4328" w:type="dxa"/>
            <w:gridSpan w:val="4"/>
            <w:vAlign w:val="center"/>
          </w:tcPr>
          <w:p w14:paraId="3AD40C21">
            <w:pPr>
              <w:spacing w:line="460" w:lineRule="exact"/>
              <w:jc w:val="center"/>
              <w:rPr>
                <w:rFonts w:ascii="宋体" w:hAnsi="宋体" w:cs="宋体"/>
                <w:color w:val="auto"/>
                <w:sz w:val="22"/>
                <w:szCs w:val="22"/>
                <w:highlight w:val="none"/>
              </w:rPr>
            </w:pPr>
          </w:p>
        </w:tc>
      </w:tr>
    </w:tbl>
    <w:p w14:paraId="0F8FC3A3">
      <w:pPr>
        <w:spacing w:line="38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 xml:space="preserve">说明： </w:t>
      </w:r>
      <w:r>
        <w:rPr>
          <w:rFonts w:hint="eastAsia" w:ascii="宋体" w:hAnsi="宋体" w:cs="宋体"/>
          <w:b/>
          <w:bCs/>
          <w:color w:val="auto"/>
          <w:sz w:val="22"/>
          <w:szCs w:val="22"/>
          <w:highlight w:val="none"/>
        </w:rPr>
        <w:t>1、此表总计价应与“2、报价一览表”中报价相一致。</w:t>
      </w:r>
    </w:p>
    <w:p w14:paraId="1EA2DF64">
      <w:pPr>
        <w:spacing w:line="380" w:lineRule="exact"/>
        <w:ind w:firstLine="755" w:firstLineChars="342"/>
        <w:rPr>
          <w:rFonts w:ascii="宋体" w:hAnsi="宋体" w:cs="宋体"/>
          <w:b/>
          <w:bCs/>
          <w:color w:val="auto"/>
          <w:sz w:val="22"/>
          <w:szCs w:val="22"/>
          <w:highlight w:val="none"/>
        </w:rPr>
      </w:pPr>
      <w:r>
        <w:rPr>
          <w:rFonts w:hint="eastAsia" w:ascii="宋体" w:hAnsi="宋体" w:cs="宋体"/>
          <w:b/>
          <w:bCs/>
          <w:color w:val="auto"/>
          <w:sz w:val="22"/>
          <w:szCs w:val="22"/>
          <w:highlight w:val="none"/>
        </w:rPr>
        <w:t>2、不提供详细分项报价将视为没有实质性响应招标文件。</w:t>
      </w:r>
    </w:p>
    <w:p w14:paraId="4E068302">
      <w:pPr>
        <w:spacing w:line="380" w:lineRule="exact"/>
        <w:ind w:firstLine="720"/>
        <w:rPr>
          <w:rFonts w:ascii="宋体" w:hAnsi="宋体" w:cs="宋体"/>
          <w:color w:val="auto"/>
          <w:sz w:val="20"/>
          <w:szCs w:val="22"/>
          <w:highlight w:val="none"/>
        </w:rPr>
      </w:pPr>
      <w:r>
        <w:rPr>
          <w:rFonts w:hint="eastAsia" w:ascii="宋体" w:hAnsi="宋体" w:cs="宋体"/>
          <w:b/>
          <w:bCs/>
          <w:color w:val="auto"/>
          <w:sz w:val="22"/>
          <w:szCs w:val="22"/>
          <w:highlight w:val="none"/>
        </w:rPr>
        <w:t>3、如果免费请在该项内容栏内注明“免”，如果含在产品价格中则填“含”，如无此项内容则填“无”。</w:t>
      </w:r>
    </w:p>
    <w:p w14:paraId="7768B9B3">
      <w:pPr>
        <w:spacing w:line="400" w:lineRule="exact"/>
        <w:jc w:val="left"/>
        <w:rPr>
          <w:rFonts w:ascii="宋体" w:hAnsi="宋体" w:cs="宋体"/>
          <w:color w:val="auto"/>
          <w:sz w:val="22"/>
          <w:szCs w:val="22"/>
          <w:highlight w:val="none"/>
        </w:rPr>
      </w:pPr>
    </w:p>
    <w:p w14:paraId="22DFCEFB">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63967671">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3F4DF9F">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55C3C31F">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2155DB22">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color w:val="auto"/>
          <w:spacing w:val="6"/>
          <w:sz w:val="22"/>
          <w:szCs w:val="22"/>
          <w:highlight w:val="none"/>
        </w:rPr>
      </w:pPr>
      <w:bookmarkStart w:id="32" w:name="_Toc12035"/>
      <w:bookmarkStart w:id="33" w:name="_Toc19402"/>
      <w:r>
        <w:rPr>
          <w:rFonts w:hint="eastAsia" w:ascii="宋体" w:hAnsi="宋体" w:cs="宋体"/>
          <w:b/>
          <w:bCs/>
          <w:color w:val="auto"/>
          <w:kern w:val="2"/>
          <w:sz w:val="28"/>
          <w:szCs w:val="28"/>
          <w:highlight w:val="none"/>
          <w:lang w:val="en-US" w:eastAsia="zh-CN" w:bidi="ar-SA"/>
        </w:rPr>
        <w:t>4、</w:t>
      </w:r>
      <w:r>
        <w:rPr>
          <w:rFonts w:hint="eastAsia" w:ascii="宋体" w:hAnsi="宋体" w:eastAsia="宋体" w:cs="宋体"/>
          <w:b/>
          <w:bCs/>
          <w:color w:val="auto"/>
          <w:kern w:val="2"/>
          <w:sz w:val="28"/>
          <w:szCs w:val="28"/>
          <w:highlight w:val="none"/>
          <w:lang w:val="en-US" w:eastAsia="zh-CN" w:bidi="ar-SA"/>
        </w:rPr>
        <w:t>中小企业的相关证明材料</w:t>
      </w:r>
    </w:p>
    <w:p w14:paraId="508F9AAB">
      <w:pPr>
        <w:spacing w:line="460" w:lineRule="exact"/>
        <w:jc w:val="both"/>
        <w:rPr>
          <w:rFonts w:hint="eastAsia" w:ascii="宋体" w:hAnsi="宋体" w:eastAsia="宋体" w:cs="宋体"/>
          <w:b/>
          <w:bCs/>
          <w:color w:val="auto"/>
          <w:sz w:val="22"/>
          <w:szCs w:val="22"/>
          <w:highlight w:val="none"/>
        </w:rPr>
      </w:pPr>
    </w:p>
    <w:p w14:paraId="25BABEF7">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351F2D1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2B35E8A2">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368ECD8">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2E46B4F3">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09FA620F">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49515ECD">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AF03CDD">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14:paraId="3680ECAA">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14:paraId="240CF148">
      <w:pPr>
        <w:spacing w:line="460" w:lineRule="exact"/>
        <w:jc w:val="center"/>
        <w:rPr>
          <w:rFonts w:hint="eastAsia" w:ascii="宋体" w:hAnsi="宋体" w:eastAsia="宋体" w:cs="宋体"/>
          <w:color w:val="auto"/>
          <w:spacing w:val="20"/>
          <w:sz w:val="22"/>
          <w:szCs w:val="22"/>
          <w:highlight w:val="none"/>
        </w:rPr>
      </w:pPr>
    </w:p>
    <w:p w14:paraId="4E5420F6">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kern w:val="2"/>
          <w:sz w:val="28"/>
          <w:szCs w:val="28"/>
          <w:highlight w:val="none"/>
          <w:lang w:val="en-US" w:eastAsia="zh-CN" w:bidi="ar-SA"/>
        </w:rPr>
        <w:t>5、监狱企业的相关证明材料</w:t>
      </w:r>
    </w:p>
    <w:p w14:paraId="0816F8A8">
      <w:pPr>
        <w:adjustRightInd w:val="0"/>
        <w:snapToGrid w:val="0"/>
        <w:spacing w:line="300" w:lineRule="auto"/>
        <w:jc w:val="center"/>
        <w:rPr>
          <w:rFonts w:hint="eastAsia" w:ascii="宋体" w:hAnsi="宋体" w:eastAsia="宋体" w:cs="宋体"/>
          <w:b/>
          <w:color w:val="auto"/>
          <w:spacing w:val="6"/>
          <w:sz w:val="22"/>
          <w:szCs w:val="22"/>
          <w:highlight w:val="none"/>
        </w:rPr>
      </w:pPr>
    </w:p>
    <w:p w14:paraId="4C9F71EE">
      <w:pPr>
        <w:adjustRightInd w:val="0"/>
        <w:snapToGrid w:val="0"/>
        <w:spacing w:line="300" w:lineRule="auto"/>
        <w:jc w:val="center"/>
        <w:rPr>
          <w:rFonts w:hint="eastAsia" w:ascii="宋体" w:hAnsi="宋体" w:eastAsia="宋体" w:cs="宋体"/>
          <w:b/>
          <w:color w:val="auto"/>
          <w:spacing w:val="6"/>
          <w:sz w:val="22"/>
          <w:szCs w:val="22"/>
          <w:highlight w:val="none"/>
        </w:rPr>
      </w:pPr>
    </w:p>
    <w:p w14:paraId="2051E028">
      <w:pPr>
        <w:adjustRightInd w:val="0"/>
        <w:snapToGrid w:val="0"/>
        <w:spacing w:line="300" w:lineRule="auto"/>
        <w:jc w:val="center"/>
        <w:rPr>
          <w:rFonts w:hint="eastAsia" w:ascii="宋体" w:hAnsi="宋体" w:eastAsia="宋体" w:cs="宋体"/>
          <w:b/>
          <w:color w:val="auto"/>
          <w:spacing w:val="6"/>
          <w:sz w:val="22"/>
          <w:szCs w:val="22"/>
          <w:highlight w:val="none"/>
        </w:rPr>
      </w:pPr>
    </w:p>
    <w:p w14:paraId="120F1AE5">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0D7C488E">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505472AF">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43F4B41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14:paraId="38061D33">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6B24A2E2">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134F05CA">
      <w:pPr>
        <w:spacing w:line="460" w:lineRule="exact"/>
        <w:ind w:firstLine="520" w:firstLineChars="200"/>
        <w:jc w:val="both"/>
        <w:rPr>
          <w:rFonts w:hint="eastAsia" w:ascii="宋体" w:hAnsi="宋体" w:eastAsia="宋体" w:cs="宋体"/>
          <w:color w:val="auto"/>
          <w:spacing w:val="20"/>
          <w:sz w:val="22"/>
          <w:szCs w:val="22"/>
          <w:highlight w:val="none"/>
        </w:rPr>
      </w:pPr>
    </w:p>
    <w:p w14:paraId="6D92F788">
      <w:pPr>
        <w:spacing w:line="460" w:lineRule="exact"/>
        <w:ind w:firstLine="520" w:firstLineChars="200"/>
        <w:jc w:val="both"/>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企业名称（盖章）：</w:t>
      </w:r>
    </w:p>
    <w:p w14:paraId="552156BE">
      <w:pPr>
        <w:snapToGrid w:val="0"/>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 期：</w:t>
      </w:r>
    </w:p>
    <w:p w14:paraId="521E66E7">
      <w:pPr>
        <w:snapToGrid w:val="0"/>
        <w:spacing w:line="460" w:lineRule="exact"/>
        <w:ind w:firstLine="464" w:firstLineChars="200"/>
        <w:rPr>
          <w:rFonts w:hint="eastAsia" w:ascii="宋体" w:hAnsi="宋体" w:eastAsia="宋体" w:cs="宋体"/>
          <w:color w:val="auto"/>
          <w:spacing w:val="6"/>
          <w:sz w:val="22"/>
          <w:szCs w:val="22"/>
          <w:highlight w:val="none"/>
        </w:rPr>
      </w:pPr>
    </w:p>
    <w:p w14:paraId="42F552F2">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2D1A31A3">
      <w:pPr>
        <w:adjustRightInd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4419AE6">
      <w:pPr>
        <w:spacing w:line="42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kern w:val="2"/>
          <w:sz w:val="28"/>
          <w:szCs w:val="28"/>
          <w:highlight w:val="none"/>
          <w:lang w:val="en-US" w:eastAsia="zh-CN" w:bidi="ar-SA"/>
        </w:rPr>
        <w:t>6、残疾人福利性单位的相关证明材料</w:t>
      </w:r>
    </w:p>
    <w:p w14:paraId="515EB562">
      <w:pPr>
        <w:spacing w:line="460" w:lineRule="exact"/>
        <w:rPr>
          <w:rFonts w:hint="eastAsia" w:ascii="宋体" w:hAnsi="宋体" w:eastAsia="宋体" w:cs="宋体"/>
          <w:color w:val="auto"/>
          <w:spacing w:val="20"/>
          <w:sz w:val="22"/>
          <w:szCs w:val="22"/>
          <w:highlight w:val="none"/>
        </w:rPr>
      </w:pPr>
    </w:p>
    <w:p w14:paraId="71FB220F">
      <w:pPr>
        <w:spacing w:line="460" w:lineRule="exact"/>
        <w:rPr>
          <w:rFonts w:hint="eastAsia" w:ascii="宋体" w:hAnsi="宋体" w:eastAsia="宋体" w:cs="宋体"/>
          <w:color w:val="auto"/>
          <w:spacing w:val="20"/>
          <w:sz w:val="22"/>
          <w:szCs w:val="22"/>
          <w:highlight w:val="none"/>
        </w:rPr>
      </w:pPr>
    </w:p>
    <w:p w14:paraId="3B0674C9">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14:paraId="7ABAF4DB">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6A803023">
      <w:pPr>
        <w:snapToGrid w:val="0"/>
        <w:spacing w:line="460" w:lineRule="exact"/>
        <w:jc w:val="center"/>
        <w:rPr>
          <w:rFonts w:hint="eastAsia" w:ascii="宋体" w:hAnsi="宋体" w:eastAsia="宋体" w:cs="宋体"/>
          <w:b/>
          <w:bCs/>
          <w:color w:val="auto"/>
          <w:sz w:val="22"/>
          <w:szCs w:val="22"/>
          <w:highlight w:val="none"/>
        </w:rPr>
      </w:pPr>
    </w:p>
    <w:p w14:paraId="0E69B1BB">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（采购人名称）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6DEEA5D3">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08F4F37F">
      <w:pPr>
        <w:snapToGrid w:val="0"/>
        <w:spacing w:line="460" w:lineRule="exact"/>
        <w:ind w:firstLine="464" w:firstLineChars="200"/>
        <w:rPr>
          <w:rFonts w:hint="eastAsia" w:ascii="宋体" w:hAnsi="宋体" w:eastAsia="宋体" w:cs="宋体"/>
          <w:color w:val="auto"/>
          <w:spacing w:val="6"/>
          <w:sz w:val="22"/>
          <w:szCs w:val="22"/>
          <w:highlight w:val="none"/>
        </w:rPr>
      </w:pPr>
    </w:p>
    <w:p w14:paraId="641E21AC">
      <w:pPr>
        <w:snapToGrid w:val="0"/>
        <w:spacing w:line="460" w:lineRule="exact"/>
        <w:ind w:firstLine="464" w:firstLineChars="200"/>
        <w:rPr>
          <w:rFonts w:hint="eastAsia" w:ascii="宋体" w:hAnsi="宋体" w:eastAsia="宋体" w:cs="宋体"/>
          <w:color w:val="auto"/>
          <w:spacing w:val="6"/>
          <w:sz w:val="22"/>
          <w:szCs w:val="22"/>
          <w:highlight w:val="none"/>
        </w:rPr>
      </w:pPr>
    </w:p>
    <w:p w14:paraId="650F2C0A">
      <w:pPr>
        <w:spacing w:line="360" w:lineRule="auto"/>
        <w:jc w:val="both"/>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企业名称（盖章）：</w:t>
      </w:r>
    </w:p>
    <w:p w14:paraId="13B9A8D5">
      <w:pPr>
        <w:spacing w:line="360" w:lineRule="auto"/>
        <w:rPr>
          <w:rFonts w:hint="eastAsia" w:ascii="宋体" w:hAnsi="宋体" w:eastAsia="宋体" w:cs="宋体"/>
          <w:b/>
          <w:bCs/>
          <w:color w:val="auto"/>
          <w:sz w:val="22"/>
          <w:szCs w:val="22"/>
          <w:highlight w:val="none"/>
        </w:rPr>
      </w:pPr>
      <w:r>
        <w:rPr>
          <w:rFonts w:hint="eastAsia" w:ascii="宋体" w:hAnsi="宋体" w:eastAsia="宋体" w:cs="宋体"/>
          <w:color w:val="auto"/>
          <w:spacing w:val="20"/>
          <w:sz w:val="22"/>
          <w:szCs w:val="22"/>
          <w:highlight w:val="none"/>
        </w:rPr>
        <w:t>日 期：</w:t>
      </w:r>
    </w:p>
    <w:p w14:paraId="051C55AC">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320FD62A">
      <w:pPr>
        <w:pStyle w:val="7"/>
        <w:spacing w:line="460" w:lineRule="exact"/>
        <w:ind w:left="0" w:leftChars="0" w:firstLine="0" w:firstLineChars="0"/>
        <w:outlineLvl w:val="1"/>
        <w:rPr>
          <w:rFonts w:ascii="宋体" w:hAnsi="宋体" w:cs="宋体"/>
          <w:b/>
          <w:color w:val="auto"/>
          <w:sz w:val="22"/>
          <w:szCs w:val="22"/>
          <w:highlight w:val="none"/>
        </w:rPr>
      </w:pPr>
      <w:r>
        <w:rPr>
          <w:rFonts w:hint="eastAsia" w:ascii="宋体" w:hAnsi="宋体" w:cs="宋体"/>
          <w:b/>
          <w:color w:val="auto"/>
          <w:sz w:val="22"/>
          <w:szCs w:val="22"/>
          <w:highlight w:val="none"/>
        </w:rPr>
        <w:t>附件二</w:t>
      </w:r>
      <w:bookmarkEnd w:id="32"/>
      <w:bookmarkEnd w:id="33"/>
    </w:p>
    <w:p w14:paraId="67C4FA39">
      <w:pPr>
        <w:spacing w:line="460" w:lineRule="exact"/>
        <w:jc w:val="center"/>
        <w:outlineLvl w:val="2"/>
        <w:rPr>
          <w:rFonts w:ascii="宋体" w:hAnsi="宋体" w:cs="宋体"/>
          <w:color w:val="auto"/>
          <w:sz w:val="28"/>
          <w:szCs w:val="28"/>
          <w:highlight w:val="none"/>
        </w:rPr>
      </w:pPr>
      <w:bookmarkStart w:id="34" w:name="_Toc25309"/>
      <w:bookmarkStart w:id="35" w:name="_Toc4718"/>
      <w:r>
        <w:rPr>
          <w:rFonts w:hint="eastAsia" w:ascii="宋体" w:hAnsi="宋体" w:cs="宋体"/>
          <w:b/>
          <w:bCs/>
          <w:color w:val="auto"/>
          <w:sz w:val="32"/>
          <w:szCs w:val="32"/>
          <w:highlight w:val="none"/>
        </w:rPr>
        <w:t>资格证明文件</w:t>
      </w:r>
      <w:bookmarkEnd w:id="34"/>
      <w:bookmarkEnd w:id="35"/>
    </w:p>
    <w:p w14:paraId="5DA5A7D7">
      <w:pPr>
        <w:pStyle w:val="14"/>
        <w:tabs>
          <w:tab w:val="left" w:pos="630"/>
          <w:tab w:val="left" w:pos="840"/>
          <w:tab w:val="left" w:pos="1050"/>
        </w:tabs>
        <w:adjustRightInd w:val="0"/>
        <w:snapToGrid w:val="0"/>
        <w:spacing w:before="0" w:beforeAutospacing="0" w:after="0" w:afterAutospacing="0" w:line="360" w:lineRule="auto"/>
        <w:jc w:val="center"/>
        <w:rPr>
          <w:b/>
          <w:color w:val="auto"/>
          <w:sz w:val="32"/>
          <w:szCs w:val="32"/>
          <w:highlight w:val="none"/>
        </w:rPr>
      </w:pPr>
      <w:bookmarkStart w:id="36" w:name="_Toc31356"/>
      <w:bookmarkStart w:id="37" w:name="_Toc16516"/>
    </w:p>
    <w:p w14:paraId="6B6FB77D">
      <w:pPr>
        <w:pStyle w:val="14"/>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1、资格条件承诺函</w:t>
      </w:r>
    </w:p>
    <w:p w14:paraId="73D70358">
      <w:pPr>
        <w:shd w:val="clear" w:color="auto" w:fill="FFFFFF"/>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温州市公安局交通管理局、温州历程招标有限公司：</w:t>
      </w:r>
    </w:p>
    <w:p w14:paraId="508D268E">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sz w:val="22"/>
          <w:szCs w:val="22"/>
          <w:highlight w:val="none"/>
        </w:rPr>
        <w:t>（采购项目名称、编号）投标，现郑重承诺，</w:t>
      </w:r>
      <w:r>
        <w:rPr>
          <w:rFonts w:hint="eastAsia" w:ascii="宋体" w:hAnsi="宋体" w:cs="宋体"/>
          <w:color w:val="auto"/>
          <w:kern w:val="0"/>
          <w:sz w:val="22"/>
          <w:szCs w:val="22"/>
          <w:highlight w:val="none"/>
        </w:rPr>
        <w:t>参加本次政府采购活动前3年内</w:t>
      </w:r>
      <w:r>
        <w:rPr>
          <w:rFonts w:hint="eastAsia" w:ascii="宋体" w:hAnsi="宋体" w:cs="宋体"/>
          <w:color w:val="auto"/>
          <w:sz w:val="22"/>
          <w:szCs w:val="22"/>
          <w:highlight w:val="none"/>
        </w:rPr>
        <w:t>：</w:t>
      </w:r>
    </w:p>
    <w:p w14:paraId="599B50C7">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1、我方符合《中华人民共和国政府采购法》第22条规定的资格条件，即</w:t>
      </w:r>
    </w:p>
    <w:p w14:paraId="53E6CB02">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60A6F040">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26273ECF">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38E3EBA4">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54124E26">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3B9B612">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044FDF8C">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3、我方与参加本次项目同一合同项下政府采购活动的其他供应商不存在单位负责人为同一人或者直接控股、管理关系。</w:t>
      </w:r>
    </w:p>
    <w:p w14:paraId="2DDB517A">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4、我方不属于公益一类事业单位。</w:t>
      </w:r>
    </w:p>
    <w:p w14:paraId="2EF1F1CD">
      <w:pPr>
        <w:widowControl/>
        <w:snapToGrid w:val="0"/>
        <w:spacing w:line="440" w:lineRule="exact"/>
        <w:ind w:firstLine="440" w:firstLineChars="200"/>
        <w:jc w:val="left"/>
        <w:rPr>
          <w:rFonts w:ascii="宋体" w:hAnsi="宋体" w:cs="宋体"/>
          <w:color w:val="auto"/>
          <w:kern w:val="0"/>
          <w:sz w:val="22"/>
          <w:szCs w:val="22"/>
          <w:highlight w:val="none"/>
        </w:rPr>
      </w:pPr>
    </w:p>
    <w:p w14:paraId="63224A68">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我方任何资格（投标/成交/签订合同）</w:t>
      </w:r>
      <w:r>
        <w:rPr>
          <w:rFonts w:hint="eastAsia" w:ascii="宋体" w:hAnsi="宋体" w:cs="宋体"/>
          <w:color w:val="auto"/>
          <w:sz w:val="22"/>
          <w:szCs w:val="22"/>
          <w:highlight w:val="none"/>
        </w:rPr>
        <w:t>及其他任何形式的处理。</w:t>
      </w:r>
    </w:p>
    <w:p w14:paraId="6795EA6C">
      <w:pPr>
        <w:widowControl/>
        <w:snapToGrid w:val="0"/>
        <w:spacing w:line="440" w:lineRule="exact"/>
        <w:ind w:firstLine="440" w:firstLineChars="200"/>
        <w:jc w:val="left"/>
        <w:rPr>
          <w:rFonts w:ascii="宋体" w:hAnsi="宋体" w:cs="宋体"/>
          <w:color w:val="auto"/>
          <w:kern w:val="0"/>
          <w:sz w:val="22"/>
          <w:szCs w:val="22"/>
          <w:highlight w:val="none"/>
        </w:rPr>
      </w:pPr>
    </w:p>
    <w:p w14:paraId="6ADEB3D6">
      <w:pPr>
        <w:snapToGrid w:val="0"/>
        <w:spacing w:line="360" w:lineRule="auto"/>
        <w:ind w:firstLine="5060" w:firstLineChars="2300"/>
        <w:rPr>
          <w:rFonts w:ascii="宋体" w:hAnsi="宋体" w:cs="宋体"/>
          <w:color w:val="auto"/>
          <w:kern w:val="0"/>
          <w:sz w:val="22"/>
          <w:szCs w:val="22"/>
          <w:highlight w:val="none"/>
          <w:lang w:val="zh-CN"/>
        </w:rPr>
      </w:pPr>
    </w:p>
    <w:p w14:paraId="0608F01D">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55FF8F5D">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729C7F77">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3B53569">
      <w:pPr>
        <w:rPr>
          <w:rFonts w:ascii="宋体" w:hAnsi="宋体" w:cs="宋体"/>
          <w:color w:val="auto"/>
          <w:highlight w:val="none"/>
        </w:rPr>
      </w:pPr>
    </w:p>
    <w:p w14:paraId="32CBEDFA">
      <w:pPr>
        <w:pStyle w:val="14"/>
        <w:tabs>
          <w:tab w:val="left" w:pos="630"/>
          <w:tab w:val="left" w:pos="840"/>
          <w:tab w:val="left" w:pos="1050"/>
        </w:tabs>
        <w:adjustRightInd w:val="0"/>
        <w:snapToGrid w:val="0"/>
        <w:spacing w:before="0" w:beforeAutospacing="0" w:after="0" w:afterAutospacing="0" w:line="360" w:lineRule="auto"/>
        <w:jc w:val="both"/>
        <w:rPr>
          <w:b/>
          <w:color w:val="auto"/>
          <w:sz w:val="28"/>
          <w:szCs w:val="28"/>
          <w:highlight w:val="none"/>
        </w:rPr>
      </w:pPr>
    </w:p>
    <w:p w14:paraId="146C79B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94BBDEB">
      <w:pPr>
        <w:pStyle w:val="14"/>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2、有效营业执照</w:t>
      </w:r>
    </w:p>
    <w:p w14:paraId="6944F91F">
      <w:pPr>
        <w:pStyle w:val="14"/>
        <w:tabs>
          <w:tab w:val="left" w:pos="630"/>
          <w:tab w:val="left" w:pos="840"/>
          <w:tab w:val="left" w:pos="1050"/>
        </w:tabs>
        <w:adjustRightInd w:val="0"/>
        <w:snapToGrid w:val="0"/>
        <w:spacing w:before="0" w:beforeAutospacing="0" w:after="0" w:afterAutospacing="0" w:line="360" w:lineRule="auto"/>
        <w:ind w:left="420"/>
        <w:rPr>
          <w:bCs/>
          <w:color w:val="auto"/>
          <w:highlight w:val="none"/>
        </w:rPr>
      </w:pPr>
    </w:p>
    <w:p w14:paraId="5363BE57">
      <w:pPr>
        <w:pStyle w:val="14"/>
        <w:tabs>
          <w:tab w:val="left" w:pos="630"/>
          <w:tab w:val="left" w:pos="840"/>
          <w:tab w:val="left" w:pos="1050"/>
        </w:tabs>
        <w:adjustRightInd w:val="0"/>
        <w:snapToGrid w:val="0"/>
        <w:spacing w:before="0" w:beforeAutospacing="0" w:after="0" w:afterAutospacing="0" w:line="360" w:lineRule="auto"/>
        <w:ind w:left="420"/>
        <w:rPr>
          <w:bCs/>
          <w:color w:val="auto"/>
          <w:sz w:val="22"/>
          <w:szCs w:val="22"/>
          <w:highlight w:val="none"/>
        </w:rPr>
      </w:pPr>
      <w:r>
        <w:rPr>
          <w:rFonts w:hint="eastAsia"/>
          <w:bCs/>
          <w:color w:val="auto"/>
          <w:sz w:val="22"/>
          <w:szCs w:val="22"/>
          <w:highlight w:val="none"/>
        </w:rPr>
        <w:t>投标人须在投标文件中出具符合以下情况的证明材料复印件（五选一）：</w:t>
      </w:r>
    </w:p>
    <w:p w14:paraId="375CA4C1">
      <w:pPr>
        <w:pStyle w:val="14"/>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①如投标人是企业（包括合伙企业），提供在工商部门注册的有效“企业法人营业执照”或“营业执照”；</w:t>
      </w:r>
    </w:p>
    <w:p w14:paraId="259FAE11">
      <w:pPr>
        <w:pStyle w:val="14"/>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②如投标人是事业单位，提供有效的“事业单位法人证书”；</w:t>
      </w:r>
    </w:p>
    <w:p w14:paraId="5AEE1B06">
      <w:pPr>
        <w:pStyle w:val="14"/>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③如投标人是非企业专业服务机构的，提供执业许可证等证明文件；</w:t>
      </w:r>
    </w:p>
    <w:p w14:paraId="5ED4864E">
      <w:pPr>
        <w:pStyle w:val="14"/>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④如投标人是个体工商户，提供有效的“个体工商户营业执照”；</w:t>
      </w:r>
    </w:p>
    <w:p w14:paraId="0A14E5F6">
      <w:pPr>
        <w:pStyle w:val="14"/>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⑤如投标人是自然人，提供有效的自然人身份证明（居民身份证正反面或公安机关出具的临时居民身份证正反面或港澳台胞证或护照）。</w:t>
      </w:r>
    </w:p>
    <w:p w14:paraId="0DBE987F">
      <w:pPr>
        <w:pStyle w:val="14"/>
        <w:tabs>
          <w:tab w:val="left" w:pos="312"/>
        </w:tabs>
        <w:adjustRightInd w:val="0"/>
        <w:snapToGrid w:val="0"/>
        <w:spacing w:before="0" w:beforeAutospacing="0" w:after="0" w:afterAutospacing="0" w:line="360" w:lineRule="auto"/>
        <w:rPr>
          <w:bCs/>
          <w:color w:val="auto"/>
          <w:sz w:val="22"/>
          <w:szCs w:val="22"/>
          <w:highlight w:val="none"/>
        </w:rPr>
      </w:pPr>
    </w:p>
    <w:p w14:paraId="542B76E0">
      <w:pPr>
        <w:pStyle w:val="20"/>
        <w:tabs>
          <w:tab w:val="left" w:pos="1212"/>
          <w:tab w:val="left" w:pos="3888"/>
        </w:tabs>
        <w:snapToGrid w:val="0"/>
        <w:spacing w:line="360" w:lineRule="auto"/>
        <w:ind w:firstLine="420"/>
        <w:rPr>
          <w:rFonts w:hAnsi="宋体"/>
          <w:color w:val="auto"/>
          <w:sz w:val="22"/>
          <w:szCs w:val="22"/>
          <w:highlight w:val="none"/>
        </w:rPr>
      </w:pPr>
      <w:r>
        <w:rPr>
          <w:rFonts w:hint="eastAsia" w:hAnsi="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613F126">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12F4E40">
      <w:pPr>
        <w:rPr>
          <w:rFonts w:ascii="宋体" w:hAnsi="宋体" w:cs="宋体"/>
          <w:color w:val="auto"/>
          <w:highlight w:val="none"/>
        </w:rPr>
      </w:pPr>
    </w:p>
    <w:p w14:paraId="076F7B73">
      <w:pPr>
        <w:pStyle w:val="14"/>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3、投标人信用查询</w:t>
      </w:r>
    </w:p>
    <w:p w14:paraId="569DA5E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14:paraId="6F7A337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14:paraId="3895BBD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14:paraId="045875B3">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14:paraId="1E044F07">
      <w:pPr>
        <w:rPr>
          <w:rFonts w:cs="宋体"/>
          <w:b/>
          <w:color w:val="auto"/>
          <w:kern w:val="0"/>
          <w:sz w:val="28"/>
          <w:szCs w:val="28"/>
          <w:highlight w:val="none"/>
        </w:rPr>
      </w:pPr>
    </w:p>
    <w:p w14:paraId="19EE3F9E">
      <w:pPr>
        <w:rPr>
          <w:rFonts w:cs="宋体"/>
          <w:b/>
          <w:color w:val="auto"/>
          <w:kern w:val="0"/>
          <w:sz w:val="28"/>
          <w:szCs w:val="28"/>
          <w:highlight w:val="none"/>
        </w:rPr>
      </w:pPr>
      <w:r>
        <w:rPr>
          <w:rFonts w:hint="eastAsia" w:cs="宋体"/>
          <w:b/>
          <w:color w:val="auto"/>
          <w:kern w:val="0"/>
          <w:sz w:val="28"/>
          <w:szCs w:val="28"/>
          <w:highlight w:val="none"/>
        </w:rPr>
        <w:br w:type="page"/>
      </w:r>
    </w:p>
    <w:p w14:paraId="20617698">
      <w:pPr>
        <w:pStyle w:val="14"/>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4、政府采购活动现场确认声明书</w:t>
      </w:r>
    </w:p>
    <w:p w14:paraId="684A1602">
      <w:pPr>
        <w:spacing w:line="460" w:lineRule="exact"/>
        <w:rPr>
          <w:rFonts w:ascii="宋体" w:hAnsi="宋体" w:cs="宋体"/>
          <w:b/>
          <w:bCs/>
          <w:color w:val="auto"/>
          <w:sz w:val="22"/>
          <w:szCs w:val="22"/>
          <w:highlight w:val="none"/>
        </w:rPr>
      </w:pPr>
    </w:p>
    <w:p w14:paraId="46173193">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温州历程招标有限公司：</w:t>
      </w:r>
    </w:p>
    <w:p w14:paraId="2BC761A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本人经由（供应商名称）负责人（姓名）合法授权参加项目（编号：）采购活动，经与本单位法人代表（负责人）联系确认，现就有关公平竞争事项郑重声明如下：</w:t>
      </w:r>
    </w:p>
    <w:p w14:paraId="6AB04659">
      <w:pPr>
        <w:numPr>
          <w:ilvl w:val="0"/>
          <w:numId w:val="3"/>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本单位与招标人之间 □不存在利害关系 □存在下列利害关系：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A.投资关系    </w:t>
      </w:r>
    </w:p>
    <w:p w14:paraId="5138B847">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B.行政隶属关系    </w:t>
      </w:r>
    </w:p>
    <w:p w14:paraId="0D1EE1B4">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C.业务指导关系  </w:t>
      </w:r>
    </w:p>
    <w:p w14:paraId="0ECAB4DC">
      <w:pPr>
        <w:spacing w:line="460" w:lineRule="exact"/>
        <w:ind w:firstLine="660" w:firstLineChars="300"/>
        <w:rPr>
          <w:rFonts w:ascii="宋体" w:hAnsi="宋体" w:cs="宋体"/>
          <w:color w:val="auto"/>
          <w:sz w:val="22"/>
          <w:szCs w:val="22"/>
          <w:highlight w:val="none"/>
        </w:rPr>
      </w:pPr>
      <w:r>
        <w:rPr>
          <w:rFonts w:hint="eastAsia" w:ascii="宋体" w:hAnsi="宋体" w:cs="宋体"/>
          <w:color w:val="auto"/>
          <w:kern w:val="0"/>
          <w:sz w:val="22"/>
          <w:szCs w:val="22"/>
          <w:highlight w:val="none"/>
        </w:rPr>
        <w:t>D.其他可能影响采购公正的利害关系</w:t>
      </w:r>
      <w:r>
        <w:rPr>
          <w:rStyle w:val="21"/>
          <w:rFonts w:hint="default"/>
          <w:color w:val="auto"/>
          <w:sz w:val="22"/>
          <w:szCs w:val="22"/>
          <w:highlight w:val="none"/>
        </w:rPr>
        <w:t xml:space="preserve">（如有，请如实说明）                 </w:t>
      </w:r>
      <w:r>
        <w:rPr>
          <w:rFonts w:hint="eastAsia" w:ascii="宋体" w:hAnsi="宋体" w:cs="宋体"/>
          <w:color w:val="auto"/>
          <w:kern w:val="0"/>
          <w:sz w:val="22"/>
          <w:szCs w:val="22"/>
          <w:highlight w:val="none"/>
        </w:rPr>
        <w:t>。</w:t>
      </w:r>
    </w:p>
    <w:p w14:paraId="0AC3DF1A">
      <w:pPr>
        <w:numPr>
          <w:ilvl w:val="0"/>
          <w:numId w:val="3"/>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现已清楚知道参加本项目采购活动的其他所有供应商名称，本单位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□与其他所有供应商之间均不存在利害关系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A.法定代表人或负责人或实际控制人是同一人</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B.法定代表人或负责人或实际控制人是夫妻关系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C.法定代表人或负责人或实际控制人是直系血亲关系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D.法定代表人或负责人或实际控制人存在三代以内旁系血亲关系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E.法定代表人或负责人或实际控制人存在近姻亲关系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F.法定代表人或负责人或实际控制人存在股份控制或实际控制关系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G.存在共同直接或间接投资设立子公司、联营企业和合营企业情况</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I.其他利害关系情况</w:t>
      </w:r>
      <w:r>
        <w:rPr>
          <w:rFonts w:hint="eastAsia" w:ascii="宋体" w:hAnsi="宋体" w:cs="宋体"/>
          <w:color w:val="auto"/>
          <w:kern w:val="0"/>
          <w:sz w:val="22"/>
          <w:szCs w:val="22"/>
          <w:highlight w:val="none"/>
          <w:u w:val="single"/>
        </w:rPr>
        <w:t xml:space="preserve">                              。</w:t>
      </w:r>
    </w:p>
    <w:p w14:paraId="18EB783E">
      <w:pPr>
        <w:pStyle w:val="7"/>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（三）现已清楚知道并严格遵守政府采购法律法规和现场纪律</w:t>
      </w:r>
    </w:p>
    <w:p w14:paraId="0FEE1250">
      <w:pPr>
        <w:pStyle w:val="7"/>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（四）我发现</w:t>
      </w:r>
      <w:r>
        <w:rPr>
          <w:rStyle w:val="21"/>
          <w:rFonts w:hint="default"/>
          <w:color w:val="auto"/>
          <w:sz w:val="22"/>
          <w:szCs w:val="22"/>
          <w:highlight w:val="none"/>
        </w:rPr>
        <w:t>与（供应商名称）</w:t>
      </w:r>
      <w:r>
        <w:rPr>
          <w:rFonts w:hint="eastAsia" w:ascii="宋体" w:hAnsi="宋体" w:cs="宋体"/>
          <w:color w:val="auto"/>
          <w:kern w:val="0"/>
          <w:sz w:val="22"/>
          <w:szCs w:val="22"/>
          <w:highlight w:val="none"/>
        </w:rPr>
        <w:t>之间存在或可能存在上述第二条第项利害关系。</w:t>
      </w:r>
    </w:p>
    <w:p w14:paraId="18F60706">
      <w:pPr>
        <w:pStyle w:val="7"/>
        <w:spacing w:line="460" w:lineRule="exact"/>
        <w:ind w:left="0" w:firstLine="0" w:firstLineChars="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供应商代表签名（签字或盖章或电子签章）:</w:t>
      </w:r>
    </w:p>
    <w:p w14:paraId="18F1B01A">
      <w:pPr>
        <w:pStyle w:val="7"/>
        <w:spacing w:line="460" w:lineRule="exact"/>
        <w:ind w:left="0" w:firstLine="0" w:firstLineChars="0"/>
        <w:rPr>
          <w:rFonts w:hint="eastAsia" w:ascii="宋体" w:hAnsi="宋体" w:cs="宋体"/>
          <w:b/>
          <w:color w:val="auto"/>
          <w:kern w:val="0"/>
          <w:sz w:val="22"/>
          <w:szCs w:val="22"/>
          <w:highlight w:val="none"/>
        </w:rPr>
      </w:pPr>
    </w:p>
    <w:p w14:paraId="1D0815CD">
      <w:pPr>
        <w:pStyle w:val="7"/>
        <w:spacing w:line="460" w:lineRule="exact"/>
        <w:ind w:left="0" w:firstLine="0" w:firstLineChars="0"/>
        <w:jc w:val="right"/>
        <w:rPr>
          <w:rFonts w:ascii="宋体" w:hAnsi="宋体" w:cs="宋体"/>
          <w:b/>
          <w:bCs/>
          <w:color w:val="auto"/>
          <w:sz w:val="22"/>
          <w:szCs w:val="22"/>
          <w:highlight w:val="none"/>
        </w:rPr>
      </w:pPr>
      <w:r>
        <w:rPr>
          <w:rFonts w:hint="eastAsia" w:ascii="宋体" w:hAnsi="宋体" w:cs="宋体"/>
          <w:b/>
          <w:color w:val="auto"/>
          <w:kern w:val="0"/>
          <w:sz w:val="22"/>
          <w:szCs w:val="22"/>
          <w:highlight w:val="none"/>
        </w:rPr>
        <w:t>日期:202</w:t>
      </w:r>
      <w:r>
        <w:rPr>
          <w:rFonts w:hint="eastAsia" w:ascii="宋体" w:hAnsi="宋体" w:cs="宋体"/>
          <w:b/>
          <w:color w:val="auto"/>
          <w:kern w:val="0"/>
          <w:sz w:val="22"/>
          <w:szCs w:val="22"/>
          <w:highlight w:val="none"/>
          <w:lang w:val="en-US" w:eastAsia="zh-CN"/>
        </w:rPr>
        <w:t>4</w:t>
      </w:r>
      <w:r>
        <w:rPr>
          <w:rFonts w:hint="eastAsia" w:ascii="宋体" w:hAnsi="宋体" w:cs="宋体"/>
          <w:b/>
          <w:color w:val="auto"/>
          <w:kern w:val="0"/>
          <w:sz w:val="22"/>
          <w:szCs w:val="22"/>
          <w:highlight w:val="none"/>
        </w:rPr>
        <w:t>年    月    日</w:t>
      </w:r>
    </w:p>
    <w:p w14:paraId="14D8DC2D">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1F89FC86">
      <w:pPr>
        <w:pStyle w:val="14"/>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5、落实政府采购政策需满足的资格要求证明材料</w:t>
      </w:r>
    </w:p>
    <w:p w14:paraId="6528D951">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（根据招标公告落实政府采购政策需满足的资格要求选择提供相应的材料</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未要求的无需提供</w:t>
      </w:r>
      <w:r>
        <w:rPr>
          <w:rFonts w:hint="eastAsia" w:ascii="宋体" w:hAnsi="宋体" w:cs="宋体"/>
          <w:color w:val="auto"/>
          <w:sz w:val="22"/>
          <w:szCs w:val="22"/>
          <w:highlight w:val="none"/>
        </w:rPr>
        <w:t>）</w:t>
      </w:r>
    </w:p>
    <w:p w14:paraId="37FE7FC1">
      <w:pPr>
        <w:spacing w:line="420" w:lineRule="exact"/>
        <w:jc w:val="center"/>
        <w:rPr>
          <w:rFonts w:ascii="宋体" w:hAnsi="宋体" w:cs="宋体"/>
          <w:b/>
          <w:bCs/>
          <w:color w:val="auto"/>
          <w:sz w:val="28"/>
          <w:szCs w:val="28"/>
          <w:highlight w:val="none"/>
        </w:rPr>
      </w:pPr>
    </w:p>
    <w:p w14:paraId="708D3D6F">
      <w:pPr>
        <w:rPr>
          <w:rFonts w:hint="eastAsia" w:ascii="宋体" w:hAnsi="宋体" w:cs="宋体"/>
          <w:b/>
          <w:bCs/>
          <w:color w:val="auto"/>
          <w:sz w:val="22"/>
          <w:szCs w:val="22"/>
          <w:highlight w:val="none"/>
        </w:rPr>
      </w:pPr>
    </w:p>
    <w:p w14:paraId="43F35933">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28DF1DE0">
      <w:pPr>
        <w:keepNext w:val="0"/>
        <w:keepLines w:val="0"/>
        <w:pageBreakBefore w:val="0"/>
        <w:widowControl w:val="0"/>
        <w:tabs>
          <w:tab w:val="left" w:pos="774"/>
        </w:tabs>
        <w:kinsoku/>
        <w:wordWrap/>
        <w:overflowPunct/>
        <w:topLinePunct w:val="0"/>
        <w:autoSpaceDE w:val="0"/>
        <w:autoSpaceDN w:val="0"/>
        <w:bidi w:val="0"/>
        <w:adjustRightInd/>
        <w:snapToGrid/>
        <w:spacing w:before="240" w:line="276" w:lineRule="auto"/>
        <w:jc w:val="center"/>
        <w:textAlignment w:val="auto"/>
        <w:outlineLvl w:val="3"/>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lang w:val="zh-CN" w:eastAsia="zh-CN"/>
        </w:rPr>
        <w:t>联合体协议书（如有）</w:t>
      </w:r>
    </w:p>
    <w:p w14:paraId="5FEBF53F">
      <w:pPr>
        <w:spacing w:line="460" w:lineRule="exact"/>
        <w:ind w:firstLine="4400" w:firstLineChars="2000"/>
        <w:rPr>
          <w:rFonts w:hint="eastAsia" w:ascii="宋体" w:hAnsi="宋体" w:eastAsia="宋体" w:cs="宋体"/>
          <w:color w:val="auto"/>
          <w:sz w:val="22"/>
          <w:szCs w:val="22"/>
          <w:highlight w:val="none"/>
        </w:rPr>
      </w:pPr>
    </w:p>
    <w:p w14:paraId="42F400FB">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p>
    <w:p w14:paraId="6A45C54E">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w:t>
      </w:r>
    </w:p>
    <w:p w14:paraId="32ABE23F">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各方经协商，就招标项目名称为</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的招标采购活动联合进行招标之事宜，达成如下协议：</w:t>
      </w:r>
    </w:p>
    <w:p w14:paraId="1BDF4EB2">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p>
    <w:p w14:paraId="32837303">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p>
    <w:p w14:paraId="3917F31C">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p>
    <w:p w14:paraId="1A789BE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2C60BB58">
      <w:pPr>
        <w:widowControl/>
        <w:spacing w:line="460" w:lineRule="exact"/>
        <w:ind w:firstLine="440" w:firstLineChars="200"/>
        <w:rPr>
          <w:rFonts w:hint="eastAsia" w:ascii="新宋体" w:hAnsi="新宋体" w:eastAsia="新宋体" w:cs="新宋体"/>
          <w:color w:val="auto"/>
          <w:kern w:val="0"/>
          <w:sz w:val="22"/>
          <w:szCs w:val="22"/>
          <w:highlight w:val="none"/>
          <w:u w:val="single"/>
          <w:lang w:eastAsia="zh-CN"/>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甲方在合同中的资金占比为：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4003B76A">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乙方在合同中的资金占比为：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309AA4FA">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 xml:space="preserve">3、如中标，联合体将遵守以下规定： </w:t>
      </w:r>
    </w:p>
    <w:p w14:paraId="3F35FF56">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6C42DE8C">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1BBF03EA">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六、本协议提交招标人后，联合体各方不得以任何形式对上述实质内容进行修改或撤销。</w:t>
      </w:r>
    </w:p>
    <w:p w14:paraId="5C76229E">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七、本协议签约各方各持一份，交招标机构两份，其中一份投标时装订于投标文件正本内，一份与投标文件一同提交。</w:t>
      </w:r>
    </w:p>
    <w:p w14:paraId="717882F2">
      <w:pPr>
        <w:spacing w:line="360" w:lineRule="auto"/>
        <w:ind w:left="143" w:leftChars="68"/>
        <w:rPr>
          <w:rFonts w:ascii="新宋体" w:hAnsi="新宋体" w:eastAsia="新宋体" w:cs="新宋体"/>
          <w:color w:val="auto"/>
          <w:kern w:val="0"/>
          <w:sz w:val="22"/>
          <w:szCs w:val="22"/>
          <w:highlight w:val="none"/>
        </w:rPr>
      </w:pPr>
    </w:p>
    <w:p w14:paraId="658202EB">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       （公章）                乙方单位：         （公章）</w:t>
      </w:r>
    </w:p>
    <w:p w14:paraId="4343F863">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（签字或盖章）                法定代表人：（签字或盖章）</w:t>
      </w:r>
    </w:p>
    <w:p w14:paraId="7F10F7A1">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                 日期：     年   月   日</w:t>
      </w:r>
    </w:p>
    <w:p w14:paraId="3B9FC503">
      <w:pPr>
        <w:spacing w:line="460" w:lineRule="exact"/>
        <w:ind w:firstLine="4400" w:firstLineChars="2000"/>
        <w:rPr>
          <w:rFonts w:hint="eastAsia" w:ascii="宋体" w:hAnsi="宋体" w:eastAsia="宋体" w:cs="宋体"/>
          <w:color w:val="auto"/>
          <w:sz w:val="22"/>
          <w:szCs w:val="22"/>
          <w:highlight w:val="none"/>
        </w:rPr>
      </w:pPr>
    </w:p>
    <w:p w14:paraId="5CABC7FD">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cs="Times New Roman"/>
          <w:b/>
          <w:bCs/>
          <w:color w:val="auto"/>
          <w:sz w:val="22"/>
          <w:szCs w:val="22"/>
          <w:highlight w:val="none"/>
          <w:lang w:val="en-US" w:eastAsia="zh-CN"/>
        </w:rPr>
        <w:t>注:</w:t>
      </w:r>
      <w:r>
        <w:rPr>
          <w:rFonts w:hint="eastAsia" w:ascii="新宋体" w:hAnsi="新宋体" w:eastAsia="新宋体" w:cs="Times New Roman"/>
          <w:b/>
          <w:bCs/>
          <w:color w:val="auto"/>
          <w:sz w:val="22"/>
          <w:szCs w:val="22"/>
          <w:highlight w:val="none"/>
        </w:rPr>
        <w:t>以联</w:t>
      </w:r>
      <w:r>
        <w:rPr>
          <w:rFonts w:hint="eastAsia" w:ascii="新宋体" w:hAnsi="新宋体" w:eastAsia="新宋体"/>
          <w:b/>
          <w:bCs/>
          <w:color w:val="auto"/>
          <w:sz w:val="22"/>
          <w:szCs w:val="22"/>
          <w:highlight w:val="none"/>
        </w:rPr>
        <w:t>合体形式参加投标的，联合体各方均应当符合政府采购法第二十二条第一款规定的条件。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w:t>
      </w:r>
    </w:p>
    <w:p w14:paraId="21DD5CA2">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联合体各方之间应当签订共同投标协议，明确约定联合体各方承担的工作和相应的责任。联合体各方签订共同投标协议后，不得再以自己名义单独在同一项目中投标，也不得组成新的联合体参加同一项目投标。</w:t>
      </w:r>
    </w:p>
    <w:p w14:paraId="7B8FCFA9">
      <w:pPr>
        <w:keepNext/>
        <w:keepLines w:val="0"/>
        <w:pageBreakBefore w:val="0"/>
        <w:widowControl w:val="0"/>
        <w:kinsoku/>
        <w:wordWrap/>
        <w:overflowPunct/>
        <w:topLinePunct w:val="0"/>
        <w:autoSpaceDE/>
        <w:autoSpaceDN/>
        <w:bidi w:val="0"/>
        <w:adjustRightInd/>
        <w:snapToGrid/>
        <w:textAlignment w:val="auto"/>
        <w:outlineLvl w:val="9"/>
        <w:rPr>
          <w:color w:val="auto"/>
        </w:rPr>
      </w:pPr>
    </w:p>
    <w:p w14:paraId="51542B53">
      <w:pP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16FBCE0B">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bookmarkEnd w:id="36"/>
      <w:bookmarkEnd w:id="37"/>
    </w:p>
    <w:p w14:paraId="53E4CE5B">
      <w:pPr>
        <w:spacing w:line="460" w:lineRule="exact"/>
        <w:jc w:val="center"/>
        <w:outlineLvl w:val="2"/>
        <w:rPr>
          <w:rFonts w:ascii="宋体" w:hAnsi="宋体" w:cs="宋体"/>
          <w:b/>
          <w:bCs/>
          <w:color w:val="auto"/>
          <w:sz w:val="28"/>
          <w:szCs w:val="28"/>
          <w:highlight w:val="none"/>
          <w:lang w:val="zh-CN"/>
        </w:rPr>
      </w:pPr>
      <w:bookmarkStart w:id="38" w:name="_Toc13639"/>
      <w:bookmarkStart w:id="39" w:name="_Toc29102"/>
      <w:r>
        <w:rPr>
          <w:rFonts w:hint="eastAsia" w:ascii="宋体" w:hAnsi="宋体" w:cs="宋体"/>
          <w:b/>
          <w:bCs/>
          <w:color w:val="auto"/>
          <w:sz w:val="28"/>
          <w:szCs w:val="28"/>
          <w:highlight w:val="none"/>
          <w:lang w:val="zh-CN"/>
        </w:rPr>
        <w:t>商务技术文件</w:t>
      </w:r>
      <w:bookmarkEnd w:id="38"/>
      <w:bookmarkEnd w:id="39"/>
    </w:p>
    <w:p w14:paraId="0D000999">
      <w:pPr>
        <w:spacing w:line="400" w:lineRule="exact"/>
        <w:jc w:val="center"/>
        <w:rPr>
          <w:rFonts w:ascii="宋体" w:hAnsi="宋体" w:cs="宋体"/>
          <w:b/>
          <w:bCs/>
          <w:color w:val="auto"/>
          <w:sz w:val="28"/>
          <w:szCs w:val="28"/>
          <w:highlight w:val="none"/>
        </w:rPr>
      </w:pPr>
    </w:p>
    <w:p w14:paraId="0530225B">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1、法定代表人授权书</w:t>
      </w:r>
    </w:p>
    <w:p w14:paraId="4FB43C6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温州市公安局交通管理局、温州历程招标有限公司：</w:t>
      </w:r>
    </w:p>
    <w:p w14:paraId="4F3F3522">
      <w:pPr>
        <w:spacing w:line="460" w:lineRule="exact"/>
        <w:rPr>
          <w:rFonts w:ascii="宋体" w:hAnsi="宋体" w:cs="宋体"/>
          <w:color w:val="auto"/>
          <w:sz w:val="22"/>
          <w:szCs w:val="22"/>
          <w:highlight w:val="none"/>
          <w:u w:val="single"/>
        </w:rPr>
      </w:pPr>
    </w:p>
    <w:p w14:paraId="789DD82A">
      <w:pPr>
        <w:spacing w:line="460" w:lineRule="exact"/>
        <w:ind w:firstLine="550" w:firstLineChars="250"/>
        <w:rPr>
          <w:rFonts w:ascii="宋体" w:hAnsi="宋体" w:cs="宋体"/>
          <w:color w:val="auto"/>
          <w:sz w:val="22"/>
          <w:szCs w:val="22"/>
          <w:highlight w:val="none"/>
        </w:rPr>
      </w:pPr>
      <w:r>
        <w:rPr>
          <w:rFonts w:hint="eastAsia" w:ascii="宋体" w:hAnsi="宋体" w:cs="宋体"/>
          <w:color w:val="auto"/>
          <w:kern w:val="0"/>
          <w:sz w:val="22"/>
          <w:szCs w:val="22"/>
          <w:highlight w:val="none"/>
          <w:u w:val="single"/>
        </w:rPr>
        <w:tab/>
      </w:r>
      <w:r>
        <w:rPr>
          <w:rFonts w:hint="eastAsia" w:ascii="宋体" w:hAnsi="宋体" w:cs="宋体"/>
          <w:color w:val="auto"/>
          <w:sz w:val="22"/>
          <w:szCs w:val="22"/>
          <w:highlight w:val="none"/>
          <w:u w:val="single"/>
        </w:rPr>
        <w:t>（投标人全称）</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法定代表人授权</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u w:val="single"/>
        </w:rPr>
        <w:t>（全权代表姓名）</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为全权代表，参加贵处组织的</w:t>
      </w:r>
      <w:r>
        <w:rPr>
          <w:rFonts w:hint="eastAsia" w:ascii="宋体" w:hAnsi="宋体" w:cs="宋体"/>
          <w:color w:val="auto"/>
          <w:sz w:val="22"/>
          <w:szCs w:val="22"/>
          <w:highlight w:val="none"/>
          <w:u w:val="single"/>
        </w:rPr>
        <w:t>（项目名称、编号）</w:t>
      </w:r>
      <w:r>
        <w:rPr>
          <w:rFonts w:hint="eastAsia" w:ascii="宋体" w:hAnsi="宋体" w:cs="宋体"/>
          <w:color w:val="auto"/>
          <w:sz w:val="22"/>
          <w:szCs w:val="22"/>
          <w:highlight w:val="none"/>
        </w:rPr>
        <w:t>的招标活动，全权代表我方处理招标活动中的一切事宜。</w:t>
      </w:r>
    </w:p>
    <w:p w14:paraId="2BEF8D41">
      <w:pPr>
        <w:spacing w:line="460" w:lineRule="exact"/>
        <w:ind w:firstLine="2955"/>
        <w:rPr>
          <w:rFonts w:ascii="宋体" w:hAnsi="宋体" w:cs="宋体"/>
          <w:color w:val="auto"/>
          <w:sz w:val="22"/>
          <w:szCs w:val="22"/>
          <w:highlight w:val="none"/>
        </w:rPr>
      </w:pPr>
    </w:p>
    <w:p w14:paraId="5862AA4E">
      <w:pPr>
        <w:spacing w:line="460" w:lineRule="exact"/>
        <w:ind w:firstLine="2955"/>
        <w:rPr>
          <w:rFonts w:ascii="宋体" w:hAnsi="宋体" w:cs="宋体"/>
          <w:color w:val="auto"/>
          <w:sz w:val="22"/>
          <w:szCs w:val="22"/>
          <w:highlight w:val="none"/>
        </w:rPr>
      </w:pPr>
    </w:p>
    <w:p w14:paraId="007BA5A0">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28E6A98B">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w:t>
      </w:r>
      <w:r>
        <w:rPr>
          <w:rFonts w:hint="eastAsia" w:ascii="宋体" w:hAnsi="宋体" w:cs="宋体"/>
          <w:color w:val="auto"/>
          <w:sz w:val="22"/>
          <w:szCs w:val="22"/>
          <w:highlight w:val="none"/>
          <w:lang w:val="en-US" w:eastAsia="zh-CN"/>
        </w:rPr>
        <w:t>盖章或电子签章</w:t>
      </w:r>
      <w:r>
        <w:rPr>
          <w:rFonts w:hint="eastAsia" w:ascii="宋体" w:hAnsi="宋体" w:cs="宋体"/>
          <w:color w:val="auto"/>
          <w:sz w:val="22"/>
          <w:szCs w:val="22"/>
          <w:highlight w:val="none"/>
        </w:rPr>
        <w:t>）：</w:t>
      </w:r>
    </w:p>
    <w:p w14:paraId="7DFD3515">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14:paraId="5B3850D0">
      <w:pPr>
        <w:spacing w:line="380" w:lineRule="exact"/>
        <w:rPr>
          <w:rFonts w:ascii="宋体" w:hAnsi="宋体" w:cs="宋体"/>
          <w:color w:val="auto"/>
          <w:sz w:val="22"/>
          <w:szCs w:val="22"/>
          <w:highlight w:val="none"/>
        </w:rPr>
      </w:pPr>
    </w:p>
    <w:p w14:paraId="0431ECC4">
      <w:pPr>
        <w:spacing w:line="380" w:lineRule="exact"/>
        <w:rPr>
          <w:rFonts w:ascii="宋体" w:hAnsi="宋体" w:cs="宋体"/>
          <w:color w:val="auto"/>
          <w:sz w:val="22"/>
          <w:szCs w:val="22"/>
          <w:highlight w:val="none"/>
        </w:rPr>
      </w:pPr>
    </w:p>
    <w:p w14:paraId="7E908E27">
      <w:pPr>
        <w:spacing w:line="380" w:lineRule="exact"/>
        <w:rPr>
          <w:rFonts w:ascii="宋体" w:hAnsi="宋体" w:cs="宋体"/>
          <w:color w:val="auto"/>
          <w:sz w:val="22"/>
          <w:szCs w:val="22"/>
          <w:highlight w:val="none"/>
        </w:rPr>
      </w:pPr>
    </w:p>
    <w:p w14:paraId="523DEB9D">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143609BD">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3FAD8716">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6232D9F7">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14:paraId="0CFCF74F">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14:paraId="44F6C4DB">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14:paraId="28ED174B">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14:paraId="78724B46">
      <w:pPr>
        <w:spacing w:line="380" w:lineRule="exact"/>
        <w:rPr>
          <w:rFonts w:ascii="宋体" w:hAnsi="宋体" w:cs="宋体"/>
          <w:color w:val="auto"/>
          <w:sz w:val="22"/>
          <w:szCs w:val="22"/>
          <w:highlight w:val="none"/>
        </w:rPr>
      </w:pPr>
    </w:p>
    <w:p w14:paraId="72B93194">
      <w:pPr>
        <w:spacing w:line="460" w:lineRule="exact"/>
        <w:jc w:val="center"/>
        <w:rPr>
          <w:rFonts w:ascii="宋体" w:hAnsi="宋体" w:cs="宋体"/>
          <w:b/>
          <w:bCs/>
          <w:color w:val="auto"/>
          <w:sz w:val="28"/>
          <w:szCs w:val="28"/>
          <w:highlight w:val="none"/>
        </w:rPr>
      </w:pPr>
    </w:p>
    <w:p w14:paraId="366F4367">
      <w:pPr>
        <w:spacing w:line="460" w:lineRule="exact"/>
        <w:jc w:val="center"/>
        <w:rPr>
          <w:rFonts w:ascii="宋体" w:hAnsi="宋体" w:cs="宋体"/>
          <w:b/>
          <w:bCs/>
          <w:color w:val="auto"/>
          <w:sz w:val="28"/>
          <w:szCs w:val="28"/>
          <w:highlight w:val="none"/>
        </w:rPr>
      </w:pPr>
    </w:p>
    <w:p w14:paraId="2D70C224">
      <w:pPr>
        <w:spacing w:line="460" w:lineRule="exact"/>
        <w:jc w:val="center"/>
        <w:rPr>
          <w:rFonts w:ascii="宋体" w:hAnsi="宋体" w:cs="宋体"/>
          <w:b/>
          <w:bCs/>
          <w:color w:val="auto"/>
          <w:sz w:val="28"/>
          <w:szCs w:val="28"/>
          <w:highlight w:val="none"/>
        </w:rPr>
      </w:pPr>
    </w:p>
    <w:p w14:paraId="7C1F71F1">
      <w:pPr>
        <w:spacing w:line="460" w:lineRule="exact"/>
        <w:jc w:val="center"/>
        <w:rPr>
          <w:rFonts w:ascii="宋体" w:hAnsi="宋体" w:cs="宋体"/>
          <w:b/>
          <w:bCs/>
          <w:color w:val="auto"/>
          <w:sz w:val="28"/>
          <w:szCs w:val="28"/>
          <w:highlight w:val="none"/>
        </w:rPr>
      </w:pPr>
    </w:p>
    <w:p w14:paraId="05DCFF9D">
      <w:pPr>
        <w:spacing w:line="460" w:lineRule="exact"/>
        <w:jc w:val="center"/>
        <w:rPr>
          <w:rFonts w:ascii="宋体" w:hAnsi="宋体" w:cs="宋体"/>
          <w:b/>
          <w:bCs/>
          <w:color w:val="auto"/>
          <w:sz w:val="28"/>
          <w:szCs w:val="28"/>
          <w:highlight w:val="none"/>
        </w:rPr>
      </w:pPr>
    </w:p>
    <w:p w14:paraId="2CA3CB4D">
      <w:pPr>
        <w:spacing w:line="460" w:lineRule="exact"/>
        <w:jc w:val="center"/>
        <w:rPr>
          <w:rFonts w:ascii="宋体" w:hAnsi="宋体" w:cs="宋体"/>
          <w:b/>
          <w:bCs/>
          <w:color w:val="auto"/>
          <w:sz w:val="28"/>
          <w:szCs w:val="28"/>
          <w:highlight w:val="none"/>
        </w:rPr>
      </w:pPr>
    </w:p>
    <w:p w14:paraId="7D559BC2">
      <w:pPr>
        <w:spacing w:line="460" w:lineRule="exact"/>
        <w:jc w:val="center"/>
        <w:rPr>
          <w:rFonts w:ascii="宋体" w:hAnsi="宋体" w:cs="宋体"/>
          <w:b/>
          <w:bCs/>
          <w:color w:val="auto"/>
          <w:sz w:val="28"/>
          <w:szCs w:val="28"/>
          <w:highlight w:val="none"/>
        </w:rPr>
      </w:pPr>
    </w:p>
    <w:p w14:paraId="7526F0A3">
      <w:pPr>
        <w:spacing w:line="460" w:lineRule="exact"/>
        <w:jc w:val="center"/>
        <w:rPr>
          <w:rFonts w:ascii="宋体" w:hAnsi="宋体" w:cs="宋体"/>
          <w:b/>
          <w:bCs/>
          <w:color w:val="auto"/>
          <w:sz w:val="28"/>
          <w:szCs w:val="28"/>
          <w:highlight w:val="none"/>
        </w:rPr>
      </w:pPr>
    </w:p>
    <w:p w14:paraId="56C02112">
      <w:pPr>
        <w:spacing w:line="460" w:lineRule="exact"/>
        <w:jc w:val="center"/>
        <w:rPr>
          <w:rFonts w:ascii="宋体" w:hAnsi="宋体" w:cs="宋体"/>
          <w:b/>
          <w:bCs/>
          <w:color w:val="auto"/>
          <w:sz w:val="28"/>
          <w:szCs w:val="28"/>
          <w:highlight w:val="none"/>
        </w:rPr>
      </w:pPr>
    </w:p>
    <w:p w14:paraId="0903917B">
      <w:pPr>
        <w:spacing w:line="460" w:lineRule="exact"/>
        <w:jc w:val="center"/>
        <w:rPr>
          <w:rFonts w:ascii="宋体" w:hAnsi="宋体" w:cs="宋体"/>
          <w:b/>
          <w:bCs/>
          <w:color w:val="auto"/>
          <w:sz w:val="28"/>
          <w:szCs w:val="28"/>
          <w:highlight w:val="none"/>
        </w:rPr>
      </w:pPr>
      <w:r>
        <w:rPr>
          <w:rFonts w:ascii="宋体" w:hAnsi="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3A1D6D">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D3A1D6D">
                      <w:r>
                        <w:rPr>
                          <w:rFonts w:hint="eastAsia" w:ascii="新宋体" w:hAnsi="新宋体" w:eastAsia="新宋体"/>
                          <w:sz w:val="22"/>
                          <w:szCs w:val="22"/>
                        </w:rPr>
                        <w:t xml:space="preserve">  法定代表人身份证（正反面）：</w:t>
                      </w:r>
                    </w:p>
                  </w:txbxContent>
                </v:textbox>
              </v:shape>
            </w:pict>
          </mc:Fallback>
        </mc:AlternateContent>
      </w:r>
    </w:p>
    <w:p w14:paraId="7A25C390">
      <w:pPr>
        <w:spacing w:line="460" w:lineRule="exact"/>
        <w:jc w:val="center"/>
        <w:rPr>
          <w:rFonts w:ascii="宋体" w:hAnsi="宋体" w:cs="宋体"/>
          <w:b/>
          <w:bCs/>
          <w:color w:val="auto"/>
          <w:sz w:val="28"/>
          <w:szCs w:val="28"/>
          <w:highlight w:val="none"/>
        </w:rPr>
      </w:pPr>
    </w:p>
    <w:p w14:paraId="1B4938E7">
      <w:pPr>
        <w:spacing w:line="460" w:lineRule="exact"/>
        <w:jc w:val="center"/>
        <w:rPr>
          <w:rFonts w:ascii="宋体" w:hAnsi="宋体" w:cs="宋体"/>
          <w:b/>
          <w:bCs/>
          <w:color w:val="auto"/>
          <w:sz w:val="28"/>
          <w:szCs w:val="28"/>
          <w:highlight w:val="none"/>
        </w:rPr>
      </w:pPr>
    </w:p>
    <w:p w14:paraId="5D1ABC36">
      <w:pPr>
        <w:spacing w:line="460" w:lineRule="exact"/>
        <w:jc w:val="center"/>
        <w:rPr>
          <w:rFonts w:ascii="宋体" w:hAnsi="宋体" w:cs="宋体"/>
          <w:b/>
          <w:bCs/>
          <w:color w:val="auto"/>
          <w:sz w:val="28"/>
          <w:szCs w:val="28"/>
          <w:highlight w:val="none"/>
        </w:rPr>
      </w:pPr>
    </w:p>
    <w:p w14:paraId="5AC32BBF">
      <w:pPr>
        <w:spacing w:line="460" w:lineRule="exact"/>
        <w:jc w:val="center"/>
        <w:rPr>
          <w:rFonts w:ascii="宋体" w:hAnsi="宋体" w:cs="宋体"/>
          <w:b/>
          <w:bCs/>
          <w:color w:val="auto"/>
          <w:sz w:val="28"/>
          <w:szCs w:val="28"/>
          <w:highlight w:val="none"/>
        </w:rPr>
      </w:pPr>
    </w:p>
    <w:p w14:paraId="248BB8C8">
      <w:pPr>
        <w:spacing w:line="460" w:lineRule="exact"/>
        <w:jc w:val="center"/>
        <w:rPr>
          <w:rFonts w:ascii="宋体" w:hAnsi="宋体" w:cs="宋体"/>
          <w:b/>
          <w:bCs/>
          <w:color w:val="auto"/>
          <w:sz w:val="28"/>
          <w:szCs w:val="28"/>
          <w:highlight w:val="none"/>
        </w:rPr>
      </w:pPr>
    </w:p>
    <w:p w14:paraId="592EADA4">
      <w:pPr>
        <w:spacing w:line="460" w:lineRule="exact"/>
        <w:jc w:val="center"/>
        <w:rPr>
          <w:rFonts w:ascii="宋体" w:hAnsi="宋体" w:cs="宋体"/>
          <w:b/>
          <w:bCs/>
          <w:color w:val="auto"/>
          <w:sz w:val="28"/>
          <w:szCs w:val="28"/>
          <w:highlight w:val="none"/>
        </w:rPr>
      </w:pPr>
    </w:p>
    <w:p w14:paraId="4D6DF304">
      <w:pPr>
        <w:spacing w:line="460" w:lineRule="exact"/>
        <w:jc w:val="center"/>
        <w:rPr>
          <w:rFonts w:ascii="宋体" w:hAnsi="宋体" w:cs="宋体"/>
          <w:b/>
          <w:bCs/>
          <w:color w:val="auto"/>
          <w:sz w:val="28"/>
          <w:szCs w:val="28"/>
          <w:highlight w:val="none"/>
        </w:rPr>
      </w:pPr>
    </w:p>
    <w:p w14:paraId="03816F1D">
      <w:pPr>
        <w:spacing w:line="460" w:lineRule="exact"/>
        <w:jc w:val="center"/>
        <w:rPr>
          <w:rFonts w:ascii="宋体" w:hAnsi="宋体" w:cs="宋体"/>
          <w:b/>
          <w:bCs/>
          <w:color w:val="auto"/>
          <w:sz w:val="28"/>
          <w:szCs w:val="28"/>
          <w:highlight w:val="none"/>
        </w:rPr>
      </w:pPr>
    </w:p>
    <w:p w14:paraId="55FF6253">
      <w:pPr>
        <w:spacing w:line="460" w:lineRule="exact"/>
        <w:jc w:val="center"/>
        <w:rPr>
          <w:rFonts w:ascii="宋体" w:hAnsi="宋体" w:cs="宋体"/>
          <w:b/>
          <w:bCs/>
          <w:color w:val="auto"/>
          <w:sz w:val="28"/>
          <w:szCs w:val="28"/>
          <w:highlight w:val="none"/>
        </w:rPr>
      </w:pPr>
    </w:p>
    <w:p w14:paraId="6D3DA3C6">
      <w:pPr>
        <w:spacing w:line="460" w:lineRule="exact"/>
        <w:jc w:val="center"/>
        <w:rPr>
          <w:rFonts w:ascii="宋体" w:hAnsi="宋体" w:cs="宋体"/>
          <w:b/>
          <w:bCs/>
          <w:color w:val="auto"/>
          <w:sz w:val="28"/>
          <w:szCs w:val="28"/>
          <w:highlight w:val="none"/>
        </w:rPr>
      </w:pPr>
    </w:p>
    <w:p w14:paraId="5B97810B">
      <w:pPr>
        <w:spacing w:line="460" w:lineRule="exact"/>
        <w:jc w:val="center"/>
        <w:rPr>
          <w:rFonts w:ascii="宋体" w:hAnsi="宋体" w:cs="宋体"/>
          <w:b/>
          <w:bCs/>
          <w:color w:val="auto"/>
          <w:sz w:val="28"/>
          <w:szCs w:val="28"/>
          <w:highlight w:val="none"/>
        </w:rPr>
      </w:pPr>
    </w:p>
    <w:p w14:paraId="55495321">
      <w:pPr>
        <w:spacing w:line="460" w:lineRule="exact"/>
        <w:jc w:val="center"/>
        <w:rPr>
          <w:rFonts w:ascii="宋体" w:hAnsi="宋体" w:cs="宋体"/>
          <w:b/>
          <w:bCs/>
          <w:color w:val="auto"/>
          <w:sz w:val="28"/>
          <w:szCs w:val="28"/>
          <w:highlight w:val="none"/>
        </w:rPr>
      </w:pPr>
    </w:p>
    <w:p w14:paraId="0BDB2EE4">
      <w:pPr>
        <w:spacing w:line="460" w:lineRule="exact"/>
        <w:jc w:val="center"/>
        <w:rPr>
          <w:rFonts w:ascii="宋体" w:hAnsi="宋体" w:cs="宋体"/>
          <w:b/>
          <w:bCs/>
          <w:color w:val="auto"/>
          <w:sz w:val="28"/>
          <w:szCs w:val="28"/>
          <w:highlight w:val="none"/>
        </w:rPr>
      </w:pPr>
      <w:r>
        <w:rPr>
          <w:rFonts w:ascii="宋体" w:hAnsi="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04C69F">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6E04C69F">
                      <w:r>
                        <w:rPr>
                          <w:rFonts w:hint="eastAsia" w:ascii="新宋体" w:hAnsi="新宋体" w:eastAsia="新宋体"/>
                          <w:sz w:val="22"/>
                          <w:szCs w:val="22"/>
                        </w:rPr>
                        <w:t xml:space="preserve">  授权代表身份证（正反面）：</w:t>
                      </w:r>
                    </w:p>
                  </w:txbxContent>
                </v:textbox>
              </v:shape>
            </w:pict>
          </mc:Fallback>
        </mc:AlternateContent>
      </w:r>
    </w:p>
    <w:p w14:paraId="0C4BF7F2">
      <w:pPr>
        <w:spacing w:line="460" w:lineRule="exact"/>
        <w:jc w:val="center"/>
        <w:rPr>
          <w:rFonts w:ascii="宋体" w:hAnsi="宋体" w:cs="宋体"/>
          <w:b/>
          <w:bCs/>
          <w:color w:val="auto"/>
          <w:sz w:val="28"/>
          <w:szCs w:val="28"/>
          <w:highlight w:val="none"/>
        </w:rPr>
      </w:pPr>
    </w:p>
    <w:p w14:paraId="31B86842">
      <w:pPr>
        <w:spacing w:line="460" w:lineRule="exact"/>
        <w:jc w:val="center"/>
        <w:rPr>
          <w:rFonts w:ascii="宋体" w:hAnsi="宋体" w:cs="宋体"/>
          <w:b/>
          <w:bCs/>
          <w:color w:val="auto"/>
          <w:sz w:val="28"/>
          <w:szCs w:val="28"/>
          <w:highlight w:val="none"/>
        </w:rPr>
      </w:pPr>
    </w:p>
    <w:p w14:paraId="789C94D7">
      <w:pPr>
        <w:spacing w:line="460" w:lineRule="exact"/>
        <w:jc w:val="center"/>
        <w:rPr>
          <w:rFonts w:ascii="宋体" w:hAnsi="宋体" w:cs="宋体"/>
          <w:b/>
          <w:bCs/>
          <w:color w:val="auto"/>
          <w:sz w:val="28"/>
          <w:szCs w:val="28"/>
          <w:highlight w:val="none"/>
        </w:rPr>
      </w:pPr>
    </w:p>
    <w:p w14:paraId="6C71E7F3">
      <w:pPr>
        <w:spacing w:line="460" w:lineRule="exact"/>
        <w:jc w:val="center"/>
        <w:rPr>
          <w:rFonts w:ascii="宋体" w:hAnsi="宋体" w:cs="宋体"/>
          <w:b/>
          <w:bCs/>
          <w:color w:val="auto"/>
          <w:sz w:val="28"/>
          <w:szCs w:val="28"/>
          <w:highlight w:val="none"/>
        </w:rPr>
      </w:pPr>
    </w:p>
    <w:p w14:paraId="79924FAD">
      <w:pPr>
        <w:spacing w:line="460" w:lineRule="exact"/>
        <w:jc w:val="center"/>
        <w:rPr>
          <w:rFonts w:ascii="宋体" w:hAnsi="宋体" w:cs="宋体"/>
          <w:b/>
          <w:bCs/>
          <w:color w:val="auto"/>
          <w:sz w:val="28"/>
          <w:szCs w:val="28"/>
          <w:highlight w:val="none"/>
        </w:rPr>
      </w:pPr>
    </w:p>
    <w:p w14:paraId="4C67A228">
      <w:pPr>
        <w:spacing w:line="460" w:lineRule="exact"/>
        <w:jc w:val="center"/>
        <w:rPr>
          <w:rFonts w:ascii="宋体" w:hAnsi="宋体" w:cs="宋体"/>
          <w:b/>
          <w:bCs/>
          <w:color w:val="auto"/>
          <w:sz w:val="28"/>
          <w:szCs w:val="28"/>
          <w:highlight w:val="none"/>
        </w:rPr>
      </w:pPr>
    </w:p>
    <w:p w14:paraId="1F8EBE84">
      <w:pPr>
        <w:spacing w:line="460" w:lineRule="exact"/>
        <w:jc w:val="center"/>
        <w:rPr>
          <w:rFonts w:ascii="宋体" w:hAnsi="宋体" w:cs="宋体"/>
          <w:b/>
          <w:bCs/>
          <w:color w:val="auto"/>
          <w:sz w:val="28"/>
          <w:szCs w:val="28"/>
          <w:highlight w:val="none"/>
        </w:rPr>
      </w:pPr>
    </w:p>
    <w:p w14:paraId="2993D115">
      <w:pPr>
        <w:spacing w:line="460" w:lineRule="exact"/>
        <w:jc w:val="center"/>
        <w:rPr>
          <w:rFonts w:ascii="宋体" w:hAnsi="宋体" w:cs="宋体"/>
          <w:b/>
          <w:bCs/>
          <w:color w:val="auto"/>
          <w:sz w:val="28"/>
          <w:szCs w:val="28"/>
          <w:highlight w:val="none"/>
        </w:rPr>
      </w:pPr>
    </w:p>
    <w:p w14:paraId="1549B891">
      <w:pPr>
        <w:spacing w:line="460" w:lineRule="exact"/>
        <w:jc w:val="center"/>
        <w:rPr>
          <w:rFonts w:ascii="宋体" w:hAnsi="宋体" w:cs="宋体"/>
          <w:b/>
          <w:bCs/>
          <w:color w:val="auto"/>
          <w:sz w:val="28"/>
          <w:szCs w:val="28"/>
          <w:highlight w:val="none"/>
        </w:rPr>
      </w:pPr>
    </w:p>
    <w:p w14:paraId="66D1C622">
      <w:pPr>
        <w:spacing w:line="460" w:lineRule="exact"/>
        <w:jc w:val="center"/>
        <w:rPr>
          <w:rFonts w:ascii="宋体" w:hAnsi="宋体" w:cs="宋体"/>
          <w:b/>
          <w:bCs/>
          <w:color w:val="auto"/>
          <w:sz w:val="28"/>
          <w:szCs w:val="28"/>
          <w:highlight w:val="none"/>
        </w:rPr>
      </w:pPr>
    </w:p>
    <w:p w14:paraId="13996FA0">
      <w:pPr>
        <w:spacing w:line="460" w:lineRule="exact"/>
        <w:jc w:val="center"/>
        <w:rPr>
          <w:rFonts w:ascii="宋体" w:hAnsi="宋体" w:cs="宋体"/>
          <w:b/>
          <w:bCs/>
          <w:color w:val="auto"/>
          <w:sz w:val="28"/>
          <w:szCs w:val="28"/>
          <w:highlight w:val="none"/>
        </w:rPr>
      </w:pPr>
    </w:p>
    <w:p w14:paraId="1F13B305">
      <w:pPr>
        <w:spacing w:line="460" w:lineRule="exact"/>
        <w:jc w:val="center"/>
        <w:rPr>
          <w:rFonts w:ascii="宋体" w:hAnsi="宋体" w:cs="宋体"/>
          <w:b/>
          <w:bCs/>
          <w:color w:val="auto"/>
          <w:sz w:val="28"/>
          <w:szCs w:val="28"/>
          <w:highlight w:val="none"/>
        </w:rPr>
      </w:pPr>
    </w:p>
    <w:p w14:paraId="1CE044BD">
      <w:pPr>
        <w:spacing w:line="460" w:lineRule="exact"/>
        <w:jc w:val="center"/>
        <w:rPr>
          <w:rFonts w:ascii="宋体" w:hAnsi="宋体" w:cs="宋体"/>
          <w:b/>
          <w:bCs/>
          <w:color w:val="auto"/>
          <w:sz w:val="28"/>
          <w:szCs w:val="28"/>
          <w:highlight w:val="none"/>
        </w:rPr>
      </w:pPr>
    </w:p>
    <w:p w14:paraId="19EA69CB">
      <w:pPr>
        <w:spacing w:line="460" w:lineRule="exact"/>
        <w:jc w:val="center"/>
        <w:rPr>
          <w:rFonts w:ascii="宋体" w:hAnsi="宋体" w:cs="宋体"/>
          <w:b/>
          <w:bCs/>
          <w:color w:val="auto"/>
          <w:sz w:val="28"/>
          <w:szCs w:val="28"/>
          <w:highlight w:val="none"/>
        </w:rPr>
      </w:pPr>
    </w:p>
    <w:p w14:paraId="6905FCB8">
      <w:pPr>
        <w:spacing w:line="460" w:lineRule="exact"/>
        <w:jc w:val="center"/>
        <w:rPr>
          <w:rFonts w:ascii="宋体" w:hAnsi="宋体" w:cs="宋体"/>
          <w:b/>
          <w:bCs/>
          <w:color w:val="auto"/>
          <w:sz w:val="28"/>
          <w:szCs w:val="28"/>
          <w:highlight w:val="none"/>
        </w:rPr>
      </w:pPr>
    </w:p>
    <w:p w14:paraId="4DE1D95B">
      <w:pPr>
        <w:spacing w:line="460" w:lineRule="exact"/>
        <w:jc w:val="center"/>
        <w:outlineLvl w:val="3"/>
        <w:rPr>
          <w:rFonts w:ascii="宋体" w:hAnsi="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30BB6889">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2、投标人情况表</w:t>
      </w:r>
    </w:p>
    <w:p w14:paraId="6F88E120">
      <w:pPr>
        <w:spacing w:line="360" w:lineRule="auto"/>
        <w:rPr>
          <w:rFonts w:hint="eastAsia" w:ascii="宋体" w:hAnsi="宋体" w:cs="宋体"/>
          <w:color w:val="auto"/>
          <w:sz w:val="22"/>
          <w:szCs w:val="22"/>
          <w:highlight w:val="none"/>
        </w:rPr>
      </w:pPr>
    </w:p>
    <w:p w14:paraId="6A54373D">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49331B45">
      <w:pPr>
        <w:tabs>
          <w:tab w:val="left" w:pos="780"/>
        </w:tabs>
        <w:spacing w:line="400" w:lineRule="exact"/>
        <w:rPr>
          <w:rFonts w:ascii="宋体" w:hAnsi="宋体" w:cs="宋体"/>
          <w:b/>
          <w:color w:val="auto"/>
          <w:sz w:val="22"/>
          <w:szCs w:val="22"/>
          <w:highlight w:val="non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804"/>
        <w:gridCol w:w="1115"/>
        <w:gridCol w:w="2588"/>
        <w:gridCol w:w="1488"/>
        <w:gridCol w:w="1502"/>
        <w:gridCol w:w="1488"/>
        <w:gridCol w:w="1115"/>
        <w:gridCol w:w="1461"/>
      </w:tblGrid>
      <w:tr w14:paraId="11F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27" w:type="dxa"/>
          </w:tcPr>
          <w:p w14:paraId="6AD16070">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tcPr>
          <w:p w14:paraId="7F1CDCD0">
            <w:pPr>
              <w:spacing w:line="480" w:lineRule="exact"/>
              <w:rPr>
                <w:rFonts w:ascii="宋体" w:hAnsi="宋体" w:cs="宋体"/>
                <w:color w:val="auto"/>
                <w:sz w:val="22"/>
                <w:szCs w:val="22"/>
                <w:highlight w:val="none"/>
              </w:rPr>
            </w:pPr>
          </w:p>
        </w:tc>
        <w:tc>
          <w:tcPr>
            <w:tcW w:w="1115" w:type="dxa"/>
          </w:tcPr>
          <w:p w14:paraId="54CC09F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tcPr>
          <w:p w14:paraId="25C7FF96">
            <w:pPr>
              <w:spacing w:line="480" w:lineRule="exact"/>
              <w:rPr>
                <w:rFonts w:ascii="宋体" w:hAnsi="宋体" w:cs="宋体"/>
                <w:color w:val="auto"/>
                <w:sz w:val="22"/>
                <w:szCs w:val="22"/>
                <w:highlight w:val="none"/>
              </w:rPr>
            </w:pPr>
          </w:p>
        </w:tc>
        <w:tc>
          <w:tcPr>
            <w:tcW w:w="1488" w:type="dxa"/>
          </w:tcPr>
          <w:p w14:paraId="0B47DD7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14:paraId="57C60E18">
            <w:pPr>
              <w:spacing w:line="480" w:lineRule="exact"/>
              <w:rPr>
                <w:rFonts w:ascii="宋体" w:hAnsi="宋体" w:cs="宋体"/>
                <w:color w:val="auto"/>
                <w:sz w:val="22"/>
                <w:szCs w:val="22"/>
                <w:highlight w:val="none"/>
              </w:rPr>
            </w:pPr>
          </w:p>
        </w:tc>
        <w:tc>
          <w:tcPr>
            <w:tcW w:w="1488" w:type="dxa"/>
          </w:tcPr>
          <w:p w14:paraId="6596BA84">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14:paraId="7A519277">
            <w:pPr>
              <w:spacing w:line="480" w:lineRule="exact"/>
              <w:rPr>
                <w:rFonts w:ascii="宋体" w:hAnsi="宋体" w:cs="宋体"/>
                <w:color w:val="auto"/>
                <w:sz w:val="22"/>
                <w:szCs w:val="22"/>
                <w:highlight w:val="none"/>
              </w:rPr>
            </w:pPr>
          </w:p>
        </w:tc>
        <w:tc>
          <w:tcPr>
            <w:tcW w:w="1461" w:type="dxa"/>
          </w:tcPr>
          <w:p w14:paraId="16B6937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57A3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6672B9F6">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tcPr>
          <w:p w14:paraId="4A1256F9">
            <w:pPr>
              <w:spacing w:line="480" w:lineRule="exact"/>
              <w:rPr>
                <w:rFonts w:ascii="宋体" w:hAnsi="宋体" w:cs="宋体"/>
                <w:color w:val="auto"/>
                <w:sz w:val="22"/>
                <w:szCs w:val="22"/>
                <w:highlight w:val="none"/>
              </w:rPr>
            </w:pPr>
          </w:p>
        </w:tc>
        <w:tc>
          <w:tcPr>
            <w:tcW w:w="1115" w:type="dxa"/>
          </w:tcPr>
          <w:p w14:paraId="5073CF8C">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tcPr>
          <w:p w14:paraId="6A3EDB6D">
            <w:pPr>
              <w:spacing w:line="480" w:lineRule="exact"/>
              <w:rPr>
                <w:rFonts w:ascii="宋体" w:hAnsi="宋体" w:cs="宋体"/>
                <w:color w:val="auto"/>
                <w:sz w:val="22"/>
                <w:szCs w:val="22"/>
                <w:highlight w:val="none"/>
              </w:rPr>
            </w:pPr>
          </w:p>
        </w:tc>
        <w:tc>
          <w:tcPr>
            <w:tcW w:w="1488" w:type="dxa"/>
          </w:tcPr>
          <w:p w14:paraId="49FDE04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14:paraId="39A925CC">
            <w:pPr>
              <w:spacing w:line="480" w:lineRule="exact"/>
              <w:rPr>
                <w:rFonts w:ascii="宋体" w:hAnsi="宋体" w:cs="宋体"/>
                <w:color w:val="auto"/>
                <w:sz w:val="22"/>
                <w:szCs w:val="22"/>
                <w:highlight w:val="none"/>
              </w:rPr>
            </w:pPr>
          </w:p>
        </w:tc>
        <w:tc>
          <w:tcPr>
            <w:tcW w:w="1488" w:type="dxa"/>
          </w:tcPr>
          <w:p w14:paraId="6EB61F7D">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14:paraId="45B56CB4">
            <w:pPr>
              <w:spacing w:line="480" w:lineRule="exact"/>
              <w:rPr>
                <w:rFonts w:ascii="宋体" w:hAnsi="宋体" w:cs="宋体"/>
                <w:color w:val="auto"/>
                <w:sz w:val="22"/>
                <w:szCs w:val="22"/>
                <w:highlight w:val="none"/>
              </w:rPr>
            </w:pPr>
          </w:p>
        </w:tc>
        <w:tc>
          <w:tcPr>
            <w:tcW w:w="1461" w:type="dxa"/>
          </w:tcPr>
          <w:p w14:paraId="32DAC621">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5DA3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7" w:hRule="atLeast"/>
        </w:trPr>
        <w:tc>
          <w:tcPr>
            <w:tcW w:w="1227" w:type="dxa"/>
            <w:vAlign w:val="center"/>
          </w:tcPr>
          <w:p w14:paraId="529B29A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2CC797F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13561" w:type="dxa"/>
            <w:gridSpan w:val="8"/>
            <w:vAlign w:val="center"/>
          </w:tcPr>
          <w:p w14:paraId="7E4B0244">
            <w:pPr>
              <w:spacing w:line="480" w:lineRule="exact"/>
              <w:rPr>
                <w:rFonts w:ascii="宋体" w:hAnsi="宋体" w:cs="宋体"/>
                <w:color w:val="auto"/>
                <w:sz w:val="22"/>
                <w:szCs w:val="22"/>
                <w:highlight w:val="none"/>
              </w:rPr>
            </w:pPr>
          </w:p>
        </w:tc>
      </w:tr>
    </w:tbl>
    <w:p w14:paraId="751352AF">
      <w:pPr>
        <w:spacing w:line="460" w:lineRule="exact"/>
        <w:rPr>
          <w:rFonts w:ascii="宋体" w:hAnsi="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1C2E3140">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lang w:val="zh-CN"/>
        </w:rPr>
        <w:t>偏离表（</w:t>
      </w:r>
      <w:r>
        <w:rPr>
          <w:rFonts w:hint="eastAsia" w:ascii="宋体" w:hAnsi="宋体" w:cs="宋体"/>
          <w:b/>
          <w:bCs/>
          <w:color w:val="auto"/>
          <w:sz w:val="28"/>
          <w:szCs w:val="28"/>
          <w:highlight w:val="none"/>
        </w:rPr>
        <w:t>商务、技术偏离</w:t>
      </w:r>
      <w:r>
        <w:rPr>
          <w:rFonts w:hint="eastAsia" w:ascii="宋体" w:hAnsi="宋体" w:cs="宋体"/>
          <w:b/>
          <w:bCs/>
          <w:color w:val="auto"/>
          <w:sz w:val="28"/>
          <w:szCs w:val="28"/>
          <w:highlight w:val="none"/>
          <w:lang w:val="zh-CN"/>
        </w:rPr>
        <w:t>）</w:t>
      </w:r>
    </w:p>
    <w:p w14:paraId="70B96206">
      <w:pPr>
        <w:spacing w:line="360" w:lineRule="auto"/>
        <w:rPr>
          <w:rFonts w:ascii="宋体" w:hAnsi="宋体" w:cs="宋体"/>
          <w:color w:val="auto"/>
          <w:sz w:val="22"/>
          <w:szCs w:val="22"/>
          <w:highlight w:val="none"/>
        </w:rPr>
      </w:pPr>
    </w:p>
    <w:p w14:paraId="7526FF8D">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630CE4C1">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249F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20BF6DD2">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687" w:type="dxa"/>
            <w:shd w:val="clear" w:color="auto" w:fill="FFFFFF"/>
            <w:vAlign w:val="center"/>
          </w:tcPr>
          <w:p w14:paraId="7E1F0515">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14:paraId="57031757">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14:paraId="549AE49F">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14:paraId="730A21A3">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580" w:type="dxa"/>
            <w:shd w:val="clear" w:color="auto" w:fill="FFFFFF"/>
            <w:vAlign w:val="center"/>
          </w:tcPr>
          <w:p w14:paraId="4D34AB47">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204F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62D4C624">
            <w:pPr>
              <w:ind w:firstLine="220" w:firstLineChars="100"/>
              <w:rPr>
                <w:rFonts w:ascii="宋体" w:hAnsi="宋体" w:cs="宋体"/>
                <w:color w:val="auto"/>
                <w:sz w:val="22"/>
                <w:szCs w:val="22"/>
                <w:highlight w:val="none"/>
              </w:rPr>
            </w:pPr>
          </w:p>
        </w:tc>
        <w:tc>
          <w:tcPr>
            <w:tcW w:w="3687" w:type="dxa"/>
            <w:vAlign w:val="center"/>
          </w:tcPr>
          <w:p w14:paraId="4089A595">
            <w:pPr>
              <w:jc w:val="center"/>
              <w:rPr>
                <w:rFonts w:ascii="宋体" w:hAnsi="宋体" w:cs="宋体"/>
                <w:color w:val="auto"/>
                <w:sz w:val="22"/>
                <w:szCs w:val="22"/>
                <w:highlight w:val="none"/>
              </w:rPr>
            </w:pPr>
          </w:p>
        </w:tc>
        <w:tc>
          <w:tcPr>
            <w:tcW w:w="3402" w:type="dxa"/>
            <w:vAlign w:val="center"/>
          </w:tcPr>
          <w:p w14:paraId="769209A8">
            <w:pPr>
              <w:jc w:val="center"/>
              <w:rPr>
                <w:rFonts w:ascii="宋体" w:hAnsi="宋体" w:cs="宋体"/>
                <w:color w:val="auto"/>
                <w:sz w:val="22"/>
                <w:szCs w:val="22"/>
                <w:highlight w:val="none"/>
              </w:rPr>
            </w:pPr>
          </w:p>
        </w:tc>
        <w:tc>
          <w:tcPr>
            <w:tcW w:w="1580" w:type="dxa"/>
            <w:vAlign w:val="center"/>
          </w:tcPr>
          <w:p w14:paraId="74F89F27">
            <w:pPr>
              <w:jc w:val="center"/>
              <w:rPr>
                <w:rFonts w:ascii="宋体" w:hAnsi="宋体" w:cs="宋体"/>
                <w:color w:val="auto"/>
                <w:sz w:val="22"/>
                <w:szCs w:val="22"/>
                <w:highlight w:val="none"/>
              </w:rPr>
            </w:pPr>
          </w:p>
        </w:tc>
      </w:tr>
      <w:tr w14:paraId="737A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1558D7C">
            <w:pPr>
              <w:jc w:val="center"/>
              <w:rPr>
                <w:rFonts w:ascii="宋体" w:hAnsi="宋体" w:cs="宋体"/>
                <w:color w:val="auto"/>
                <w:sz w:val="22"/>
                <w:szCs w:val="22"/>
                <w:highlight w:val="none"/>
              </w:rPr>
            </w:pPr>
          </w:p>
        </w:tc>
        <w:tc>
          <w:tcPr>
            <w:tcW w:w="3687" w:type="dxa"/>
            <w:vAlign w:val="center"/>
          </w:tcPr>
          <w:p w14:paraId="0533FEB3">
            <w:pPr>
              <w:jc w:val="center"/>
              <w:rPr>
                <w:rFonts w:ascii="宋体" w:hAnsi="宋体" w:cs="宋体"/>
                <w:color w:val="auto"/>
                <w:sz w:val="22"/>
                <w:szCs w:val="22"/>
                <w:highlight w:val="none"/>
              </w:rPr>
            </w:pPr>
          </w:p>
        </w:tc>
        <w:tc>
          <w:tcPr>
            <w:tcW w:w="3402" w:type="dxa"/>
            <w:vAlign w:val="center"/>
          </w:tcPr>
          <w:p w14:paraId="64F28576">
            <w:pPr>
              <w:jc w:val="center"/>
              <w:rPr>
                <w:rFonts w:ascii="宋体" w:hAnsi="宋体" w:cs="宋体"/>
                <w:color w:val="auto"/>
                <w:sz w:val="22"/>
                <w:szCs w:val="22"/>
                <w:highlight w:val="none"/>
              </w:rPr>
            </w:pPr>
          </w:p>
        </w:tc>
        <w:tc>
          <w:tcPr>
            <w:tcW w:w="1580" w:type="dxa"/>
            <w:vAlign w:val="center"/>
          </w:tcPr>
          <w:p w14:paraId="6AAC24EF">
            <w:pPr>
              <w:jc w:val="center"/>
              <w:rPr>
                <w:rFonts w:ascii="宋体" w:hAnsi="宋体" w:cs="宋体"/>
                <w:color w:val="auto"/>
                <w:sz w:val="22"/>
                <w:szCs w:val="22"/>
                <w:highlight w:val="none"/>
              </w:rPr>
            </w:pPr>
          </w:p>
        </w:tc>
      </w:tr>
      <w:tr w14:paraId="364B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31164FC">
            <w:pPr>
              <w:jc w:val="center"/>
              <w:rPr>
                <w:rFonts w:ascii="宋体" w:hAnsi="宋体" w:cs="宋体"/>
                <w:color w:val="auto"/>
                <w:sz w:val="22"/>
                <w:szCs w:val="22"/>
                <w:highlight w:val="none"/>
              </w:rPr>
            </w:pPr>
          </w:p>
        </w:tc>
        <w:tc>
          <w:tcPr>
            <w:tcW w:w="3687" w:type="dxa"/>
            <w:vAlign w:val="center"/>
          </w:tcPr>
          <w:p w14:paraId="7A55BD5A">
            <w:pPr>
              <w:jc w:val="center"/>
              <w:rPr>
                <w:rFonts w:ascii="宋体" w:hAnsi="宋体" w:cs="宋体"/>
                <w:color w:val="auto"/>
                <w:sz w:val="22"/>
                <w:szCs w:val="22"/>
                <w:highlight w:val="none"/>
              </w:rPr>
            </w:pPr>
          </w:p>
        </w:tc>
        <w:tc>
          <w:tcPr>
            <w:tcW w:w="3402" w:type="dxa"/>
            <w:vAlign w:val="center"/>
          </w:tcPr>
          <w:p w14:paraId="0438C341">
            <w:pPr>
              <w:jc w:val="center"/>
              <w:rPr>
                <w:rFonts w:ascii="宋体" w:hAnsi="宋体" w:cs="宋体"/>
                <w:color w:val="auto"/>
                <w:sz w:val="22"/>
                <w:szCs w:val="22"/>
                <w:highlight w:val="none"/>
              </w:rPr>
            </w:pPr>
          </w:p>
        </w:tc>
        <w:tc>
          <w:tcPr>
            <w:tcW w:w="1580" w:type="dxa"/>
            <w:vAlign w:val="center"/>
          </w:tcPr>
          <w:p w14:paraId="27E4EC3E">
            <w:pPr>
              <w:jc w:val="center"/>
              <w:rPr>
                <w:rFonts w:ascii="宋体" w:hAnsi="宋体" w:cs="宋体"/>
                <w:color w:val="auto"/>
                <w:sz w:val="22"/>
                <w:szCs w:val="22"/>
                <w:highlight w:val="none"/>
              </w:rPr>
            </w:pPr>
          </w:p>
        </w:tc>
      </w:tr>
      <w:tr w14:paraId="2885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04B9757">
            <w:pPr>
              <w:jc w:val="center"/>
              <w:rPr>
                <w:rFonts w:ascii="宋体" w:hAnsi="宋体" w:cs="宋体"/>
                <w:color w:val="auto"/>
                <w:sz w:val="22"/>
                <w:szCs w:val="22"/>
                <w:highlight w:val="none"/>
              </w:rPr>
            </w:pPr>
          </w:p>
        </w:tc>
        <w:tc>
          <w:tcPr>
            <w:tcW w:w="3687" w:type="dxa"/>
            <w:vAlign w:val="center"/>
          </w:tcPr>
          <w:p w14:paraId="6EA24BAE">
            <w:pPr>
              <w:jc w:val="center"/>
              <w:rPr>
                <w:rFonts w:ascii="宋体" w:hAnsi="宋体" w:cs="宋体"/>
                <w:color w:val="auto"/>
                <w:sz w:val="22"/>
                <w:szCs w:val="22"/>
                <w:highlight w:val="none"/>
              </w:rPr>
            </w:pPr>
          </w:p>
        </w:tc>
        <w:tc>
          <w:tcPr>
            <w:tcW w:w="3402" w:type="dxa"/>
            <w:vAlign w:val="center"/>
          </w:tcPr>
          <w:p w14:paraId="1159195E">
            <w:pPr>
              <w:jc w:val="center"/>
              <w:rPr>
                <w:rFonts w:ascii="宋体" w:hAnsi="宋体" w:cs="宋体"/>
                <w:color w:val="auto"/>
                <w:sz w:val="22"/>
                <w:szCs w:val="22"/>
                <w:highlight w:val="none"/>
              </w:rPr>
            </w:pPr>
          </w:p>
        </w:tc>
        <w:tc>
          <w:tcPr>
            <w:tcW w:w="1580" w:type="dxa"/>
            <w:vAlign w:val="center"/>
          </w:tcPr>
          <w:p w14:paraId="5154BB04">
            <w:pPr>
              <w:jc w:val="center"/>
              <w:rPr>
                <w:rFonts w:ascii="宋体" w:hAnsi="宋体" w:cs="宋体"/>
                <w:color w:val="auto"/>
                <w:sz w:val="22"/>
                <w:szCs w:val="22"/>
                <w:highlight w:val="none"/>
              </w:rPr>
            </w:pPr>
          </w:p>
        </w:tc>
      </w:tr>
      <w:tr w14:paraId="05A9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8BEB725">
            <w:pPr>
              <w:jc w:val="center"/>
              <w:rPr>
                <w:rFonts w:ascii="宋体" w:hAnsi="宋体" w:cs="宋体"/>
                <w:color w:val="auto"/>
                <w:sz w:val="22"/>
                <w:szCs w:val="22"/>
                <w:highlight w:val="none"/>
              </w:rPr>
            </w:pPr>
          </w:p>
        </w:tc>
        <w:tc>
          <w:tcPr>
            <w:tcW w:w="3687" w:type="dxa"/>
            <w:vAlign w:val="center"/>
          </w:tcPr>
          <w:p w14:paraId="3CBE78BC">
            <w:pPr>
              <w:jc w:val="center"/>
              <w:rPr>
                <w:rFonts w:ascii="宋体" w:hAnsi="宋体" w:cs="宋体"/>
                <w:color w:val="auto"/>
                <w:sz w:val="22"/>
                <w:szCs w:val="22"/>
                <w:highlight w:val="none"/>
              </w:rPr>
            </w:pPr>
          </w:p>
        </w:tc>
        <w:tc>
          <w:tcPr>
            <w:tcW w:w="3402" w:type="dxa"/>
            <w:vAlign w:val="center"/>
          </w:tcPr>
          <w:p w14:paraId="17B8CFEC">
            <w:pPr>
              <w:jc w:val="center"/>
              <w:rPr>
                <w:rFonts w:ascii="宋体" w:hAnsi="宋体" w:cs="宋体"/>
                <w:color w:val="auto"/>
                <w:sz w:val="22"/>
                <w:szCs w:val="22"/>
                <w:highlight w:val="none"/>
              </w:rPr>
            </w:pPr>
          </w:p>
        </w:tc>
        <w:tc>
          <w:tcPr>
            <w:tcW w:w="1580" w:type="dxa"/>
            <w:vAlign w:val="center"/>
          </w:tcPr>
          <w:p w14:paraId="6E095473">
            <w:pPr>
              <w:jc w:val="center"/>
              <w:rPr>
                <w:rFonts w:ascii="宋体" w:hAnsi="宋体" w:cs="宋体"/>
                <w:color w:val="auto"/>
                <w:sz w:val="22"/>
                <w:szCs w:val="22"/>
                <w:highlight w:val="none"/>
              </w:rPr>
            </w:pPr>
          </w:p>
        </w:tc>
      </w:tr>
      <w:tr w14:paraId="6C31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0DA42C2">
            <w:pPr>
              <w:ind w:firstLine="220" w:firstLineChars="100"/>
              <w:rPr>
                <w:rFonts w:ascii="宋体" w:hAnsi="宋体" w:cs="宋体"/>
                <w:color w:val="auto"/>
                <w:sz w:val="22"/>
                <w:szCs w:val="22"/>
                <w:highlight w:val="none"/>
              </w:rPr>
            </w:pPr>
          </w:p>
        </w:tc>
        <w:tc>
          <w:tcPr>
            <w:tcW w:w="3687" w:type="dxa"/>
            <w:vAlign w:val="center"/>
          </w:tcPr>
          <w:p w14:paraId="61547989">
            <w:pPr>
              <w:jc w:val="center"/>
              <w:rPr>
                <w:rFonts w:ascii="宋体" w:hAnsi="宋体" w:cs="宋体"/>
                <w:color w:val="auto"/>
                <w:sz w:val="22"/>
                <w:szCs w:val="22"/>
                <w:highlight w:val="none"/>
              </w:rPr>
            </w:pPr>
          </w:p>
        </w:tc>
        <w:tc>
          <w:tcPr>
            <w:tcW w:w="3402" w:type="dxa"/>
            <w:vAlign w:val="center"/>
          </w:tcPr>
          <w:p w14:paraId="7936AB87">
            <w:pPr>
              <w:jc w:val="center"/>
              <w:rPr>
                <w:rFonts w:ascii="宋体" w:hAnsi="宋体" w:cs="宋体"/>
                <w:color w:val="auto"/>
                <w:sz w:val="22"/>
                <w:szCs w:val="22"/>
                <w:highlight w:val="none"/>
              </w:rPr>
            </w:pPr>
          </w:p>
        </w:tc>
        <w:tc>
          <w:tcPr>
            <w:tcW w:w="1580" w:type="dxa"/>
            <w:vAlign w:val="center"/>
          </w:tcPr>
          <w:p w14:paraId="185BF93F">
            <w:pPr>
              <w:jc w:val="center"/>
              <w:rPr>
                <w:rFonts w:ascii="宋体" w:hAnsi="宋体" w:cs="宋体"/>
                <w:color w:val="auto"/>
                <w:sz w:val="22"/>
                <w:szCs w:val="22"/>
                <w:highlight w:val="none"/>
              </w:rPr>
            </w:pPr>
          </w:p>
        </w:tc>
      </w:tr>
      <w:tr w14:paraId="4653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20E927A">
            <w:pPr>
              <w:jc w:val="center"/>
              <w:rPr>
                <w:rFonts w:ascii="宋体" w:hAnsi="宋体" w:cs="宋体"/>
                <w:color w:val="auto"/>
                <w:sz w:val="22"/>
                <w:szCs w:val="22"/>
                <w:highlight w:val="none"/>
              </w:rPr>
            </w:pPr>
          </w:p>
        </w:tc>
        <w:tc>
          <w:tcPr>
            <w:tcW w:w="3687" w:type="dxa"/>
            <w:vAlign w:val="center"/>
          </w:tcPr>
          <w:p w14:paraId="1159ADB5">
            <w:pPr>
              <w:jc w:val="center"/>
              <w:rPr>
                <w:rFonts w:ascii="宋体" w:hAnsi="宋体" w:cs="宋体"/>
                <w:color w:val="auto"/>
                <w:sz w:val="22"/>
                <w:szCs w:val="22"/>
                <w:highlight w:val="none"/>
              </w:rPr>
            </w:pPr>
          </w:p>
        </w:tc>
        <w:tc>
          <w:tcPr>
            <w:tcW w:w="3402" w:type="dxa"/>
            <w:vAlign w:val="center"/>
          </w:tcPr>
          <w:p w14:paraId="20683880">
            <w:pPr>
              <w:jc w:val="center"/>
              <w:rPr>
                <w:rFonts w:ascii="宋体" w:hAnsi="宋体" w:cs="宋体"/>
                <w:color w:val="auto"/>
                <w:sz w:val="22"/>
                <w:szCs w:val="22"/>
                <w:highlight w:val="none"/>
              </w:rPr>
            </w:pPr>
          </w:p>
        </w:tc>
        <w:tc>
          <w:tcPr>
            <w:tcW w:w="1580" w:type="dxa"/>
            <w:vAlign w:val="center"/>
          </w:tcPr>
          <w:p w14:paraId="327DEECE">
            <w:pPr>
              <w:jc w:val="center"/>
              <w:rPr>
                <w:rFonts w:ascii="宋体" w:hAnsi="宋体" w:cs="宋体"/>
                <w:color w:val="auto"/>
                <w:sz w:val="22"/>
                <w:szCs w:val="22"/>
                <w:highlight w:val="none"/>
              </w:rPr>
            </w:pPr>
          </w:p>
        </w:tc>
      </w:tr>
      <w:tr w14:paraId="6109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04E8518">
            <w:pPr>
              <w:jc w:val="center"/>
              <w:rPr>
                <w:rFonts w:ascii="宋体" w:hAnsi="宋体" w:cs="宋体"/>
                <w:color w:val="auto"/>
                <w:sz w:val="22"/>
                <w:szCs w:val="22"/>
                <w:highlight w:val="none"/>
              </w:rPr>
            </w:pPr>
          </w:p>
        </w:tc>
        <w:tc>
          <w:tcPr>
            <w:tcW w:w="3687" w:type="dxa"/>
            <w:vAlign w:val="center"/>
          </w:tcPr>
          <w:p w14:paraId="511B4BAF">
            <w:pPr>
              <w:jc w:val="center"/>
              <w:rPr>
                <w:rFonts w:ascii="宋体" w:hAnsi="宋体" w:cs="宋体"/>
                <w:color w:val="auto"/>
                <w:sz w:val="22"/>
                <w:szCs w:val="22"/>
                <w:highlight w:val="none"/>
              </w:rPr>
            </w:pPr>
          </w:p>
        </w:tc>
        <w:tc>
          <w:tcPr>
            <w:tcW w:w="3402" w:type="dxa"/>
            <w:vAlign w:val="center"/>
          </w:tcPr>
          <w:p w14:paraId="1ED2A6E4">
            <w:pPr>
              <w:jc w:val="center"/>
              <w:rPr>
                <w:rFonts w:ascii="宋体" w:hAnsi="宋体" w:cs="宋体"/>
                <w:color w:val="auto"/>
                <w:sz w:val="22"/>
                <w:szCs w:val="22"/>
                <w:highlight w:val="none"/>
              </w:rPr>
            </w:pPr>
          </w:p>
        </w:tc>
        <w:tc>
          <w:tcPr>
            <w:tcW w:w="1580" w:type="dxa"/>
            <w:vAlign w:val="center"/>
          </w:tcPr>
          <w:p w14:paraId="49C5C9D5">
            <w:pPr>
              <w:jc w:val="center"/>
              <w:rPr>
                <w:rFonts w:ascii="宋体" w:hAnsi="宋体" w:cs="宋体"/>
                <w:color w:val="auto"/>
                <w:sz w:val="22"/>
                <w:szCs w:val="22"/>
                <w:highlight w:val="none"/>
              </w:rPr>
            </w:pPr>
          </w:p>
        </w:tc>
      </w:tr>
      <w:tr w14:paraId="1760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BD60119">
            <w:pPr>
              <w:jc w:val="center"/>
              <w:rPr>
                <w:rFonts w:ascii="宋体" w:hAnsi="宋体" w:cs="宋体"/>
                <w:color w:val="auto"/>
                <w:sz w:val="22"/>
                <w:szCs w:val="22"/>
                <w:highlight w:val="none"/>
              </w:rPr>
            </w:pPr>
          </w:p>
        </w:tc>
        <w:tc>
          <w:tcPr>
            <w:tcW w:w="3687" w:type="dxa"/>
            <w:vAlign w:val="center"/>
          </w:tcPr>
          <w:p w14:paraId="62EFEFA6">
            <w:pPr>
              <w:jc w:val="center"/>
              <w:rPr>
                <w:rFonts w:ascii="宋体" w:hAnsi="宋体" w:cs="宋体"/>
                <w:color w:val="auto"/>
                <w:sz w:val="22"/>
                <w:szCs w:val="22"/>
                <w:highlight w:val="none"/>
              </w:rPr>
            </w:pPr>
          </w:p>
        </w:tc>
        <w:tc>
          <w:tcPr>
            <w:tcW w:w="3402" w:type="dxa"/>
            <w:vAlign w:val="center"/>
          </w:tcPr>
          <w:p w14:paraId="38247C6F">
            <w:pPr>
              <w:jc w:val="center"/>
              <w:rPr>
                <w:rFonts w:ascii="宋体" w:hAnsi="宋体" w:cs="宋体"/>
                <w:color w:val="auto"/>
                <w:sz w:val="22"/>
                <w:szCs w:val="22"/>
                <w:highlight w:val="none"/>
              </w:rPr>
            </w:pPr>
          </w:p>
        </w:tc>
        <w:tc>
          <w:tcPr>
            <w:tcW w:w="1580" w:type="dxa"/>
            <w:vAlign w:val="center"/>
          </w:tcPr>
          <w:p w14:paraId="0D879A8A">
            <w:pPr>
              <w:jc w:val="center"/>
              <w:rPr>
                <w:rFonts w:ascii="宋体" w:hAnsi="宋体" w:cs="宋体"/>
                <w:color w:val="auto"/>
                <w:sz w:val="22"/>
                <w:szCs w:val="22"/>
                <w:highlight w:val="none"/>
              </w:rPr>
            </w:pPr>
          </w:p>
        </w:tc>
      </w:tr>
    </w:tbl>
    <w:p w14:paraId="319F5A30">
      <w:pPr>
        <w:rPr>
          <w:rFonts w:ascii="宋体" w:hAnsi="宋体" w:cs="宋体"/>
          <w:color w:val="auto"/>
          <w:sz w:val="22"/>
          <w:szCs w:val="22"/>
          <w:highlight w:val="none"/>
        </w:rPr>
      </w:pPr>
      <w:r>
        <w:rPr>
          <w:rFonts w:hint="eastAsia" w:ascii="宋体" w:hAnsi="宋体" w:cs="宋体"/>
          <w:b/>
          <w:bCs/>
          <w:color w:val="auto"/>
          <w:sz w:val="22"/>
          <w:szCs w:val="22"/>
          <w:highlight w:val="none"/>
        </w:rPr>
        <w:t>注： 如有偏离，必须在偏离表中进行详细对比说明并注明正偏离和负偏离，如不说明偏离情况，视为完全响应采购文件要求无偏离</w:t>
      </w:r>
    </w:p>
    <w:p w14:paraId="745AB792">
      <w:pPr>
        <w:spacing w:line="460" w:lineRule="exact"/>
        <w:ind w:firstLine="4400" w:firstLineChars="2000"/>
        <w:rPr>
          <w:rFonts w:hint="eastAsia" w:ascii="宋体" w:hAnsi="宋体" w:cs="宋体"/>
          <w:color w:val="auto"/>
          <w:sz w:val="22"/>
          <w:szCs w:val="22"/>
          <w:highlight w:val="none"/>
        </w:rPr>
      </w:pPr>
    </w:p>
    <w:p w14:paraId="525C328C">
      <w:pPr>
        <w:spacing w:line="360" w:lineRule="auto"/>
        <w:jc w:val="left"/>
        <w:rPr>
          <w:rFonts w:ascii="宋体" w:hAnsi="宋体" w:cs="宋体"/>
          <w:color w:val="auto"/>
          <w:sz w:val="22"/>
          <w:szCs w:val="22"/>
          <w:highlight w:val="none"/>
        </w:rPr>
      </w:pPr>
      <w:bookmarkStart w:id="40" w:name="_Toc415152386"/>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279220DB">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54BE4854">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6C0221C">
      <w:pPr>
        <w:rPr>
          <w:rFonts w:ascii="宋体" w:hAnsi="宋体" w:cs="宋体"/>
          <w:b/>
          <w:color w:val="auto"/>
          <w:sz w:val="24"/>
          <w:highlight w:val="none"/>
        </w:rPr>
      </w:pPr>
      <w:r>
        <w:rPr>
          <w:rFonts w:hint="eastAsia" w:ascii="宋体" w:hAnsi="宋体" w:cs="宋体"/>
          <w:b/>
          <w:color w:val="auto"/>
          <w:sz w:val="24"/>
          <w:highlight w:val="none"/>
        </w:rPr>
        <w:br w:type="page"/>
      </w:r>
    </w:p>
    <w:p w14:paraId="4B29675F">
      <w:pPr>
        <w:spacing w:line="400" w:lineRule="exact"/>
        <w:jc w:val="center"/>
        <w:outlineLvl w:val="3"/>
        <w:rPr>
          <w:rFonts w:ascii="新宋体" w:hAnsi="新宋体" w:eastAsia="新宋体" w:cs="新宋体"/>
          <w:b/>
          <w:color w:val="auto"/>
          <w:sz w:val="24"/>
          <w:highlight w:val="none"/>
          <w:lang w:val="zh-CN"/>
        </w:rPr>
      </w:pPr>
      <w:r>
        <w:rPr>
          <w:rFonts w:hint="eastAsia" w:ascii="宋体" w:hAnsi="宋体" w:cs="宋体"/>
          <w:b/>
          <w:bCs/>
          <w:color w:val="auto"/>
          <w:sz w:val="28"/>
          <w:szCs w:val="28"/>
          <w:highlight w:val="none"/>
        </w:rPr>
        <w:t>4、各涉案车辆保管场地情况/待处置车辆停放保管场地情况</w:t>
      </w:r>
    </w:p>
    <w:p w14:paraId="6E1A273E">
      <w:pPr>
        <w:spacing w:line="360" w:lineRule="auto"/>
        <w:rPr>
          <w:rFonts w:hint="eastAsia" w:ascii="宋体" w:hAnsi="宋体" w:cs="宋体"/>
          <w:color w:val="auto"/>
          <w:sz w:val="22"/>
          <w:szCs w:val="22"/>
          <w:highlight w:val="none"/>
        </w:rPr>
      </w:pPr>
    </w:p>
    <w:p w14:paraId="4BB7567E">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1B89BD94">
      <w:pPr>
        <w:keepNext/>
        <w:spacing w:line="360" w:lineRule="auto"/>
        <w:rPr>
          <w:rFonts w:hint="eastAsia" w:ascii="新宋体" w:hAnsi="新宋体" w:eastAsia="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5386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75480A8E">
            <w:pPr>
              <w:spacing w:line="360" w:lineRule="auto"/>
              <w:rPr>
                <w:rFonts w:ascii="宋体" w:hAnsi="宋体" w:cs="宋体"/>
                <w:color w:val="auto"/>
                <w:sz w:val="22"/>
                <w:szCs w:val="22"/>
                <w:highlight w:val="none"/>
              </w:rPr>
            </w:pPr>
          </w:p>
        </w:tc>
      </w:tr>
    </w:tbl>
    <w:p w14:paraId="321BB59D">
      <w:pPr>
        <w:pStyle w:val="9"/>
        <w:spacing w:line="400" w:lineRule="atLeast"/>
        <w:rPr>
          <w:rFonts w:ascii="新宋体" w:hAnsi="新宋体" w:eastAsia="新宋体"/>
          <w:color w:val="auto"/>
          <w:sz w:val="22"/>
          <w:szCs w:val="22"/>
          <w:highlight w:val="none"/>
        </w:rPr>
      </w:pPr>
    </w:p>
    <w:p w14:paraId="657EC4C2">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481C126C">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646C9BFB">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5B3CA00B">
      <w:pPr>
        <w:spacing w:line="400" w:lineRule="exact"/>
        <w:jc w:val="center"/>
        <w:outlineLvl w:val="3"/>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rPr>
        <w:t>5、针对本项目的特点和难点分析及解决措施</w:t>
      </w:r>
    </w:p>
    <w:p w14:paraId="2A79456C">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24ED7624">
      <w:pPr>
        <w:keepNext/>
        <w:spacing w:line="360" w:lineRule="auto"/>
        <w:rPr>
          <w:rFonts w:hint="eastAsia" w:ascii="新宋体" w:hAnsi="新宋体" w:eastAsia="宋体" w:cs="新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7A2E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653DC35F">
            <w:pPr>
              <w:spacing w:line="360" w:lineRule="auto"/>
              <w:rPr>
                <w:rFonts w:ascii="宋体" w:hAnsi="宋体" w:cs="宋体"/>
                <w:color w:val="auto"/>
                <w:sz w:val="22"/>
                <w:szCs w:val="22"/>
                <w:highlight w:val="none"/>
              </w:rPr>
            </w:pPr>
          </w:p>
        </w:tc>
      </w:tr>
    </w:tbl>
    <w:p w14:paraId="74A36110">
      <w:pPr>
        <w:spacing w:line="400" w:lineRule="exact"/>
        <w:ind w:firstLine="4620" w:firstLineChars="2100"/>
        <w:rPr>
          <w:rFonts w:ascii="新宋体" w:hAnsi="新宋体" w:eastAsia="新宋体" w:cs="新宋体"/>
          <w:color w:val="auto"/>
          <w:sz w:val="22"/>
          <w:szCs w:val="22"/>
          <w:highlight w:val="none"/>
        </w:rPr>
      </w:pPr>
    </w:p>
    <w:p w14:paraId="4AB08DA9">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5A1C3054">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EF6F0E1">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37B687A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582AD45">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6、</w:t>
      </w:r>
      <w:bookmarkEnd w:id="40"/>
      <w:r>
        <w:rPr>
          <w:rFonts w:hint="eastAsia" w:ascii="宋体" w:hAnsi="宋体" w:cs="宋体"/>
          <w:b/>
          <w:bCs/>
          <w:color w:val="auto"/>
          <w:sz w:val="28"/>
          <w:szCs w:val="28"/>
          <w:highlight w:val="none"/>
        </w:rPr>
        <w:t>服务方案</w:t>
      </w:r>
    </w:p>
    <w:p w14:paraId="3F1A7AF5">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461E8034">
      <w:pPr>
        <w:keepNext/>
        <w:spacing w:line="360" w:lineRule="auto"/>
        <w:rPr>
          <w:rFonts w:hint="eastAsia" w:eastAsia="宋体"/>
          <w:color w:val="auto"/>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32BB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3D9053E7">
            <w:pPr>
              <w:spacing w:line="360" w:lineRule="auto"/>
              <w:rPr>
                <w:rFonts w:ascii="宋体" w:hAnsi="宋体" w:cs="宋体"/>
                <w:color w:val="auto"/>
                <w:sz w:val="22"/>
                <w:szCs w:val="22"/>
                <w:highlight w:val="none"/>
              </w:rPr>
            </w:pPr>
          </w:p>
        </w:tc>
      </w:tr>
    </w:tbl>
    <w:p w14:paraId="61A6D1A4">
      <w:pPr>
        <w:pStyle w:val="9"/>
        <w:spacing w:line="400" w:lineRule="atLeast"/>
        <w:rPr>
          <w:rFonts w:hAnsi="宋体" w:cs="宋体"/>
          <w:color w:val="auto"/>
          <w:sz w:val="22"/>
          <w:szCs w:val="22"/>
          <w:highlight w:val="none"/>
        </w:rPr>
      </w:pPr>
    </w:p>
    <w:p w14:paraId="609A407C">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1FDFE31C">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4DB58E2">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5D1F75D3">
      <w:pPr>
        <w:spacing w:line="460" w:lineRule="exact"/>
        <w:ind w:firstLine="5060" w:firstLineChars="2300"/>
        <w:rPr>
          <w:rFonts w:ascii="宋体" w:hAnsi="宋体" w:cs="宋体"/>
          <w:color w:val="auto"/>
          <w:sz w:val="22"/>
          <w:szCs w:val="22"/>
          <w:highlight w:val="none"/>
        </w:rPr>
      </w:pPr>
    </w:p>
    <w:p w14:paraId="0FBF09F8">
      <w:pPr>
        <w:rPr>
          <w:rFonts w:ascii="宋体" w:hAnsi="宋体" w:cs="宋体"/>
          <w:b/>
          <w:color w:val="auto"/>
          <w:sz w:val="24"/>
          <w:highlight w:val="none"/>
        </w:rPr>
      </w:pPr>
      <w:r>
        <w:rPr>
          <w:rFonts w:hint="eastAsia" w:ascii="宋体" w:hAnsi="宋体" w:cs="宋体"/>
          <w:b/>
          <w:color w:val="auto"/>
          <w:sz w:val="24"/>
          <w:highlight w:val="none"/>
        </w:rPr>
        <w:br w:type="page"/>
      </w:r>
    </w:p>
    <w:p w14:paraId="23918060">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7、服务质量保证措施</w:t>
      </w:r>
    </w:p>
    <w:p w14:paraId="5BC5AD99">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5E69112A">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A6F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6B8C220">
            <w:pPr>
              <w:spacing w:line="360" w:lineRule="auto"/>
              <w:rPr>
                <w:rFonts w:ascii="宋体" w:hAnsi="宋体" w:cs="宋体"/>
                <w:color w:val="auto"/>
                <w:sz w:val="22"/>
                <w:szCs w:val="22"/>
                <w:highlight w:val="none"/>
              </w:rPr>
            </w:pPr>
          </w:p>
        </w:tc>
      </w:tr>
    </w:tbl>
    <w:p w14:paraId="38AEE350">
      <w:pPr>
        <w:spacing w:line="400" w:lineRule="exact"/>
        <w:ind w:firstLine="4620" w:firstLineChars="2100"/>
        <w:rPr>
          <w:rFonts w:ascii="宋体" w:hAnsi="宋体" w:cs="宋体"/>
          <w:color w:val="auto"/>
          <w:sz w:val="22"/>
          <w:szCs w:val="22"/>
          <w:highlight w:val="none"/>
        </w:rPr>
      </w:pPr>
    </w:p>
    <w:p w14:paraId="31912519">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54809326">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18FFB3A6">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623E3E51">
      <w:pPr>
        <w:spacing w:line="460" w:lineRule="exact"/>
        <w:ind w:firstLine="5060" w:firstLineChars="2300"/>
        <w:rPr>
          <w:rFonts w:ascii="宋体" w:hAnsi="宋体" w:cs="宋体"/>
          <w:color w:val="auto"/>
          <w:sz w:val="22"/>
          <w:szCs w:val="22"/>
          <w:highlight w:val="none"/>
        </w:rPr>
      </w:pPr>
    </w:p>
    <w:p w14:paraId="3137805C">
      <w:pPr>
        <w:rPr>
          <w:rFonts w:ascii="宋体" w:hAnsi="宋体" w:cs="宋体"/>
          <w:color w:val="auto"/>
          <w:highlight w:val="none"/>
        </w:rPr>
      </w:pPr>
    </w:p>
    <w:p w14:paraId="7DBAA880">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CEE2BAC">
      <w:pPr>
        <w:spacing w:line="400" w:lineRule="exact"/>
        <w:jc w:val="center"/>
        <w:outlineLvl w:val="3"/>
        <w:rPr>
          <w:rFonts w:ascii="宋体" w:hAnsi="宋体" w:cs="宋体"/>
          <w:b/>
          <w:color w:val="auto"/>
          <w:sz w:val="24"/>
          <w:highlight w:val="none"/>
          <w:lang w:val="zh-CN"/>
        </w:rPr>
      </w:pPr>
      <w:r>
        <w:rPr>
          <w:rFonts w:hint="eastAsia" w:ascii="宋体" w:hAnsi="宋体" w:cs="宋体"/>
          <w:b/>
          <w:bCs/>
          <w:color w:val="auto"/>
          <w:sz w:val="28"/>
          <w:szCs w:val="28"/>
          <w:highlight w:val="none"/>
        </w:rPr>
        <w:t>8、应急措施</w:t>
      </w:r>
    </w:p>
    <w:p w14:paraId="1A5721DC">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07AEE7E0">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241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3A4EADB6">
            <w:pPr>
              <w:spacing w:line="360" w:lineRule="auto"/>
              <w:rPr>
                <w:rFonts w:ascii="宋体" w:hAnsi="宋体" w:cs="宋体"/>
                <w:color w:val="auto"/>
                <w:sz w:val="22"/>
                <w:szCs w:val="22"/>
                <w:highlight w:val="none"/>
              </w:rPr>
            </w:pPr>
          </w:p>
        </w:tc>
      </w:tr>
    </w:tbl>
    <w:p w14:paraId="0A0929AA">
      <w:pPr>
        <w:pStyle w:val="9"/>
        <w:spacing w:line="400" w:lineRule="atLeast"/>
        <w:rPr>
          <w:rFonts w:hAnsi="宋体" w:cs="宋体"/>
          <w:color w:val="auto"/>
          <w:sz w:val="22"/>
          <w:highlight w:val="none"/>
        </w:rPr>
      </w:pPr>
    </w:p>
    <w:p w14:paraId="219BF868">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1ECC65B5">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1A9F3AA">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2211BFAB">
      <w:pPr>
        <w:rPr>
          <w:rFonts w:ascii="宋体" w:hAnsi="宋体" w:cs="宋体"/>
          <w:b/>
          <w:bCs/>
          <w:color w:val="auto"/>
          <w:sz w:val="22"/>
          <w:szCs w:val="22"/>
          <w:highlight w:val="none"/>
        </w:rPr>
      </w:pPr>
    </w:p>
    <w:p w14:paraId="2BDC08AF">
      <w:pPr>
        <w:pStyle w:val="5"/>
        <w:rPr>
          <w:rFonts w:ascii="宋体" w:hAnsi="宋体" w:cs="宋体"/>
          <w:bCs/>
          <w:color w:val="auto"/>
          <w:sz w:val="22"/>
          <w:szCs w:val="22"/>
          <w:highlight w:val="none"/>
        </w:rPr>
      </w:pPr>
    </w:p>
    <w:p w14:paraId="742AA71D">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74944F3">
      <w:pPr>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9、人员配备情况</w:t>
      </w:r>
    </w:p>
    <w:p w14:paraId="6EC214AE">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3CD635C5">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4B6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D0023A1">
            <w:pPr>
              <w:spacing w:line="360" w:lineRule="auto"/>
              <w:rPr>
                <w:rFonts w:ascii="宋体" w:hAnsi="宋体" w:cs="宋体"/>
                <w:color w:val="auto"/>
                <w:sz w:val="22"/>
                <w:szCs w:val="22"/>
                <w:highlight w:val="none"/>
              </w:rPr>
            </w:pPr>
          </w:p>
        </w:tc>
      </w:tr>
    </w:tbl>
    <w:p w14:paraId="7DB34E59">
      <w:pPr>
        <w:spacing w:line="380" w:lineRule="exact"/>
        <w:rPr>
          <w:rFonts w:ascii="宋体" w:hAnsi="宋体" w:cs="宋体"/>
          <w:color w:val="auto"/>
          <w:sz w:val="36"/>
          <w:szCs w:val="36"/>
          <w:highlight w:val="none"/>
        </w:rPr>
      </w:pPr>
    </w:p>
    <w:p w14:paraId="33F2A6BE">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7539119A">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50994A2F">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608ECF4E">
      <w:pPr>
        <w:spacing w:line="460" w:lineRule="exact"/>
        <w:ind w:firstLine="7228" w:firstLineChars="2000"/>
        <w:rPr>
          <w:rFonts w:ascii="宋体" w:hAnsi="宋体" w:cs="宋体"/>
          <w:b/>
          <w:color w:val="auto"/>
          <w:sz w:val="36"/>
          <w:szCs w:val="36"/>
          <w:highlight w:val="none"/>
        </w:rPr>
      </w:pPr>
    </w:p>
    <w:p w14:paraId="2E9D0190">
      <w:pPr>
        <w:jc w:val="center"/>
        <w:outlineLvl w:val="3"/>
        <w:rPr>
          <w:rFonts w:ascii="宋体" w:hAnsi="宋体" w:cs="宋体"/>
          <w:b/>
          <w:color w:val="auto"/>
          <w:sz w:val="28"/>
          <w:szCs w:val="28"/>
          <w:highlight w:val="none"/>
          <w:lang w:val="zh-CN"/>
        </w:rPr>
      </w:pPr>
      <w:r>
        <w:rPr>
          <w:rFonts w:hint="eastAsia" w:ascii="宋体" w:hAnsi="宋体" w:cs="宋体"/>
          <w:b/>
          <w:bCs/>
          <w:color w:val="auto"/>
          <w:sz w:val="28"/>
          <w:szCs w:val="28"/>
          <w:highlight w:val="none"/>
        </w:rPr>
        <w:t>10、涉案车辆保管场地管理服务经验</w:t>
      </w:r>
    </w:p>
    <w:p w14:paraId="356C5867">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302BCB50">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2848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5A9C0C1">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9" w:type="dxa"/>
            <w:vAlign w:val="center"/>
          </w:tcPr>
          <w:p w14:paraId="7AD4BE40">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437" w:type="dxa"/>
            <w:vAlign w:val="center"/>
          </w:tcPr>
          <w:p w14:paraId="146727D7">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37" w:type="dxa"/>
            <w:vAlign w:val="center"/>
          </w:tcPr>
          <w:p w14:paraId="27C791EB">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737" w:type="dxa"/>
            <w:vAlign w:val="center"/>
          </w:tcPr>
          <w:p w14:paraId="33794E06">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926" w:type="dxa"/>
            <w:vAlign w:val="center"/>
          </w:tcPr>
          <w:p w14:paraId="1F827D44">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4D2B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DEA896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0A7DC0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0EA92BC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123E99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A4D331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7188D05">
            <w:pPr>
              <w:spacing w:line="380" w:lineRule="exact"/>
              <w:ind w:left="442" w:hanging="442" w:hangingChars="200"/>
              <w:jc w:val="center"/>
              <w:rPr>
                <w:rFonts w:ascii="宋体" w:hAnsi="宋体" w:cs="宋体"/>
                <w:b/>
                <w:bCs/>
                <w:color w:val="auto"/>
                <w:sz w:val="22"/>
                <w:szCs w:val="22"/>
                <w:highlight w:val="none"/>
              </w:rPr>
            </w:pPr>
          </w:p>
        </w:tc>
      </w:tr>
      <w:tr w14:paraId="51D6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C561CD8">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B2C3C8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7220459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23415B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67C916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7C6DC22">
            <w:pPr>
              <w:spacing w:line="380" w:lineRule="exact"/>
              <w:ind w:left="442" w:hanging="442" w:hangingChars="200"/>
              <w:jc w:val="center"/>
              <w:rPr>
                <w:rFonts w:ascii="宋体" w:hAnsi="宋体" w:cs="宋体"/>
                <w:b/>
                <w:bCs/>
                <w:color w:val="auto"/>
                <w:sz w:val="22"/>
                <w:szCs w:val="22"/>
                <w:highlight w:val="none"/>
              </w:rPr>
            </w:pPr>
          </w:p>
        </w:tc>
      </w:tr>
      <w:tr w14:paraId="2A47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9B9F0C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F10F67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E75B73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BE1191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EC63D5E">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1676E14">
            <w:pPr>
              <w:spacing w:line="380" w:lineRule="exact"/>
              <w:ind w:left="442" w:hanging="442" w:hangingChars="200"/>
              <w:jc w:val="center"/>
              <w:rPr>
                <w:rFonts w:ascii="宋体" w:hAnsi="宋体" w:cs="宋体"/>
                <w:b/>
                <w:bCs/>
                <w:color w:val="auto"/>
                <w:sz w:val="22"/>
                <w:szCs w:val="22"/>
                <w:highlight w:val="none"/>
              </w:rPr>
            </w:pPr>
          </w:p>
        </w:tc>
      </w:tr>
      <w:tr w14:paraId="41AC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0F21A0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0EC768B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A0EA2D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A22C73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6CD6E48">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AAE5788">
            <w:pPr>
              <w:spacing w:line="380" w:lineRule="exact"/>
              <w:ind w:left="442" w:hanging="442" w:hangingChars="200"/>
              <w:jc w:val="center"/>
              <w:rPr>
                <w:rFonts w:ascii="宋体" w:hAnsi="宋体" w:cs="宋体"/>
                <w:b/>
                <w:bCs/>
                <w:color w:val="auto"/>
                <w:sz w:val="22"/>
                <w:szCs w:val="22"/>
                <w:highlight w:val="none"/>
              </w:rPr>
            </w:pPr>
          </w:p>
        </w:tc>
      </w:tr>
      <w:tr w14:paraId="6922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28B5EE5">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70F99F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70D25F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DED35A4">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E4F28E3">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2B1E445">
            <w:pPr>
              <w:spacing w:line="380" w:lineRule="exact"/>
              <w:ind w:left="442" w:hanging="442" w:hangingChars="200"/>
              <w:jc w:val="center"/>
              <w:rPr>
                <w:rFonts w:ascii="宋体" w:hAnsi="宋体" w:cs="宋体"/>
                <w:b/>
                <w:bCs/>
                <w:color w:val="auto"/>
                <w:sz w:val="22"/>
                <w:szCs w:val="22"/>
                <w:highlight w:val="none"/>
              </w:rPr>
            </w:pPr>
          </w:p>
        </w:tc>
      </w:tr>
      <w:tr w14:paraId="79F0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43DEBE5">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89FE24A">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27AEDA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E507BB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E9E135B">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68157C1">
            <w:pPr>
              <w:spacing w:line="380" w:lineRule="exact"/>
              <w:ind w:left="442" w:hanging="442" w:hangingChars="200"/>
              <w:jc w:val="center"/>
              <w:rPr>
                <w:rFonts w:ascii="宋体" w:hAnsi="宋体" w:cs="宋体"/>
                <w:b/>
                <w:bCs/>
                <w:color w:val="auto"/>
                <w:sz w:val="22"/>
                <w:szCs w:val="22"/>
                <w:highlight w:val="none"/>
              </w:rPr>
            </w:pPr>
          </w:p>
        </w:tc>
      </w:tr>
      <w:tr w14:paraId="5073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9352E03">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1355C53">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91747B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84519F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F831DA8">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AC3DEDE">
            <w:pPr>
              <w:spacing w:line="380" w:lineRule="exact"/>
              <w:ind w:left="442" w:hanging="442" w:hangingChars="200"/>
              <w:jc w:val="center"/>
              <w:rPr>
                <w:rFonts w:ascii="宋体" w:hAnsi="宋体" w:cs="宋体"/>
                <w:b/>
                <w:bCs/>
                <w:color w:val="auto"/>
                <w:sz w:val="22"/>
                <w:szCs w:val="22"/>
                <w:highlight w:val="none"/>
              </w:rPr>
            </w:pPr>
          </w:p>
        </w:tc>
      </w:tr>
      <w:tr w14:paraId="645A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CB2B71F">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4A376D1">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ECE07A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FF01C7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7975B66">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359DF65">
            <w:pPr>
              <w:spacing w:line="380" w:lineRule="exact"/>
              <w:ind w:left="442" w:hanging="442" w:hangingChars="200"/>
              <w:jc w:val="center"/>
              <w:rPr>
                <w:rFonts w:ascii="宋体" w:hAnsi="宋体" w:cs="宋体"/>
                <w:b/>
                <w:bCs/>
                <w:color w:val="auto"/>
                <w:sz w:val="22"/>
                <w:szCs w:val="22"/>
                <w:highlight w:val="none"/>
              </w:rPr>
            </w:pPr>
          </w:p>
        </w:tc>
      </w:tr>
      <w:tr w14:paraId="754A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1E41624">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1B2689F">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704CFF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6155FB4">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C1748FE">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84C8DC1">
            <w:pPr>
              <w:spacing w:line="380" w:lineRule="exact"/>
              <w:ind w:left="442" w:hanging="442" w:hangingChars="200"/>
              <w:jc w:val="center"/>
              <w:rPr>
                <w:rFonts w:ascii="宋体" w:hAnsi="宋体" w:cs="宋体"/>
                <w:b/>
                <w:bCs/>
                <w:color w:val="auto"/>
                <w:sz w:val="22"/>
                <w:szCs w:val="22"/>
                <w:highlight w:val="none"/>
              </w:rPr>
            </w:pPr>
          </w:p>
        </w:tc>
      </w:tr>
      <w:tr w14:paraId="0A8A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C47BFCE">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80B1E2C">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E07DC1E">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5A7B9A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FAF2A56">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58469D1">
            <w:pPr>
              <w:spacing w:line="380" w:lineRule="exact"/>
              <w:ind w:left="442" w:hanging="442" w:hangingChars="200"/>
              <w:jc w:val="center"/>
              <w:rPr>
                <w:rFonts w:ascii="宋体" w:hAnsi="宋体" w:cs="宋体"/>
                <w:b/>
                <w:bCs/>
                <w:color w:val="auto"/>
                <w:sz w:val="22"/>
                <w:szCs w:val="22"/>
                <w:highlight w:val="none"/>
              </w:rPr>
            </w:pPr>
          </w:p>
        </w:tc>
      </w:tr>
      <w:tr w14:paraId="766C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E19831E">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E7595FA">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8B2468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29950FE">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795D16F">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A3CBAE0">
            <w:pPr>
              <w:spacing w:line="380" w:lineRule="exact"/>
              <w:ind w:left="442" w:hanging="442" w:hangingChars="200"/>
              <w:jc w:val="center"/>
              <w:rPr>
                <w:rFonts w:ascii="宋体" w:hAnsi="宋体" w:cs="宋体"/>
                <w:b/>
                <w:bCs/>
                <w:color w:val="auto"/>
                <w:sz w:val="22"/>
                <w:szCs w:val="22"/>
                <w:highlight w:val="none"/>
              </w:rPr>
            </w:pPr>
          </w:p>
        </w:tc>
      </w:tr>
      <w:tr w14:paraId="1C2A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D52E9E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9AD3858">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7894A05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6E0B37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2D0B78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DD1C0BA">
            <w:pPr>
              <w:spacing w:line="380" w:lineRule="exact"/>
              <w:ind w:left="442" w:hanging="442" w:hangingChars="200"/>
              <w:jc w:val="center"/>
              <w:rPr>
                <w:rFonts w:ascii="宋体" w:hAnsi="宋体" w:cs="宋体"/>
                <w:b/>
                <w:bCs/>
                <w:color w:val="auto"/>
                <w:sz w:val="22"/>
                <w:szCs w:val="22"/>
                <w:highlight w:val="none"/>
              </w:rPr>
            </w:pPr>
          </w:p>
        </w:tc>
      </w:tr>
      <w:tr w14:paraId="458D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CC1BD31">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015CF6A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DF5109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4248DC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668E65F">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5FB3C2F">
            <w:pPr>
              <w:spacing w:line="380" w:lineRule="exact"/>
              <w:ind w:left="442" w:hanging="442" w:hangingChars="200"/>
              <w:jc w:val="center"/>
              <w:rPr>
                <w:rFonts w:ascii="宋体" w:hAnsi="宋体" w:cs="宋体"/>
                <w:b/>
                <w:bCs/>
                <w:color w:val="auto"/>
                <w:sz w:val="22"/>
                <w:szCs w:val="22"/>
                <w:highlight w:val="none"/>
              </w:rPr>
            </w:pPr>
          </w:p>
        </w:tc>
      </w:tr>
      <w:tr w14:paraId="1F14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ABB1F5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7A249904">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E14017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613E6E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0713DB0">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BF62046">
            <w:pPr>
              <w:spacing w:line="380" w:lineRule="exact"/>
              <w:ind w:left="442" w:hanging="442" w:hangingChars="200"/>
              <w:jc w:val="center"/>
              <w:rPr>
                <w:rFonts w:ascii="宋体" w:hAnsi="宋体" w:cs="宋体"/>
                <w:b/>
                <w:bCs/>
                <w:color w:val="auto"/>
                <w:sz w:val="22"/>
                <w:szCs w:val="22"/>
                <w:highlight w:val="none"/>
              </w:rPr>
            </w:pPr>
          </w:p>
        </w:tc>
      </w:tr>
    </w:tbl>
    <w:p w14:paraId="367E778D">
      <w:pPr>
        <w:spacing w:line="380" w:lineRule="exact"/>
        <w:rPr>
          <w:rFonts w:ascii="宋体" w:hAnsi="宋体" w:cs="宋体"/>
          <w:color w:val="auto"/>
          <w:sz w:val="36"/>
          <w:szCs w:val="36"/>
          <w:highlight w:val="none"/>
        </w:rPr>
      </w:pPr>
    </w:p>
    <w:p w14:paraId="6562851E">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24FE2C9E">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0CF57DFB">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2F14CB1">
      <w:pPr>
        <w:rPr>
          <w:rFonts w:ascii="宋体" w:hAnsi="宋体" w:cs="宋体"/>
          <w:b/>
          <w:color w:val="auto"/>
          <w:sz w:val="24"/>
          <w:highlight w:val="none"/>
        </w:rPr>
      </w:pPr>
      <w:r>
        <w:rPr>
          <w:rFonts w:hint="eastAsia" w:ascii="宋体" w:hAnsi="宋体" w:cs="宋体"/>
          <w:b/>
          <w:color w:val="auto"/>
          <w:sz w:val="24"/>
          <w:highlight w:val="none"/>
        </w:rPr>
        <w:br w:type="page"/>
      </w:r>
    </w:p>
    <w:p w14:paraId="2FA2D3BF">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11、器材、工具配备计划合理性</w:t>
      </w:r>
    </w:p>
    <w:p w14:paraId="62F4233F">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21FEAD69">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46B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D1FAD6E">
            <w:pPr>
              <w:spacing w:line="360" w:lineRule="auto"/>
              <w:rPr>
                <w:rFonts w:ascii="宋体" w:hAnsi="宋体" w:cs="宋体"/>
                <w:color w:val="auto"/>
                <w:sz w:val="22"/>
                <w:szCs w:val="22"/>
                <w:highlight w:val="none"/>
              </w:rPr>
            </w:pPr>
          </w:p>
        </w:tc>
      </w:tr>
    </w:tbl>
    <w:p w14:paraId="19A7F92A">
      <w:pPr>
        <w:spacing w:line="460" w:lineRule="exact"/>
        <w:rPr>
          <w:rFonts w:ascii="宋体" w:hAnsi="宋体" w:cs="宋体"/>
          <w:color w:val="auto"/>
          <w:sz w:val="22"/>
          <w:szCs w:val="22"/>
          <w:highlight w:val="none"/>
        </w:rPr>
      </w:pPr>
    </w:p>
    <w:p w14:paraId="486B1825">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0FB3FEB1">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513A7969">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6B0D07E">
      <w:pPr>
        <w:pStyle w:val="9"/>
        <w:spacing w:line="460" w:lineRule="atLeast"/>
        <w:ind w:left="659" w:leftChars="314" w:firstLine="3740" w:firstLineChars="1700"/>
        <w:rPr>
          <w:rFonts w:hAnsi="宋体" w:cs="宋体"/>
          <w:b w:val="0"/>
          <w:bCs/>
          <w:color w:val="auto"/>
          <w:sz w:val="22"/>
          <w:highlight w:val="none"/>
        </w:rPr>
      </w:pPr>
    </w:p>
    <w:p w14:paraId="36CFF4CC">
      <w:pPr>
        <w:rPr>
          <w:rFonts w:ascii="宋体" w:hAnsi="宋体" w:cs="宋体"/>
          <w:b/>
          <w:color w:val="auto"/>
          <w:sz w:val="24"/>
          <w:highlight w:val="none"/>
        </w:rPr>
      </w:pPr>
      <w:r>
        <w:rPr>
          <w:rFonts w:hint="eastAsia" w:ascii="宋体" w:hAnsi="宋体" w:cs="宋体"/>
          <w:b/>
          <w:color w:val="auto"/>
          <w:sz w:val="24"/>
          <w:highlight w:val="none"/>
        </w:rPr>
        <w:br w:type="page"/>
      </w:r>
    </w:p>
    <w:p w14:paraId="6A005BAC">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12、其他必要提供的资料</w:t>
      </w:r>
    </w:p>
    <w:p w14:paraId="32C2B5CC">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WZLCZB（W）-2024-11478-1</w:t>
      </w:r>
    </w:p>
    <w:p w14:paraId="30E062C6">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2024年至2025年扣押车辆保管服务（瓯海区因交通违法、事故被扣押车辆停放保管服务）（重）</w:t>
      </w:r>
    </w:p>
    <w:tbl>
      <w:tblPr>
        <w:tblStyle w:val="16"/>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A07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F5A3BD0">
            <w:pPr>
              <w:spacing w:line="360" w:lineRule="auto"/>
              <w:rPr>
                <w:rFonts w:ascii="宋体" w:hAnsi="宋体" w:cs="宋体"/>
                <w:color w:val="auto"/>
                <w:sz w:val="22"/>
                <w:szCs w:val="22"/>
                <w:highlight w:val="none"/>
              </w:rPr>
            </w:pPr>
          </w:p>
        </w:tc>
      </w:tr>
    </w:tbl>
    <w:p w14:paraId="59C399CF">
      <w:pPr>
        <w:spacing w:line="460" w:lineRule="exact"/>
        <w:ind w:firstLine="5060" w:firstLineChars="2300"/>
        <w:rPr>
          <w:rFonts w:ascii="宋体" w:hAnsi="宋体" w:cs="宋体"/>
          <w:color w:val="auto"/>
          <w:sz w:val="22"/>
          <w:szCs w:val="22"/>
          <w:highlight w:val="none"/>
        </w:rPr>
      </w:pPr>
    </w:p>
    <w:p w14:paraId="3A7A2942">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lang w:val="en-US" w:eastAsia="zh-CN"/>
        </w:rPr>
        <w:t>或电子签章</w:t>
      </w:r>
      <w:r>
        <w:rPr>
          <w:rFonts w:hint="eastAsia" w:ascii="宋体" w:hAnsi="宋体" w:cs="宋体"/>
          <w:color w:val="auto"/>
          <w:sz w:val="22"/>
          <w:szCs w:val="22"/>
          <w:highlight w:val="none"/>
        </w:rPr>
        <w:t>）：</w:t>
      </w:r>
    </w:p>
    <w:p w14:paraId="6D8E77E0">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w:t>
      </w:r>
      <w:r>
        <w:rPr>
          <w:rFonts w:hint="eastAsia" w:ascii="宋体" w:hAnsi="宋体" w:cs="宋体"/>
          <w:color w:val="auto"/>
          <w:kern w:val="0"/>
          <w:sz w:val="22"/>
          <w:highlight w:val="none"/>
        </w:rPr>
        <w:t>签字或盖章或电子签章</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w:t>
      </w:r>
    </w:p>
    <w:p w14:paraId="3577D731">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2F404C0E">
      <w:pPr>
        <w:spacing w:line="380" w:lineRule="exact"/>
        <w:ind w:firstLine="4400" w:firstLineChars="2000"/>
        <w:rPr>
          <w:rFonts w:ascii="宋体" w:hAnsi="宋体" w:cs="宋体"/>
          <w:color w:val="auto"/>
          <w:sz w:val="22"/>
          <w:szCs w:val="22"/>
          <w:highlight w:val="none"/>
        </w:rPr>
      </w:pPr>
    </w:p>
    <w:p w14:paraId="4CC6C50D">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091701BF">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60575CCC">
      <w:pPr>
        <w:pStyle w:val="2"/>
        <w:numPr>
          <w:ilvl w:val="0"/>
          <w:numId w:val="4"/>
        </w:numPr>
        <w:rPr>
          <w:rFonts w:ascii="宋体" w:hAnsi="宋体" w:eastAsia="宋体" w:cs="宋体"/>
          <w:color w:val="auto"/>
          <w:highlight w:val="none"/>
        </w:rPr>
      </w:pPr>
      <w:bookmarkStart w:id="41" w:name="_Toc3381"/>
      <w:bookmarkStart w:id="42" w:name="_Toc10142"/>
      <w:bookmarkStart w:id="43" w:name="_Toc221356958"/>
      <w:bookmarkStart w:id="44" w:name="_Toc221356895"/>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项目技术规范和服务要求</w:t>
      </w:r>
      <w:bookmarkEnd w:id="41"/>
      <w:bookmarkEnd w:id="42"/>
    </w:p>
    <w:bookmarkEnd w:id="43"/>
    <w:bookmarkEnd w:id="44"/>
    <w:p w14:paraId="6B9DFE8C">
      <w:pPr>
        <w:tabs>
          <w:tab w:val="left" w:pos="360"/>
        </w:tabs>
        <w:spacing w:line="460" w:lineRule="exact"/>
        <w:outlineLvl w:val="1"/>
        <w:rPr>
          <w:rFonts w:ascii="新宋体" w:hAnsi="新宋体" w:eastAsia="新宋体"/>
          <w:color w:val="auto"/>
          <w:sz w:val="22"/>
          <w:szCs w:val="22"/>
          <w:highlight w:val="none"/>
        </w:rPr>
      </w:pPr>
      <w:bookmarkStart w:id="45" w:name="_Toc40266002"/>
      <w:bookmarkStart w:id="46" w:name="_Toc496256263"/>
      <w:bookmarkStart w:id="47" w:name="_Toc495660084"/>
      <w:bookmarkStart w:id="48" w:name="_Toc498186719"/>
      <w:bookmarkStart w:id="49" w:name="_Toc498186820"/>
      <w:bookmarkStart w:id="50" w:name="_Toc496101312"/>
      <w:bookmarkStart w:id="51" w:name="_Toc23050423"/>
      <w:bookmarkStart w:id="52" w:name="_Toc496101575"/>
      <w:bookmarkStart w:id="53" w:name="_Toc51996430"/>
      <w:bookmarkStart w:id="54" w:name="_Toc495651839"/>
      <w:bookmarkStart w:id="55" w:name="_Toc498199476"/>
      <w:bookmarkStart w:id="56" w:name="_Toc23050625"/>
      <w:bookmarkStart w:id="57" w:name="_Toc441051461"/>
      <w:bookmarkStart w:id="58" w:name="_Toc201920298"/>
      <w:bookmarkStart w:id="59" w:name="_Toc23050833"/>
      <w:bookmarkStart w:id="60" w:name="_Toc497307615"/>
      <w:bookmarkStart w:id="61" w:name="_Toc40594931"/>
      <w:bookmarkStart w:id="62" w:name="_Toc282690445"/>
      <w:bookmarkStart w:id="63" w:name="_Toc497300733"/>
      <w:bookmarkStart w:id="64" w:name="_Toc497300664"/>
      <w:bookmarkStart w:id="65" w:name="_Toc23050562"/>
      <w:bookmarkStart w:id="66" w:name="_Toc496257825"/>
      <w:r>
        <w:rPr>
          <w:rFonts w:hint="eastAsia" w:ascii="新宋体" w:hAnsi="新宋体" w:eastAsia="新宋体"/>
          <w:b/>
          <w:color w:val="auto"/>
          <w:sz w:val="22"/>
          <w:szCs w:val="22"/>
          <w:highlight w:val="none"/>
        </w:rPr>
        <w:t>一、总体要求</w:t>
      </w:r>
    </w:p>
    <w:p w14:paraId="05BF45F3">
      <w:pPr>
        <w:tabs>
          <w:tab w:val="left" w:pos="360"/>
        </w:tabs>
        <w:spacing w:line="460" w:lineRule="exact"/>
        <w:ind w:firstLine="550" w:firstLineChars="250"/>
        <w:rPr>
          <w:rFonts w:hint="default" w:ascii="新宋体" w:hAnsi="新宋体" w:eastAsia="新宋体" w:cs="Times New Roman"/>
          <w:color w:val="auto"/>
          <w:kern w:val="2"/>
          <w:sz w:val="22"/>
          <w:szCs w:val="22"/>
          <w:highlight w:val="none"/>
          <w:lang w:val="en-US" w:eastAsia="zh-CN"/>
        </w:rPr>
      </w:pPr>
      <w:r>
        <w:rPr>
          <w:rFonts w:hint="eastAsia" w:ascii="新宋体" w:hAnsi="新宋体" w:eastAsia="新宋体"/>
          <w:color w:val="auto"/>
          <w:sz w:val="22"/>
          <w:szCs w:val="22"/>
          <w:highlight w:val="none"/>
        </w:rPr>
        <w:t>1、为了保障道路交通安全畅通，规范道路交通安全违法、交通事故车辆停放看管服务行为，保护车辆驾驶人、所有人及车辆保管场地经营者的合法权益，</w:t>
      </w:r>
      <w:r>
        <w:rPr>
          <w:rFonts w:hint="eastAsia" w:ascii="Wingdings" w:hAnsi="Wingdings" w:eastAsia="新宋体" w:cs="Times New Roman"/>
          <w:color w:val="auto"/>
          <w:kern w:val="2"/>
          <w:sz w:val="22"/>
          <w:szCs w:val="22"/>
          <w:highlight w:val="none"/>
          <w:lang w:val="en-US" w:eastAsia="zh-CN"/>
        </w:rPr>
        <w:t>对</w:t>
      </w:r>
      <w:r>
        <w:rPr>
          <w:rFonts w:hint="eastAsia" w:ascii="新宋体" w:hAnsi="新宋体" w:eastAsia="新宋体" w:cs="Times New Roman"/>
          <w:color w:val="auto"/>
          <w:kern w:val="2"/>
          <w:sz w:val="22"/>
          <w:szCs w:val="22"/>
          <w:highlight w:val="none"/>
          <w:lang w:eastAsia="zh-CN"/>
        </w:rPr>
        <w:t>2024年至2025年扣押车辆保管服务（瓯海区因交通违法、事故被扣押车辆停放保管服务）</w:t>
      </w:r>
      <w:r>
        <w:rPr>
          <w:rFonts w:hint="eastAsia" w:ascii="新宋体" w:hAnsi="新宋体" w:eastAsia="新宋体" w:cs="Times New Roman"/>
          <w:color w:val="auto"/>
          <w:kern w:val="2"/>
          <w:sz w:val="22"/>
          <w:szCs w:val="22"/>
          <w:highlight w:val="none"/>
          <w:lang w:val="en-US" w:eastAsia="zh-CN"/>
        </w:rPr>
        <w:t>进行招标。</w:t>
      </w:r>
    </w:p>
    <w:p w14:paraId="4255DFEB">
      <w:pPr>
        <w:tabs>
          <w:tab w:val="left" w:pos="360"/>
        </w:tabs>
        <w:spacing w:line="460" w:lineRule="exact"/>
        <w:ind w:firstLine="440" w:firstLineChars="200"/>
        <w:rPr>
          <w:rFonts w:ascii="新宋体" w:hAnsi="新宋体" w:eastAsia="新宋体"/>
          <w:bCs/>
          <w:color w:val="auto"/>
          <w:sz w:val="22"/>
          <w:szCs w:val="22"/>
          <w:highlight w:val="none"/>
        </w:rPr>
      </w:pPr>
      <w:r>
        <w:rPr>
          <w:rFonts w:hint="eastAsia" w:ascii="新宋体" w:eastAsia="新宋体"/>
          <w:bCs/>
          <w:color w:val="auto"/>
          <w:sz w:val="22"/>
          <w:szCs w:val="22"/>
          <w:highlight w:val="none"/>
        </w:rPr>
        <w:t>2、</w:t>
      </w:r>
      <w:r>
        <w:rPr>
          <w:rFonts w:hint="eastAsia" w:ascii="新宋体" w:hAnsi="新宋体" w:eastAsia="新宋体"/>
          <w:bCs/>
          <w:color w:val="auto"/>
          <w:sz w:val="22"/>
          <w:szCs w:val="22"/>
          <w:highlight w:val="none"/>
        </w:rPr>
        <w:t>本次项目投标报价按月进行报价。</w:t>
      </w:r>
    </w:p>
    <w:p w14:paraId="59E47022">
      <w:pPr>
        <w:tabs>
          <w:tab w:val="left" w:pos="360"/>
        </w:tabs>
        <w:spacing w:line="460" w:lineRule="exact"/>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二、项目概况</w:t>
      </w:r>
    </w:p>
    <w:p w14:paraId="5B303748">
      <w:pPr>
        <w:tabs>
          <w:tab w:val="left" w:pos="360"/>
        </w:tabs>
        <w:spacing w:line="460" w:lineRule="exact"/>
        <w:ind w:firstLine="552" w:firstLineChars="250"/>
        <w:rPr>
          <w:rFonts w:ascii="新宋体" w:hAnsi="新宋体" w:eastAsia="新宋体" w:cs="新宋体"/>
          <w:color w:val="auto"/>
          <w:sz w:val="22"/>
          <w:szCs w:val="22"/>
          <w:highlight w:val="none"/>
        </w:rPr>
      </w:pPr>
      <w:r>
        <w:rPr>
          <w:rFonts w:hint="eastAsia" w:ascii="新宋体" w:hAnsi="新宋体" w:eastAsia="新宋体"/>
          <w:b/>
          <w:color w:val="auto"/>
          <w:sz w:val="22"/>
          <w:szCs w:val="22"/>
          <w:highlight w:val="none"/>
        </w:rPr>
        <w:t>1、各涉案车辆保管场地</w:t>
      </w:r>
      <w:r>
        <w:rPr>
          <w:rFonts w:hint="eastAsia" w:ascii="新宋体" w:hAnsi="新宋体" w:eastAsia="新宋体" w:cs="新宋体"/>
          <w:b/>
          <w:color w:val="auto"/>
          <w:sz w:val="22"/>
          <w:szCs w:val="22"/>
          <w:highlight w:val="none"/>
        </w:rPr>
        <w:t>情况</w:t>
      </w:r>
    </w:p>
    <w:p w14:paraId="131D5DD8">
      <w:pPr>
        <w:tabs>
          <w:tab w:val="left" w:pos="360"/>
        </w:tabs>
        <w:spacing w:line="460" w:lineRule="exact"/>
        <w:ind w:firstLine="440" w:firstLineChars="200"/>
        <w:rPr>
          <w:rFonts w:ascii="新宋体" w:hAnsi="新宋体" w:eastAsia="新宋体"/>
          <w:b/>
          <w:color w:val="auto"/>
          <w:sz w:val="22"/>
          <w:szCs w:val="22"/>
          <w:highlight w:val="none"/>
        </w:rPr>
      </w:pPr>
      <w:r>
        <w:rPr>
          <w:rFonts w:hint="eastAsia" w:ascii="新宋体" w:hAnsi="新宋体" w:eastAsia="新宋体"/>
          <w:bCs/>
          <w:color w:val="auto"/>
          <w:sz w:val="22"/>
          <w:szCs w:val="22"/>
          <w:highlight w:val="none"/>
        </w:rPr>
        <w:t>（1）服务区内车辆保管场地满足交通管理需要，交通便利性，每个标项的中标人要提供足够完成招标人及下属单位要求的涉案车辆保管服务的保管场地。每个保管场地占地面积不少于2000平方米（注，保管场地面积为单个保管场地的面积，不得以多个保管场地的面积之和，否则该</w:t>
      </w:r>
      <w:r>
        <w:rPr>
          <w:rFonts w:hint="eastAsia" w:ascii="新宋体" w:hAnsi="新宋体" w:eastAsia="新宋体"/>
          <w:bCs/>
          <w:color w:val="auto"/>
          <w:sz w:val="22"/>
          <w:szCs w:val="22"/>
          <w:highlight w:val="none"/>
          <w:lang w:val="en-US" w:eastAsia="zh-CN"/>
        </w:rPr>
        <w:t>场地及</w:t>
      </w:r>
      <w:r>
        <w:rPr>
          <w:rFonts w:hint="eastAsia" w:ascii="新宋体" w:hAnsi="新宋体" w:eastAsia="新宋体"/>
          <w:bCs/>
          <w:color w:val="auto"/>
          <w:sz w:val="22"/>
          <w:szCs w:val="22"/>
          <w:highlight w:val="none"/>
        </w:rPr>
        <w:t>面积不予认可），其中：</w:t>
      </w:r>
    </w:p>
    <w:p w14:paraId="19BC39AF">
      <w:pPr>
        <w:tabs>
          <w:tab w:val="left" w:pos="360"/>
        </w:tabs>
        <w:spacing w:line="460" w:lineRule="exact"/>
        <w:ind w:firstLine="638" w:firstLineChars="29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瓯海区不少于4个车辆保管场地</w:t>
      </w:r>
      <w:r>
        <w:rPr>
          <w:rFonts w:hint="eastAsia" w:ascii="新宋体" w:hAnsi="新宋体" w:eastAsia="新宋体"/>
          <w:bCs/>
          <w:color w:val="auto"/>
          <w:sz w:val="22"/>
          <w:szCs w:val="22"/>
          <w:highlight w:val="none"/>
          <w:lang w:eastAsia="zh-CN"/>
        </w:rPr>
        <w:t>，</w:t>
      </w:r>
      <w:r>
        <w:rPr>
          <w:rFonts w:hint="eastAsia" w:ascii="新宋体" w:hAnsi="新宋体" w:eastAsia="新宋体"/>
          <w:bCs/>
          <w:color w:val="auto"/>
          <w:sz w:val="22"/>
          <w:szCs w:val="22"/>
          <w:highlight w:val="none"/>
        </w:rPr>
        <w:t>保管场地至少应满足6</w:t>
      </w:r>
      <w:r>
        <w:rPr>
          <w:rFonts w:hint="eastAsia" w:ascii="新宋体" w:hAnsi="新宋体" w:eastAsia="新宋体"/>
          <w:bCs/>
          <w:color w:val="auto"/>
          <w:sz w:val="22"/>
          <w:szCs w:val="22"/>
          <w:highlight w:val="none"/>
          <w:lang w:val="en-US" w:eastAsia="zh-CN"/>
        </w:rPr>
        <w:t>80</w:t>
      </w:r>
      <w:r>
        <w:rPr>
          <w:rFonts w:hint="eastAsia" w:ascii="新宋体" w:hAnsi="新宋体" w:eastAsia="新宋体"/>
          <w:bCs/>
          <w:color w:val="auto"/>
          <w:sz w:val="22"/>
          <w:szCs w:val="22"/>
          <w:highlight w:val="none"/>
        </w:rPr>
        <w:t>辆机动车的停放，总面积</w:t>
      </w:r>
      <w:r>
        <w:rPr>
          <w:rFonts w:hint="eastAsia" w:ascii="新宋体" w:hAnsi="新宋体" w:eastAsia="新宋体"/>
          <w:bCs/>
          <w:color w:val="auto"/>
          <w:sz w:val="22"/>
          <w:szCs w:val="22"/>
          <w:highlight w:val="none"/>
          <w:lang w:val="en-US" w:eastAsia="zh-CN"/>
        </w:rPr>
        <w:t>要求为19500</w:t>
      </w:r>
      <w:r>
        <w:rPr>
          <w:rFonts w:hint="eastAsia" w:ascii="新宋体" w:hAnsi="新宋体" w:eastAsia="新宋体"/>
          <w:bCs/>
          <w:color w:val="auto"/>
          <w:sz w:val="22"/>
          <w:szCs w:val="22"/>
          <w:highlight w:val="none"/>
        </w:rPr>
        <w:t>平方米；</w:t>
      </w:r>
      <w:r>
        <w:rPr>
          <w:rFonts w:hint="eastAsia" w:ascii="新宋体" w:hAnsi="新宋体" w:eastAsia="新宋体"/>
          <w:b/>
          <w:color w:val="auto"/>
          <w:sz w:val="22"/>
          <w:szCs w:val="22"/>
          <w:highlight w:val="none"/>
          <w:u w:val="single"/>
        </w:rPr>
        <w:t>▲</w:t>
      </w:r>
      <w:r>
        <w:rPr>
          <w:rFonts w:hint="eastAsia" w:ascii="新宋体" w:hAnsi="新宋体" w:eastAsia="新宋体"/>
          <w:b/>
          <w:bCs w:val="0"/>
          <w:color w:val="auto"/>
          <w:sz w:val="22"/>
          <w:szCs w:val="22"/>
          <w:highlight w:val="none"/>
          <w:u w:val="single"/>
          <w:lang w:val="en-US" w:eastAsia="zh-CN"/>
        </w:rPr>
        <w:t>（实际投入使用的总面积不得低于12000平方米，若投标人未具备最低面积条件的，可承诺中标后7个工作日内提供场地的相关证明材料（可</w:t>
      </w:r>
      <w:r>
        <w:rPr>
          <w:rFonts w:hint="eastAsia" w:ascii="新宋体" w:hAnsi="新宋体" w:eastAsia="新宋体"/>
          <w:b/>
          <w:color w:val="auto"/>
          <w:sz w:val="22"/>
          <w:szCs w:val="22"/>
          <w:highlight w:val="none"/>
          <w:u w:val="single"/>
        </w:rPr>
        <w:t>自有或租赁</w:t>
      </w:r>
      <w:r>
        <w:rPr>
          <w:rFonts w:hint="eastAsia" w:ascii="新宋体" w:hAnsi="新宋体" w:eastAsia="新宋体"/>
          <w:b/>
          <w:bCs w:val="0"/>
          <w:color w:val="auto"/>
          <w:sz w:val="22"/>
          <w:szCs w:val="22"/>
          <w:highlight w:val="none"/>
          <w:u w:val="single"/>
          <w:lang w:val="en-US" w:eastAsia="zh-CN"/>
        </w:rPr>
        <w:t>）。如发现不能满足要求的，采购人有权拒绝签订合同，</w:t>
      </w:r>
      <w:r>
        <w:rPr>
          <w:rFonts w:hint="eastAsia" w:ascii="新宋体" w:hAnsi="新宋体" w:eastAsia="新宋体" w:cs="新宋体"/>
          <w:b/>
          <w:color w:val="auto"/>
          <w:sz w:val="22"/>
          <w:szCs w:val="22"/>
          <w:highlight w:val="none"/>
          <w:u w:val="single"/>
          <w:lang w:val="zh-CN"/>
        </w:rPr>
        <w:t>后果由投标人</w:t>
      </w:r>
      <w:r>
        <w:rPr>
          <w:rFonts w:hint="eastAsia" w:ascii="新宋体" w:hAnsi="新宋体" w:eastAsia="新宋体" w:cs="新宋体"/>
          <w:b/>
          <w:color w:val="auto"/>
          <w:sz w:val="22"/>
          <w:szCs w:val="22"/>
          <w:highlight w:val="none"/>
          <w:u w:val="single"/>
          <w:lang w:val="en-US" w:eastAsia="zh-CN"/>
        </w:rPr>
        <w:t>自行</w:t>
      </w:r>
      <w:r>
        <w:rPr>
          <w:rFonts w:hint="eastAsia" w:ascii="新宋体" w:hAnsi="新宋体" w:eastAsia="新宋体" w:cs="新宋体"/>
          <w:b/>
          <w:color w:val="auto"/>
          <w:sz w:val="22"/>
          <w:szCs w:val="22"/>
          <w:highlight w:val="none"/>
          <w:u w:val="single"/>
          <w:lang w:val="zh-CN"/>
        </w:rPr>
        <w:t>承担。</w:t>
      </w:r>
      <w:r>
        <w:rPr>
          <w:rFonts w:hint="eastAsia" w:ascii="新宋体" w:hAnsi="新宋体" w:eastAsia="新宋体"/>
          <w:b/>
          <w:bCs w:val="0"/>
          <w:color w:val="auto"/>
          <w:sz w:val="22"/>
          <w:szCs w:val="22"/>
          <w:highlight w:val="none"/>
          <w:u w:val="single"/>
          <w:lang w:val="en-US" w:eastAsia="zh-CN"/>
        </w:rPr>
        <w:t>）</w:t>
      </w:r>
    </w:p>
    <w:p w14:paraId="2CBA3B7C">
      <w:pPr>
        <w:tabs>
          <w:tab w:val="left" w:pos="2340"/>
        </w:tabs>
        <w:adjustRightInd w:val="0"/>
        <w:spacing w:line="360" w:lineRule="auto"/>
        <w:ind w:firstLine="663" w:firstLineChars="300"/>
        <w:rPr>
          <w:rFonts w:hint="eastAsia" w:ascii="新宋体" w:hAnsi="新宋体" w:eastAsia="新宋体"/>
          <w:b/>
          <w:color w:val="auto"/>
          <w:sz w:val="22"/>
          <w:szCs w:val="22"/>
          <w:highlight w:val="none"/>
          <w:u w:val="single"/>
          <w:lang w:eastAsia="zh-CN"/>
        </w:rPr>
      </w:pPr>
      <w:r>
        <w:rPr>
          <w:rFonts w:hint="eastAsia" w:ascii="新宋体" w:hAnsi="新宋体" w:eastAsia="新宋体"/>
          <w:b/>
          <w:color w:val="auto"/>
          <w:sz w:val="22"/>
          <w:szCs w:val="22"/>
          <w:highlight w:val="none"/>
          <w:u w:val="single"/>
        </w:rPr>
        <w:t>▲以上涉案车辆保管场地应在该标项服务区内(或临近服务区边界3公里范围内的)，投标人的各涉案车辆保管场地可自有或租赁。</w:t>
      </w:r>
      <w:r>
        <w:rPr>
          <w:rFonts w:hint="eastAsia" w:ascii="新宋体" w:hAnsi="新宋体" w:eastAsia="新宋体"/>
          <w:b/>
          <w:color w:val="auto"/>
          <w:sz w:val="22"/>
          <w:szCs w:val="22"/>
          <w:highlight w:val="none"/>
          <w:u w:val="single"/>
          <w:lang w:eastAsia="zh-CN"/>
        </w:rPr>
        <w:t>（</w:t>
      </w:r>
      <w:r>
        <w:rPr>
          <w:rFonts w:hint="eastAsia" w:ascii="新宋体" w:hAnsi="新宋体" w:eastAsia="新宋体"/>
          <w:b/>
          <w:color w:val="auto"/>
          <w:sz w:val="22"/>
          <w:szCs w:val="22"/>
          <w:highlight w:val="none"/>
          <w:u w:val="single"/>
          <w:lang w:val="en-US" w:eastAsia="zh-CN"/>
        </w:rPr>
        <w:t>投标人须提供相关证明材料</w:t>
      </w:r>
      <w:r>
        <w:rPr>
          <w:rFonts w:hint="eastAsia" w:ascii="新宋体" w:hAnsi="新宋体" w:eastAsia="新宋体"/>
          <w:b/>
          <w:color w:val="auto"/>
          <w:sz w:val="22"/>
          <w:szCs w:val="22"/>
          <w:highlight w:val="none"/>
          <w:u w:val="single"/>
          <w:lang w:eastAsia="zh-CN"/>
        </w:rPr>
        <w:t>）</w:t>
      </w:r>
    </w:p>
    <w:p w14:paraId="4BE3E8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220" w:firstLineChars="100"/>
        <w:textAlignment w:val="auto"/>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（2）机动车停放数量以小型汽车为计算当量，车辆换算系数及轮廓参考尺寸参照《城市建筑工程停车场（库）设置规则和配建标准》。</w:t>
      </w:r>
    </w:p>
    <w:p w14:paraId="2CF15F8A">
      <w:pPr>
        <w:tabs>
          <w:tab w:val="left" w:pos="360"/>
        </w:tabs>
        <w:spacing w:line="460" w:lineRule="exact"/>
        <w:ind w:firstLine="220" w:firstLineChars="1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（3）在服务期内中标人能严格履行合同，合同期满后，妥善处理退场移交、人员安置，如果出现劳资纠纷，责任在中标人。如中标人在服务期内违反合同约定，经考核不合格，招标人有权提前终止合同。</w:t>
      </w:r>
    </w:p>
    <w:p w14:paraId="6216C2BF">
      <w:pPr>
        <w:tabs>
          <w:tab w:val="left" w:pos="360"/>
        </w:tabs>
        <w:spacing w:line="460" w:lineRule="exact"/>
        <w:ind w:firstLine="220" w:firstLineChars="1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（4）保管场地与该标项服务区内各交警中队的距离以及车辆保管场地的个数、面积需满足该标项服务区交通管理需要，交警各中队位置：</w:t>
      </w:r>
    </w:p>
    <w:tbl>
      <w:tblPr>
        <w:tblStyle w:val="16"/>
        <w:tblW w:w="9825" w:type="dxa"/>
        <w:tblInd w:w="0" w:type="dxa"/>
        <w:tblLayout w:type="fixed"/>
        <w:tblCellMar>
          <w:top w:w="0" w:type="dxa"/>
          <w:left w:w="0" w:type="dxa"/>
          <w:bottom w:w="0" w:type="dxa"/>
          <w:right w:w="0" w:type="dxa"/>
        </w:tblCellMar>
      </w:tblPr>
      <w:tblGrid>
        <w:gridCol w:w="1139"/>
        <w:gridCol w:w="3354"/>
        <w:gridCol w:w="5332"/>
      </w:tblGrid>
      <w:tr w14:paraId="361DE358">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B26FD">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序号</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69C09">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单位名称</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0CAE1">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单位地址</w:t>
            </w:r>
          </w:p>
        </w:tc>
      </w:tr>
      <w:tr w14:paraId="00F2EC0F">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149B5">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56F78">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温州市公安局交管局</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C016A">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金桥路1号</w:t>
            </w:r>
          </w:p>
        </w:tc>
      </w:tr>
      <w:tr w14:paraId="6DE21CFB">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CBBF3">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2</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84C84">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四大队</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197E0">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瓯海</w:t>
            </w:r>
            <w:r>
              <w:rPr>
                <w:rFonts w:hint="eastAsia" w:ascii="新宋体" w:hAnsi="新宋体" w:eastAsia="新宋体" w:cs="新宋体"/>
                <w:color w:val="auto"/>
                <w:kern w:val="0"/>
                <w:sz w:val="22"/>
                <w:szCs w:val="22"/>
                <w:highlight w:val="none"/>
                <w:lang w:val="en-US" w:eastAsia="zh-CN"/>
              </w:rPr>
              <w:t>区</w:t>
            </w:r>
            <w:r>
              <w:rPr>
                <w:rFonts w:hint="eastAsia" w:ascii="新宋体" w:hAnsi="新宋体" w:eastAsia="新宋体" w:cs="新宋体"/>
                <w:color w:val="auto"/>
                <w:kern w:val="0"/>
                <w:sz w:val="22"/>
                <w:szCs w:val="22"/>
                <w:highlight w:val="none"/>
              </w:rPr>
              <w:t>过境公路1630号</w:t>
            </w:r>
          </w:p>
        </w:tc>
      </w:tr>
      <w:tr w14:paraId="0D6EBD7A">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8804A">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3</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FCB41">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四大队一中队</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6D58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瓯海</w:t>
            </w:r>
            <w:r>
              <w:rPr>
                <w:rFonts w:hint="eastAsia" w:ascii="新宋体" w:hAnsi="新宋体" w:eastAsia="新宋体" w:cs="新宋体"/>
                <w:color w:val="auto"/>
                <w:kern w:val="0"/>
                <w:sz w:val="22"/>
                <w:szCs w:val="22"/>
                <w:highlight w:val="none"/>
                <w:lang w:val="en-US" w:eastAsia="zh-CN"/>
              </w:rPr>
              <w:t>区</w:t>
            </w:r>
            <w:r>
              <w:rPr>
                <w:rFonts w:hint="eastAsia" w:ascii="新宋体" w:hAnsi="新宋体" w:eastAsia="新宋体" w:cs="新宋体"/>
                <w:color w:val="auto"/>
                <w:kern w:val="0"/>
                <w:sz w:val="22"/>
                <w:szCs w:val="22"/>
                <w:highlight w:val="none"/>
              </w:rPr>
              <w:t>过境公路1630号</w:t>
            </w:r>
          </w:p>
        </w:tc>
      </w:tr>
      <w:tr w14:paraId="27D3BB8D">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11C2D">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4</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18826">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四大队二中队</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02086">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G</w:t>
            </w:r>
            <w:r>
              <w:rPr>
                <w:rFonts w:hint="eastAsia" w:ascii="新宋体" w:hAnsi="新宋体" w:eastAsia="新宋体" w:cs="新宋体"/>
                <w:color w:val="auto"/>
                <w:kern w:val="0"/>
                <w:sz w:val="22"/>
                <w:szCs w:val="22"/>
                <w:highlight w:val="none"/>
              </w:rPr>
              <w:t>104南白象段1803号</w:t>
            </w:r>
          </w:p>
        </w:tc>
      </w:tr>
      <w:tr w14:paraId="0D4662D1">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629C6">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5</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DF85A">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四大队三中队</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A87D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瓯海区中汇路</w:t>
            </w:r>
            <w:r>
              <w:rPr>
                <w:rFonts w:hint="eastAsia" w:ascii="新宋体" w:hAnsi="新宋体" w:eastAsia="新宋体" w:cs="新宋体"/>
                <w:color w:val="auto"/>
                <w:kern w:val="0"/>
                <w:sz w:val="22"/>
                <w:szCs w:val="22"/>
                <w:highlight w:val="none"/>
                <w:lang w:val="en-US" w:eastAsia="zh-CN"/>
              </w:rPr>
              <w:t>587</w:t>
            </w:r>
            <w:r>
              <w:rPr>
                <w:rFonts w:hint="eastAsia" w:ascii="新宋体" w:hAnsi="新宋体" w:eastAsia="新宋体" w:cs="新宋体"/>
                <w:color w:val="auto"/>
                <w:kern w:val="0"/>
                <w:sz w:val="22"/>
                <w:szCs w:val="22"/>
                <w:highlight w:val="none"/>
              </w:rPr>
              <w:t>号</w:t>
            </w:r>
          </w:p>
        </w:tc>
      </w:tr>
      <w:tr w14:paraId="576EEBF7">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60282">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6</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D1740">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四大队四中队</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E7C41">
            <w:pPr>
              <w:widowControl/>
              <w:spacing w:line="460" w:lineRule="exact"/>
              <w:jc w:val="center"/>
              <w:textAlignment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温州市南浦路83号</w:t>
            </w:r>
            <w:r>
              <w:rPr>
                <w:rFonts w:hint="eastAsia" w:ascii="新宋体" w:hAnsi="新宋体" w:eastAsia="新宋体" w:cs="新宋体"/>
                <w:color w:val="auto"/>
                <w:sz w:val="22"/>
                <w:szCs w:val="22"/>
                <w:highlight w:val="none"/>
                <w:lang w:val="en-US" w:eastAsia="zh-CN"/>
              </w:rPr>
              <w:t>南塘一组团</w:t>
            </w:r>
          </w:p>
        </w:tc>
      </w:tr>
      <w:tr w14:paraId="1B2BD9F3">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1D3AF">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7</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F4217">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四大队六中队</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A6E28">
            <w:pPr>
              <w:widowControl/>
              <w:spacing w:line="460" w:lineRule="exact"/>
              <w:jc w:val="center"/>
              <w:textAlignment w:val="center"/>
              <w:rPr>
                <w:rFonts w:hint="default" w:ascii="新宋体" w:hAnsi="新宋体" w:eastAsia="新宋体" w:cs="新宋体"/>
                <w:color w:val="auto"/>
                <w:sz w:val="22"/>
                <w:szCs w:val="22"/>
                <w:highlight w:val="none"/>
                <w:lang w:val="en-US"/>
              </w:rPr>
            </w:pPr>
            <w:r>
              <w:rPr>
                <w:rFonts w:hint="eastAsia" w:ascii="新宋体" w:hAnsi="新宋体" w:eastAsia="新宋体" w:cs="新宋体"/>
                <w:strike w:val="0"/>
                <w:dstrike w:val="0"/>
                <w:color w:val="auto"/>
                <w:kern w:val="0"/>
                <w:sz w:val="22"/>
                <w:szCs w:val="22"/>
                <w:highlight w:val="none"/>
                <w:lang w:val="en-US" w:eastAsia="zh-CN"/>
              </w:rPr>
              <w:t>瓯海区泽雅大道134号</w:t>
            </w:r>
          </w:p>
        </w:tc>
      </w:tr>
      <w:tr w14:paraId="0D92C7CB">
        <w:tblPrEx>
          <w:tblCellMar>
            <w:top w:w="0" w:type="dxa"/>
            <w:left w:w="0" w:type="dxa"/>
            <w:bottom w:w="0" w:type="dxa"/>
            <w:right w:w="0" w:type="dxa"/>
          </w:tblCellMar>
        </w:tblPrEx>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1F892">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8</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59758">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四大队八中队</w:t>
            </w:r>
          </w:p>
        </w:tc>
        <w:tc>
          <w:tcPr>
            <w:tcW w:w="5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A3D1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G</w:t>
            </w:r>
            <w:r>
              <w:rPr>
                <w:rFonts w:hint="eastAsia" w:ascii="新宋体" w:hAnsi="新宋体" w:eastAsia="新宋体" w:cs="新宋体"/>
                <w:color w:val="auto"/>
                <w:kern w:val="0"/>
                <w:sz w:val="22"/>
                <w:szCs w:val="22"/>
                <w:highlight w:val="none"/>
              </w:rPr>
              <w:t>104国道南白象启凤路</w:t>
            </w:r>
            <w:r>
              <w:rPr>
                <w:rFonts w:hint="eastAsia" w:ascii="新宋体" w:hAnsi="新宋体" w:eastAsia="新宋体" w:cs="新宋体"/>
                <w:color w:val="auto"/>
                <w:kern w:val="0"/>
                <w:sz w:val="22"/>
                <w:szCs w:val="22"/>
                <w:highlight w:val="none"/>
                <w:lang w:val="en-US" w:eastAsia="zh-CN"/>
              </w:rPr>
              <w:t>55</w:t>
            </w:r>
            <w:r>
              <w:rPr>
                <w:rFonts w:hint="eastAsia" w:ascii="新宋体" w:hAnsi="新宋体" w:eastAsia="新宋体" w:cs="新宋体"/>
                <w:color w:val="auto"/>
                <w:kern w:val="0"/>
                <w:sz w:val="22"/>
                <w:szCs w:val="22"/>
                <w:highlight w:val="none"/>
              </w:rPr>
              <w:t>号</w:t>
            </w:r>
          </w:p>
        </w:tc>
      </w:tr>
    </w:tbl>
    <w:p w14:paraId="32FD4258">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2、招标人无法预计也无法保证中标人取得业务数量，具体业务按就近原则</w:t>
      </w:r>
      <w:r>
        <w:rPr>
          <w:rFonts w:hint="eastAsia" w:ascii="新宋体" w:hAnsi="新宋体" w:eastAsia="新宋体"/>
          <w:bCs/>
          <w:color w:val="auto"/>
          <w:sz w:val="22"/>
          <w:szCs w:val="22"/>
          <w:highlight w:val="none"/>
          <w:lang w:val="en-US" w:eastAsia="zh-CN"/>
        </w:rPr>
        <w:t>及实际情况</w:t>
      </w:r>
      <w:r>
        <w:rPr>
          <w:rFonts w:hint="eastAsia" w:ascii="新宋体" w:hAnsi="新宋体" w:eastAsia="新宋体"/>
          <w:bCs/>
          <w:color w:val="auto"/>
          <w:sz w:val="22"/>
          <w:szCs w:val="22"/>
          <w:highlight w:val="none"/>
        </w:rPr>
        <w:t>进行安排。</w:t>
      </w:r>
    </w:p>
    <w:p w14:paraId="57B87BE4">
      <w:pPr>
        <w:spacing w:line="460" w:lineRule="exact"/>
        <w:outlineLvl w:val="1"/>
        <w:rPr>
          <w:rFonts w:ascii="宋体" w:hAnsi="宋体" w:cs="宋体"/>
          <w:b/>
          <w:color w:val="auto"/>
          <w:sz w:val="22"/>
          <w:highlight w:val="none"/>
        </w:rPr>
      </w:pPr>
      <w:r>
        <w:rPr>
          <w:rFonts w:hint="eastAsia" w:ascii="宋体" w:hAnsi="宋体" w:cs="宋体"/>
          <w:b/>
          <w:color w:val="auto"/>
          <w:sz w:val="22"/>
          <w:highlight w:val="none"/>
        </w:rPr>
        <w:t>三、服务期</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336BC834">
      <w:pPr>
        <w:spacing w:line="460" w:lineRule="exact"/>
        <w:ind w:firstLine="440" w:firstLineChars="200"/>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服务有效期为</w:t>
      </w:r>
      <w:r>
        <w:rPr>
          <w:rFonts w:hint="eastAsia" w:ascii="新宋体" w:hAnsi="新宋体" w:eastAsia="新宋体"/>
          <w:bCs/>
          <w:color w:val="auto"/>
          <w:sz w:val="22"/>
          <w:szCs w:val="22"/>
          <w:highlight w:val="none"/>
          <w:lang w:eastAsia="zh-CN"/>
        </w:rPr>
        <w:t>：</w:t>
      </w:r>
      <w:r>
        <w:rPr>
          <w:rFonts w:hint="eastAsia" w:ascii="新宋体" w:hAnsi="新宋体" w:eastAsia="新宋体"/>
          <w:bCs/>
          <w:color w:val="auto"/>
          <w:sz w:val="22"/>
          <w:szCs w:val="22"/>
          <w:highlight w:val="none"/>
        </w:rPr>
        <w:t>合同签订后</w:t>
      </w:r>
      <w:r>
        <w:rPr>
          <w:rFonts w:hint="eastAsia" w:ascii="新宋体" w:hAnsi="新宋体" w:eastAsia="新宋体"/>
          <w:bCs/>
          <w:color w:val="auto"/>
          <w:sz w:val="22"/>
          <w:szCs w:val="22"/>
          <w:highlight w:val="none"/>
          <w:lang w:val="en-US" w:eastAsia="zh-CN"/>
        </w:rPr>
        <w:t>1年</w:t>
      </w:r>
      <w:r>
        <w:rPr>
          <w:rFonts w:hint="eastAsia" w:ascii="新宋体" w:hAnsi="新宋体" w:eastAsia="新宋体"/>
          <w:bCs/>
          <w:color w:val="auto"/>
          <w:sz w:val="22"/>
          <w:szCs w:val="22"/>
          <w:highlight w:val="none"/>
        </w:rPr>
        <w:t>。</w:t>
      </w:r>
    </w:p>
    <w:p w14:paraId="6190DAE2">
      <w:pPr>
        <w:numPr>
          <w:ilvl w:val="0"/>
          <w:numId w:val="5"/>
        </w:numPr>
        <w:spacing w:line="460" w:lineRule="exact"/>
        <w:outlineLvl w:val="1"/>
        <w:rPr>
          <w:rFonts w:ascii="宋体" w:hAnsi="宋体" w:cs="宋体"/>
          <w:b/>
          <w:color w:val="auto"/>
          <w:sz w:val="22"/>
          <w:highlight w:val="none"/>
        </w:rPr>
      </w:pPr>
      <w:r>
        <w:rPr>
          <w:rFonts w:hint="eastAsia" w:ascii="宋体" w:hAnsi="宋体" w:cs="宋体"/>
          <w:b/>
          <w:color w:val="auto"/>
          <w:sz w:val="22"/>
          <w:highlight w:val="none"/>
        </w:rPr>
        <w:t>付款方式</w:t>
      </w:r>
    </w:p>
    <w:p w14:paraId="2DFE61AB">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合同签订生效以及具备实施条件后</w:t>
      </w: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个工作日内支付</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0%的预付款；服务费用每月统计一次（扣除考核应扣费用及预付款</w:t>
      </w:r>
      <w:r>
        <w:rPr>
          <w:rFonts w:hint="eastAsia" w:ascii="新宋体" w:hAnsi="新宋体" w:eastAsia="新宋体" w:cs="新宋体"/>
          <w:bCs/>
          <w:color w:val="auto"/>
          <w:sz w:val="22"/>
          <w:szCs w:val="22"/>
          <w:highlight w:val="none"/>
          <w:lang w:eastAsia="zh-CN"/>
        </w:rPr>
        <w:t>费用</w:t>
      </w:r>
      <w:r>
        <w:rPr>
          <w:rFonts w:hint="eastAsia" w:ascii="新宋体" w:hAnsi="新宋体" w:eastAsia="新宋体" w:cs="新宋体"/>
          <w:bCs/>
          <w:color w:val="auto"/>
          <w:sz w:val="22"/>
          <w:szCs w:val="22"/>
          <w:highlight w:val="none"/>
        </w:rPr>
        <w:t>），每三个月支付一次（中标人</w:t>
      </w:r>
      <w:r>
        <w:rPr>
          <w:rFonts w:hint="eastAsia" w:ascii="新宋体" w:hAnsi="新宋体" w:eastAsia="新宋体" w:cs="新宋体"/>
          <w:bCs/>
          <w:color w:val="auto"/>
          <w:sz w:val="22"/>
          <w:szCs w:val="22"/>
          <w:highlight w:val="none"/>
          <w:lang w:eastAsia="zh-CN"/>
        </w:rPr>
        <w:t>根据实际服务费用，</w:t>
      </w:r>
      <w:r>
        <w:rPr>
          <w:rFonts w:hint="eastAsia" w:ascii="新宋体" w:hAnsi="新宋体" w:eastAsia="新宋体" w:cs="新宋体"/>
          <w:bCs/>
          <w:color w:val="auto"/>
          <w:sz w:val="22"/>
          <w:szCs w:val="22"/>
          <w:highlight w:val="none"/>
        </w:rPr>
        <w:t>提供正规发票后付款）。</w:t>
      </w:r>
    </w:p>
    <w:p w14:paraId="248EA80B">
      <w:pPr>
        <w:spacing w:line="460" w:lineRule="exact"/>
        <w:ind w:firstLine="541" w:firstLineChars="245"/>
        <w:rPr>
          <w:rFonts w:eastAsia="新宋体"/>
          <w:color w:val="auto"/>
          <w:highlight w:val="none"/>
        </w:rPr>
      </w:pPr>
      <w:r>
        <w:rPr>
          <w:rFonts w:hint="eastAsia" w:ascii="新宋体" w:hAnsi="新宋体" w:eastAsia="新宋体" w:cs="新宋体"/>
          <w:b/>
          <w:color w:val="auto"/>
          <w:sz w:val="22"/>
          <w:szCs w:val="22"/>
          <w:highlight w:val="none"/>
        </w:rPr>
        <w:t>注：</w:t>
      </w:r>
      <w:r>
        <w:rPr>
          <w:rFonts w:hint="eastAsia" w:ascii="宋体"/>
          <w:b/>
          <w:color w:val="auto"/>
          <w:sz w:val="22"/>
          <w:szCs w:val="22"/>
          <w:highlight w:val="none"/>
          <w:u w:val="single"/>
        </w:rPr>
        <w:t>为保证该项目的正常运行，</w:t>
      </w:r>
      <w:r>
        <w:rPr>
          <w:rFonts w:ascii="宋体"/>
          <w:b/>
          <w:color w:val="auto"/>
          <w:sz w:val="22"/>
          <w:szCs w:val="22"/>
          <w:highlight w:val="none"/>
          <w:u w:val="single"/>
        </w:rPr>
        <w:t>202</w:t>
      </w:r>
      <w:r>
        <w:rPr>
          <w:rFonts w:hint="eastAsia" w:ascii="宋体"/>
          <w:b/>
          <w:color w:val="auto"/>
          <w:sz w:val="22"/>
          <w:szCs w:val="22"/>
          <w:highlight w:val="none"/>
          <w:u w:val="single"/>
          <w:lang w:val="en-US" w:eastAsia="zh-CN"/>
        </w:rPr>
        <w:t>4</w:t>
      </w:r>
      <w:r>
        <w:rPr>
          <w:rFonts w:hint="eastAsia" w:ascii="宋体"/>
          <w:b/>
          <w:color w:val="auto"/>
          <w:sz w:val="22"/>
          <w:szCs w:val="22"/>
          <w:highlight w:val="none"/>
          <w:u w:val="single"/>
        </w:rPr>
        <w:t>年</w:t>
      </w:r>
      <w:r>
        <w:rPr>
          <w:rFonts w:ascii="宋体"/>
          <w:b/>
          <w:color w:val="auto"/>
          <w:sz w:val="22"/>
          <w:szCs w:val="22"/>
          <w:highlight w:val="none"/>
          <w:u w:val="single"/>
        </w:rPr>
        <w:t>11</w:t>
      </w:r>
      <w:r>
        <w:rPr>
          <w:rFonts w:hint="eastAsia" w:ascii="宋体"/>
          <w:b/>
          <w:color w:val="auto"/>
          <w:sz w:val="22"/>
          <w:szCs w:val="22"/>
          <w:highlight w:val="none"/>
          <w:u w:val="single"/>
        </w:rPr>
        <w:t>月</w:t>
      </w:r>
      <w:r>
        <w:rPr>
          <w:rFonts w:ascii="宋体"/>
          <w:b/>
          <w:color w:val="auto"/>
          <w:sz w:val="22"/>
          <w:szCs w:val="22"/>
          <w:highlight w:val="none"/>
          <w:u w:val="single"/>
        </w:rPr>
        <w:t>1</w:t>
      </w:r>
      <w:r>
        <w:rPr>
          <w:rFonts w:hint="eastAsia" w:ascii="宋体"/>
          <w:b/>
          <w:color w:val="auto"/>
          <w:sz w:val="22"/>
          <w:szCs w:val="22"/>
          <w:highlight w:val="none"/>
          <w:u w:val="single"/>
        </w:rPr>
        <w:t>日起由招标人暂时委托原服务进行服务。在完成招标后，由先行暂时服务的单位将服务工作移交给中标人。从202</w:t>
      </w:r>
      <w:r>
        <w:rPr>
          <w:rFonts w:hint="eastAsia" w:ascii="宋体"/>
          <w:b/>
          <w:color w:val="auto"/>
          <w:sz w:val="22"/>
          <w:szCs w:val="22"/>
          <w:highlight w:val="none"/>
          <w:u w:val="single"/>
          <w:lang w:val="en-US" w:eastAsia="zh-CN"/>
        </w:rPr>
        <w:t>4</w:t>
      </w:r>
      <w:r>
        <w:rPr>
          <w:rFonts w:hint="eastAsia" w:ascii="宋体"/>
          <w:b/>
          <w:color w:val="auto"/>
          <w:sz w:val="22"/>
          <w:szCs w:val="22"/>
          <w:highlight w:val="none"/>
          <w:u w:val="single"/>
        </w:rPr>
        <w:t>年11月1日至中标人履约前的服务费由中标单位按中标价根据实际服务时间结算给原服务单位。</w:t>
      </w:r>
    </w:p>
    <w:p w14:paraId="44CBD0F9">
      <w:pPr>
        <w:tabs>
          <w:tab w:val="left" w:pos="360"/>
        </w:tabs>
        <w:spacing w:line="460" w:lineRule="exact"/>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五、招标内容（每个保管场地要求）</w:t>
      </w:r>
    </w:p>
    <w:p w14:paraId="5E61328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1、时间要求</w:t>
      </w:r>
    </w:p>
    <w:p w14:paraId="734A1693">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（1）投标人提供涉案车辆保管时间为进入保管场地开始起至涉案车辆放行、当事人取走或业主指定转移其他场地等期间的全过程保管服务。</w:t>
      </w:r>
    </w:p>
    <w:p w14:paraId="12C2006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2、保管场地配套设施要求（包括保管场地管理用房、办公设施及监控设备等方面。）</w:t>
      </w:r>
    </w:p>
    <w:p w14:paraId="3A954E5D">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提供足够完成招标人及下属单位要求的涉案车辆保管服务的保管场地。所有保管场地须提前向招标人备案，如有变动的，须在征得招标人同意后落实同一区域且不少于原有保管场地面积的备用保管场地替代。投标人提供的保管场地须具有合法、完备的手续，保证保管场地适合车辆停放，并设有汽车停放区、非汽车停放区，做到妥善保管。</w:t>
      </w:r>
    </w:p>
    <w:p w14:paraId="69CCF27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（2）投标人提供的保管场地须设立专门的管理用房（面积需满足日常管理使用），并配备电脑（安装交管局统一的涉案车辆管理系统）、打印机、采集设备等设备，实时维护系统及上传相关涉案车辆信息。</w:t>
      </w:r>
    </w:p>
    <w:p w14:paraId="3758BF50">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提供的保管场地的车辆出入口及车辆停放位置须安装视频监控系统，系统可实现对整个保管场地进行监控，且监控记录可保存3个月以上，并能正常回放。视频监控系统应根据招标人需求，接入温州市公安视频监控共享平台并保持系统设备完好、有效。</w:t>
      </w:r>
    </w:p>
    <w:p w14:paraId="07CA7DF4">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停车场所有车辆出入口应配备招标人的涉案车辆管理系统配套使用的信息化联动道闸系统、扫码、射频感应等软硬件设备，记录车辆进出场时间，实现运用物联技术与涉案车辆管理系统相关联，物账一致的管理要求，确保招标人能有效开展涉案车辆出入场管理。</w:t>
      </w:r>
    </w:p>
    <w:p w14:paraId="06772ED4">
      <w:pPr>
        <w:widowControl/>
        <w:tabs>
          <w:tab w:val="left" w:pos="2340"/>
        </w:tabs>
        <w:adjustRightIn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（5）涉案车辆停放区域与社会车辆、非涉案车辆停放区域应当明显区分。有条件的停车场所，应当根据入场车辆性质和办案单位不同，分区停放并分别设置标志牌。</w:t>
      </w:r>
    </w:p>
    <w:p w14:paraId="5A9F33A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3、人员配备</w:t>
      </w:r>
    </w:p>
    <w:p w14:paraId="37C1F9F4">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
          <w:bCs/>
          <w:color w:val="auto"/>
          <w:sz w:val="22"/>
          <w:szCs w:val="22"/>
          <w:highlight w:val="none"/>
          <w:u w:val="single"/>
        </w:rPr>
        <w:t>投标人要配备足够完成招标人及下属单位要求的涉案车辆保管服务配套的工作人员，每个保管场地工作人员配备不少于4人</w:t>
      </w:r>
      <w:r>
        <w:rPr>
          <w:rFonts w:hint="eastAsia" w:ascii="新宋体" w:hAnsi="新宋体" w:eastAsia="新宋体" w:cs="新宋体"/>
          <w:color w:val="auto"/>
          <w:sz w:val="22"/>
          <w:szCs w:val="22"/>
          <w:highlight w:val="none"/>
        </w:rPr>
        <w:t>。所有工作人员如有变动的，须在征得招标人同意后配备相同能力的其他工作人员替代。</w:t>
      </w:r>
    </w:p>
    <w:p w14:paraId="01EDFFD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（2）投标人要保证保管场地24小时有工作人员值守，日常时段内工作人员不少于设2人（夜间22点至次日7点可缩减为1人）。</w:t>
      </w:r>
    </w:p>
    <w:p w14:paraId="7CBB3F78">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（3）信息管理人员需熟练掌握计算机应用，持有电脑操作证书。</w:t>
      </w:r>
    </w:p>
    <w:p w14:paraId="7DCB8FC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（4）投标人配备的管理人员须与投标人签订劳动合同。管理人员熟练规范安全操作，且必须听从执勤交警的指挥调度，文明服务。</w:t>
      </w:r>
    </w:p>
    <w:p w14:paraId="392CACD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4、车辆保管场地管理</w:t>
      </w:r>
    </w:p>
    <w:p w14:paraId="351A0280">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（1）车辆保管场地应具备完善的场地管理制度、安全、保卫管理、货物卸驳载管理、门卫管理制度，并及时上墙公示。</w:t>
      </w:r>
    </w:p>
    <w:p w14:paraId="5A037C85">
      <w:pPr>
        <w:tabs>
          <w:tab w:val="left" w:pos="2340"/>
        </w:tabs>
        <w:adjustRightInd w:val="0"/>
        <w:spacing w:line="460" w:lineRule="exact"/>
        <w:ind w:firstLine="440" w:firstLineChars="200"/>
        <w:rPr>
          <w:color w:val="auto"/>
          <w:highlight w:val="none"/>
        </w:rPr>
      </w:pPr>
      <w:r>
        <w:rPr>
          <w:rFonts w:hint="eastAsia" w:ascii="新宋体" w:hAnsi="新宋体" w:eastAsia="新宋体" w:cs="新宋体"/>
          <w:color w:val="auto"/>
          <w:sz w:val="22"/>
          <w:szCs w:val="22"/>
          <w:highlight w:val="none"/>
        </w:rPr>
        <w:t>（2）按照相关规定收费(车辆扣留日起至强制措施解除后2日是停车费由财政承担)，应由车主承担的停车费用，投标人应按照《关于印发温州市区机动车停放服务收费管理暂行办法的通知》（温政发</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2016</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35号）规定向</w:t>
      </w:r>
      <w:r>
        <w:rPr>
          <w:rFonts w:hint="eastAsia" w:ascii="新宋体" w:hAnsi="新宋体" w:eastAsia="新宋体"/>
          <w:color w:val="auto"/>
          <w:sz w:val="22"/>
          <w:szCs w:val="22"/>
          <w:highlight w:val="none"/>
        </w:rPr>
        <w:t>车主收费</w:t>
      </w:r>
      <w:r>
        <w:rPr>
          <w:rFonts w:hint="eastAsia" w:ascii="新宋体" w:hAnsi="新宋体" w:eastAsia="新宋体" w:cs="新宋体"/>
          <w:color w:val="auto"/>
          <w:sz w:val="22"/>
          <w:szCs w:val="22"/>
          <w:highlight w:val="none"/>
        </w:rPr>
        <w:t>，且收费标准不得高于《温州市区机动车停放服务收费管理暂行办法》附件3中公立医院停车场的收费标准，不得擅自提高收费标准，并及时将收费标准进行上墙公示。不得向当事车主收取其他违规费用。</w:t>
      </w:r>
    </w:p>
    <w:p w14:paraId="752C87B7">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（3）车辆保管场地应使用合法的收费票据进行收费。</w:t>
      </w:r>
    </w:p>
    <w:p w14:paraId="6D3EAD66">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5、停车管理</w:t>
      </w:r>
    </w:p>
    <w:p w14:paraId="202AB87F">
      <w:pPr>
        <w:tabs>
          <w:tab w:val="left" w:pos="2340"/>
        </w:tabs>
        <w:adjustRightIn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（1）进场管理。涉案车辆应根据</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及下属单位的民警要求进入保管场地，其他车辆进入车辆保管场地的，乙方一律不得保管，若乙方对不属于</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及下属单位的要求的车辆进行了保管，所产生的费用由乙方自行承担。车辆进场时，</w:t>
      </w:r>
      <w:r>
        <w:rPr>
          <w:rFonts w:hint="eastAsia" w:ascii="新宋体" w:hAnsi="新宋体" w:eastAsia="新宋体" w:cs="新宋体"/>
          <w:color w:val="auto"/>
          <w:sz w:val="22"/>
          <w:szCs w:val="22"/>
          <w:highlight w:val="none"/>
          <w:lang w:val="en-US" w:eastAsia="zh-CN"/>
        </w:rPr>
        <w:t>应</w:t>
      </w:r>
      <w:r>
        <w:rPr>
          <w:rFonts w:hint="eastAsia" w:ascii="新宋体" w:hAnsi="新宋体" w:eastAsia="新宋体" w:cs="新宋体"/>
          <w:color w:val="auto"/>
          <w:sz w:val="22"/>
          <w:szCs w:val="22"/>
          <w:highlight w:val="none"/>
        </w:rPr>
        <w:t>对保管的涉案车辆进行全面检查，分清车辆状况（包括油料、</w:t>
      </w:r>
      <w:r>
        <w:rPr>
          <w:rFonts w:hint="eastAsia" w:ascii="新宋体" w:hAnsi="新宋体" w:eastAsia="新宋体" w:cs="新宋体"/>
          <w:color w:val="auto"/>
          <w:sz w:val="22"/>
          <w:szCs w:val="22"/>
          <w:highlight w:val="none"/>
          <w:lang w:val="en-US" w:eastAsia="zh-CN"/>
        </w:rPr>
        <w:t>轮胎或</w:t>
      </w:r>
      <w:r>
        <w:rPr>
          <w:rFonts w:hint="eastAsia" w:ascii="新宋体" w:hAnsi="新宋体" w:eastAsia="新宋体" w:cs="新宋体"/>
          <w:color w:val="auto"/>
          <w:sz w:val="22"/>
          <w:szCs w:val="22"/>
          <w:highlight w:val="none"/>
        </w:rPr>
        <w:t>电瓶等</w:t>
      </w:r>
      <w:r>
        <w:rPr>
          <w:rFonts w:hint="eastAsia" w:ascii="新宋体" w:hAnsi="新宋体" w:eastAsia="新宋体" w:cs="新宋体"/>
          <w:color w:val="auto"/>
          <w:sz w:val="22"/>
          <w:szCs w:val="22"/>
          <w:highlight w:val="none"/>
          <w:lang w:val="en-US" w:eastAsia="zh-CN"/>
        </w:rPr>
        <w:t>车辆配件存在损坏或缺失，应予以备注并固定证据材料</w:t>
      </w:r>
      <w:r>
        <w:rPr>
          <w:rFonts w:hint="eastAsia" w:ascii="新宋体" w:hAnsi="新宋体" w:eastAsia="新宋体" w:cs="新宋体"/>
          <w:color w:val="auto"/>
          <w:sz w:val="22"/>
          <w:szCs w:val="22"/>
          <w:highlight w:val="none"/>
        </w:rPr>
        <w:t>）。</w:t>
      </w:r>
    </w:p>
    <w:p w14:paraId="133BC0B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停放管理。投标人应认真履行保管职责，建立严格的安全、保管制度，涉案车辆停入保管场地的同时，投标人应立即将凭证信息、移交单信息、车辆信息、车辆照片等按要求录入涉案车辆管理系统。做好涉案车辆登记台帐，对涉案车辆应使用招标人的涉案车辆管理系统的要使用具有防水、防热、抗撕性能的信息码或编码设备，实施一车一号管理，放置于车辆可以明显观察的部位。对无牌车辆，招标人应会同车辆保管场地编制自编号（如1号、2号、3号……），并及时登记发动机和车架号码，自编号编制后不得随意变动。投标人对涉案车辆要履行保管措施，对车辆保管期间发生的损坏（包括自燃、被盗等情况）、车辆设备遗失和随车物品的失少，承担赔偿责任。投标人应定期检查涉案车辆管理系统中信息，对涉案车辆逐一核对（同时要登陆涉案车辆管理系统进行核对），发现异常情况立即更正并与暂扣涉案车辆的中队管理人员汇报。</w:t>
      </w:r>
    </w:p>
    <w:p w14:paraId="1B4CCA0B">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（3）出场管理。</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所扣押车辆处理结束时，</w:t>
      </w:r>
      <w:r>
        <w:rPr>
          <w:rFonts w:hint="eastAsia" w:ascii="新宋体" w:hAnsi="新宋体" w:eastAsia="新宋体" w:cs="新宋体"/>
          <w:color w:val="auto"/>
          <w:sz w:val="22"/>
          <w:szCs w:val="22"/>
          <w:highlight w:val="none"/>
          <w:lang w:eastAsia="zh-CN"/>
        </w:rPr>
        <w:t>投标人</w:t>
      </w:r>
      <w:r>
        <w:rPr>
          <w:rFonts w:hint="eastAsia" w:ascii="新宋体" w:hAnsi="新宋体" w:eastAsia="新宋体" w:cs="新宋体"/>
          <w:color w:val="auto"/>
          <w:sz w:val="22"/>
          <w:szCs w:val="22"/>
          <w:highlight w:val="none"/>
        </w:rPr>
        <w:t>对涉案车辆放行必须凭</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及下属单位向当事人出具的放车凭证放行。</w:t>
      </w:r>
      <w:r>
        <w:rPr>
          <w:rFonts w:hint="eastAsia" w:ascii="新宋体" w:hAnsi="新宋体" w:eastAsia="新宋体" w:cs="新宋体"/>
          <w:color w:val="auto"/>
          <w:sz w:val="22"/>
          <w:szCs w:val="22"/>
          <w:highlight w:val="none"/>
          <w:lang w:eastAsia="zh-CN"/>
        </w:rPr>
        <w:t>投标人</w:t>
      </w:r>
      <w:r>
        <w:rPr>
          <w:rFonts w:hint="eastAsia" w:ascii="新宋体" w:hAnsi="新宋体" w:eastAsia="新宋体" w:cs="新宋体"/>
          <w:color w:val="auto"/>
          <w:sz w:val="22"/>
          <w:szCs w:val="22"/>
          <w:highlight w:val="none"/>
          <w:lang w:val="en-US" w:eastAsia="zh-CN"/>
        </w:rPr>
        <w:t>收到</w:t>
      </w:r>
      <w:r>
        <w:rPr>
          <w:rFonts w:hint="eastAsia" w:ascii="新宋体" w:hAnsi="新宋体" w:eastAsia="新宋体" w:cs="新宋体"/>
          <w:color w:val="auto"/>
          <w:sz w:val="22"/>
          <w:szCs w:val="22"/>
          <w:highlight w:val="none"/>
        </w:rPr>
        <w:t>放车凭证后，核查无误后放车。车辆保管场地不得擅自处置委托停放的车辆，包括擅自放车、转卖、拆解等。</w:t>
      </w:r>
    </w:p>
    <w:p w14:paraId="3648B2FB">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超载车辆的卸货程序及要求。超载车辆按规定进入保管场地后，经招标人及下属单位的同意后，由驾驶员或车主自行卸货。如委托保管场地卸货的应有书面协议书，必须事先与车主谈妥卸货费用并由车主在委托书上签字，必须承诺自愿要求，杜绝出现乱收费现象。由驾驶员或车主自行驳货或委托车辆保管场地安排驳货，车辆保管场地不得以任何理由阻止驳货。对因驳货需要进入停车场地的其他社会车辆，投标人应按照《关于印发温州市区机动车停放服务收费管理暂行办法的通知》（温政发</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2016</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35号）规定向</w:t>
      </w:r>
      <w:r>
        <w:rPr>
          <w:rFonts w:hint="eastAsia" w:ascii="新宋体" w:hAnsi="新宋体" w:eastAsia="新宋体"/>
          <w:color w:val="auto"/>
          <w:sz w:val="22"/>
          <w:szCs w:val="22"/>
          <w:highlight w:val="none"/>
        </w:rPr>
        <w:t>车主收费</w:t>
      </w:r>
      <w:r>
        <w:rPr>
          <w:rFonts w:hint="eastAsia" w:ascii="新宋体" w:hAnsi="新宋体" w:eastAsia="新宋体" w:cs="新宋体"/>
          <w:color w:val="auto"/>
          <w:sz w:val="22"/>
          <w:szCs w:val="22"/>
          <w:highlight w:val="none"/>
        </w:rPr>
        <w:t>，且收费标准不得高于《温州市区机动车停放服务收费管理暂行办法》附件3中公立医院停车场的收费标准，不得擅自提高收费标准，并及时将收费标准进行上墙公示。</w:t>
      </w:r>
    </w:p>
    <w:p w14:paraId="5754626F">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（5）危险化学品运输车辆不得停放在普通货物车辆保管场地内。</w:t>
      </w:r>
    </w:p>
    <w:p w14:paraId="23C6B304">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投标人拆卸涉案车辆零件、私自放行涉案车辆离开保管地点，将涉案辆挪作他用、擅自报废车辆的，造成涉案车辆损坏、其他人员伤害、物品损坏、油料失少等其他损失的，均由投标人负责；造成严重影响或后果的，招标人有权解除合同并同时追究投标人法律责任。</w:t>
      </w:r>
    </w:p>
    <w:p w14:paraId="153F5BC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（7）涉案车辆服务费用每季向招标人结算；投标人不得向当事人或其他单位（人）另行收取招标人已承担的涉案车辆拖车、保管等服务费用。</w:t>
      </w:r>
    </w:p>
    <w:p w14:paraId="4025D679">
      <w:pPr>
        <w:tabs>
          <w:tab w:val="left" w:pos="2340"/>
        </w:tabs>
        <w:adjustRightInd w:val="0"/>
        <w:spacing w:line="460" w:lineRule="exact"/>
        <w:ind w:firstLine="442" w:firstLineChars="20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rPr>
        <w:t>（8）</w:t>
      </w:r>
      <w:r>
        <w:rPr>
          <w:rFonts w:hint="eastAsia" w:ascii="新宋体" w:hAnsi="新宋体" w:eastAsia="新宋体" w:cs="新宋体"/>
          <w:b/>
          <w:bCs/>
          <w:color w:val="auto"/>
          <w:sz w:val="22"/>
          <w:szCs w:val="22"/>
          <w:highlight w:val="none"/>
          <w:lang w:val="en-US" w:eastAsia="zh-CN"/>
        </w:rPr>
        <w:t>中标人应</w:t>
      </w:r>
      <w:r>
        <w:rPr>
          <w:rFonts w:hint="eastAsia" w:ascii="新宋体" w:hAnsi="新宋体" w:eastAsia="新宋体" w:cs="新宋体"/>
          <w:b/>
          <w:bCs/>
          <w:color w:val="auto"/>
          <w:sz w:val="22"/>
          <w:szCs w:val="22"/>
          <w:highlight w:val="none"/>
        </w:rPr>
        <w:t>在合同</w:t>
      </w:r>
      <w:r>
        <w:rPr>
          <w:rFonts w:hint="eastAsia" w:ascii="新宋体" w:hAnsi="新宋体" w:eastAsia="新宋体" w:cs="新宋体"/>
          <w:b/>
          <w:bCs/>
          <w:color w:val="auto"/>
          <w:sz w:val="22"/>
          <w:szCs w:val="22"/>
          <w:highlight w:val="none"/>
          <w:lang w:val="en-US" w:eastAsia="zh-CN"/>
        </w:rPr>
        <w:t>签订</w:t>
      </w:r>
      <w:r>
        <w:rPr>
          <w:rFonts w:hint="eastAsia" w:ascii="新宋体" w:hAnsi="新宋体" w:eastAsia="新宋体" w:cs="新宋体"/>
          <w:b/>
          <w:bCs/>
          <w:color w:val="auto"/>
          <w:sz w:val="22"/>
          <w:szCs w:val="22"/>
          <w:highlight w:val="none"/>
        </w:rPr>
        <w:t>后的</w:t>
      </w: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日内</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完成原中标辖区内库存涉案车辆（预计每个标项库存涉案车辆在2000辆左右，以实际为准）从原车辆保管场地拖移至投标人提供的车辆保管场地，并按要求做好车辆停放管理工作</w:t>
      </w:r>
      <w:r>
        <w:rPr>
          <w:rFonts w:hint="eastAsia" w:ascii="新宋体" w:hAnsi="新宋体" w:eastAsia="新宋体" w:cs="新宋体"/>
          <w:b/>
          <w:bCs/>
          <w:color w:val="auto"/>
          <w:sz w:val="22"/>
          <w:szCs w:val="22"/>
          <w:highlight w:val="none"/>
          <w:lang w:eastAsia="zh-CN"/>
        </w:rPr>
        <w:t>，拖移费用由</w:t>
      </w:r>
      <w:r>
        <w:rPr>
          <w:rFonts w:hint="eastAsia" w:ascii="新宋体" w:hAnsi="新宋体" w:eastAsia="新宋体" w:cs="新宋体"/>
          <w:b/>
          <w:bCs/>
          <w:color w:val="auto"/>
          <w:sz w:val="22"/>
          <w:szCs w:val="22"/>
          <w:highlight w:val="none"/>
          <w:lang w:val="en-US" w:eastAsia="zh-CN"/>
        </w:rPr>
        <w:t>中标人承担</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完成转场前，</w:t>
      </w:r>
      <w:r>
        <w:rPr>
          <w:rFonts w:hint="eastAsia" w:ascii="新宋体" w:hAnsi="新宋体" w:eastAsia="新宋体" w:cs="新宋体"/>
          <w:b/>
          <w:bCs/>
          <w:color w:val="auto"/>
          <w:sz w:val="22"/>
          <w:szCs w:val="22"/>
          <w:highlight w:val="none"/>
        </w:rPr>
        <w:t>原车辆保管场地</w:t>
      </w:r>
      <w:r>
        <w:rPr>
          <w:rFonts w:hint="eastAsia" w:ascii="新宋体" w:hAnsi="新宋体" w:eastAsia="新宋体" w:cs="新宋体"/>
          <w:b/>
          <w:bCs/>
          <w:color w:val="auto"/>
          <w:sz w:val="22"/>
          <w:szCs w:val="22"/>
          <w:highlight w:val="none"/>
          <w:lang w:val="en-US" w:eastAsia="zh-CN"/>
        </w:rPr>
        <w:t>停车费用由中标人支付。</w:t>
      </w:r>
    </w:p>
    <w:p w14:paraId="50310F5D">
      <w:pPr>
        <w:tabs>
          <w:tab w:val="left" w:pos="2340"/>
        </w:tabs>
        <w:adjustRightInd w:val="0"/>
        <w:spacing w:line="460" w:lineRule="exact"/>
        <w:ind w:firstLine="440" w:firstLineChars="200"/>
        <w:rPr>
          <w:rFonts w:hint="default" w:ascii="新宋体" w:hAnsi="新宋体" w:eastAsia="新宋体" w:cs="新宋体"/>
          <w:color w:val="auto"/>
          <w:sz w:val="22"/>
          <w:szCs w:val="22"/>
          <w:highlight w:val="none"/>
          <w:lang w:val="en-US" w:eastAsia="zh-CN"/>
        </w:rPr>
      </w:pPr>
      <w:r>
        <w:rPr>
          <w:rFonts w:hint="default"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lang w:val="en-US" w:eastAsia="zh-CN"/>
        </w:rPr>
        <w:t>9</w:t>
      </w:r>
      <w:r>
        <w:rPr>
          <w:rFonts w:hint="default" w:ascii="新宋体" w:hAnsi="新宋体" w:eastAsia="新宋体" w:cs="新宋体"/>
          <w:color w:val="auto"/>
          <w:sz w:val="22"/>
          <w:szCs w:val="22"/>
          <w:highlight w:val="none"/>
          <w:lang w:val="en-US" w:eastAsia="zh-CN"/>
        </w:rPr>
        <w:t>）合同期限达到后，因</w:t>
      </w:r>
      <w:r>
        <w:rPr>
          <w:rFonts w:hint="eastAsia" w:ascii="新宋体" w:hAnsi="新宋体" w:eastAsia="新宋体" w:cs="新宋体"/>
          <w:color w:val="auto"/>
          <w:sz w:val="22"/>
          <w:szCs w:val="22"/>
          <w:highlight w:val="none"/>
          <w:lang w:val="en-US" w:eastAsia="zh-CN"/>
        </w:rPr>
        <w:t>招标人</w:t>
      </w:r>
      <w:r>
        <w:rPr>
          <w:rFonts w:hint="default" w:ascii="新宋体" w:hAnsi="新宋体" w:eastAsia="新宋体" w:cs="新宋体"/>
          <w:color w:val="auto"/>
          <w:sz w:val="22"/>
          <w:szCs w:val="22"/>
          <w:highlight w:val="none"/>
          <w:lang w:val="en-US" w:eastAsia="zh-CN"/>
        </w:rPr>
        <w:t>未找到新的停车场所并未完成车辆转移的，</w:t>
      </w:r>
      <w:r>
        <w:rPr>
          <w:rFonts w:hint="eastAsia" w:ascii="新宋体" w:hAnsi="新宋体" w:eastAsia="新宋体" w:cs="新宋体"/>
          <w:color w:val="auto"/>
          <w:sz w:val="22"/>
          <w:szCs w:val="22"/>
          <w:highlight w:val="none"/>
          <w:lang w:val="en-US" w:eastAsia="zh-CN"/>
        </w:rPr>
        <w:t>中标人</w:t>
      </w:r>
      <w:r>
        <w:rPr>
          <w:rFonts w:hint="default" w:ascii="新宋体" w:hAnsi="新宋体" w:eastAsia="新宋体" w:cs="新宋体"/>
          <w:color w:val="auto"/>
          <w:sz w:val="22"/>
          <w:szCs w:val="22"/>
          <w:highlight w:val="none"/>
          <w:lang w:val="en-US" w:eastAsia="zh-CN"/>
        </w:rPr>
        <w:t>应继续提供的车辆保管服务，并按要求做好车辆停放管理工作。</w:t>
      </w:r>
      <w:r>
        <w:rPr>
          <w:rFonts w:hint="eastAsia" w:ascii="新宋体" w:hAnsi="新宋体" w:eastAsia="新宋体" w:cs="新宋体"/>
          <w:color w:val="auto"/>
          <w:sz w:val="22"/>
          <w:szCs w:val="22"/>
          <w:highlight w:val="none"/>
          <w:lang w:val="en-US" w:eastAsia="zh-CN"/>
        </w:rPr>
        <w:t>招标人</w:t>
      </w:r>
      <w:r>
        <w:rPr>
          <w:rFonts w:hint="default" w:ascii="新宋体" w:hAnsi="新宋体" w:eastAsia="新宋体" w:cs="新宋体"/>
          <w:color w:val="auto"/>
          <w:sz w:val="22"/>
          <w:szCs w:val="22"/>
          <w:highlight w:val="none"/>
          <w:lang w:val="en-US" w:eastAsia="zh-CN"/>
        </w:rPr>
        <w:t>完成转场前，超期产生的车辆保管服务费用由</w:t>
      </w:r>
      <w:r>
        <w:rPr>
          <w:rFonts w:hint="eastAsia" w:ascii="新宋体" w:hAnsi="新宋体" w:eastAsia="新宋体" w:cs="新宋体"/>
          <w:color w:val="auto"/>
          <w:sz w:val="22"/>
          <w:szCs w:val="22"/>
          <w:highlight w:val="none"/>
          <w:lang w:val="en-US" w:eastAsia="zh-CN"/>
        </w:rPr>
        <w:t>招标人</w:t>
      </w:r>
      <w:r>
        <w:rPr>
          <w:rFonts w:hint="default" w:ascii="新宋体" w:hAnsi="新宋体" w:eastAsia="新宋体" w:cs="新宋体"/>
          <w:color w:val="auto"/>
          <w:sz w:val="22"/>
          <w:szCs w:val="22"/>
          <w:highlight w:val="none"/>
          <w:lang w:val="en-US" w:eastAsia="zh-CN"/>
        </w:rPr>
        <w:t>或后续服务供应商支付。</w:t>
      </w:r>
    </w:p>
    <w:p w14:paraId="0DA5410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）因投标人原因，造成严重影响或后果的，招标人有权解除合同。</w:t>
      </w:r>
    </w:p>
    <w:p w14:paraId="02E39A9B">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rPr>
        <w:t>）除上述规定外，必须严格遵守温州市公安局交通管理局的涉案车辆管理规定要求执行。</w:t>
      </w:r>
    </w:p>
    <w:p w14:paraId="2AA774FC">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6、安全管理</w:t>
      </w:r>
    </w:p>
    <w:p w14:paraId="6A4A5D5C">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（1）车辆保管场地应建立完善的安全、保安管理制度，加强车辆保管场地地的保安巡查，特别是夜间巡查，防止盗窃、火灾事故发生。</w:t>
      </w:r>
    </w:p>
    <w:p w14:paraId="313BB306">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车辆进场时，招标人及车辆保管场地工作人员应对随车所运货物进行鉴别，需采取特殊防护措施的，应告知车主或驾驶人员采取相应的防护措施；车主或驾驶人员拒绝采用防护措施的，应予以书面告知。在车辆停放期间，车辆保管场地应加强对上述车辆的停放管理，防止意外事故发生。</w:t>
      </w:r>
    </w:p>
    <w:p w14:paraId="76CC9A9D">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提供的保管场地按消防要求设置消防灭火设施、防火隔离通道等设施，在保管场地必要位置设立消防通道等相关标识，在必要位置设路障和防护栏，且有专人定期检查和管理使用，确保消防设施完好、有效。保管场地应购买足额的有效意外损失保险，保额总额不得低于100万元（含）</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如有客观原因导致无法购买</w:t>
      </w:r>
      <w:r>
        <w:rPr>
          <w:rFonts w:hint="eastAsia" w:ascii="新宋体" w:hAnsi="新宋体" w:eastAsia="新宋体" w:cs="新宋体"/>
          <w:color w:val="auto"/>
          <w:sz w:val="22"/>
          <w:szCs w:val="22"/>
          <w:highlight w:val="none"/>
        </w:rPr>
        <w:t>意外损失保险</w:t>
      </w:r>
      <w:r>
        <w:rPr>
          <w:rFonts w:hint="eastAsia" w:ascii="新宋体" w:hAnsi="新宋体" w:eastAsia="新宋体" w:cs="新宋体"/>
          <w:color w:val="auto"/>
          <w:sz w:val="22"/>
          <w:szCs w:val="22"/>
          <w:highlight w:val="none"/>
          <w:lang w:val="en-US" w:eastAsia="zh-CN"/>
        </w:rPr>
        <w:t>的，应提供证明材料</w:t>
      </w:r>
      <w:r>
        <w:rPr>
          <w:rFonts w:hint="eastAsia" w:ascii="新宋体" w:hAnsi="新宋体" w:eastAsia="新宋体" w:cs="新宋体"/>
          <w:color w:val="auto"/>
          <w:sz w:val="22"/>
          <w:szCs w:val="22"/>
          <w:highlight w:val="none"/>
        </w:rPr>
        <w:t>。</w:t>
      </w:r>
    </w:p>
    <w:p w14:paraId="558759AF">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7、台账管理</w:t>
      </w:r>
    </w:p>
    <w:p w14:paraId="5B08BCB0">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（1）台账完整度：准确、及时登记车辆信息，及时变更车辆状态，保证每辆车辆的信息准确、完整。</w:t>
      </w:r>
    </w:p>
    <w:p w14:paraId="5DA796D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（2）台账准确率:保证车辆信息准确无误，如车辆信息登记有误，及时上报招标人，予以纠正。</w:t>
      </w:r>
    </w:p>
    <w:p w14:paraId="693AB00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8、车辆转场或处置</w:t>
      </w:r>
    </w:p>
    <w:p w14:paraId="5AA73250">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经招标人及下属单位的确定需转场或处置的车辆，投标人需在3</w:t>
      </w:r>
      <w:r>
        <w:rPr>
          <w:rFonts w:hint="eastAsia" w:ascii="新宋体" w:hAnsi="新宋体" w:eastAsia="新宋体" w:cs="新宋体"/>
          <w:color w:val="auto"/>
          <w:sz w:val="22"/>
          <w:szCs w:val="22"/>
          <w:highlight w:val="none"/>
          <w:lang w:val="en-US" w:eastAsia="zh-CN"/>
        </w:rPr>
        <w:t>个工作</w:t>
      </w:r>
      <w:r>
        <w:rPr>
          <w:rFonts w:hint="eastAsia" w:ascii="新宋体" w:hAnsi="新宋体" w:eastAsia="新宋体" w:cs="新宋体"/>
          <w:color w:val="auto"/>
          <w:sz w:val="22"/>
          <w:szCs w:val="22"/>
          <w:highlight w:val="none"/>
        </w:rPr>
        <w:t>日内将涉案车辆整理出来，等待后续处置。</w:t>
      </w:r>
    </w:p>
    <w:p w14:paraId="4B372E51">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9、监督管理</w:t>
      </w:r>
    </w:p>
    <w:p w14:paraId="7A5E7CF8">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严禁车辆保管场地工作人员参与交通执法活动，包括上路拦车、驾驶违章车辆、参与罚款处理等。</w:t>
      </w:r>
    </w:p>
    <w:p w14:paraId="1EC248B7">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、责任追究</w:t>
      </w:r>
    </w:p>
    <w:p w14:paraId="05F893D5">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（1）投标人不按照标准进行收费的，除由车辆保管场地退还全部停车费外，招标人应及时提出整改意见，整改不到位的，</w:t>
      </w:r>
      <w:r>
        <w:rPr>
          <w:rFonts w:hint="eastAsia" w:ascii="新宋体" w:hAnsi="新宋体" w:eastAsia="新宋体" w:cs="新宋体"/>
          <w:color w:val="auto"/>
          <w:sz w:val="22"/>
          <w:szCs w:val="22"/>
          <w:highlight w:val="none"/>
          <w:lang w:val="en-US" w:eastAsia="zh-CN"/>
        </w:rPr>
        <w:t>可视情</w:t>
      </w:r>
      <w:r>
        <w:rPr>
          <w:rFonts w:hint="eastAsia" w:ascii="新宋体" w:hAnsi="新宋体" w:eastAsia="新宋体" w:cs="新宋体"/>
          <w:color w:val="auto"/>
          <w:sz w:val="22"/>
          <w:szCs w:val="22"/>
          <w:highlight w:val="none"/>
        </w:rPr>
        <w:t>终止委托协议。</w:t>
      </w:r>
    </w:p>
    <w:p w14:paraId="37D4B697">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（2）投标人擅自处置委托停放车辆的，终止委托协议，其引起的一切法律、经济后果由投标人承担。</w:t>
      </w:r>
    </w:p>
    <w:p w14:paraId="198EB8CE">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（3）因车辆保管场地管理不善造成车主</w:t>
      </w:r>
      <w:r>
        <w:rPr>
          <w:rFonts w:hint="eastAsia" w:ascii="新宋体" w:hAnsi="新宋体" w:eastAsia="新宋体" w:cs="新宋体"/>
          <w:color w:val="auto"/>
          <w:sz w:val="22"/>
          <w:szCs w:val="22"/>
          <w:highlight w:val="none"/>
          <w:lang w:val="en-US" w:eastAsia="zh-CN"/>
        </w:rPr>
        <w:t>财产</w:t>
      </w:r>
      <w:r>
        <w:rPr>
          <w:rFonts w:hint="eastAsia" w:ascii="新宋体" w:hAnsi="新宋体" w:eastAsia="新宋体" w:cs="新宋体"/>
          <w:color w:val="auto"/>
          <w:sz w:val="22"/>
          <w:szCs w:val="22"/>
          <w:highlight w:val="none"/>
        </w:rPr>
        <w:t>损失的，由车辆保管场地进行赔偿。</w:t>
      </w:r>
    </w:p>
    <w:p w14:paraId="35669A8F">
      <w:pPr>
        <w:tabs>
          <w:tab w:val="left" w:pos="2340"/>
        </w:tabs>
        <w:adjustRightIn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（4）投标人工作人员参与执法活动的，按照责任追究制对相关人员进行处理。 </w:t>
      </w:r>
    </w:p>
    <w:p w14:paraId="62F8D50A">
      <w:pPr>
        <w:tabs>
          <w:tab w:val="left" w:pos="360"/>
        </w:tabs>
        <w:spacing w:line="460" w:lineRule="exact"/>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六、考评条款</w:t>
      </w:r>
    </w:p>
    <w:p w14:paraId="1B2AF444">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车辆保管服务工作，招标人会派人员对工作进行抽查。检查人员由双方组成，并记录在案，双方签字认可；考评与服务费用挂钩。</w:t>
      </w:r>
    </w:p>
    <w:tbl>
      <w:tblPr>
        <w:tblStyle w:val="17"/>
        <w:tblW w:w="9914"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51"/>
        <w:gridCol w:w="19"/>
        <w:gridCol w:w="3663"/>
        <w:gridCol w:w="1067"/>
        <w:gridCol w:w="2874"/>
      </w:tblGrid>
      <w:tr w14:paraId="7EEC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40" w:type="dxa"/>
            <w:vAlign w:val="center"/>
          </w:tcPr>
          <w:p w14:paraId="281EA643">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5233" w:type="dxa"/>
            <w:gridSpan w:val="3"/>
            <w:vAlign w:val="center"/>
          </w:tcPr>
          <w:p w14:paraId="0BC9FCC2">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考核分类</w:t>
            </w:r>
          </w:p>
        </w:tc>
        <w:tc>
          <w:tcPr>
            <w:tcW w:w="1067" w:type="dxa"/>
            <w:vAlign w:val="center"/>
          </w:tcPr>
          <w:p w14:paraId="70364BBF">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计分单位（次）</w:t>
            </w:r>
          </w:p>
        </w:tc>
        <w:tc>
          <w:tcPr>
            <w:tcW w:w="2874" w:type="dxa"/>
            <w:vAlign w:val="center"/>
          </w:tcPr>
          <w:p w14:paraId="0419BA99">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计分标准（金额）（元）</w:t>
            </w:r>
          </w:p>
        </w:tc>
      </w:tr>
      <w:tr w14:paraId="6833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40" w:type="dxa"/>
            <w:vAlign w:val="center"/>
          </w:tcPr>
          <w:p w14:paraId="386ED277">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5233" w:type="dxa"/>
            <w:gridSpan w:val="3"/>
            <w:vAlign w:val="center"/>
          </w:tcPr>
          <w:p w14:paraId="3D402637">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在遵章守规中发生重大失误或违规事件</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被当事人投诉</w:t>
            </w:r>
            <w:r>
              <w:rPr>
                <w:rFonts w:hint="eastAsia" w:ascii="新宋体" w:hAnsi="新宋体" w:eastAsia="新宋体" w:cs="新宋体"/>
                <w:bCs/>
                <w:color w:val="auto"/>
                <w:sz w:val="22"/>
                <w:szCs w:val="22"/>
                <w:highlight w:val="none"/>
                <w:lang w:val="en-US" w:eastAsia="zh-CN"/>
              </w:rPr>
              <w:t>且确认为有责的</w:t>
            </w:r>
            <w:r>
              <w:rPr>
                <w:rFonts w:hint="eastAsia" w:ascii="新宋体" w:hAnsi="新宋体" w:eastAsia="新宋体" w:cs="新宋体"/>
                <w:bCs/>
                <w:color w:val="auto"/>
                <w:sz w:val="22"/>
                <w:szCs w:val="22"/>
                <w:highlight w:val="none"/>
              </w:rPr>
              <w:t>、上级点名批评</w:t>
            </w:r>
            <w:r>
              <w:rPr>
                <w:rFonts w:hint="eastAsia" w:ascii="新宋体" w:hAnsi="新宋体" w:eastAsia="新宋体" w:cs="新宋体"/>
                <w:bCs/>
                <w:color w:val="auto"/>
                <w:sz w:val="22"/>
                <w:szCs w:val="22"/>
                <w:highlight w:val="none"/>
                <w:lang w:val="en-US" w:eastAsia="zh-CN"/>
              </w:rPr>
              <w:t>或</w:t>
            </w:r>
            <w:r>
              <w:rPr>
                <w:rFonts w:hint="eastAsia" w:ascii="新宋体" w:hAnsi="新宋体" w:eastAsia="新宋体" w:cs="新宋体"/>
                <w:bCs/>
                <w:color w:val="auto"/>
                <w:sz w:val="22"/>
                <w:szCs w:val="22"/>
                <w:highlight w:val="none"/>
              </w:rPr>
              <w:t>媒体曝光至相关部门的</w:t>
            </w:r>
          </w:p>
        </w:tc>
        <w:tc>
          <w:tcPr>
            <w:tcW w:w="1067" w:type="dxa"/>
            <w:vAlign w:val="center"/>
          </w:tcPr>
          <w:p w14:paraId="49740DB1">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6B19E3DA">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扣1000-5000</w:t>
            </w:r>
          </w:p>
        </w:tc>
      </w:tr>
      <w:tr w14:paraId="32EB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40" w:type="dxa"/>
            <w:vAlign w:val="center"/>
          </w:tcPr>
          <w:p w14:paraId="5556CDF2">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5233" w:type="dxa"/>
            <w:gridSpan w:val="3"/>
            <w:vAlign w:val="center"/>
          </w:tcPr>
          <w:p w14:paraId="2E4BD70D">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接到甲方服务指令后，拒不提供服务或拖延服务时间的（无正当理由的）</w:t>
            </w:r>
          </w:p>
        </w:tc>
        <w:tc>
          <w:tcPr>
            <w:tcW w:w="1067" w:type="dxa"/>
            <w:vAlign w:val="center"/>
          </w:tcPr>
          <w:p w14:paraId="489B9A20">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7CFA3292">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扣</w:t>
            </w:r>
            <w:r>
              <w:rPr>
                <w:rFonts w:hint="eastAsia" w:ascii="新宋体" w:hAnsi="新宋体" w:eastAsia="新宋体" w:cs="新宋体"/>
                <w:bCs/>
                <w:color w:val="auto"/>
                <w:sz w:val="22"/>
                <w:szCs w:val="22"/>
                <w:highlight w:val="none"/>
                <w:lang w:val="en-US" w:eastAsia="zh-CN"/>
              </w:rPr>
              <w:t>1000-</w:t>
            </w:r>
            <w:r>
              <w:rPr>
                <w:rFonts w:hint="eastAsia" w:ascii="新宋体" w:hAnsi="新宋体" w:eastAsia="新宋体" w:cs="新宋体"/>
                <w:bCs/>
                <w:color w:val="auto"/>
                <w:sz w:val="22"/>
                <w:szCs w:val="22"/>
                <w:highlight w:val="none"/>
              </w:rPr>
              <w:t>2000</w:t>
            </w:r>
          </w:p>
        </w:tc>
      </w:tr>
      <w:tr w14:paraId="5FC6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14:paraId="31033B0D">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1551" w:type="dxa"/>
            <w:vMerge w:val="restart"/>
            <w:vAlign w:val="center"/>
          </w:tcPr>
          <w:p w14:paraId="65A398AE">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在涉案车辆保管中发生盗窃或遗失或置换涉案车辆零配件或车上物品的</w:t>
            </w:r>
          </w:p>
          <w:p w14:paraId="561FD474">
            <w:pPr>
              <w:spacing w:line="460" w:lineRule="exact"/>
              <w:jc w:val="center"/>
              <w:rPr>
                <w:rFonts w:ascii="新宋体" w:hAnsi="新宋体" w:eastAsia="新宋体" w:cs="新宋体"/>
                <w:bCs/>
                <w:color w:val="auto"/>
                <w:sz w:val="22"/>
                <w:szCs w:val="22"/>
                <w:highlight w:val="none"/>
              </w:rPr>
            </w:pPr>
          </w:p>
        </w:tc>
        <w:tc>
          <w:tcPr>
            <w:tcW w:w="3682" w:type="dxa"/>
            <w:gridSpan w:val="2"/>
            <w:vAlign w:val="center"/>
          </w:tcPr>
          <w:p w14:paraId="4B0FBE64">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物品（车辆）已追回、或损失金额较小的（1万元以下），每次</w:t>
            </w:r>
          </w:p>
        </w:tc>
        <w:tc>
          <w:tcPr>
            <w:tcW w:w="1067" w:type="dxa"/>
            <w:vAlign w:val="center"/>
          </w:tcPr>
          <w:p w14:paraId="148623D4">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0EF865CD">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扣1000</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同时照价赔偿车主损失</w:t>
            </w:r>
          </w:p>
        </w:tc>
      </w:tr>
      <w:tr w14:paraId="1FBA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40" w:type="dxa"/>
            <w:vMerge w:val="continue"/>
            <w:vAlign w:val="center"/>
          </w:tcPr>
          <w:p w14:paraId="2D03E1C1">
            <w:pPr>
              <w:spacing w:line="460" w:lineRule="exact"/>
              <w:jc w:val="center"/>
              <w:rPr>
                <w:rFonts w:ascii="新宋体" w:hAnsi="新宋体" w:eastAsia="新宋体" w:cs="新宋体"/>
                <w:bCs/>
                <w:color w:val="auto"/>
                <w:sz w:val="22"/>
                <w:szCs w:val="22"/>
                <w:highlight w:val="none"/>
              </w:rPr>
            </w:pPr>
          </w:p>
        </w:tc>
        <w:tc>
          <w:tcPr>
            <w:tcW w:w="1551" w:type="dxa"/>
            <w:vMerge w:val="continue"/>
            <w:vAlign w:val="center"/>
          </w:tcPr>
          <w:p w14:paraId="5E87911B">
            <w:pPr>
              <w:spacing w:line="460" w:lineRule="exact"/>
              <w:jc w:val="center"/>
              <w:rPr>
                <w:rFonts w:ascii="新宋体" w:hAnsi="新宋体" w:eastAsia="新宋体" w:cs="新宋体"/>
                <w:bCs/>
                <w:color w:val="auto"/>
                <w:sz w:val="22"/>
                <w:szCs w:val="22"/>
                <w:highlight w:val="none"/>
              </w:rPr>
            </w:pPr>
          </w:p>
        </w:tc>
        <w:tc>
          <w:tcPr>
            <w:tcW w:w="3682" w:type="dxa"/>
            <w:gridSpan w:val="2"/>
            <w:vAlign w:val="center"/>
          </w:tcPr>
          <w:p w14:paraId="2D35BA2A">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数量或金额较大的（如盗窃或置换整车、一次盗窃或置换10</w:t>
            </w:r>
            <w:r>
              <w:rPr>
                <w:rFonts w:hint="eastAsia" w:ascii="新宋体" w:hAnsi="新宋体" w:eastAsia="新宋体" w:cs="新宋体"/>
                <w:bCs/>
                <w:color w:val="auto"/>
                <w:sz w:val="22"/>
                <w:szCs w:val="22"/>
                <w:highlight w:val="none"/>
                <w:lang w:val="en-US" w:eastAsia="zh-CN"/>
              </w:rPr>
              <w:t>辆</w:t>
            </w:r>
            <w:r>
              <w:rPr>
                <w:rFonts w:hint="eastAsia" w:ascii="新宋体" w:hAnsi="新宋体" w:eastAsia="新宋体" w:cs="新宋体"/>
                <w:bCs/>
                <w:color w:val="auto"/>
                <w:sz w:val="22"/>
                <w:szCs w:val="22"/>
                <w:highlight w:val="none"/>
              </w:rPr>
              <w:t>以上</w:t>
            </w:r>
            <w:r>
              <w:rPr>
                <w:rFonts w:hint="eastAsia" w:ascii="新宋体" w:hAnsi="新宋体" w:eastAsia="新宋体" w:cs="新宋体"/>
                <w:bCs/>
                <w:color w:val="auto"/>
                <w:sz w:val="22"/>
                <w:szCs w:val="22"/>
                <w:highlight w:val="none"/>
                <w:lang w:val="en-US" w:eastAsia="zh-CN"/>
              </w:rPr>
              <w:t>车辆的配件</w:t>
            </w:r>
            <w:r>
              <w:rPr>
                <w:rFonts w:hint="eastAsia" w:ascii="新宋体" w:hAnsi="新宋体" w:eastAsia="新宋体" w:cs="新宋体"/>
                <w:bCs/>
                <w:color w:val="auto"/>
                <w:sz w:val="22"/>
                <w:szCs w:val="22"/>
                <w:highlight w:val="none"/>
              </w:rPr>
              <w:t>、盗窃车上物品估计价值超过1万元的）</w:t>
            </w:r>
          </w:p>
        </w:tc>
        <w:tc>
          <w:tcPr>
            <w:tcW w:w="1067" w:type="dxa"/>
            <w:vAlign w:val="center"/>
          </w:tcPr>
          <w:p w14:paraId="415BD389">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14D7BB73">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扣</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000</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同时照价赔偿车主损失，且甲方可单方面解除合同</w:t>
            </w:r>
          </w:p>
        </w:tc>
      </w:tr>
      <w:tr w14:paraId="2DB1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40" w:type="dxa"/>
            <w:vMerge w:val="continue"/>
            <w:vAlign w:val="center"/>
          </w:tcPr>
          <w:p w14:paraId="22F01619">
            <w:pPr>
              <w:spacing w:line="460" w:lineRule="exact"/>
              <w:jc w:val="center"/>
              <w:rPr>
                <w:rFonts w:ascii="新宋体" w:hAnsi="新宋体" w:eastAsia="新宋体" w:cs="新宋体"/>
                <w:bCs/>
                <w:color w:val="auto"/>
                <w:sz w:val="22"/>
                <w:szCs w:val="22"/>
                <w:highlight w:val="none"/>
              </w:rPr>
            </w:pPr>
          </w:p>
        </w:tc>
        <w:tc>
          <w:tcPr>
            <w:tcW w:w="1551" w:type="dxa"/>
            <w:vMerge w:val="continue"/>
            <w:vAlign w:val="center"/>
          </w:tcPr>
          <w:p w14:paraId="37A92991">
            <w:pPr>
              <w:spacing w:line="460" w:lineRule="exact"/>
              <w:jc w:val="center"/>
              <w:rPr>
                <w:rFonts w:ascii="新宋体" w:hAnsi="新宋体" w:eastAsia="新宋体" w:cs="新宋体"/>
                <w:bCs/>
                <w:color w:val="auto"/>
                <w:sz w:val="22"/>
                <w:szCs w:val="22"/>
                <w:highlight w:val="none"/>
              </w:rPr>
            </w:pPr>
          </w:p>
        </w:tc>
        <w:tc>
          <w:tcPr>
            <w:tcW w:w="3682" w:type="dxa"/>
            <w:gridSpan w:val="2"/>
            <w:vAlign w:val="center"/>
          </w:tcPr>
          <w:p w14:paraId="6F02BFF1">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暂扣涉案车辆不知去向的</w:t>
            </w:r>
          </w:p>
          <w:p w14:paraId="3F05B659">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（如有证据证明是因保管服务失责，造成车辆被车辆所有人或管理人所窃取的，按照已追回予以处罚。）</w:t>
            </w:r>
          </w:p>
        </w:tc>
        <w:tc>
          <w:tcPr>
            <w:tcW w:w="1067" w:type="dxa"/>
            <w:vAlign w:val="center"/>
          </w:tcPr>
          <w:p w14:paraId="05735F14">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2213F78C">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每辆/次扣</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000或涉案车辆价值的5%（就高原则），同时照价赔偿车主损失并追究乙方法律责任，且甲方可单方面解除合同。</w:t>
            </w:r>
          </w:p>
        </w:tc>
      </w:tr>
      <w:tr w14:paraId="206E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40" w:type="dxa"/>
            <w:vAlign w:val="center"/>
          </w:tcPr>
          <w:p w14:paraId="3B63A07A">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5233" w:type="dxa"/>
            <w:gridSpan w:val="3"/>
            <w:vAlign w:val="center"/>
          </w:tcPr>
          <w:p w14:paraId="334D305A">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因乙方人为原因造成涉案车辆严重损坏（无法修复）的。</w:t>
            </w:r>
          </w:p>
        </w:tc>
        <w:tc>
          <w:tcPr>
            <w:tcW w:w="1067" w:type="dxa"/>
            <w:vAlign w:val="center"/>
          </w:tcPr>
          <w:p w14:paraId="4976306B">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6084D618">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扣</w:t>
            </w:r>
            <w:r>
              <w:rPr>
                <w:rFonts w:hint="eastAsia" w:ascii="新宋体" w:hAnsi="新宋体" w:eastAsia="新宋体" w:cs="新宋体"/>
                <w:bCs/>
                <w:color w:val="auto"/>
                <w:sz w:val="22"/>
                <w:szCs w:val="22"/>
                <w:highlight w:val="none"/>
                <w:lang w:val="en-US" w:eastAsia="zh-CN"/>
              </w:rPr>
              <w:t>500-</w:t>
            </w:r>
            <w:r>
              <w:rPr>
                <w:rFonts w:hint="eastAsia" w:ascii="新宋体" w:hAnsi="新宋体" w:eastAsia="新宋体" w:cs="新宋体"/>
                <w:bCs/>
                <w:color w:val="auto"/>
                <w:sz w:val="22"/>
                <w:szCs w:val="22"/>
                <w:highlight w:val="none"/>
              </w:rPr>
              <w:t>2000（乙方负责对车主给予损失赔偿。）</w:t>
            </w:r>
          </w:p>
        </w:tc>
      </w:tr>
      <w:tr w14:paraId="364F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40" w:type="dxa"/>
            <w:vAlign w:val="center"/>
          </w:tcPr>
          <w:p w14:paraId="446883F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5233" w:type="dxa"/>
            <w:gridSpan w:val="3"/>
            <w:vAlign w:val="center"/>
          </w:tcPr>
          <w:p w14:paraId="11F6B16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乙方私自使用涉案车辆或车上物品</w:t>
            </w:r>
          </w:p>
        </w:tc>
        <w:tc>
          <w:tcPr>
            <w:tcW w:w="1067" w:type="dxa"/>
            <w:vAlign w:val="center"/>
          </w:tcPr>
          <w:p w14:paraId="35073AF2">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1</w:t>
            </w:r>
          </w:p>
        </w:tc>
        <w:tc>
          <w:tcPr>
            <w:tcW w:w="2874" w:type="dxa"/>
            <w:vAlign w:val="center"/>
          </w:tcPr>
          <w:p w14:paraId="6E52D506">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扣</w:t>
            </w: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00-2000</w:t>
            </w:r>
          </w:p>
        </w:tc>
      </w:tr>
      <w:tr w14:paraId="461B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0" w:type="dxa"/>
            <w:vAlign w:val="center"/>
          </w:tcPr>
          <w:p w14:paraId="47ACEC2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5233" w:type="dxa"/>
            <w:gridSpan w:val="3"/>
            <w:vAlign w:val="center"/>
          </w:tcPr>
          <w:p w14:paraId="326E2DC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乙方在规费执行中违规收费的</w:t>
            </w:r>
          </w:p>
        </w:tc>
        <w:tc>
          <w:tcPr>
            <w:tcW w:w="1067" w:type="dxa"/>
            <w:vAlign w:val="center"/>
          </w:tcPr>
          <w:p w14:paraId="2BF6341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74" w:type="dxa"/>
            <w:vAlign w:val="center"/>
          </w:tcPr>
          <w:p w14:paraId="7C0D0A8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每发现一次扣2000或违规收取费用2倍（就高原则）</w:t>
            </w:r>
          </w:p>
        </w:tc>
      </w:tr>
      <w:tr w14:paraId="1EF3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0" w:type="dxa"/>
            <w:vMerge w:val="restart"/>
            <w:vAlign w:val="center"/>
          </w:tcPr>
          <w:p w14:paraId="51BA578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570" w:type="dxa"/>
            <w:gridSpan w:val="2"/>
            <w:vMerge w:val="restart"/>
            <w:vAlign w:val="center"/>
          </w:tcPr>
          <w:p w14:paraId="3A1E4FFF">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乙方不按甲方要求使用车辆管理系统</w:t>
            </w:r>
          </w:p>
          <w:p w14:paraId="60C7A0C2">
            <w:pPr>
              <w:tabs>
                <w:tab w:val="left" w:pos="420"/>
              </w:tabs>
              <w:adjustRightInd w:val="0"/>
              <w:spacing w:line="460" w:lineRule="exact"/>
              <w:jc w:val="center"/>
              <w:rPr>
                <w:rFonts w:ascii="新宋体" w:hAnsi="新宋体" w:eastAsia="新宋体" w:cs="新宋体"/>
                <w:color w:val="auto"/>
                <w:sz w:val="22"/>
                <w:szCs w:val="22"/>
                <w:highlight w:val="none"/>
              </w:rPr>
            </w:pPr>
          </w:p>
        </w:tc>
        <w:tc>
          <w:tcPr>
            <w:tcW w:w="3663" w:type="dxa"/>
            <w:vAlign w:val="center"/>
          </w:tcPr>
          <w:p w14:paraId="488290F5">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其中硬件、管理人员配备不符合要求及管理人员操作不当等情况</w:t>
            </w:r>
          </w:p>
        </w:tc>
        <w:tc>
          <w:tcPr>
            <w:tcW w:w="1067" w:type="dxa"/>
            <w:vAlign w:val="center"/>
          </w:tcPr>
          <w:p w14:paraId="5346261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74" w:type="dxa"/>
            <w:vAlign w:val="center"/>
          </w:tcPr>
          <w:p w14:paraId="1010760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每次扣500并限期整改</w:t>
            </w:r>
          </w:p>
        </w:tc>
      </w:tr>
      <w:tr w14:paraId="6C6E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0" w:type="dxa"/>
            <w:vMerge w:val="continue"/>
            <w:vAlign w:val="center"/>
          </w:tcPr>
          <w:p w14:paraId="7907998C">
            <w:pPr>
              <w:spacing w:line="460" w:lineRule="exact"/>
              <w:jc w:val="center"/>
              <w:rPr>
                <w:rFonts w:ascii="新宋体" w:hAnsi="新宋体" w:eastAsia="新宋体" w:cs="新宋体"/>
                <w:color w:val="auto"/>
                <w:sz w:val="22"/>
                <w:szCs w:val="22"/>
                <w:highlight w:val="none"/>
              </w:rPr>
            </w:pPr>
          </w:p>
        </w:tc>
        <w:tc>
          <w:tcPr>
            <w:tcW w:w="1570" w:type="dxa"/>
            <w:gridSpan w:val="2"/>
            <w:vMerge w:val="continue"/>
            <w:vAlign w:val="center"/>
          </w:tcPr>
          <w:p w14:paraId="52CF61E6">
            <w:pPr>
              <w:tabs>
                <w:tab w:val="left" w:pos="420"/>
              </w:tabs>
              <w:adjustRightInd w:val="0"/>
              <w:spacing w:line="460" w:lineRule="exact"/>
              <w:jc w:val="center"/>
              <w:rPr>
                <w:rFonts w:ascii="新宋体" w:hAnsi="新宋体" w:eastAsia="新宋体" w:cs="新宋体"/>
                <w:bCs/>
                <w:color w:val="auto"/>
                <w:sz w:val="22"/>
                <w:szCs w:val="22"/>
                <w:highlight w:val="none"/>
              </w:rPr>
            </w:pPr>
          </w:p>
        </w:tc>
        <w:tc>
          <w:tcPr>
            <w:tcW w:w="3663" w:type="dxa"/>
            <w:vAlign w:val="center"/>
          </w:tcPr>
          <w:p w14:paraId="12E338FC">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不按甲方要求实施整改的</w:t>
            </w:r>
          </w:p>
        </w:tc>
        <w:tc>
          <w:tcPr>
            <w:tcW w:w="1067" w:type="dxa"/>
            <w:vAlign w:val="center"/>
          </w:tcPr>
          <w:p w14:paraId="6D5E258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74" w:type="dxa"/>
            <w:vAlign w:val="center"/>
          </w:tcPr>
          <w:p w14:paraId="71ACB57C">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每延迟一天扣</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00-</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000，至整改至符合甲方要求止</w:t>
            </w:r>
          </w:p>
        </w:tc>
      </w:tr>
      <w:tr w14:paraId="3AC8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0" w:type="dxa"/>
            <w:vMerge w:val="continue"/>
            <w:vAlign w:val="center"/>
          </w:tcPr>
          <w:p w14:paraId="00AF9850">
            <w:pPr>
              <w:spacing w:line="460" w:lineRule="exact"/>
              <w:jc w:val="center"/>
              <w:rPr>
                <w:rFonts w:ascii="新宋体" w:hAnsi="新宋体" w:eastAsia="新宋体" w:cs="新宋体"/>
                <w:color w:val="auto"/>
                <w:sz w:val="22"/>
                <w:szCs w:val="22"/>
                <w:highlight w:val="none"/>
              </w:rPr>
            </w:pPr>
          </w:p>
        </w:tc>
        <w:tc>
          <w:tcPr>
            <w:tcW w:w="1570" w:type="dxa"/>
            <w:gridSpan w:val="2"/>
            <w:vMerge w:val="continue"/>
            <w:vAlign w:val="center"/>
          </w:tcPr>
          <w:p w14:paraId="13C9045A">
            <w:pPr>
              <w:tabs>
                <w:tab w:val="left" w:pos="420"/>
              </w:tabs>
              <w:adjustRightInd w:val="0"/>
              <w:spacing w:line="460" w:lineRule="exact"/>
              <w:jc w:val="center"/>
              <w:rPr>
                <w:rFonts w:ascii="新宋体" w:hAnsi="新宋体" w:eastAsia="新宋体" w:cs="新宋体"/>
                <w:bCs/>
                <w:color w:val="auto"/>
                <w:sz w:val="22"/>
                <w:szCs w:val="22"/>
                <w:highlight w:val="none"/>
              </w:rPr>
            </w:pPr>
          </w:p>
        </w:tc>
        <w:tc>
          <w:tcPr>
            <w:tcW w:w="3663" w:type="dxa"/>
            <w:vAlign w:val="center"/>
          </w:tcPr>
          <w:p w14:paraId="56370613">
            <w:pPr>
              <w:tabs>
                <w:tab w:val="left" w:pos="420"/>
              </w:tabs>
              <w:adjustRightIn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影响系统正常运转的，造成后果的</w:t>
            </w:r>
          </w:p>
        </w:tc>
        <w:tc>
          <w:tcPr>
            <w:tcW w:w="1067" w:type="dxa"/>
            <w:vAlign w:val="center"/>
          </w:tcPr>
          <w:p w14:paraId="3618CE3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74" w:type="dxa"/>
            <w:vAlign w:val="center"/>
          </w:tcPr>
          <w:p w14:paraId="7C79EB7D">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每次扣1000</w:t>
            </w:r>
          </w:p>
        </w:tc>
      </w:tr>
      <w:tr w14:paraId="0B67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0" w:type="dxa"/>
            <w:vAlign w:val="center"/>
          </w:tcPr>
          <w:p w14:paraId="3B6186E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w:t>
            </w:r>
          </w:p>
        </w:tc>
        <w:tc>
          <w:tcPr>
            <w:tcW w:w="5233" w:type="dxa"/>
            <w:gridSpan w:val="3"/>
            <w:vAlign w:val="center"/>
          </w:tcPr>
          <w:p w14:paraId="2AA3DBAD">
            <w:pPr>
              <w:tabs>
                <w:tab w:val="left" w:pos="420"/>
              </w:tabs>
              <w:adjustRightIn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保管场地或配套设施不符合要求的</w:t>
            </w:r>
          </w:p>
        </w:tc>
        <w:tc>
          <w:tcPr>
            <w:tcW w:w="1067" w:type="dxa"/>
            <w:vAlign w:val="center"/>
          </w:tcPr>
          <w:p w14:paraId="62A20CB2">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p>
        </w:tc>
        <w:tc>
          <w:tcPr>
            <w:tcW w:w="2874" w:type="dxa"/>
            <w:vAlign w:val="center"/>
          </w:tcPr>
          <w:p w14:paraId="0B61F9B9">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视情扣500-2000，并整改至符合甲方要求止</w:t>
            </w:r>
          </w:p>
        </w:tc>
      </w:tr>
    </w:tbl>
    <w:p w14:paraId="05E7809F">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七、履约验收要求</w:t>
      </w:r>
    </w:p>
    <w:p w14:paraId="09276E22">
      <w:pPr>
        <w:spacing w:line="460" w:lineRule="exact"/>
        <w:ind w:left="0" w:leftChars="0" w:firstLine="418" w:firstLineChars="190"/>
        <w:rPr>
          <w:color w:val="auto"/>
          <w:highlight w:val="none"/>
        </w:rPr>
      </w:pPr>
      <w:r>
        <w:rPr>
          <w:rFonts w:hint="eastAsia" w:ascii="新宋体" w:hAnsi="新宋体" w:eastAsia="新宋体" w:cs="新宋体"/>
          <w:color w:val="auto"/>
          <w:sz w:val="22"/>
          <w:szCs w:val="22"/>
          <w:highlight w:val="none"/>
        </w:rPr>
        <w:t>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r>
        <w:rPr>
          <w:rFonts w:hint="eastAsia" w:ascii="宋体" w:hAnsi="宋体" w:cs="宋体"/>
          <w:b/>
          <w:color w:val="auto"/>
          <w:sz w:val="30"/>
          <w:highlight w:val="none"/>
        </w:rPr>
        <w:br w:type="page"/>
      </w:r>
    </w:p>
    <w:p w14:paraId="3415F42F">
      <w:pPr>
        <w:keepNext/>
        <w:keepLines/>
        <w:rPr>
          <w:rFonts w:ascii="宋体" w:hAnsi="宋体" w:cs="宋体"/>
          <w:color w:val="auto"/>
          <w:highlight w:val="none"/>
        </w:rPr>
      </w:pPr>
    </w:p>
    <w:p w14:paraId="6B2512D3">
      <w:pPr>
        <w:pStyle w:val="2"/>
        <w:rPr>
          <w:rFonts w:ascii="宋体" w:hAnsi="宋体" w:eastAsia="宋体" w:cs="宋体"/>
          <w:color w:val="auto"/>
          <w:highlight w:val="none"/>
        </w:rPr>
      </w:pPr>
      <w:bookmarkStart w:id="67" w:name="_Toc18194"/>
      <w:bookmarkStart w:id="68" w:name="_Toc30323"/>
      <w:r>
        <w:rPr>
          <w:rFonts w:hint="eastAsia" w:ascii="宋体" w:hAnsi="宋体" w:eastAsia="宋体" w:cs="宋体"/>
          <w:color w:val="auto"/>
          <w:highlight w:val="none"/>
        </w:rPr>
        <w:t>第五部分   评标原则及方法</w:t>
      </w:r>
      <w:bookmarkEnd w:id="67"/>
      <w:bookmarkEnd w:id="68"/>
    </w:p>
    <w:p w14:paraId="4E66732E">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54B748F6">
      <w:pPr>
        <w:spacing w:line="460" w:lineRule="exact"/>
        <w:ind w:firstLine="541" w:firstLineChars="245"/>
        <w:outlineLvl w:val="1"/>
        <w:rPr>
          <w:rFonts w:ascii="宋体" w:hAnsi="宋体" w:cs="宋体"/>
          <w:b/>
          <w:color w:val="auto"/>
          <w:sz w:val="22"/>
          <w:szCs w:val="22"/>
          <w:highlight w:val="none"/>
        </w:rPr>
      </w:pPr>
      <w:bookmarkStart w:id="69" w:name="_Toc15713"/>
      <w:bookmarkStart w:id="70" w:name="_Toc4407"/>
      <w:r>
        <w:rPr>
          <w:rFonts w:hint="eastAsia" w:ascii="宋体" w:hAnsi="宋体" w:cs="宋体"/>
          <w:b/>
          <w:color w:val="auto"/>
          <w:sz w:val="22"/>
          <w:szCs w:val="22"/>
          <w:highlight w:val="none"/>
        </w:rPr>
        <w:t>一、总 则</w:t>
      </w:r>
      <w:bookmarkEnd w:id="69"/>
      <w:bookmarkEnd w:id="70"/>
    </w:p>
    <w:p w14:paraId="1D6F5EF4">
      <w:pPr>
        <w:spacing w:line="460" w:lineRule="exact"/>
        <w:ind w:firstLine="539" w:firstLineChars="245"/>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5FC99037">
      <w:pPr>
        <w:spacing w:line="460" w:lineRule="exact"/>
        <w:ind w:firstLine="541" w:firstLineChars="245"/>
        <w:outlineLvl w:val="1"/>
        <w:rPr>
          <w:rFonts w:ascii="宋体" w:hAnsi="宋体" w:cs="宋体"/>
          <w:b/>
          <w:color w:val="auto"/>
          <w:sz w:val="22"/>
          <w:szCs w:val="22"/>
          <w:highlight w:val="none"/>
        </w:rPr>
      </w:pPr>
      <w:bookmarkStart w:id="71" w:name="_Toc24468"/>
      <w:bookmarkStart w:id="72" w:name="_Toc23152"/>
      <w:r>
        <w:rPr>
          <w:rFonts w:hint="eastAsia" w:ascii="宋体" w:hAnsi="宋体" w:cs="宋体"/>
          <w:b/>
          <w:color w:val="auto"/>
          <w:sz w:val="22"/>
          <w:szCs w:val="22"/>
          <w:highlight w:val="none"/>
        </w:rPr>
        <w:t>二、评标组织</w:t>
      </w:r>
      <w:bookmarkEnd w:id="71"/>
      <w:bookmarkEnd w:id="72"/>
    </w:p>
    <w:p w14:paraId="44401C4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评标工作由招标人组建的评标委员会负责，评标全过程由有关部门指导监督。</w:t>
      </w:r>
    </w:p>
    <w:p w14:paraId="62C4DDC9">
      <w:pPr>
        <w:spacing w:line="460" w:lineRule="exact"/>
        <w:ind w:firstLine="541" w:firstLineChars="245"/>
        <w:outlineLvl w:val="1"/>
        <w:rPr>
          <w:rFonts w:ascii="宋体" w:hAnsi="宋体" w:cs="宋体"/>
          <w:b/>
          <w:color w:val="auto"/>
          <w:sz w:val="22"/>
          <w:szCs w:val="22"/>
          <w:highlight w:val="none"/>
        </w:rPr>
      </w:pPr>
      <w:bookmarkStart w:id="73" w:name="_Toc15153"/>
      <w:bookmarkStart w:id="74" w:name="_Toc67"/>
      <w:r>
        <w:rPr>
          <w:rFonts w:hint="eastAsia" w:ascii="宋体" w:hAnsi="宋体" w:cs="宋体"/>
          <w:b/>
          <w:color w:val="auto"/>
          <w:sz w:val="22"/>
          <w:szCs w:val="22"/>
          <w:highlight w:val="none"/>
        </w:rPr>
        <w:t>三、评标程序</w:t>
      </w:r>
      <w:bookmarkEnd w:id="73"/>
      <w:bookmarkEnd w:id="74"/>
    </w:p>
    <w:p w14:paraId="4FBE2E3B">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14:paraId="2BE2366B">
      <w:pPr>
        <w:spacing w:line="460" w:lineRule="exact"/>
        <w:ind w:firstLine="541" w:firstLineChars="245"/>
        <w:outlineLvl w:val="1"/>
        <w:rPr>
          <w:rFonts w:ascii="宋体" w:hAnsi="宋体" w:cs="宋体"/>
          <w:b/>
          <w:color w:val="auto"/>
          <w:sz w:val="22"/>
          <w:szCs w:val="22"/>
          <w:highlight w:val="none"/>
        </w:rPr>
      </w:pPr>
      <w:bookmarkStart w:id="75" w:name="_Toc24825"/>
      <w:bookmarkStart w:id="76" w:name="_Toc11306"/>
      <w:r>
        <w:rPr>
          <w:rFonts w:hint="eastAsia" w:ascii="宋体" w:hAnsi="宋体" w:cs="宋体"/>
          <w:b/>
          <w:color w:val="auto"/>
          <w:sz w:val="22"/>
          <w:szCs w:val="22"/>
          <w:highlight w:val="none"/>
        </w:rPr>
        <w:t>四、评标办法</w:t>
      </w:r>
      <w:bookmarkEnd w:id="75"/>
      <w:bookmarkEnd w:id="76"/>
    </w:p>
    <w:p w14:paraId="5AAC5E63">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szCs w:val="22"/>
          <w:highlight w:val="none"/>
        </w:rPr>
        <w:t>总分设定为100分：技术标90分（权值90%），商务标（报价）10分（权值10%）。</w:t>
      </w:r>
    </w:p>
    <w:p w14:paraId="24583D32">
      <w:pPr>
        <w:numPr>
          <w:ilvl w:val="0"/>
          <w:numId w:val="6"/>
        </w:numPr>
        <w:spacing w:line="460" w:lineRule="exact"/>
        <w:ind w:firstLine="541" w:firstLineChars="245"/>
        <w:outlineLvl w:val="1"/>
        <w:rPr>
          <w:rFonts w:ascii="宋体" w:hAnsi="宋体" w:cs="宋体"/>
          <w:b/>
          <w:color w:val="auto"/>
          <w:sz w:val="22"/>
          <w:szCs w:val="22"/>
          <w:highlight w:val="none"/>
        </w:rPr>
      </w:pPr>
      <w:bookmarkStart w:id="77" w:name="_Toc1535"/>
      <w:bookmarkStart w:id="78" w:name="_Toc11450"/>
      <w:r>
        <w:rPr>
          <w:rFonts w:hint="eastAsia" w:ascii="宋体" w:hAnsi="宋体" w:cs="宋体"/>
          <w:b/>
          <w:color w:val="auto"/>
          <w:sz w:val="22"/>
          <w:szCs w:val="22"/>
          <w:highlight w:val="none"/>
        </w:rPr>
        <w:t>评分细则</w:t>
      </w:r>
      <w:bookmarkEnd w:id="77"/>
      <w:bookmarkEnd w:id="78"/>
    </w:p>
    <w:p w14:paraId="15AE39F6">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1、技术分的评定：技术标90分（权值90%）</w:t>
      </w:r>
    </w:p>
    <w:p w14:paraId="625D769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16"/>
        <w:tblpPr w:leftFromText="180" w:rightFromText="180" w:vertAnchor="text" w:horzAnchor="page" w:tblpX="1130" w:tblpY="30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83"/>
        <w:gridCol w:w="1080"/>
        <w:gridCol w:w="5639"/>
      </w:tblGrid>
      <w:tr w14:paraId="27B4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6DFDE7E">
            <w:pPr>
              <w:widowControl/>
              <w:adjustRightInd w:val="0"/>
              <w:snapToGrid w:val="0"/>
              <w:spacing w:line="460" w:lineRule="exact"/>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2183" w:type="dxa"/>
            <w:vAlign w:val="center"/>
          </w:tcPr>
          <w:p w14:paraId="63AA2DC7">
            <w:pPr>
              <w:widowControl/>
              <w:adjustRightInd w:val="0"/>
              <w:snapToGrid w:val="0"/>
              <w:spacing w:line="460" w:lineRule="exact"/>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评分内容</w:t>
            </w:r>
          </w:p>
        </w:tc>
        <w:tc>
          <w:tcPr>
            <w:tcW w:w="1080" w:type="dxa"/>
            <w:vAlign w:val="center"/>
          </w:tcPr>
          <w:p w14:paraId="62167C28">
            <w:pPr>
              <w:widowControl/>
              <w:adjustRightInd w:val="0"/>
              <w:snapToGrid w:val="0"/>
              <w:spacing w:line="460" w:lineRule="exact"/>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分值</w:t>
            </w:r>
          </w:p>
        </w:tc>
        <w:tc>
          <w:tcPr>
            <w:tcW w:w="5639" w:type="dxa"/>
            <w:vAlign w:val="center"/>
          </w:tcPr>
          <w:p w14:paraId="6574FD69">
            <w:pPr>
              <w:widowControl/>
              <w:adjustRightInd w:val="0"/>
              <w:snapToGrid w:val="0"/>
              <w:spacing w:line="460" w:lineRule="exact"/>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备注</w:t>
            </w:r>
          </w:p>
        </w:tc>
      </w:tr>
      <w:tr w14:paraId="6E4E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14:paraId="47C8E7B9">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183" w:type="dxa"/>
            <w:vMerge w:val="restart"/>
            <w:vAlign w:val="center"/>
          </w:tcPr>
          <w:p w14:paraId="3B0A07D1">
            <w:pPr>
              <w:adjustRightInd w:val="0"/>
              <w:snapToGrid w:val="0"/>
              <w:spacing w:line="460" w:lineRule="exact"/>
              <w:ind w:left="74"/>
              <w:jc w:val="center"/>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各涉案车辆保管场地</w:t>
            </w:r>
            <w:r>
              <w:rPr>
                <w:rFonts w:hint="eastAsia" w:ascii="新宋体" w:hAnsi="新宋体" w:eastAsia="新宋体" w:cs="新宋体"/>
                <w:color w:val="auto"/>
                <w:sz w:val="22"/>
                <w:szCs w:val="22"/>
                <w:highlight w:val="none"/>
              </w:rPr>
              <w:t>情况（根据投标人所投标项服务区内情况进行评审）（提供相关证明材，未提供证明或提供证明不明确的不得分。）</w:t>
            </w:r>
          </w:p>
          <w:p w14:paraId="21C4EE95">
            <w:pPr>
              <w:spacing w:line="460" w:lineRule="exact"/>
              <w:jc w:val="center"/>
              <w:rPr>
                <w:rFonts w:ascii="新宋体" w:hAnsi="新宋体" w:eastAsia="新宋体" w:cs="新宋体"/>
                <w:color w:val="auto"/>
                <w:sz w:val="22"/>
                <w:szCs w:val="22"/>
                <w:highlight w:val="none"/>
              </w:rPr>
            </w:pPr>
          </w:p>
        </w:tc>
        <w:tc>
          <w:tcPr>
            <w:tcW w:w="1080" w:type="dxa"/>
            <w:vAlign w:val="center"/>
          </w:tcPr>
          <w:p w14:paraId="7F85CE4C">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8分</w:t>
            </w:r>
          </w:p>
        </w:tc>
        <w:tc>
          <w:tcPr>
            <w:tcW w:w="5639" w:type="dxa"/>
            <w:vAlign w:val="center"/>
          </w:tcPr>
          <w:p w14:paraId="3C6391C6">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该标项服务区根据</w:t>
            </w:r>
            <w:r>
              <w:rPr>
                <w:rFonts w:hint="eastAsia" w:ascii="新宋体" w:hAnsi="新宋体" w:eastAsia="新宋体"/>
                <w:color w:val="auto"/>
                <w:sz w:val="22"/>
                <w:szCs w:val="22"/>
                <w:highlight w:val="none"/>
              </w:rPr>
              <w:t>每个涉案车辆保管场地</w:t>
            </w:r>
            <w:r>
              <w:rPr>
                <w:rFonts w:hint="eastAsia" w:ascii="新宋体" w:hAnsi="新宋体" w:eastAsia="新宋体" w:cs="新宋体"/>
                <w:color w:val="auto"/>
                <w:sz w:val="22"/>
                <w:szCs w:val="22"/>
                <w:highlight w:val="none"/>
              </w:rPr>
              <w:t>的交通便利性，如取车便利性、车辆进出的便利性：</w:t>
            </w:r>
          </w:p>
          <w:p w14:paraId="63C4674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根据每个</w:t>
            </w:r>
            <w:r>
              <w:rPr>
                <w:rFonts w:hint="eastAsia" w:ascii="新宋体" w:hAnsi="新宋体" w:eastAsia="新宋体"/>
                <w:color w:val="auto"/>
                <w:sz w:val="22"/>
                <w:szCs w:val="22"/>
                <w:highlight w:val="none"/>
              </w:rPr>
              <w:t>车辆保管场地</w:t>
            </w:r>
            <w:r>
              <w:rPr>
                <w:rFonts w:hint="eastAsia" w:ascii="新宋体" w:hAnsi="新宋体" w:eastAsia="新宋体" w:cs="新宋体"/>
                <w:color w:val="auto"/>
                <w:sz w:val="22"/>
                <w:szCs w:val="22"/>
                <w:highlight w:val="none"/>
              </w:rPr>
              <w:t>取车便利性、车辆进出的</w:t>
            </w:r>
            <w:r>
              <w:rPr>
                <w:rFonts w:hint="eastAsia" w:ascii="新宋体" w:hAnsi="新宋体" w:eastAsia="新宋体" w:cs="新宋体"/>
                <w:color w:val="auto"/>
                <w:sz w:val="22"/>
                <w:szCs w:val="22"/>
                <w:highlight w:val="none"/>
                <w:lang w:val="en-US" w:eastAsia="zh-CN"/>
              </w:rPr>
              <w:t>安全</w:t>
            </w:r>
            <w:r>
              <w:rPr>
                <w:rFonts w:hint="eastAsia" w:ascii="新宋体" w:hAnsi="新宋体" w:eastAsia="新宋体" w:cs="新宋体"/>
                <w:color w:val="auto"/>
                <w:sz w:val="22"/>
                <w:szCs w:val="22"/>
                <w:highlight w:val="none"/>
              </w:rPr>
              <w:t>性</w:t>
            </w:r>
            <w:r>
              <w:rPr>
                <w:rFonts w:hint="eastAsia" w:ascii="新宋体" w:hAnsi="新宋体" w:eastAsia="新宋体" w:cs="新宋体"/>
                <w:color w:val="auto"/>
                <w:sz w:val="22"/>
                <w:szCs w:val="22"/>
                <w:highlight w:val="none"/>
                <w:lang w:val="en-US" w:eastAsia="zh-CN"/>
              </w:rPr>
              <w:t>完全</w:t>
            </w:r>
            <w:r>
              <w:rPr>
                <w:rFonts w:hint="eastAsia" w:ascii="新宋体" w:hAnsi="新宋体" w:eastAsia="新宋体" w:cs="新宋体"/>
                <w:color w:val="auto"/>
                <w:sz w:val="22"/>
                <w:szCs w:val="22"/>
                <w:highlight w:val="none"/>
              </w:rPr>
              <w:t>符合本项目的实施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合理且完全满足的</w:t>
            </w:r>
            <w:r>
              <w:rPr>
                <w:rFonts w:hint="eastAsia" w:ascii="新宋体" w:hAnsi="新宋体" w:eastAsia="新宋体" w:cs="新宋体"/>
                <w:color w:val="auto"/>
                <w:sz w:val="22"/>
                <w:szCs w:val="22"/>
                <w:highlight w:val="none"/>
              </w:rPr>
              <w:t>8分；</w:t>
            </w:r>
          </w:p>
          <w:p w14:paraId="6A4F8A88">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根据每个</w:t>
            </w:r>
            <w:r>
              <w:rPr>
                <w:rFonts w:hint="eastAsia" w:ascii="新宋体" w:hAnsi="新宋体" w:eastAsia="新宋体"/>
                <w:color w:val="auto"/>
                <w:sz w:val="22"/>
                <w:szCs w:val="22"/>
                <w:highlight w:val="none"/>
              </w:rPr>
              <w:t>车辆保管场地</w:t>
            </w:r>
            <w:r>
              <w:rPr>
                <w:rFonts w:hint="eastAsia" w:ascii="新宋体" w:hAnsi="新宋体" w:eastAsia="新宋体" w:cs="新宋体"/>
                <w:color w:val="auto"/>
                <w:sz w:val="22"/>
                <w:szCs w:val="22"/>
                <w:highlight w:val="none"/>
              </w:rPr>
              <w:t>取车便利性、车辆进出的</w:t>
            </w:r>
            <w:r>
              <w:rPr>
                <w:rFonts w:hint="eastAsia" w:ascii="新宋体" w:hAnsi="新宋体" w:eastAsia="新宋体" w:cs="新宋体"/>
                <w:color w:val="auto"/>
                <w:sz w:val="22"/>
                <w:szCs w:val="22"/>
                <w:highlight w:val="none"/>
                <w:lang w:val="en-US" w:eastAsia="zh-CN"/>
              </w:rPr>
              <w:t>安全</w:t>
            </w:r>
            <w:r>
              <w:rPr>
                <w:rFonts w:hint="eastAsia" w:ascii="新宋体" w:hAnsi="新宋体" w:eastAsia="新宋体" w:cs="新宋体"/>
                <w:color w:val="auto"/>
                <w:sz w:val="22"/>
                <w:szCs w:val="22"/>
                <w:highlight w:val="none"/>
              </w:rPr>
              <w:t>性基本符合本项目的实施，基本合理</w:t>
            </w:r>
            <w:r>
              <w:rPr>
                <w:rFonts w:hint="eastAsia" w:ascii="新宋体" w:hAnsi="新宋体" w:eastAsia="新宋体" w:cs="新宋体"/>
                <w:color w:val="auto"/>
                <w:sz w:val="22"/>
                <w:szCs w:val="22"/>
                <w:highlight w:val="none"/>
                <w:lang w:eastAsia="zh-CN"/>
              </w:rPr>
              <w:t>的</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w:t>
            </w:r>
          </w:p>
          <w:p w14:paraId="07670DAA">
            <w:pPr>
              <w:spacing w:line="460" w:lineRule="exact"/>
              <w:jc w:val="left"/>
              <w:rPr>
                <w:color w:val="auto"/>
              </w:rPr>
            </w:pPr>
            <w:r>
              <w:rPr>
                <w:rFonts w:hint="eastAsia" w:ascii="新宋体" w:hAnsi="新宋体" w:eastAsia="新宋体" w:cs="新宋体"/>
                <w:color w:val="auto"/>
                <w:sz w:val="22"/>
                <w:szCs w:val="22"/>
                <w:highlight w:val="none"/>
              </w:rPr>
              <w:t>根据每个</w:t>
            </w:r>
            <w:r>
              <w:rPr>
                <w:rFonts w:hint="eastAsia" w:ascii="新宋体" w:hAnsi="新宋体" w:eastAsia="新宋体"/>
                <w:color w:val="auto"/>
                <w:sz w:val="22"/>
                <w:szCs w:val="22"/>
                <w:highlight w:val="none"/>
              </w:rPr>
              <w:t>车辆保管场地</w:t>
            </w:r>
            <w:r>
              <w:rPr>
                <w:rFonts w:hint="eastAsia" w:ascii="新宋体" w:hAnsi="新宋体" w:eastAsia="新宋体" w:cs="新宋体"/>
                <w:color w:val="auto"/>
                <w:sz w:val="22"/>
                <w:szCs w:val="22"/>
                <w:highlight w:val="none"/>
              </w:rPr>
              <w:t>取车便利性、车辆进出的</w:t>
            </w:r>
            <w:r>
              <w:rPr>
                <w:rFonts w:hint="eastAsia" w:ascii="新宋体" w:hAnsi="新宋体" w:eastAsia="新宋体" w:cs="新宋体"/>
                <w:color w:val="auto"/>
                <w:sz w:val="22"/>
                <w:szCs w:val="22"/>
                <w:highlight w:val="none"/>
                <w:lang w:val="en-US" w:eastAsia="zh-CN"/>
              </w:rPr>
              <w:t>安全</w:t>
            </w:r>
            <w:r>
              <w:rPr>
                <w:rFonts w:hint="eastAsia" w:ascii="新宋体" w:hAnsi="新宋体" w:eastAsia="新宋体" w:cs="新宋体"/>
                <w:color w:val="auto"/>
                <w:sz w:val="22"/>
                <w:szCs w:val="22"/>
                <w:highlight w:val="none"/>
              </w:rPr>
              <w:t>性</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符合本项目的实施，</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合理</w:t>
            </w:r>
            <w:r>
              <w:rPr>
                <w:rFonts w:hint="eastAsia" w:ascii="新宋体" w:hAnsi="新宋体" w:eastAsia="新宋体" w:cs="新宋体"/>
                <w:color w:val="auto"/>
                <w:sz w:val="22"/>
                <w:szCs w:val="22"/>
                <w:highlight w:val="none"/>
                <w:lang w:eastAsia="zh-CN"/>
              </w:rPr>
              <w:t>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p w14:paraId="20D20494">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根据每个</w:t>
            </w:r>
            <w:r>
              <w:rPr>
                <w:rFonts w:hint="eastAsia" w:ascii="新宋体" w:hAnsi="新宋体" w:eastAsia="新宋体"/>
                <w:color w:val="auto"/>
                <w:sz w:val="22"/>
                <w:szCs w:val="22"/>
                <w:highlight w:val="none"/>
              </w:rPr>
              <w:t>车辆保管场地</w:t>
            </w:r>
            <w:r>
              <w:rPr>
                <w:rFonts w:hint="eastAsia" w:ascii="新宋体" w:hAnsi="新宋体" w:eastAsia="新宋体" w:cs="新宋体"/>
                <w:color w:val="auto"/>
                <w:sz w:val="22"/>
                <w:szCs w:val="22"/>
                <w:highlight w:val="none"/>
              </w:rPr>
              <w:t>取车便利性、车辆进出的</w:t>
            </w:r>
            <w:r>
              <w:rPr>
                <w:rFonts w:hint="eastAsia" w:ascii="新宋体" w:hAnsi="新宋体" w:eastAsia="新宋体" w:cs="新宋体"/>
                <w:color w:val="auto"/>
                <w:sz w:val="22"/>
                <w:szCs w:val="22"/>
                <w:highlight w:val="none"/>
                <w:lang w:val="en-US" w:eastAsia="zh-CN"/>
              </w:rPr>
              <w:t>安全</w:t>
            </w:r>
            <w:r>
              <w:rPr>
                <w:rFonts w:hint="eastAsia" w:ascii="新宋体" w:hAnsi="新宋体" w:eastAsia="新宋体" w:cs="新宋体"/>
                <w:color w:val="auto"/>
                <w:sz w:val="22"/>
                <w:szCs w:val="22"/>
                <w:highlight w:val="none"/>
              </w:rPr>
              <w:t>性</w:t>
            </w:r>
            <w:r>
              <w:rPr>
                <w:rFonts w:hint="eastAsia" w:ascii="新宋体" w:hAnsi="新宋体" w:eastAsia="新宋体" w:cs="新宋体"/>
                <w:color w:val="auto"/>
                <w:sz w:val="22"/>
                <w:szCs w:val="22"/>
                <w:highlight w:val="none"/>
                <w:lang w:val="en-US" w:eastAsia="zh-CN"/>
              </w:rPr>
              <w:t>较差的得2</w:t>
            </w:r>
            <w:r>
              <w:rPr>
                <w:rFonts w:hint="eastAsia" w:ascii="新宋体" w:hAnsi="新宋体" w:eastAsia="新宋体" w:cs="新宋体"/>
                <w:color w:val="auto"/>
                <w:sz w:val="22"/>
                <w:szCs w:val="22"/>
                <w:highlight w:val="none"/>
              </w:rPr>
              <w:t>分。</w:t>
            </w:r>
          </w:p>
        </w:tc>
      </w:tr>
      <w:tr w14:paraId="4B7F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14:paraId="6F26F65D">
            <w:pPr>
              <w:widowControl/>
              <w:spacing w:line="460" w:lineRule="exact"/>
              <w:jc w:val="center"/>
              <w:rPr>
                <w:rFonts w:ascii="新宋体" w:hAnsi="新宋体" w:eastAsia="新宋体" w:cs="新宋体"/>
                <w:color w:val="auto"/>
                <w:sz w:val="22"/>
                <w:szCs w:val="22"/>
                <w:highlight w:val="none"/>
              </w:rPr>
            </w:pPr>
          </w:p>
        </w:tc>
        <w:tc>
          <w:tcPr>
            <w:tcW w:w="2183" w:type="dxa"/>
            <w:vMerge w:val="continue"/>
            <w:vAlign w:val="center"/>
          </w:tcPr>
          <w:p w14:paraId="21D0A211">
            <w:pPr>
              <w:spacing w:line="460" w:lineRule="exact"/>
              <w:jc w:val="center"/>
              <w:rPr>
                <w:rFonts w:ascii="新宋体" w:hAnsi="新宋体" w:eastAsia="新宋体" w:cs="新宋体"/>
                <w:color w:val="auto"/>
                <w:sz w:val="22"/>
                <w:szCs w:val="22"/>
                <w:highlight w:val="none"/>
              </w:rPr>
            </w:pPr>
          </w:p>
        </w:tc>
        <w:tc>
          <w:tcPr>
            <w:tcW w:w="1080" w:type="dxa"/>
            <w:vAlign w:val="center"/>
          </w:tcPr>
          <w:p w14:paraId="25B4BCCC">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10分</w:t>
            </w:r>
          </w:p>
        </w:tc>
        <w:tc>
          <w:tcPr>
            <w:tcW w:w="5639" w:type="dxa"/>
            <w:vAlign w:val="center"/>
          </w:tcPr>
          <w:p w14:paraId="244F8A43">
            <w:pPr>
              <w:adjustRightInd w:val="0"/>
              <w:snapToGrid w:val="0"/>
              <w:spacing w:line="460" w:lineRule="exact"/>
              <w:rPr>
                <w:rFonts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该标项服务区各涉案车辆保管场地的与该标项服务区内各交警中队的距离远近（距离远近以常用导航软件测量的直线距离为准，</w:t>
            </w:r>
          </w:p>
          <w:p w14:paraId="3EE6BCDC">
            <w:pPr>
              <w:adjustRightInd w:val="0"/>
              <w:snapToGrid w:val="0"/>
              <w:spacing w:line="460" w:lineRule="exact"/>
              <w:rPr>
                <w:rFonts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根据投标人提供的各涉案车辆保管场地与该标项服务区内各交警中队的距离，能保证每个中队在3公里范围内的得10分；</w:t>
            </w:r>
          </w:p>
          <w:p w14:paraId="23F5AEC9">
            <w:pPr>
              <w:adjustRightInd w:val="0"/>
              <w:snapToGrid w:val="0"/>
              <w:spacing w:line="460" w:lineRule="exact"/>
              <w:rPr>
                <w:rFonts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能保证每个中队在6公里范围内的得8分。</w:t>
            </w:r>
          </w:p>
          <w:p w14:paraId="4707B3AA">
            <w:pPr>
              <w:adjustRightInd w:val="0"/>
              <w:snapToGrid w:val="0"/>
              <w:spacing w:line="460" w:lineRule="exact"/>
              <w:rPr>
                <w:rFonts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在6公里范围内的基础上缺少覆盖一个中队本项得4分，缺少覆盖两个中队2分，缺少覆盖三个及以上中队不得分</w:t>
            </w:r>
          </w:p>
          <w:p w14:paraId="293B8F8E">
            <w:pPr>
              <w:adjustRightInd w:val="0"/>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注：所提供的各车辆保管场地与该标项服务区内各交警中队的距离能保证在6公里范围内，但部分在3公里范围内的，按在6公里范围内计分。</w:t>
            </w:r>
          </w:p>
        </w:tc>
      </w:tr>
      <w:tr w14:paraId="1B87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14:paraId="7277E685">
            <w:pPr>
              <w:widowControl/>
              <w:spacing w:line="460" w:lineRule="exact"/>
              <w:jc w:val="center"/>
              <w:rPr>
                <w:rFonts w:ascii="新宋体" w:hAnsi="新宋体" w:eastAsia="新宋体" w:cs="新宋体"/>
                <w:color w:val="auto"/>
                <w:sz w:val="22"/>
                <w:szCs w:val="22"/>
                <w:highlight w:val="none"/>
              </w:rPr>
            </w:pPr>
          </w:p>
        </w:tc>
        <w:tc>
          <w:tcPr>
            <w:tcW w:w="2183" w:type="dxa"/>
            <w:vMerge w:val="continue"/>
            <w:vAlign w:val="center"/>
          </w:tcPr>
          <w:p w14:paraId="7BA48F11">
            <w:pPr>
              <w:spacing w:line="460" w:lineRule="exact"/>
              <w:jc w:val="center"/>
              <w:rPr>
                <w:rFonts w:ascii="新宋体" w:hAnsi="新宋体" w:eastAsia="新宋体" w:cs="新宋体"/>
                <w:color w:val="auto"/>
                <w:sz w:val="22"/>
                <w:szCs w:val="22"/>
                <w:highlight w:val="none"/>
              </w:rPr>
            </w:pPr>
          </w:p>
        </w:tc>
        <w:tc>
          <w:tcPr>
            <w:tcW w:w="1080" w:type="dxa"/>
            <w:vAlign w:val="center"/>
          </w:tcPr>
          <w:p w14:paraId="4D750254">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8分</w:t>
            </w:r>
          </w:p>
        </w:tc>
        <w:tc>
          <w:tcPr>
            <w:tcW w:w="5639" w:type="dxa"/>
            <w:vAlign w:val="center"/>
          </w:tcPr>
          <w:p w14:paraId="2CC4B895">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该标项服务区各涉案车辆保管场地的个数是否满足该标项服务区交通管理需要：</w:t>
            </w:r>
          </w:p>
          <w:p w14:paraId="7BDC68AF">
            <w:pPr>
              <w:adjustRightInd w:val="0"/>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未</w:t>
            </w:r>
            <w:r>
              <w:rPr>
                <w:rFonts w:hint="eastAsia" w:ascii="新宋体" w:hAnsi="新宋体" w:eastAsia="新宋体" w:cs="新宋体"/>
                <w:color w:val="auto"/>
                <w:sz w:val="22"/>
                <w:szCs w:val="22"/>
                <w:highlight w:val="none"/>
              </w:rPr>
              <w:t>满足本招标文件规定的车辆保管场地数量</w:t>
            </w:r>
            <w:r>
              <w:rPr>
                <w:rFonts w:hint="eastAsia" w:ascii="新宋体" w:hAnsi="新宋体" w:eastAsia="新宋体" w:cs="新宋体"/>
                <w:color w:val="auto"/>
                <w:sz w:val="22"/>
                <w:szCs w:val="22"/>
                <w:highlight w:val="none"/>
                <w:lang w:val="en-US" w:eastAsia="zh-CN"/>
              </w:rPr>
              <w:t>要求</w:t>
            </w:r>
            <w:r>
              <w:rPr>
                <w:rFonts w:hint="eastAsia" w:ascii="新宋体" w:hAnsi="新宋体" w:eastAsia="新宋体" w:cs="新宋体"/>
                <w:color w:val="auto"/>
                <w:sz w:val="22"/>
                <w:szCs w:val="22"/>
                <w:highlight w:val="none"/>
              </w:rPr>
              <w:t>的，不得分</w:t>
            </w:r>
            <w:r>
              <w:rPr>
                <w:rFonts w:hint="eastAsia" w:ascii="新宋体" w:hAnsi="新宋体" w:eastAsia="新宋体" w:cs="新宋体"/>
                <w:color w:val="auto"/>
                <w:sz w:val="22"/>
                <w:szCs w:val="22"/>
                <w:highlight w:val="none"/>
                <w:lang w:eastAsia="zh-CN"/>
              </w:rPr>
              <w:t>；</w:t>
            </w:r>
          </w:p>
          <w:p w14:paraId="77EDBAA0">
            <w:pPr>
              <w:adjustRightInd w:val="0"/>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满足该标项服务区交通管理需要，满足本招标文件规定的车辆保管场地数量的，得6分</w:t>
            </w:r>
            <w:r>
              <w:rPr>
                <w:rFonts w:hint="eastAsia" w:ascii="新宋体" w:hAnsi="新宋体" w:eastAsia="新宋体" w:cs="新宋体"/>
                <w:color w:val="auto"/>
                <w:sz w:val="22"/>
                <w:szCs w:val="22"/>
                <w:highlight w:val="none"/>
                <w:lang w:eastAsia="zh-CN"/>
              </w:rPr>
              <w:t>；</w:t>
            </w:r>
          </w:p>
          <w:p w14:paraId="41CD1748">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满足本招标文件规定的车辆保管场地数量的基础上，</w:t>
            </w:r>
            <w:r>
              <w:rPr>
                <w:rFonts w:hint="eastAsia" w:ascii="新宋体" w:hAnsi="新宋体" w:eastAsia="新宋体" w:cs="新宋体"/>
                <w:color w:val="auto"/>
                <w:sz w:val="22"/>
                <w:szCs w:val="22"/>
                <w:highlight w:val="none"/>
                <w:lang w:val="en-US" w:eastAsia="zh-CN"/>
              </w:rPr>
              <w:t>另有</w:t>
            </w:r>
            <w:r>
              <w:rPr>
                <w:rFonts w:hint="eastAsia" w:ascii="新宋体" w:hAnsi="新宋体" w:eastAsia="新宋体" w:cs="新宋体"/>
                <w:color w:val="auto"/>
                <w:sz w:val="22"/>
                <w:szCs w:val="22"/>
                <w:highlight w:val="none"/>
              </w:rPr>
              <w:t>增</w:t>
            </w:r>
            <w:r>
              <w:rPr>
                <w:rFonts w:hint="eastAsia" w:ascii="新宋体" w:hAnsi="新宋体" w:eastAsia="新宋体" w:cs="新宋体"/>
                <w:color w:val="auto"/>
                <w:sz w:val="22"/>
                <w:szCs w:val="22"/>
                <w:highlight w:val="none"/>
                <w:lang w:val="en-US" w:eastAsia="zh-CN"/>
              </w:rPr>
              <w:t>设</w:t>
            </w:r>
            <w:r>
              <w:rPr>
                <w:rFonts w:hint="eastAsia" w:ascii="新宋体" w:hAnsi="新宋体" w:eastAsia="新宋体" w:cs="新宋体"/>
                <w:color w:val="auto"/>
                <w:sz w:val="22"/>
                <w:szCs w:val="22"/>
                <w:highlight w:val="none"/>
              </w:rPr>
              <w:t>1个及以上保管场地的，得</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分，</w:t>
            </w:r>
          </w:p>
          <w:p w14:paraId="4F45A12B">
            <w:pPr>
              <w:adjustRightInd w:val="0"/>
              <w:snapToGrid w:val="0"/>
              <w:spacing w:line="460" w:lineRule="exact"/>
              <w:rPr>
                <w:rFonts w:hint="eastAsia" w:eastAsia="新宋体"/>
                <w:color w:val="auto"/>
                <w:lang w:eastAsia="zh-CN"/>
              </w:rPr>
            </w:pPr>
            <w:r>
              <w:rPr>
                <w:rFonts w:hint="eastAsia" w:ascii="新宋体" w:hAnsi="新宋体" w:eastAsia="新宋体" w:cs="新宋体"/>
                <w:color w:val="auto"/>
                <w:sz w:val="22"/>
                <w:szCs w:val="22"/>
                <w:highlight w:val="none"/>
              </w:rPr>
              <w:t>本项最多8分</w:t>
            </w:r>
            <w:r>
              <w:rPr>
                <w:rFonts w:hint="eastAsia" w:ascii="新宋体" w:hAnsi="新宋体" w:eastAsia="新宋体" w:cs="新宋体"/>
                <w:color w:val="auto"/>
                <w:sz w:val="22"/>
                <w:szCs w:val="22"/>
                <w:highlight w:val="none"/>
                <w:lang w:eastAsia="zh-CN"/>
              </w:rPr>
              <w:t>。</w:t>
            </w:r>
          </w:p>
        </w:tc>
      </w:tr>
      <w:tr w14:paraId="6477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14:paraId="2FEF1984">
            <w:pPr>
              <w:widowControl/>
              <w:spacing w:line="460" w:lineRule="exact"/>
              <w:jc w:val="center"/>
              <w:rPr>
                <w:rFonts w:ascii="新宋体" w:hAnsi="新宋体" w:eastAsia="新宋体" w:cs="新宋体"/>
                <w:color w:val="auto"/>
                <w:sz w:val="22"/>
                <w:szCs w:val="22"/>
                <w:highlight w:val="none"/>
              </w:rPr>
            </w:pPr>
          </w:p>
        </w:tc>
        <w:tc>
          <w:tcPr>
            <w:tcW w:w="2183" w:type="dxa"/>
            <w:vMerge w:val="continue"/>
            <w:vAlign w:val="center"/>
          </w:tcPr>
          <w:p w14:paraId="7458F3A6">
            <w:pPr>
              <w:spacing w:line="460" w:lineRule="exact"/>
              <w:jc w:val="center"/>
              <w:rPr>
                <w:rFonts w:ascii="新宋体" w:hAnsi="新宋体" w:eastAsia="新宋体" w:cs="新宋体"/>
                <w:color w:val="auto"/>
                <w:sz w:val="22"/>
                <w:szCs w:val="22"/>
                <w:highlight w:val="none"/>
              </w:rPr>
            </w:pPr>
          </w:p>
        </w:tc>
        <w:tc>
          <w:tcPr>
            <w:tcW w:w="1080" w:type="dxa"/>
            <w:vAlign w:val="center"/>
          </w:tcPr>
          <w:p w14:paraId="31378DB1">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25分</w:t>
            </w:r>
          </w:p>
        </w:tc>
        <w:tc>
          <w:tcPr>
            <w:tcW w:w="5639" w:type="dxa"/>
            <w:vAlign w:val="center"/>
          </w:tcPr>
          <w:p w14:paraId="6C621716">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该标项服务区各涉案车辆保管场地的面积是否满足该标项服务区交通管理需要：</w:t>
            </w:r>
          </w:p>
          <w:p w14:paraId="4038FE64">
            <w:pPr>
              <w:adjustRightInd w:val="0"/>
              <w:snapToGrid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满足</w:t>
            </w:r>
            <w:r>
              <w:rPr>
                <w:rFonts w:hint="eastAsia" w:ascii="新宋体" w:hAnsi="新宋体" w:eastAsia="新宋体" w:cs="新宋体"/>
                <w:color w:val="auto"/>
                <w:sz w:val="22"/>
                <w:szCs w:val="22"/>
                <w:highlight w:val="none"/>
              </w:rPr>
              <w:t>本招标文件</w:t>
            </w:r>
            <w:r>
              <w:rPr>
                <w:rFonts w:hint="eastAsia" w:ascii="新宋体" w:hAnsi="新宋体" w:eastAsia="新宋体" w:cs="新宋体"/>
                <w:color w:val="auto"/>
                <w:sz w:val="22"/>
                <w:szCs w:val="22"/>
                <w:highlight w:val="none"/>
                <w:lang w:val="en-US" w:eastAsia="zh-CN"/>
              </w:rPr>
              <w:t>规定</w:t>
            </w:r>
            <w:r>
              <w:rPr>
                <w:rFonts w:hint="eastAsia" w:ascii="新宋体" w:hAnsi="新宋体" w:eastAsia="新宋体" w:cs="新宋体"/>
                <w:color w:val="auto"/>
                <w:sz w:val="22"/>
                <w:szCs w:val="22"/>
                <w:highlight w:val="none"/>
              </w:rPr>
              <w:t>的车辆保管场地</w:t>
            </w:r>
            <w:r>
              <w:rPr>
                <w:rFonts w:hint="eastAsia" w:ascii="新宋体" w:hAnsi="新宋体" w:eastAsia="新宋体" w:cs="新宋体"/>
                <w:color w:val="auto"/>
                <w:sz w:val="22"/>
                <w:szCs w:val="22"/>
                <w:highlight w:val="none"/>
                <w:lang w:val="en-US" w:eastAsia="zh-CN"/>
              </w:rPr>
              <w:t>总</w:t>
            </w:r>
            <w:r>
              <w:rPr>
                <w:rFonts w:hint="eastAsia" w:ascii="新宋体" w:hAnsi="新宋体" w:eastAsia="新宋体" w:cs="新宋体"/>
                <w:color w:val="auto"/>
                <w:sz w:val="22"/>
                <w:szCs w:val="22"/>
                <w:highlight w:val="none"/>
              </w:rPr>
              <w:t>面积</w:t>
            </w:r>
            <w:r>
              <w:rPr>
                <w:rFonts w:hint="eastAsia" w:ascii="新宋体" w:hAnsi="新宋体" w:eastAsia="新宋体" w:cs="新宋体"/>
                <w:color w:val="auto"/>
                <w:sz w:val="22"/>
                <w:szCs w:val="22"/>
                <w:highlight w:val="none"/>
                <w:lang w:val="en-US" w:eastAsia="zh-CN"/>
              </w:rPr>
              <w:t>要求</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得25分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总面积每减少300平方米扣1分，扣完为止；减少面积不足300平方米，按直线插入法计算。</w:t>
            </w:r>
          </w:p>
          <w:p w14:paraId="5C8056FB">
            <w:pPr>
              <w:adjustRightInd w:val="0"/>
              <w:snapToGrid w:val="0"/>
              <w:spacing w:line="460" w:lineRule="exact"/>
              <w:rPr>
                <w:rFonts w:hint="default"/>
                <w:color w:val="auto"/>
                <w:lang w:val="en-US"/>
              </w:rPr>
            </w:pPr>
            <w:r>
              <w:rPr>
                <w:rFonts w:hint="eastAsia" w:ascii="新宋体" w:hAnsi="新宋体" w:eastAsia="新宋体" w:cs="新宋体"/>
                <w:color w:val="auto"/>
                <w:sz w:val="22"/>
                <w:szCs w:val="22"/>
                <w:highlight w:val="none"/>
                <w:lang w:val="en-US" w:eastAsia="zh-CN"/>
              </w:rPr>
              <w:t>注：1、如果提供的保管场地不满足本招标文件规定的车辆保管场地面积要求的（小于2000平方米），不计入总面积；2、未满足本招标文件规定的车辆保管场地数量要求的，本项目不得分；3、</w:t>
            </w:r>
            <w:r>
              <w:rPr>
                <w:rFonts w:hint="eastAsia" w:ascii="新宋体" w:hAnsi="新宋体" w:eastAsia="新宋体" w:cs="新宋体"/>
                <w:color w:val="auto"/>
                <w:sz w:val="22"/>
                <w:szCs w:val="22"/>
                <w:highlight w:val="none"/>
              </w:rPr>
              <w:t>未提供证明或证明不明确</w:t>
            </w:r>
            <w:r>
              <w:rPr>
                <w:rFonts w:hint="eastAsia" w:ascii="新宋体" w:hAnsi="新宋体" w:eastAsia="新宋体" w:cs="新宋体"/>
                <w:color w:val="auto"/>
                <w:sz w:val="22"/>
                <w:szCs w:val="22"/>
                <w:highlight w:val="none"/>
                <w:lang w:val="en-US" w:eastAsia="zh-CN"/>
              </w:rPr>
              <w:t>或承诺</w:t>
            </w:r>
            <w:r>
              <w:rPr>
                <w:rFonts w:hint="eastAsia" w:ascii="新宋体" w:hAnsi="新宋体" w:eastAsia="新宋体" w:cs="新宋体"/>
                <w:color w:val="auto"/>
                <w:sz w:val="22"/>
                <w:szCs w:val="22"/>
                <w:highlight w:val="none"/>
              </w:rPr>
              <w:t>的不得分。</w:t>
            </w:r>
          </w:p>
        </w:tc>
      </w:tr>
      <w:tr w14:paraId="400F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14:paraId="6362EE3B">
            <w:pPr>
              <w:widowControl/>
              <w:spacing w:line="460" w:lineRule="exact"/>
              <w:jc w:val="center"/>
              <w:rPr>
                <w:rFonts w:ascii="新宋体" w:hAnsi="新宋体" w:eastAsia="新宋体" w:cs="新宋体"/>
                <w:color w:val="auto"/>
                <w:sz w:val="22"/>
                <w:szCs w:val="22"/>
                <w:highlight w:val="none"/>
              </w:rPr>
            </w:pPr>
          </w:p>
        </w:tc>
        <w:tc>
          <w:tcPr>
            <w:tcW w:w="2183" w:type="dxa"/>
            <w:vMerge w:val="continue"/>
            <w:vAlign w:val="center"/>
          </w:tcPr>
          <w:p w14:paraId="47F10AC2">
            <w:pPr>
              <w:spacing w:line="460" w:lineRule="exact"/>
              <w:jc w:val="center"/>
              <w:rPr>
                <w:rFonts w:ascii="新宋体" w:hAnsi="新宋体" w:eastAsia="新宋体" w:cs="新宋体"/>
                <w:color w:val="auto"/>
                <w:sz w:val="22"/>
                <w:szCs w:val="22"/>
                <w:highlight w:val="none"/>
              </w:rPr>
            </w:pPr>
          </w:p>
        </w:tc>
        <w:tc>
          <w:tcPr>
            <w:tcW w:w="1080" w:type="dxa"/>
            <w:vAlign w:val="center"/>
          </w:tcPr>
          <w:p w14:paraId="00E0A068">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w:t>
            </w:r>
          </w:p>
        </w:tc>
        <w:tc>
          <w:tcPr>
            <w:tcW w:w="5639" w:type="dxa"/>
            <w:vAlign w:val="center"/>
          </w:tcPr>
          <w:p w14:paraId="68237D7C">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该标项服务区每个涉案车辆保管场地均安装视频监控设备，视频监控设备须做到对整个车辆保管场地进行全范围无死角监控和三个月以上的视频保存期，并且配备专线宽带，方便主管部门随时调取现场监控，掌握现场情况。（提供现场照片，监控型号、参数及布置图，视频存储设备型号及参数）得2分，无不得分</w:t>
            </w:r>
          </w:p>
        </w:tc>
      </w:tr>
      <w:tr w14:paraId="793C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834" w:type="dxa"/>
            <w:vMerge w:val="continue"/>
            <w:vAlign w:val="center"/>
          </w:tcPr>
          <w:p w14:paraId="03B33897">
            <w:pPr>
              <w:widowControl/>
              <w:spacing w:line="460" w:lineRule="exact"/>
              <w:jc w:val="center"/>
              <w:rPr>
                <w:rFonts w:ascii="新宋体" w:hAnsi="新宋体" w:eastAsia="新宋体" w:cs="新宋体"/>
                <w:color w:val="auto"/>
                <w:sz w:val="22"/>
                <w:szCs w:val="22"/>
                <w:highlight w:val="none"/>
              </w:rPr>
            </w:pPr>
          </w:p>
        </w:tc>
        <w:tc>
          <w:tcPr>
            <w:tcW w:w="2183" w:type="dxa"/>
            <w:vMerge w:val="continue"/>
            <w:vAlign w:val="center"/>
          </w:tcPr>
          <w:p w14:paraId="13FC3CFE">
            <w:pPr>
              <w:spacing w:line="460" w:lineRule="exact"/>
              <w:jc w:val="center"/>
              <w:rPr>
                <w:rFonts w:ascii="新宋体" w:hAnsi="新宋体" w:eastAsia="新宋体" w:cs="新宋体"/>
                <w:color w:val="auto"/>
                <w:sz w:val="22"/>
                <w:szCs w:val="22"/>
                <w:highlight w:val="none"/>
              </w:rPr>
            </w:pPr>
          </w:p>
        </w:tc>
        <w:tc>
          <w:tcPr>
            <w:tcW w:w="1080" w:type="dxa"/>
            <w:vAlign w:val="center"/>
          </w:tcPr>
          <w:p w14:paraId="4BBE0025">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5639" w:type="dxa"/>
            <w:vAlign w:val="center"/>
          </w:tcPr>
          <w:p w14:paraId="0E2C37E6">
            <w:pPr>
              <w:adjustRightInd w:val="0"/>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该标项服务区每个各涉案车辆保管场地均按照消防、公安规定制定相关制度，配备基础的消防安全设施，做好防火、安全、防冻等措施。场地必须配备充足的消防器材，其中4公斤手提式干粉灭火器不少于20个，35公斤推车式干粉灭火器不少于2个，消防沙不少于4立方米。</w:t>
            </w:r>
            <w:r>
              <w:rPr>
                <w:rFonts w:hint="eastAsia" w:ascii="新宋体" w:hAnsi="新宋体" w:eastAsia="新宋体"/>
                <w:color w:val="auto"/>
                <w:sz w:val="22"/>
                <w:szCs w:val="22"/>
                <w:highlight w:val="none"/>
              </w:rPr>
              <w:t>每少一个</w:t>
            </w:r>
            <w:r>
              <w:rPr>
                <w:rFonts w:hint="eastAsia" w:ascii="新宋体" w:hAnsi="新宋体" w:eastAsia="新宋体" w:cs="新宋体"/>
                <w:color w:val="auto"/>
                <w:sz w:val="22"/>
                <w:szCs w:val="22"/>
                <w:highlight w:val="none"/>
              </w:rPr>
              <w:t>车辆保管场地</w:t>
            </w:r>
            <w:r>
              <w:rPr>
                <w:rFonts w:hint="eastAsia" w:ascii="新宋体" w:hAnsi="新宋体" w:eastAsia="新宋体"/>
                <w:color w:val="auto"/>
                <w:sz w:val="22"/>
                <w:szCs w:val="22"/>
                <w:highlight w:val="none"/>
              </w:rPr>
              <w:t>的减2分，扣完为止</w:t>
            </w:r>
            <w:r>
              <w:rPr>
                <w:rFonts w:hint="eastAsia" w:ascii="新宋体" w:hAnsi="新宋体" w:eastAsia="新宋体"/>
                <w:color w:val="auto"/>
                <w:sz w:val="22"/>
                <w:szCs w:val="22"/>
                <w:highlight w:val="none"/>
                <w:lang w:eastAsia="zh-CN"/>
              </w:rPr>
              <w:t>。</w:t>
            </w:r>
          </w:p>
        </w:tc>
      </w:tr>
      <w:tr w14:paraId="2146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1FA68B6">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183" w:type="dxa"/>
            <w:vAlign w:val="center"/>
          </w:tcPr>
          <w:p w14:paraId="5258955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针对本项目的特点和难点分析及解决措施</w:t>
            </w:r>
          </w:p>
        </w:tc>
        <w:tc>
          <w:tcPr>
            <w:tcW w:w="1080" w:type="dxa"/>
            <w:vAlign w:val="center"/>
          </w:tcPr>
          <w:p w14:paraId="1CF6D097">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639" w:type="dxa"/>
            <w:vAlign w:val="center"/>
          </w:tcPr>
          <w:p w14:paraId="5E88DC7E">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本项目各项管理服务方案包括：管理方案，要求作出的具体承诺及所采用的流程、标准、具体实施计划和方案是否明确、科学、可行；质量的控制和检验手段是否科学、可靠：</w:t>
            </w:r>
          </w:p>
          <w:p w14:paraId="7266CE7C">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根据投标人提供的针对本项目的特点和难点分析及解决措施符合本项目的实施，且科学性、可行性、合理性得3分；</w:t>
            </w:r>
          </w:p>
          <w:p w14:paraId="089FE229">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根据投标人提供的针对本项目的特点和难点分析及解决措施基本符合本项目的实施，且基本合理性得2分；</w:t>
            </w:r>
          </w:p>
          <w:p w14:paraId="0BD35AA9">
            <w:pPr>
              <w:adjustRightInd w:val="0"/>
              <w:snapToGrid w:val="0"/>
              <w:spacing w:line="460" w:lineRule="exact"/>
              <w:ind w:left="74"/>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根据投标人提供的针对本项目的特点和难点分析及解决措施部分符合本项目的实施得1分</w:t>
            </w:r>
            <w:r>
              <w:rPr>
                <w:rFonts w:hint="eastAsia" w:ascii="新宋体" w:hAnsi="新宋体" w:eastAsia="新宋体" w:cs="新宋体"/>
                <w:color w:val="auto"/>
                <w:sz w:val="22"/>
                <w:szCs w:val="22"/>
                <w:highlight w:val="none"/>
                <w:lang w:eastAsia="zh-CN"/>
              </w:rPr>
              <w:t>。</w:t>
            </w:r>
          </w:p>
        </w:tc>
      </w:tr>
      <w:tr w14:paraId="6132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8CAA624">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183" w:type="dxa"/>
            <w:vAlign w:val="center"/>
          </w:tcPr>
          <w:p w14:paraId="6A55C58F">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服务方案</w:t>
            </w:r>
          </w:p>
        </w:tc>
        <w:tc>
          <w:tcPr>
            <w:tcW w:w="1080" w:type="dxa"/>
            <w:vAlign w:val="center"/>
          </w:tcPr>
          <w:p w14:paraId="0906FF40">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5639" w:type="dxa"/>
            <w:vAlign w:val="center"/>
          </w:tcPr>
          <w:p w14:paraId="0F3A6515">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根据投标人提供服务内容是否明确、相关管理措施、岗位责任制、服务措施、服务承诺及服务流程说明是否采取的高标准高水平的服务模式及措施及招标文件要求的响应程度：</w:t>
            </w:r>
          </w:p>
          <w:p w14:paraId="7F0A1793">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根据投标人提供的服务内容明确、相关管理措施、岗位责任制、服务措施、服务承诺及服务流程说明到位、可行性、合理性6分</w:t>
            </w:r>
          </w:p>
          <w:p w14:paraId="59F7ED6E">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根据投标人提供的服务内容</w:t>
            </w:r>
            <w:r>
              <w:rPr>
                <w:rFonts w:hint="eastAsia" w:ascii="新宋体" w:hAnsi="新宋体" w:eastAsia="新宋体" w:cs="新宋体"/>
                <w:color w:val="auto"/>
                <w:sz w:val="22"/>
                <w:szCs w:val="22"/>
                <w:highlight w:val="none"/>
                <w:lang w:val="en-US" w:eastAsia="zh-CN"/>
              </w:rPr>
              <w:t>基本</w:t>
            </w:r>
            <w:r>
              <w:rPr>
                <w:rFonts w:hint="eastAsia" w:ascii="新宋体" w:hAnsi="新宋体" w:eastAsia="新宋体" w:cs="新宋体"/>
                <w:color w:val="auto"/>
                <w:sz w:val="22"/>
                <w:szCs w:val="22"/>
                <w:highlight w:val="none"/>
              </w:rPr>
              <w:t>明确、相关管理措施、岗位责任制、服务措施、服务承诺及服务流程说明基本到位</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00AC998E">
            <w:pPr>
              <w:adjustRightInd w:val="0"/>
              <w:snapToGrid w:val="0"/>
              <w:spacing w:line="460" w:lineRule="exact"/>
              <w:ind w:left="74"/>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根据投标人提供的服务内容</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明确、相关管理措施、岗位责任制、服务措施、服务承诺及服务流程说明部分到位</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2D3C1F0E">
            <w:pPr>
              <w:adjustRightInd w:val="0"/>
              <w:snapToGrid w:val="0"/>
              <w:spacing w:line="460" w:lineRule="exact"/>
              <w:ind w:left="74"/>
              <w:rPr>
                <w:color w:val="auto"/>
              </w:rPr>
            </w:pPr>
            <w:r>
              <w:rPr>
                <w:rFonts w:hint="eastAsia" w:ascii="新宋体" w:hAnsi="新宋体" w:eastAsia="新宋体" w:cs="新宋体"/>
                <w:color w:val="auto"/>
                <w:sz w:val="22"/>
                <w:szCs w:val="22"/>
                <w:highlight w:val="none"/>
              </w:rPr>
              <w:t>根据投标人提供的服务内容</w:t>
            </w: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明确、相关管理措施、岗位责任制、服务措施、服务承诺及服务流程说明</w:t>
            </w: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到位</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tc>
      </w:tr>
      <w:tr w14:paraId="7D86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2B18682">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183" w:type="dxa"/>
            <w:vAlign w:val="center"/>
          </w:tcPr>
          <w:p w14:paraId="0B46142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服务质量保证措施</w:t>
            </w:r>
          </w:p>
        </w:tc>
        <w:tc>
          <w:tcPr>
            <w:tcW w:w="1080" w:type="dxa"/>
            <w:vAlign w:val="center"/>
          </w:tcPr>
          <w:p w14:paraId="1B809419">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5639" w:type="dxa"/>
            <w:vAlign w:val="center"/>
          </w:tcPr>
          <w:p w14:paraId="636205E3">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根据服务质量保证措施符合招标人需求：</w:t>
            </w:r>
          </w:p>
          <w:p w14:paraId="3C4A368A">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根据投标人提供的服务质量保证措施的科学性、可行性、合理性6分；</w:t>
            </w:r>
          </w:p>
          <w:p w14:paraId="024BC4CB">
            <w:pPr>
              <w:adjustRightInd w:val="0"/>
              <w:snapToGrid w:val="0"/>
              <w:spacing w:line="460" w:lineRule="exact"/>
              <w:ind w:left="74"/>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根据投标人提供的服务质量保证措施的基本合理</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0BE8BA11">
            <w:pPr>
              <w:adjustRightInd w:val="0"/>
              <w:snapToGrid w:val="0"/>
              <w:spacing w:line="460" w:lineRule="exact"/>
              <w:ind w:left="74"/>
              <w:rPr>
                <w:color w:val="auto"/>
              </w:rPr>
            </w:pPr>
            <w:r>
              <w:rPr>
                <w:rFonts w:hint="eastAsia" w:ascii="新宋体" w:hAnsi="新宋体" w:eastAsia="新宋体" w:cs="新宋体"/>
                <w:color w:val="auto"/>
                <w:sz w:val="22"/>
                <w:szCs w:val="22"/>
                <w:highlight w:val="none"/>
              </w:rPr>
              <w:t>根据投标人提供的服务质量保证措施的</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合理</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2F1BB22D">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根据投标人提供的服务质量保证措施的</w:t>
            </w:r>
            <w:r>
              <w:rPr>
                <w:rFonts w:hint="eastAsia" w:ascii="新宋体" w:hAnsi="新宋体" w:eastAsia="新宋体" w:cs="新宋体"/>
                <w:color w:val="auto"/>
                <w:sz w:val="22"/>
                <w:szCs w:val="22"/>
                <w:highlight w:val="none"/>
                <w:lang w:val="en-US" w:eastAsia="zh-CN"/>
              </w:rPr>
              <w:t>存在欠缺1</w:t>
            </w:r>
            <w:r>
              <w:rPr>
                <w:rFonts w:hint="eastAsia" w:ascii="新宋体" w:hAnsi="新宋体" w:eastAsia="新宋体" w:cs="新宋体"/>
                <w:color w:val="auto"/>
                <w:sz w:val="22"/>
                <w:szCs w:val="22"/>
                <w:highlight w:val="none"/>
              </w:rPr>
              <w:t>分。</w:t>
            </w:r>
          </w:p>
        </w:tc>
      </w:tr>
      <w:tr w14:paraId="67A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73AA206">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183" w:type="dxa"/>
            <w:vAlign w:val="center"/>
          </w:tcPr>
          <w:p w14:paraId="1EB7FF2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应急措施</w:t>
            </w:r>
          </w:p>
        </w:tc>
        <w:tc>
          <w:tcPr>
            <w:tcW w:w="1080" w:type="dxa"/>
            <w:vAlign w:val="center"/>
          </w:tcPr>
          <w:p w14:paraId="3CC8D67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639" w:type="dxa"/>
          </w:tcPr>
          <w:p w14:paraId="69EE9A15">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根据投标人在服务过程突发性事件等情况作出应急措施承诺：</w:t>
            </w:r>
          </w:p>
          <w:p w14:paraId="73430443">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投标人提供的应急方案设计合理，方案在确保阶段性任务实现的同时，统筹考虑了总体目标的实现3分；</w:t>
            </w:r>
          </w:p>
          <w:p w14:paraId="49359112">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投标人提供的应急方案设计基本合理，方案在确保阶段性任务实现的同时，基本考虑了总体目标的实现2分；</w:t>
            </w:r>
          </w:p>
          <w:p w14:paraId="08150E26">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投标人提供的应急方案设计部分合理，方案在确保阶段性任务实现的同时，部分考虑了总体目标的实现1分。</w:t>
            </w:r>
          </w:p>
        </w:tc>
      </w:tr>
      <w:tr w14:paraId="7315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C7E3E73">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2183" w:type="dxa"/>
            <w:vAlign w:val="center"/>
          </w:tcPr>
          <w:p w14:paraId="71A3E173">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人员配备情况</w:t>
            </w:r>
          </w:p>
          <w:p w14:paraId="5A9A4FA5">
            <w:pPr>
              <w:tabs>
                <w:tab w:val="left" w:pos="1260"/>
              </w:tabs>
              <w:spacing w:line="460" w:lineRule="exact"/>
              <w:jc w:val="center"/>
              <w:rPr>
                <w:rFonts w:ascii="新宋体" w:hAnsi="新宋体" w:eastAsia="新宋体" w:cs="新宋体"/>
                <w:color w:val="auto"/>
                <w:sz w:val="22"/>
                <w:szCs w:val="22"/>
                <w:highlight w:val="none"/>
              </w:rPr>
            </w:pPr>
          </w:p>
        </w:tc>
        <w:tc>
          <w:tcPr>
            <w:tcW w:w="1080" w:type="dxa"/>
            <w:vAlign w:val="center"/>
          </w:tcPr>
          <w:p w14:paraId="6BDFEDBC">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5639" w:type="dxa"/>
            <w:vAlign w:val="center"/>
          </w:tcPr>
          <w:p w14:paraId="49F5DAF0">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为本项目配置的各涉案车辆保管场地的人员数量、专业人员概况以及各人员素质，各部门、各岗位人员配置等的专业化、合理化等（包括岗位明细、每个岗位的工作总时间、加班安排、每个岗位的总人数、每人每天上班时间等），系统管理人员的电脑操作证书：</w:t>
            </w:r>
          </w:p>
          <w:p w14:paraId="3C2B6BF0">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根据投标人提供的各涉案车辆保管场地的成员配备合理、人员充分，各成员职责明确、分工细致、经验丰富，且科学性、可行性、合理性得（6分）；</w:t>
            </w:r>
          </w:p>
          <w:p w14:paraId="023A46FD">
            <w:pPr>
              <w:adjustRightInd w:val="0"/>
              <w:snapToGrid w:val="0"/>
              <w:spacing w:line="460" w:lineRule="exact"/>
              <w:ind w:left="74"/>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根据投标人提供的各涉案车辆保管场地的成员配备基本合理、人员充分，各成员职责基本明确（</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66139E97">
            <w:pPr>
              <w:adjustRightInd w:val="0"/>
              <w:snapToGrid w:val="0"/>
              <w:spacing w:line="460" w:lineRule="exact"/>
              <w:ind w:left="74"/>
              <w:rPr>
                <w:color w:val="auto"/>
              </w:rPr>
            </w:pPr>
            <w:r>
              <w:rPr>
                <w:rFonts w:hint="eastAsia" w:ascii="新宋体" w:hAnsi="新宋体" w:eastAsia="新宋体" w:cs="新宋体"/>
                <w:color w:val="auto"/>
                <w:sz w:val="22"/>
                <w:szCs w:val="22"/>
                <w:highlight w:val="none"/>
              </w:rPr>
              <w:t>根据投标人提供的各涉案车辆保管场地的成员配备</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合理、人员</w:t>
            </w:r>
            <w:r>
              <w:rPr>
                <w:rFonts w:hint="eastAsia" w:ascii="新宋体" w:hAnsi="新宋体" w:eastAsia="新宋体" w:cs="新宋体"/>
                <w:color w:val="auto"/>
                <w:sz w:val="22"/>
                <w:szCs w:val="22"/>
                <w:highlight w:val="none"/>
                <w:lang w:val="en-US" w:eastAsia="zh-CN"/>
              </w:rPr>
              <w:t>存在欠缺</w:t>
            </w:r>
            <w:r>
              <w:rPr>
                <w:rFonts w:hint="eastAsia" w:ascii="新宋体" w:hAnsi="新宋体" w:eastAsia="新宋体" w:cs="新宋体"/>
                <w:color w:val="auto"/>
                <w:sz w:val="22"/>
                <w:szCs w:val="22"/>
                <w:highlight w:val="none"/>
              </w:rPr>
              <w:t>，各成员职责</w:t>
            </w:r>
            <w:r>
              <w:rPr>
                <w:rFonts w:hint="eastAsia" w:ascii="新宋体" w:hAnsi="新宋体" w:eastAsia="新宋体" w:cs="新宋体"/>
                <w:color w:val="auto"/>
                <w:sz w:val="22"/>
                <w:szCs w:val="22"/>
                <w:highlight w:val="none"/>
                <w:lang w:val="en-US" w:eastAsia="zh-CN"/>
              </w:rPr>
              <w:t>较模糊</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0D74FBA1">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根据投标人提供的各涉案车辆保管场地的成员配备</w:t>
            </w: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合理，各成员职责</w:t>
            </w:r>
            <w:r>
              <w:rPr>
                <w:rFonts w:hint="eastAsia" w:ascii="新宋体" w:hAnsi="新宋体" w:eastAsia="新宋体" w:cs="新宋体"/>
                <w:color w:val="auto"/>
                <w:sz w:val="22"/>
                <w:szCs w:val="22"/>
                <w:highlight w:val="none"/>
                <w:lang w:eastAsia="zh-CN"/>
              </w:rPr>
              <w:t>不</w:t>
            </w:r>
            <w:r>
              <w:rPr>
                <w:rFonts w:hint="eastAsia" w:ascii="新宋体" w:hAnsi="新宋体" w:eastAsia="新宋体" w:cs="新宋体"/>
                <w:color w:val="auto"/>
                <w:sz w:val="22"/>
                <w:szCs w:val="22"/>
                <w:highlight w:val="none"/>
              </w:rPr>
              <w:t>明确（1分）；</w:t>
            </w:r>
          </w:p>
        </w:tc>
      </w:tr>
      <w:tr w14:paraId="6F73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25E796A">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2183" w:type="dxa"/>
            <w:vAlign w:val="center"/>
          </w:tcPr>
          <w:p w14:paraId="6F3C4B7F">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涉案车辆保管场地</w:t>
            </w:r>
            <w:r>
              <w:rPr>
                <w:rFonts w:hint="eastAsia" w:ascii="新宋体" w:hAnsi="新宋体" w:eastAsia="新宋体" w:cs="新宋体"/>
                <w:color w:val="auto"/>
                <w:sz w:val="22"/>
                <w:szCs w:val="22"/>
                <w:highlight w:val="none"/>
              </w:rPr>
              <w:t>管理服务经验</w:t>
            </w:r>
          </w:p>
        </w:tc>
        <w:tc>
          <w:tcPr>
            <w:tcW w:w="1080" w:type="dxa"/>
            <w:vAlign w:val="center"/>
          </w:tcPr>
          <w:p w14:paraId="3D78C789">
            <w:pPr>
              <w:adjustRightInd w:val="0"/>
              <w:snapToGrid w:val="0"/>
              <w:spacing w:line="460" w:lineRule="exact"/>
              <w:jc w:val="center"/>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分</w:t>
            </w:r>
          </w:p>
        </w:tc>
        <w:tc>
          <w:tcPr>
            <w:tcW w:w="5639" w:type="dxa"/>
            <w:vAlign w:val="center"/>
          </w:tcPr>
          <w:p w14:paraId="4A4134C8">
            <w:pPr>
              <w:adjustRightInd w:val="0"/>
              <w:snapToGrid w:val="0"/>
              <w:spacing w:line="460" w:lineRule="exact"/>
              <w:ind w:left="7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年1月1日以来完成涉案车辆保管服务同类项目，每个得0.5分，最高得1分。(以合同为准，投标文件提供合同复印件加盖公章，)。</w:t>
            </w:r>
          </w:p>
        </w:tc>
      </w:tr>
      <w:tr w14:paraId="7C30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E3D264C">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2183" w:type="dxa"/>
            <w:vAlign w:val="center"/>
          </w:tcPr>
          <w:p w14:paraId="420EC5B1">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器材、工具配备计划合理性</w:t>
            </w:r>
          </w:p>
        </w:tc>
        <w:tc>
          <w:tcPr>
            <w:tcW w:w="1080" w:type="dxa"/>
            <w:vAlign w:val="center"/>
          </w:tcPr>
          <w:p w14:paraId="08286D66">
            <w:pPr>
              <w:adjustRightInd w:val="0"/>
              <w:snapToGrid w:val="0"/>
              <w:spacing w:line="460" w:lineRule="exact"/>
              <w:jc w:val="center"/>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分</w:t>
            </w:r>
          </w:p>
        </w:tc>
        <w:tc>
          <w:tcPr>
            <w:tcW w:w="5639" w:type="dxa"/>
            <w:vAlign w:val="center"/>
          </w:tcPr>
          <w:p w14:paraId="6A61DCAA">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根据各类管理人员着装配置，为满足招标文件要求拟配置的设备、工具、器械及办公用品等的选用档次及是否齐备等：</w:t>
            </w:r>
          </w:p>
          <w:p w14:paraId="17A464FD">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根据器材、工具配备方案符合本项目的实施，且科学性、可行性、合理性</w:t>
            </w:r>
            <w:r>
              <w:rPr>
                <w:rFonts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分；</w:t>
            </w:r>
          </w:p>
          <w:p w14:paraId="101F94EE">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根据器材、工具配备方案基本符合本项目的实施，且基本合理性</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24A9C050">
            <w:pPr>
              <w:adjustRightInd w:val="0"/>
              <w:snapToGrid w:val="0"/>
              <w:spacing w:line="460" w:lineRule="exact"/>
              <w:rPr>
                <w:color w:val="auto"/>
              </w:rPr>
            </w:pPr>
            <w:r>
              <w:rPr>
                <w:rFonts w:hint="eastAsia" w:ascii="新宋体" w:hAnsi="新宋体" w:eastAsia="新宋体" w:cs="新宋体"/>
                <w:color w:val="auto"/>
                <w:sz w:val="22"/>
                <w:szCs w:val="22"/>
                <w:highlight w:val="none"/>
              </w:rPr>
              <w:t>根据器材、工具配备配备方案</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符合本项目的实施，且</w:t>
            </w:r>
            <w:r>
              <w:rPr>
                <w:rFonts w:hint="eastAsia" w:ascii="新宋体" w:hAnsi="新宋体" w:eastAsia="新宋体" w:cs="新宋体"/>
                <w:color w:val="auto"/>
                <w:sz w:val="22"/>
                <w:szCs w:val="22"/>
                <w:highlight w:val="none"/>
                <w:lang w:val="en-US" w:eastAsia="zh-CN"/>
              </w:rPr>
              <w:t>部分</w:t>
            </w:r>
            <w:r>
              <w:rPr>
                <w:rFonts w:hint="eastAsia" w:ascii="新宋体" w:hAnsi="新宋体" w:eastAsia="新宋体" w:cs="新宋体"/>
                <w:color w:val="auto"/>
                <w:sz w:val="22"/>
                <w:szCs w:val="22"/>
                <w:highlight w:val="none"/>
              </w:rPr>
              <w:t>合理性</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2F72A693">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器材、工具配备配备方案</w:t>
            </w:r>
            <w:r>
              <w:rPr>
                <w:rFonts w:hint="eastAsia" w:ascii="新宋体" w:hAnsi="新宋体" w:eastAsia="新宋体" w:cs="新宋体"/>
                <w:color w:val="auto"/>
                <w:sz w:val="22"/>
                <w:szCs w:val="22"/>
                <w:highlight w:val="none"/>
                <w:lang w:val="en-US" w:eastAsia="zh-CN"/>
              </w:rPr>
              <w:t>不清晰、不齐全</w:t>
            </w:r>
            <w:r>
              <w:rPr>
                <w:rFonts w:hint="eastAsia" w:ascii="新宋体" w:hAnsi="新宋体" w:eastAsia="新宋体" w:cs="新宋体"/>
                <w:color w:val="auto"/>
                <w:sz w:val="22"/>
                <w:szCs w:val="22"/>
                <w:highlight w:val="none"/>
              </w:rPr>
              <w:t>1分。</w:t>
            </w:r>
          </w:p>
        </w:tc>
      </w:tr>
    </w:tbl>
    <w:p w14:paraId="07568F6A">
      <w:pPr>
        <w:pStyle w:val="7"/>
        <w:spacing w:line="460" w:lineRule="exact"/>
        <w:ind w:left="0"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2、报价评分（10分）（权值10%）：</w:t>
      </w:r>
    </w:p>
    <w:p w14:paraId="42580FB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14:paraId="07DC1EB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1）有效投标人的投标报价等于评标基准价时其报价分为满分10分；</w:t>
      </w:r>
    </w:p>
    <w:p w14:paraId="45FAC1B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4121D7C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14:paraId="39F50F9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14:paraId="243848C9">
      <w:pPr>
        <w:spacing w:line="460" w:lineRule="exact"/>
        <w:ind w:firstLine="539" w:firstLineChars="245"/>
        <w:rPr>
          <w:rFonts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w:t>
      </w:r>
      <w:r>
        <w:rPr>
          <w:rFonts w:hint="eastAsia" w:ascii="新宋体" w:hAnsi="新宋体" w:eastAsia="新宋体" w:cs="新宋体"/>
          <w:color w:val="auto"/>
          <w:kern w:val="0"/>
          <w:sz w:val="22"/>
          <w:szCs w:val="22"/>
          <w:highlight w:val="none"/>
        </w:rPr>
        <w:t>《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等有关规定</w:t>
      </w:r>
      <w:r>
        <w:rPr>
          <w:rFonts w:hint="eastAsia" w:ascii="新宋体" w:hAnsi="新宋体" w:eastAsia="新宋体"/>
          <w:color w:val="auto"/>
          <w:sz w:val="22"/>
          <w:szCs w:val="22"/>
          <w:highlight w:val="none"/>
          <w:lang w:val="zh-CN"/>
        </w:rPr>
        <w:t>，对</w:t>
      </w:r>
      <w:r>
        <w:rPr>
          <w:rFonts w:hint="eastAsia" w:ascii="新宋体" w:hAnsi="新宋体" w:eastAsia="新宋体"/>
          <w:color w:val="auto"/>
          <w:sz w:val="22"/>
          <w:szCs w:val="22"/>
          <w:highlight w:val="none"/>
        </w:rPr>
        <w:t>货物类项目</w:t>
      </w:r>
      <w:r>
        <w:rPr>
          <w:rFonts w:hint="eastAsia" w:ascii="新宋体" w:hAnsi="新宋体" w:eastAsia="新宋体"/>
          <w:color w:val="auto"/>
          <w:sz w:val="22"/>
          <w:szCs w:val="22"/>
          <w:highlight w:val="none"/>
          <w:lang w:val="zh-CN"/>
        </w:rPr>
        <w:t>投标产品为小型或微型企业生产的，</w:t>
      </w:r>
      <w:r>
        <w:rPr>
          <w:rFonts w:hint="eastAsia" w:ascii="新宋体" w:hAnsi="新宋体" w:eastAsia="新宋体"/>
          <w:color w:val="auto"/>
          <w:sz w:val="22"/>
          <w:szCs w:val="22"/>
          <w:highlight w:val="none"/>
        </w:rPr>
        <w:t>工程、服务类项目由小型或微型企业承建、承接的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u w:val="single"/>
          <w:lang w:val="zh-CN"/>
        </w:rPr>
        <w:t>价格给予</w:t>
      </w:r>
      <w:r>
        <w:rPr>
          <w:rFonts w:hint="eastAsia" w:ascii="新宋体" w:hAnsi="新宋体" w:eastAsia="新宋体"/>
          <w:color w:val="auto"/>
          <w:sz w:val="22"/>
          <w:szCs w:val="22"/>
          <w:highlight w:val="none"/>
          <w:u w:val="single"/>
        </w:rPr>
        <w:t>10</w:t>
      </w:r>
      <w:r>
        <w:rPr>
          <w:rFonts w:hint="eastAsia" w:ascii="新宋体" w:hAnsi="新宋体" w:eastAsia="新宋体"/>
          <w:color w:val="auto"/>
          <w:sz w:val="22"/>
          <w:szCs w:val="22"/>
          <w:highlight w:val="none"/>
          <w:u w:val="single"/>
          <w:lang w:val="zh-CN"/>
        </w:rPr>
        <w:t>%的扣除</w:t>
      </w:r>
      <w:r>
        <w:rPr>
          <w:rFonts w:hint="eastAsia" w:ascii="新宋体" w:hAnsi="新宋体" w:eastAsia="新宋体"/>
          <w:color w:val="auto"/>
          <w:sz w:val="22"/>
          <w:szCs w:val="22"/>
          <w:highlight w:val="none"/>
          <w:lang w:val="zh-CN"/>
        </w:rPr>
        <w:t>，用扣除后的价格参与价格评分。</w:t>
      </w:r>
    </w:p>
    <w:p w14:paraId="3171304B">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监狱企业视同小微企业，其产品参加本项目投标的，享受小微企业同等的价格扣除。</w:t>
      </w:r>
    </w:p>
    <w:p w14:paraId="10019A69">
      <w:pPr>
        <w:spacing w:line="460" w:lineRule="exact"/>
        <w:rPr>
          <w:rFonts w:ascii="宋体" w:hAnsi="宋体" w:cs="宋体"/>
          <w:b/>
          <w:bCs/>
          <w:color w:val="auto"/>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CC2636">
      <w:pPr>
        <w:spacing w:line="460" w:lineRule="exact"/>
        <w:ind w:firstLine="541" w:firstLineChars="245"/>
        <w:outlineLvl w:val="1"/>
        <w:rPr>
          <w:rFonts w:ascii="宋体" w:hAnsi="宋体" w:cs="宋体"/>
          <w:b/>
          <w:bCs/>
          <w:color w:val="auto"/>
          <w:sz w:val="22"/>
          <w:szCs w:val="22"/>
          <w:highlight w:val="none"/>
        </w:rPr>
      </w:pPr>
      <w:bookmarkStart w:id="79" w:name="_Toc2482"/>
      <w:bookmarkStart w:id="80" w:name="_Toc4727"/>
      <w:r>
        <w:rPr>
          <w:rFonts w:hint="eastAsia" w:ascii="宋体" w:hAnsi="宋体" w:cs="宋体"/>
          <w:b/>
          <w:bCs/>
          <w:color w:val="auto"/>
          <w:sz w:val="22"/>
          <w:szCs w:val="22"/>
          <w:highlight w:val="none"/>
        </w:rPr>
        <w:t>六、定标办法</w:t>
      </w:r>
      <w:bookmarkEnd w:id="79"/>
      <w:bookmarkEnd w:id="80"/>
    </w:p>
    <w:p w14:paraId="06AA1C47">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5140454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14:paraId="4E493BE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228843E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2、确定中标人</w:t>
      </w:r>
    </w:p>
    <w:p w14:paraId="3F218BE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D0AED4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依法视情况直接确定排名第二的候选人为中标人或重新组织招标。</w:t>
      </w:r>
    </w:p>
    <w:p w14:paraId="16AAB13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中标人确定后，招标人将在指定媒体公告中标结果，招标人向中标人发出中标通知书。</w:t>
      </w:r>
    </w:p>
    <w:p w14:paraId="7767D57B">
      <w:pPr>
        <w:spacing w:line="460" w:lineRule="exact"/>
        <w:ind w:firstLine="541" w:firstLineChars="245"/>
        <w:outlineLvl w:val="1"/>
        <w:rPr>
          <w:rFonts w:ascii="宋体" w:hAnsi="宋体" w:cs="宋体"/>
          <w:b/>
          <w:color w:val="auto"/>
          <w:sz w:val="22"/>
          <w:szCs w:val="22"/>
          <w:highlight w:val="none"/>
        </w:rPr>
      </w:pPr>
      <w:bookmarkStart w:id="81" w:name="_Toc3629"/>
      <w:bookmarkStart w:id="82" w:name="_Toc17587"/>
      <w:r>
        <w:rPr>
          <w:rFonts w:hint="eastAsia" w:ascii="宋体" w:hAnsi="宋体" w:cs="宋体"/>
          <w:b/>
          <w:color w:val="auto"/>
          <w:sz w:val="22"/>
          <w:szCs w:val="22"/>
          <w:highlight w:val="none"/>
        </w:rPr>
        <w:t>七、投标人义务</w:t>
      </w:r>
      <w:bookmarkEnd w:id="81"/>
      <w:bookmarkEnd w:id="82"/>
    </w:p>
    <w:p w14:paraId="49517A83">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14:paraId="0F36D84E">
      <w:pPr>
        <w:spacing w:line="460" w:lineRule="exact"/>
        <w:jc w:val="center"/>
        <w:rPr>
          <w:rFonts w:ascii="宋体" w:hAnsi="宋体" w:cs="宋体"/>
          <w:b/>
          <w:color w:val="auto"/>
          <w:sz w:val="32"/>
          <w:szCs w:val="32"/>
          <w:highlight w:val="none"/>
        </w:rPr>
      </w:pPr>
    </w:p>
    <w:p w14:paraId="36A4DCEE">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B849">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55</w:t>
    </w:r>
    <w:r>
      <w:fldChar w:fldCharType="end"/>
    </w:r>
  </w:p>
  <w:p w14:paraId="042E91D8">
    <w:pPr>
      <w:pStyle w:val="10"/>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2EB37">
    <w:pPr>
      <w:pStyle w:val="11"/>
      <w:pBdr>
        <w:bottom w:val="single" w:color="auto" w:sz="6" w:space="0"/>
      </w:pBdr>
      <w:jc w:val="both"/>
    </w:pPr>
    <w:r>
      <w:rPr>
        <w:rFonts w:hint="eastAsia"/>
      </w:rPr>
      <w:t>温州市政府（分散）采购招标文件                                             项目编号：</w:t>
    </w:r>
    <w:r>
      <w:rPr>
        <w:rFonts w:hint="eastAsia"/>
        <w:lang w:eastAsia="zh-CN"/>
      </w:rPr>
      <w:t>WZLCZB（W）-2024-11478-1</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E9AFE0FF"/>
    <w:multiLevelType w:val="singleLevel"/>
    <w:tmpl w:val="E9AFE0FF"/>
    <w:lvl w:ilvl="0" w:tentative="0">
      <w:start w:val="1"/>
      <w:numFmt w:val="decimal"/>
      <w:suff w:val="nothing"/>
      <w:lvlText w:val="（%1）"/>
      <w:lvlJc w:val="left"/>
    </w:lvl>
  </w:abstractNum>
  <w:abstractNum w:abstractNumId="4">
    <w:nsid w:val="1343BCD6"/>
    <w:multiLevelType w:val="singleLevel"/>
    <w:tmpl w:val="1343BCD6"/>
    <w:lvl w:ilvl="0" w:tentative="0">
      <w:start w:val="4"/>
      <w:numFmt w:val="chineseCounting"/>
      <w:suff w:val="nothing"/>
      <w:lvlText w:val="%1、"/>
      <w:lvlJc w:val="left"/>
      <w:rPr>
        <w:rFonts w:hint="eastAsia"/>
      </w:rPr>
    </w:lvl>
  </w:abstractNum>
  <w:abstractNum w:abstractNumId="5">
    <w:nsid w:val="52D7A3B6"/>
    <w:multiLevelType w:val="singleLevel"/>
    <w:tmpl w:val="52D7A3B6"/>
    <w:lvl w:ilvl="0" w:tentative="0">
      <w:start w:val="1"/>
      <w:numFmt w:val="decimal"/>
      <w:suff w:val="nothing"/>
      <w:lvlText w:val="（%1）"/>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jc0MjQ3MDVjYjJkMDFhZjlkZDA2OTg4YWRlZmQifQ=="/>
  </w:docVars>
  <w:rsids>
    <w:rsidRoot w:val="350D3A68"/>
    <w:rsid w:val="00EF4CFB"/>
    <w:rsid w:val="02BA3C92"/>
    <w:rsid w:val="07016D5D"/>
    <w:rsid w:val="082D6FB0"/>
    <w:rsid w:val="089D0232"/>
    <w:rsid w:val="0B762CE9"/>
    <w:rsid w:val="0CBB5B28"/>
    <w:rsid w:val="0E880D9E"/>
    <w:rsid w:val="0FA16FCE"/>
    <w:rsid w:val="12B16C7D"/>
    <w:rsid w:val="13C470E7"/>
    <w:rsid w:val="17763F72"/>
    <w:rsid w:val="17A66F8B"/>
    <w:rsid w:val="187531B4"/>
    <w:rsid w:val="1B0A6B4E"/>
    <w:rsid w:val="1F2A4DF0"/>
    <w:rsid w:val="1F9120F6"/>
    <w:rsid w:val="211A411E"/>
    <w:rsid w:val="215F7D83"/>
    <w:rsid w:val="22AC524A"/>
    <w:rsid w:val="2F9D3013"/>
    <w:rsid w:val="2FFC1256"/>
    <w:rsid w:val="31945827"/>
    <w:rsid w:val="32D54349"/>
    <w:rsid w:val="3317207A"/>
    <w:rsid w:val="345137FC"/>
    <w:rsid w:val="34FD36E3"/>
    <w:rsid w:val="350B4052"/>
    <w:rsid w:val="350D3A68"/>
    <w:rsid w:val="36CC15BF"/>
    <w:rsid w:val="3B752FDA"/>
    <w:rsid w:val="3CD22649"/>
    <w:rsid w:val="3D0E0B83"/>
    <w:rsid w:val="3EF02D22"/>
    <w:rsid w:val="3F620285"/>
    <w:rsid w:val="413E1F5C"/>
    <w:rsid w:val="497C0C22"/>
    <w:rsid w:val="498B5309"/>
    <w:rsid w:val="4D720797"/>
    <w:rsid w:val="4D9C156E"/>
    <w:rsid w:val="51AA7475"/>
    <w:rsid w:val="551F045F"/>
    <w:rsid w:val="593908DE"/>
    <w:rsid w:val="59C10E75"/>
    <w:rsid w:val="5A6D081F"/>
    <w:rsid w:val="5C49708A"/>
    <w:rsid w:val="5C6914DA"/>
    <w:rsid w:val="5CC901CB"/>
    <w:rsid w:val="5FBD0D62"/>
    <w:rsid w:val="61EF3628"/>
    <w:rsid w:val="64944CF0"/>
    <w:rsid w:val="66A161A0"/>
    <w:rsid w:val="674D791B"/>
    <w:rsid w:val="6BD510F7"/>
    <w:rsid w:val="6DE62790"/>
    <w:rsid w:val="731C044E"/>
    <w:rsid w:val="73AA1159"/>
    <w:rsid w:val="76BC0AE8"/>
    <w:rsid w:val="771E4D9F"/>
    <w:rsid w:val="79BB3AEB"/>
    <w:rsid w:val="79DB5ADA"/>
    <w:rsid w:val="7A4D7589"/>
    <w:rsid w:val="7B3B22B4"/>
    <w:rsid w:val="7C1F7BFD"/>
    <w:rsid w:val="7CBE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eastAsia="黑体"/>
      <w:b/>
      <w:sz w:val="32"/>
      <w:szCs w:val="20"/>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6">
    <w:name w:val="annotation text"/>
    <w:basedOn w:val="1"/>
    <w:qFormat/>
    <w:uiPriority w:val="0"/>
    <w:pPr>
      <w:jc w:val="left"/>
    </w:pPr>
  </w:style>
  <w:style w:type="paragraph" w:styleId="7">
    <w:name w:val="Body Text Indent"/>
    <w:basedOn w:val="1"/>
    <w:qFormat/>
    <w:uiPriority w:val="0"/>
    <w:pPr>
      <w:ind w:left="480" w:hanging="480" w:hangingChars="200"/>
    </w:pPr>
    <w:rPr>
      <w:sz w:val="24"/>
    </w:rPr>
  </w:style>
  <w:style w:type="paragraph" w:styleId="8">
    <w:name w:val="toc 3"/>
    <w:basedOn w:val="1"/>
    <w:next w:val="1"/>
    <w:qFormat/>
    <w:uiPriority w:val="0"/>
    <w:pPr>
      <w:ind w:left="840" w:leftChars="400"/>
    </w:p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spacing w:after="120"/>
      <w:ind w:left="420" w:leftChars="200" w:firstLine="420"/>
    </w:pPr>
    <w:rPr>
      <w:rFonts w:cs="宋体"/>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样式1"/>
    <w:basedOn w:val="1"/>
    <w:qFormat/>
    <w:uiPriority w:val="0"/>
    <w:pPr>
      <w:autoSpaceDE w:val="0"/>
      <w:autoSpaceDN w:val="0"/>
      <w:adjustRightInd w:val="0"/>
      <w:spacing w:line="400" w:lineRule="exact"/>
    </w:pPr>
    <w:rPr>
      <w:rFonts w:ascii="宋体" w:cs="宋体"/>
      <w:kern w:val="0"/>
    </w:rPr>
  </w:style>
  <w:style w:type="character" w:customStyle="1" w:styleId="21">
    <w:name w:val="font31"/>
    <w:basedOn w:val="18"/>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12489</Words>
  <Characters>13281</Characters>
  <Lines>0</Lines>
  <Paragraphs>0</Paragraphs>
  <TotalTime>56</TotalTime>
  <ScaleCrop>false</ScaleCrop>
  <LinksUpToDate>false</LinksUpToDate>
  <CharactersWithSpaces>13585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2024-10-22T00:36:00Z</dcterms:created>
  <dc:creator>历程</dc:creator>
  <cp:lastModifiedBy>历程招标</cp:lastModifiedBy>
  <dcterms:modified xsi:type="dcterms:W3CDTF">2024-11-28T09:03:46Z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EBC487B8BE72487E91E48729AD40C7AC_11</vt:lpwstr>
  </property>
</Properties>
</file>