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eastAsia="zh-CN"/>
        </w:rPr>
        <w:t>2025年度国土变更调查项目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编号:ZJJS2025-00</w:t>
      </w:r>
      <w:r>
        <w:rPr>
          <w:rFonts w:hint="eastAsia" w:ascii="宋体" w:hAnsi="宋体" w:cs="宋体"/>
          <w:color w:val="auto"/>
          <w:sz w:val="30"/>
          <w:szCs w:val="30"/>
          <w:highlight w:val="none"/>
          <w:lang w:val="en-US" w:eastAsia="zh-CN"/>
        </w:rPr>
        <w:t>2</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lang w:eastAsia="zh-CN"/>
        </w:rPr>
        <w:t>杭州市规划和自然资源局富阳分局</w:t>
      </w:r>
    </w:p>
    <w:p w14:paraId="289DCB7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lang w:val="en-US" w:eastAsia="zh-CN"/>
        </w:rPr>
        <w:t>浙江金穗工程项目管理有限公司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八</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2025年度国土变更调查项目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项目编号：ZJJS2025-00</w:t>
      </w:r>
      <w:r>
        <w:rPr>
          <w:rFonts w:hint="eastAsia" w:ascii="宋体" w:hAnsi="宋体" w:cs="宋体"/>
          <w:b/>
          <w:color w:val="auto"/>
          <w:sz w:val="24"/>
          <w:highlight w:val="none"/>
          <w:lang w:val="en-US" w:eastAsia="zh-CN"/>
        </w:rPr>
        <w:t>2</w:t>
      </w:r>
    </w:p>
    <w:p w14:paraId="0312DF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
          <w:color w:val="auto"/>
          <w:sz w:val="24"/>
          <w:highlight w:val="none"/>
          <w:lang w:eastAsia="zh-CN"/>
        </w:rPr>
        <w:t>2025年度国土变更调查项目</w:t>
      </w:r>
    </w:p>
    <w:p w14:paraId="1C6D4CA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2000000</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2000000</w:t>
      </w:r>
    </w:p>
    <w:p w14:paraId="6EC5DB8E">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2025年度国土变更调查项目，</w:t>
      </w:r>
      <w:r>
        <w:rPr>
          <w:rFonts w:hint="eastAsia" w:hAnsi="宋体" w:cs="宋体"/>
          <w:bCs/>
          <w:snapToGrid/>
          <w:color w:val="auto"/>
          <w:kern w:val="2"/>
          <w:sz w:val="24"/>
          <w:szCs w:val="24"/>
          <w:highlight w:val="none"/>
        </w:rPr>
        <w:t xml:space="preserve">主要内容： </w:t>
      </w:r>
      <w:r>
        <w:rPr>
          <w:rFonts w:hint="eastAsia" w:ascii="宋体" w:hAnsi="宋体" w:cs="宋体"/>
          <w:sz w:val="24"/>
          <w:highlight w:val="none"/>
        </w:rPr>
        <w:t>按国家和省市关于年度国土变更调查的工作要求，开展我区2025年国土变更日常及年度调查工作，全面掌握我区2025年度的地类、面积、属性及相关单独图层信息的变化情况，更新2024年度国土变更调查数据库</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ascii="宋体" w:hAnsi="宋体" w:cs="宋体"/>
          <w:color w:val="auto"/>
          <w:highlight w:val="none"/>
        </w:rPr>
        <w:t xml:space="preserve"> </w:t>
      </w:r>
      <w:r>
        <w:rPr>
          <w:rFonts w:hint="eastAsia" w:ascii="宋体" w:hAnsi="宋体" w:cs="宋体"/>
          <w:color w:val="auto"/>
          <w:highlight w:val="none"/>
        </w:rPr>
        <w:t>根据国家和省、市的调查要求，完成年度国土变更调查及日常变更等各项任务，并在2025年底进行成果数据总更新。</w:t>
      </w:r>
    </w:p>
    <w:p w14:paraId="07281B0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本项目接受联合体投标；</w:t>
      </w:r>
      <w:r>
        <w:rPr>
          <w:rFonts w:hint="eastAsia" w:ascii="宋体" w:hAnsi="宋体" w:cs="宋体"/>
          <w:snapToGrid w:val="0"/>
          <w:color w:val="auto"/>
          <w:kern w:val="28"/>
          <w:sz w:val="24"/>
          <w:szCs w:val="20"/>
          <w:highlight w:val="none"/>
        </w:rPr>
        <w:t>以联合体形式投标的，提供联合协议</w:t>
      </w:r>
      <w:r>
        <w:rPr>
          <w:rFonts w:hint="eastAsia" w:ascii="宋体" w:hAnsi="宋体" w:cs="宋体"/>
          <w:snapToGrid w:val="0"/>
          <w:color w:val="auto"/>
          <w:kern w:val="28"/>
          <w:sz w:val="24"/>
          <w:szCs w:val="20"/>
          <w:highlight w:val="none"/>
        </w:rPr>
        <w:t>(投标人不以联合体形式投标的，则不需要提供)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lang w:eastAsia="zh-CN"/>
        </w:rPr>
        <w:t>具备相关部门颁发的乙级及以上测绘资质</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Style w:val="76"/>
          <w:rFonts w:hint="eastAsia" w:ascii="宋体" w:hAnsi="宋体" w:eastAsia="宋体" w:cs="宋体"/>
          <w:snapToGrid/>
          <w:color w:val="auto"/>
          <w:kern w:val="2"/>
          <w:sz w:val="24"/>
          <w:szCs w:val="24"/>
          <w:highlight w:val="none"/>
          <w:u w:val="single"/>
        </w:rPr>
        <w:t>202</w:t>
      </w:r>
      <w:r>
        <w:rPr>
          <w:rStyle w:val="76"/>
          <w:rFonts w:hint="eastAsia" w:ascii="宋体" w:hAnsi="宋体" w:cs="宋体"/>
          <w:snapToGrid/>
          <w:color w:val="auto"/>
          <w:kern w:val="2"/>
          <w:sz w:val="24"/>
          <w:szCs w:val="24"/>
          <w:highlight w:val="none"/>
          <w:u w:val="single"/>
          <w:lang w:val="en-US" w:eastAsia="zh-CN"/>
        </w:rPr>
        <w:t>5</w:t>
      </w:r>
      <w:r>
        <w:rPr>
          <w:rStyle w:val="76"/>
          <w:rFonts w:hint="eastAsia" w:ascii="宋体" w:hAnsi="宋体" w:eastAsia="宋体" w:cs="宋体"/>
          <w:snapToGrid/>
          <w:color w:val="auto"/>
          <w:kern w:val="2"/>
          <w:sz w:val="24"/>
          <w:szCs w:val="24"/>
          <w:highlight w:val="none"/>
          <w:u w:val="single"/>
        </w:rPr>
        <w:t>年</w:t>
      </w:r>
      <w:r>
        <w:rPr>
          <w:rStyle w:val="76"/>
          <w:rFonts w:hint="eastAsia" w:ascii="宋体" w:hAnsi="宋体" w:cs="宋体"/>
          <w:snapToGrid/>
          <w:color w:val="auto"/>
          <w:kern w:val="2"/>
          <w:sz w:val="24"/>
          <w:szCs w:val="24"/>
          <w:highlight w:val="none"/>
          <w:u w:val="single"/>
          <w:lang w:val="en-US" w:eastAsia="zh-CN"/>
        </w:rPr>
        <w:t>4</w:t>
      </w:r>
      <w:r>
        <w:rPr>
          <w:rStyle w:val="76"/>
          <w:rFonts w:hint="eastAsia" w:ascii="宋体" w:hAnsi="宋体" w:eastAsia="宋体" w:cs="宋体"/>
          <w:snapToGrid/>
          <w:color w:val="auto"/>
          <w:kern w:val="2"/>
          <w:sz w:val="24"/>
          <w:szCs w:val="24"/>
          <w:highlight w:val="none"/>
          <w:u w:val="single"/>
        </w:rPr>
        <w:t>月</w:t>
      </w:r>
      <w:r>
        <w:rPr>
          <w:rStyle w:val="76"/>
          <w:rFonts w:hint="eastAsia" w:ascii="宋体" w:hAnsi="宋体" w:cs="宋体"/>
          <w:snapToGrid/>
          <w:color w:val="auto"/>
          <w:kern w:val="2"/>
          <w:sz w:val="24"/>
          <w:szCs w:val="24"/>
          <w:highlight w:val="none"/>
          <w:u w:val="single"/>
          <w:lang w:val="en-US" w:eastAsia="zh-CN"/>
        </w:rPr>
        <w:t>30</w:t>
      </w:r>
      <w:r>
        <w:rPr>
          <w:rStyle w:val="76"/>
          <w:rFonts w:hint="eastAsia" w:ascii="宋体" w:hAnsi="宋体" w:eastAsia="宋体" w:cs="宋体"/>
          <w:snapToGrid/>
          <w:color w:val="auto"/>
          <w:kern w:val="2"/>
          <w:sz w:val="24"/>
          <w:szCs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Style w:val="76"/>
          <w:rFonts w:hint="eastAsia" w:ascii="宋体" w:hAnsi="宋体" w:eastAsia="宋体" w:cs="宋体"/>
          <w:snapToGrid/>
          <w:color w:val="auto"/>
          <w:kern w:val="2"/>
          <w:sz w:val="24"/>
          <w:szCs w:val="24"/>
          <w:highlight w:val="none"/>
          <w:u w:val="single"/>
        </w:rPr>
        <w:t>202</w:t>
      </w:r>
      <w:r>
        <w:rPr>
          <w:rStyle w:val="76"/>
          <w:rFonts w:hint="eastAsia" w:ascii="宋体" w:hAnsi="宋体" w:cs="宋体"/>
          <w:snapToGrid/>
          <w:color w:val="auto"/>
          <w:kern w:val="2"/>
          <w:sz w:val="24"/>
          <w:szCs w:val="24"/>
          <w:highlight w:val="none"/>
          <w:u w:val="single"/>
          <w:lang w:val="en-US" w:eastAsia="zh-CN"/>
        </w:rPr>
        <w:t>5</w:t>
      </w:r>
      <w:r>
        <w:rPr>
          <w:rStyle w:val="76"/>
          <w:rFonts w:hint="eastAsia" w:ascii="宋体" w:hAnsi="宋体" w:eastAsia="宋体" w:cs="宋体"/>
          <w:snapToGrid/>
          <w:color w:val="auto"/>
          <w:kern w:val="2"/>
          <w:sz w:val="24"/>
          <w:szCs w:val="24"/>
          <w:highlight w:val="none"/>
          <w:u w:val="single"/>
        </w:rPr>
        <w:t>年</w:t>
      </w:r>
      <w:r>
        <w:rPr>
          <w:rStyle w:val="76"/>
          <w:rFonts w:hint="eastAsia" w:ascii="宋体" w:hAnsi="宋体" w:cs="宋体"/>
          <w:snapToGrid/>
          <w:color w:val="auto"/>
          <w:kern w:val="2"/>
          <w:sz w:val="24"/>
          <w:szCs w:val="24"/>
          <w:highlight w:val="none"/>
          <w:u w:val="single"/>
          <w:lang w:val="en-US" w:eastAsia="zh-CN"/>
        </w:rPr>
        <w:t>4</w:t>
      </w:r>
      <w:r>
        <w:rPr>
          <w:rStyle w:val="76"/>
          <w:rFonts w:hint="eastAsia" w:ascii="宋体" w:hAnsi="宋体" w:eastAsia="宋体" w:cs="宋体"/>
          <w:snapToGrid/>
          <w:color w:val="auto"/>
          <w:kern w:val="2"/>
          <w:sz w:val="24"/>
          <w:szCs w:val="24"/>
          <w:highlight w:val="none"/>
          <w:u w:val="single"/>
        </w:rPr>
        <w:t>月</w:t>
      </w:r>
      <w:r>
        <w:rPr>
          <w:rStyle w:val="76"/>
          <w:rFonts w:hint="eastAsia" w:ascii="宋体" w:hAnsi="宋体" w:cs="宋体"/>
          <w:snapToGrid/>
          <w:color w:val="auto"/>
          <w:kern w:val="2"/>
          <w:sz w:val="24"/>
          <w:szCs w:val="24"/>
          <w:highlight w:val="none"/>
          <w:u w:val="single"/>
          <w:lang w:val="en-US" w:eastAsia="zh-CN"/>
        </w:rPr>
        <w:t>30</w:t>
      </w:r>
      <w:r>
        <w:rPr>
          <w:rStyle w:val="76"/>
          <w:rFonts w:hint="eastAsia" w:ascii="宋体" w:hAnsi="宋体" w:eastAsia="宋体" w:cs="宋体"/>
          <w:snapToGrid/>
          <w:color w:val="auto"/>
          <w:kern w:val="2"/>
          <w:sz w:val="24"/>
          <w:szCs w:val="24"/>
          <w:highlight w:val="none"/>
          <w:u w:val="single"/>
        </w:rPr>
        <w:t>日</w:t>
      </w:r>
      <w:r>
        <w:rPr>
          <w:rStyle w:val="76"/>
          <w:rFonts w:hint="eastAsia" w:ascii="宋体" w:hAnsi="宋体" w:cs="宋体"/>
          <w:snapToGrid/>
          <w:color w:val="auto"/>
          <w:kern w:val="2"/>
          <w:sz w:val="24"/>
          <w:szCs w:val="24"/>
          <w:highlight w:val="none"/>
          <w:u w:val="single"/>
          <w:lang w:val="en-US" w:eastAsia="zh-CN"/>
        </w:rPr>
        <w:t>9</w:t>
      </w:r>
      <w:r>
        <w:rPr>
          <w:rStyle w:val="76"/>
          <w:rFonts w:hint="eastAsia" w:ascii="宋体" w:hAnsi="宋体" w:eastAsia="宋体" w:cs="宋体"/>
          <w:snapToGrid/>
          <w:color w:val="auto"/>
          <w:kern w:val="2"/>
          <w:sz w:val="24"/>
          <w:szCs w:val="24"/>
          <w:highlight w:val="none"/>
          <w:u w:val="single"/>
        </w:rPr>
        <w:t>点</w:t>
      </w:r>
      <w:r>
        <w:rPr>
          <w:rStyle w:val="76"/>
          <w:rFonts w:hint="eastAsia" w:ascii="宋体" w:hAnsi="宋体" w:cs="宋体"/>
          <w:snapToGrid/>
          <w:color w:val="auto"/>
          <w:kern w:val="2"/>
          <w:sz w:val="24"/>
          <w:szCs w:val="24"/>
          <w:highlight w:val="none"/>
          <w:u w:val="single"/>
          <w:lang w:val="en-US" w:eastAsia="zh-CN"/>
        </w:rPr>
        <w:t>30</w:t>
      </w:r>
      <w:r>
        <w:rPr>
          <w:rStyle w:val="76"/>
          <w:rFonts w:hint="eastAsia" w:ascii="宋体" w:hAnsi="宋体" w:eastAsia="宋体" w:cs="宋体"/>
          <w:snapToGrid/>
          <w:color w:val="auto"/>
          <w:kern w:val="2"/>
          <w:sz w:val="24"/>
          <w:szCs w:val="24"/>
          <w:highlight w:val="none"/>
          <w:u w:val="single"/>
        </w:rPr>
        <w:t>分</w:t>
      </w:r>
      <w:r>
        <w:rPr>
          <w:rStyle w:val="76"/>
          <w:rFonts w:hint="eastAsia" w:ascii="宋体" w:hAnsi="宋体" w:eastAsia="宋体" w:cs="宋体"/>
          <w:bCs/>
          <w:snapToGrid/>
          <w:color w:val="auto"/>
          <w:kern w:val="2"/>
          <w:sz w:val="24"/>
          <w:szCs w:val="24"/>
          <w:highlight w:val="none"/>
          <w:u w:val="single"/>
        </w:rPr>
        <w:t>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Style w:val="76"/>
          <w:rFonts w:hint="eastAsia" w:ascii="宋体" w:hAnsi="宋体" w:eastAsia="宋体" w:cs="宋体"/>
          <w:snapToGrid/>
          <w:color w:val="auto"/>
          <w:kern w:val="2"/>
          <w:sz w:val="24"/>
          <w:szCs w:val="24"/>
          <w:highlight w:val="none"/>
          <w:u w:val="single"/>
        </w:rPr>
        <w:t>202</w:t>
      </w:r>
      <w:r>
        <w:rPr>
          <w:rStyle w:val="76"/>
          <w:rFonts w:hint="eastAsia" w:ascii="宋体" w:hAnsi="宋体" w:cs="宋体"/>
          <w:snapToGrid/>
          <w:color w:val="auto"/>
          <w:kern w:val="2"/>
          <w:sz w:val="24"/>
          <w:szCs w:val="24"/>
          <w:highlight w:val="none"/>
          <w:u w:val="single"/>
          <w:lang w:val="en-US" w:eastAsia="zh-CN"/>
        </w:rPr>
        <w:t>5</w:t>
      </w:r>
      <w:r>
        <w:rPr>
          <w:rStyle w:val="76"/>
          <w:rFonts w:hint="eastAsia" w:ascii="宋体" w:hAnsi="宋体" w:eastAsia="宋体" w:cs="宋体"/>
          <w:snapToGrid/>
          <w:color w:val="auto"/>
          <w:kern w:val="2"/>
          <w:sz w:val="24"/>
          <w:szCs w:val="24"/>
          <w:highlight w:val="none"/>
          <w:u w:val="single"/>
        </w:rPr>
        <w:t>年</w:t>
      </w:r>
      <w:r>
        <w:rPr>
          <w:rStyle w:val="76"/>
          <w:rFonts w:hint="eastAsia" w:ascii="宋体" w:hAnsi="宋体" w:cs="宋体"/>
          <w:snapToGrid/>
          <w:color w:val="auto"/>
          <w:kern w:val="2"/>
          <w:sz w:val="24"/>
          <w:szCs w:val="24"/>
          <w:highlight w:val="none"/>
          <w:u w:val="single"/>
          <w:lang w:val="en-US" w:eastAsia="zh-CN"/>
        </w:rPr>
        <w:t>4</w:t>
      </w:r>
      <w:r>
        <w:rPr>
          <w:rStyle w:val="76"/>
          <w:rFonts w:hint="eastAsia" w:ascii="宋体" w:hAnsi="宋体" w:eastAsia="宋体" w:cs="宋体"/>
          <w:snapToGrid/>
          <w:color w:val="auto"/>
          <w:kern w:val="2"/>
          <w:sz w:val="24"/>
          <w:szCs w:val="24"/>
          <w:highlight w:val="none"/>
          <w:u w:val="single"/>
        </w:rPr>
        <w:t>月</w:t>
      </w:r>
      <w:r>
        <w:rPr>
          <w:rStyle w:val="76"/>
          <w:rFonts w:hint="eastAsia" w:ascii="宋体" w:hAnsi="宋体" w:cs="宋体"/>
          <w:snapToGrid/>
          <w:color w:val="auto"/>
          <w:kern w:val="2"/>
          <w:sz w:val="24"/>
          <w:szCs w:val="24"/>
          <w:highlight w:val="none"/>
          <w:u w:val="single"/>
          <w:lang w:val="en-US" w:eastAsia="zh-CN"/>
        </w:rPr>
        <w:t>30</w:t>
      </w:r>
      <w:r>
        <w:rPr>
          <w:rStyle w:val="76"/>
          <w:rFonts w:hint="eastAsia" w:ascii="宋体" w:hAnsi="宋体" w:eastAsia="宋体" w:cs="宋体"/>
          <w:snapToGrid/>
          <w:color w:val="auto"/>
          <w:kern w:val="2"/>
          <w:sz w:val="24"/>
          <w:szCs w:val="24"/>
          <w:highlight w:val="none"/>
          <w:u w:val="single"/>
        </w:rPr>
        <w:t>日</w:t>
      </w:r>
      <w:r>
        <w:rPr>
          <w:rStyle w:val="76"/>
          <w:rFonts w:hint="eastAsia" w:ascii="宋体" w:hAnsi="宋体" w:cs="宋体"/>
          <w:snapToGrid/>
          <w:color w:val="auto"/>
          <w:kern w:val="2"/>
          <w:sz w:val="24"/>
          <w:szCs w:val="24"/>
          <w:highlight w:val="none"/>
          <w:u w:val="single"/>
          <w:lang w:val="en-US" w:eastAsia="zh-CN"/>
        </w:rPr>
        <w:t>9</w:t>
      </w:r>
      <w:r>
        <w:rPr>
          <w:rStyle w:val="76"/>
          <w:rFonts w:hint="eastAsia" w:ascii="宋体" w:hAnsi="宋体" w:eastAsia="宋体" w:cs="宋体"/>
          <w:snapToGrid/>
          <w:color w:val="auto"/>
          <w:kern w:val="2"/>
          <w:sz w:val="24"/>
          <w:szCs w:val="24"/>
          <w:highlight w:val="none"/>
          <w:u w:val="single"/>
        </w:rPr>
        <w:t>点</w:t>
      </w:r>
      <w:r>
        <w:rPr>
          <w:rStyle w:val="76"/>
          <w:rFonts w:hint="eastAsia" w:ascii="宋体" w:hAnsi="宋体" w:cs="宋体"/>
          <w:snapToGrid/>
          <w:color w:val="auto"/>
          <w:kern w:val="2"/>
          <w:sz w:val="24"/>
          <w:szCs w:val="24"/>
          <w:highlight w:val="none"/>
          <w:u w:val="single"/>
          <w:lang w:val="en-US" w:eastAsia="zh-CN"/>
        </w:rPr>
        <w:t>30</w:t>
      </w:r>
      <w:r>
        <w:rPr>
          <w:rStyle w:val="76"/>
          <w:rFonts w:hint="eastAsia" w:ascii="宋体" w:hAnsi="宋体" w:eastAsia="宋体" w:cs="宋体"/>
          <w:snapToGrid/>
          <w:color w:val="auto"/>
          <w:kern w:val="2"/>
          <w:sz w:val="24"/>
          <w:szCs w:val="24"/>
          <w:highlight w:val="none"/>
          <w:u w:val="single"/>
        </w:rPr>
        <w:t>分</w:t>
      </w:r>
      <w:r>
        <w:rPr>
          <w:rStyle w:val="76"/>
          <w:rFonts w:hint="eastAsia" w:ascii="宋体" w:hAnsi="宋体" w:eastAsia="宋体" w:cs="宋体"/>
          <w:bCs/>
          <w:snapToGrid/>
          <w:color w:val="auto"/>
          <w:kern w:val="2"/>
          <w:sz w:val="24"/>
          <w:szCs w:val="24"/>
          <w:highlight w:val="none"/>
          <w:u w:val="single"/>
        </w:rPr>
        <w:t>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政采云平台（https://www.zcygov.cn/）杭州市富阳区江连街27号行政服务中心A座4楼3号开标室</w:t>
      </w:r>
      <w:r>
        <w:rPr>
          <w:rFonts w:hint="eastAsia" w:ascii="宋体" w:hAnsi="宋体" w:cs="宋体"/>
          <w:color w:val="auto"/>
          <w:sz w:val="24"/>
          <w:highlight w:val="none"/>
          <w:lang w:eastAsia="zh-CN"/>
        </w:rPr>
        <w:t>。</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杭州市规划和自然资源局富阳分局</w:t>
      </w:r>
      <w:r>
        <w:rPr>
          <w:rFonts w:hint="eastAsia" w:ascii="宋体" w:hAnsi="宋体" w:cs="宋体"/>
          <w:color w:val="auto"/>
          <w:sz w:val="24"/>
          <w:highlight w:val="none"/>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址：杭州市富阳区桂花西路1号恩波大厦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911895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项目联系人（询问）：马跃波</w:t>
      </w:r>
    </w:p>
    <w:p w14:paraId="31CC70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 (0571)89526192</w:t>
      </w:r>
    </w:p>
    <w:p w14:paraId="160DB7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质疑联系人：缪钢烽</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 (0571)89526189</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浙江金穗工程项目管理有限公司</w:t>
      </w:r>
    </w:p>
    <w:p w14:paraId="16C39B4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杭州市富阳区鹿山街道江波街580号</w:t>
      </w:r>
    </w:p>
    <w:p w14:paraId="4E949C1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100F3350">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项目联系人（询问）： </w:t>
      </w:r>
      <w:r>
        <w:rPr>
          <w:rFonts w:hint="eastAsia" w:ascii="宋体" w:hAnsi="宋体" w:cs="宋体"/>
          <w:color w:val="auto"/>
          <w:sz w:val="24"/>
          <w:highlight w:val="none"/>
          <w:lang w:val="en-US" w:eastAsia="zh-CN"/>
        </w:rPr>
        <w:t>夏智丽</w:t>
      </w:r>
    </w:p>
    <w:p w14:paraId="5C2D7216">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0571-63277910</w:t>
      </w:r>
    </w:p>
    <w:p w14:paraId="48FC9B18">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lang w:val="en-US" w:eastAsia="zh-CN"/>
        </w:rPr>
        <w:tab/>
      </w:r>
      <w:r>
        <w:rPr>
          <w:rFonts w:hint="eastAsia" w:ascii="宋体" w:hAnsi="宋体" w:cs="宋体"/>
          <w:color w:val="auto"/>
          <w:sz w:val="24"/>
          <w:highlight w:val="none"/>
          <w:lang w:val="en-US" w:eastAsia="zh-CN"/>
        </w:rPr>
        <w:t>章栩枭</w:t>
      </w:r>
    </w:p>
    <w:p w14:paraId="0F3419A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13486180010</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监督投诉电话：0571-87227671,0571-87800218 </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keepNext w:val="0"/>
              <w:keepLines w:val="0"/>
              <w:pageBreakBefore w:val="0"/>
              <w:kinsoku/>
              <w:wordWrap/>
              <w:overflowPunct/>
              <w:topLinePunct w:val="0"/>
              <w:bidi w:val="0"/>
              <w:adjustRightInd w:val="0"/>
              <w:snapToGrid w:val="0"/>
              <w:spacing w:line="240" w:lineRule="auto"/>
              <w:textAlignment w:val="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C8024F5">
            <w:pPr>
              <w:keepNext w:val="0"/>
              <w:keepLines w:val="0"/>
              <w:pageBreakBefore w:val="0"/>
              <w:numPr>
                <w:ilvl w:val="0"/>
                <w:numId w:val="0"/>
              </w:numPr>
              <w:kinsoku/>
              <w:wordWrap/>
              <w:overflowPunct/>
              <w:topLinePunct w:val="0"/>
              <w:bidi w:val="0"/>
              <w:adjustRightInd w:val="0"/>
              <w:snapToGrid w:val="0"/>
              <w:spacing w:line="24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rPr>
              <w:t>《关于印发中小企业划型标准规定的通知》（工信部联企业〔2011〕300号）规定的划分标准</w:t>
            </w:r>
          </w:p>
          <w:p w14:paraId="6DD8D65A">
            <w:pPr>
              <w:keepNext w:val="0"/>
              <w:keepLines w:val="0"/>
              <w:pageBreakBefore w:val="0"/>
              <w:numPr>
                <w:ilvl w:val="0"/>
                <w:numId w:val="1"/>
              </w:numPr>
              <w:kinsoku/>
              <w:wordWrap/>
              <w:overflowPunct/>
              <w:topLinePunct w:val="0"/>
              <w:bidi w:val="0"/>
              <w:adjustRightInd w:val="0"/>
              <w:snapToGrid w:val="0"/>
              <w:spacing w:line="24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2024年度富阳区国土变更调查项目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9380E4B">
            <w:pPr>
              <w:keepNext w:val="0"/>
              <w:keepLines w:val="0"/>
              <w:pageBreakBefore w:val="0"/>
              <w:numPr>
                <w:ilvl w:val="0"/>
                <w:numId w:val="0"/>
              </w:numPr>
              <w:kinsoku/>
              <w:wordWrap/>
              <w:overflowPunct/>
              <w:topLinePunct w:val="0"/>
              <w:bidi w:val="0"/>
              <w:adjustRightInd w:val="0"/>
              <w:snapToGrid w:val="0"/>
              <w:spacing w:line="24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其他未列明行业 </w:t>
            </w:r>
            <w:r>
              <w:rPr>
                <w:rFonts w:hint="eastAsia" w:ascii="宋体" w:hAnsi="宋体" w:cs="宋体"/>
                <w:color w:val="auto"/>
                <w:kern w:val="0"/>
                <w:sz w:val="24"/>
                <w:highlight w:val="none"/>
              </w:rPr>
              <w:t>；</w:t>
            </w:r>
          </w:p>
          <w:p w14:paraId="715BB72E">
            <w:pPr>
              <w:keepNext w:val="0"/>
              <w:keepLines w:val="0"/>
              <w:pageBreakBefore w:val="0"/>
              <w:numPr>
                <w:ilvl w:val="0"/>
                <w:numId w:val="0"/>
              </w:numPr>
              <w:kinsoku/>
              <w:wordWrap/>
              <w:overflowPunct/>
              <w:topLinePunct w:val="0"/>
              <w:bidi w:val="0"/>
              <w:adjustRightInd w:val="0"/>
              <w:snapToGrid w:val="0"/>
              <w:spacing w:line="240" w:lineRule="auto"/>
              <w:textAlignment w:val="auto"/>
              <w:rPr>
                <w:rFonts w:hint="eastAsia" w:ascii="宋体" w:hAnsi="宋体" w:cs="宋体"/>
                <w:color w:val="auto"/>
                <w:kern w:val="0"/>
                <w:sz w:val="24"/>
                <w:highlight w:val="none"/>
                <w:u w:val="single"/>
                <w:lang w:val="en-US"/>
              </w:rPr>
            </w:pPr>
            <w:r>
              <w:rPr>
                <w:rFonts w:hint="eastAsia" w:ascii="宋体" w:hAnsi="宋体" w:cs="宋体"/>
                <w:color w:val="auto"/>
                <w:kern w:val="0"/>
                <w:sz w:val="24"/>
                <w:highlight w:val="none"/>
                <w:u w:val="single"/>
                <w:lang w:val="en-US"/>
              </w:rPr>
              <w:t>《关于印发中小企业划型标准规定的通知》（工信部联企业〔2011〕300号）规定的划分标准。</w:t>
            </w:r>
          </w:p>
          <w:p w14:paraId="465FD1DE">
            <w:pPr>
              <w:keepNext w:val="0"/>
              <w:keepLines w:val="0"/>
              <w:pageBreakBefore w:val="0"/>
              <w:numPr>
                <w:ilvl w:val="0"/>
                <w:numId w:val="0"/>
              </w:numPr>
              <w:kinsoku/>
              <w:wordWrap/>
              <w:overflowPunct/>
              <w:topLinePunct w:val="0"/>
              <w:bidi w:val="0"/>
              <w:adjustRightInd w:val="0"/>
              <w:snapToGrid w:val="0"/>
              <w:spacing w:line="240" w:lineRule="auto"/>
              <w:textAlignment w:val="auto"/>
              <w:rPr>
                <w:rFonts w:ascii="宋体" w:hAnsi="宋体" w:eastAsia="宋体" w:cs="宋体"/>
                <w:color w:val="auto"/>
                <w:highlight w:val="none"/>
                <w:lang w:val="en-US"/>
              </w:rPr>
            </w:pPr>
            <w:r>
              <w:rPr>
                <w:rFonts w:hint="eastAsia" w:ascii="宋体" w:hAnsi="宋体" w:cs="宋体"/>
                <w:color w:val="auto"/>
                <w:kern w:val="0"/>
                <w:sz w:val="24"/>
                <w:highlight w:val="none"/>
                <w:u w:val="single"/>
                <w:lang w:val="en-US"/>
              </w:rPr>
              <w:t>其他未列明行业。从业人员300人以下的为中小微型企业，其中，从业人员100人及以上300人以下的为中型企业；从业人员10人及以上100人以下的为小型企业；从业人员10人以下的为微型企业。</w:t>
            </w:r>
          </w:p>
        </w:tc>
      </w:tr>
      <w:tr w14:paraId="749B8F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48CE29F">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E3825F1">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eastAsia" w:ascii="宋体" w:hAnsi="宋体" w:cs="宋体"/>
                <w:b/>
                <w:color w:val="auto"/>
                <w:sz w:val="24"/>
                <w:highlight w:val="none"/>
              </w:rPr>
            </w:pPr>
            <w:r>
              <w:rPr>
                <w:rFonts w:hint="eastAsia" w:ascii="仿宋" w:hAnsi="仿宋" w:cs="仿宋"/>
                <w:b/>
                <w:szCs w:val="24"/>
                <w:highlight w:val="none"/>
              </w:rPr>
              <w:t>促进中小企业发展政策</w:t>
            </w:r>
          </w:p>
        </w:tc>
        <w:tc>
          <w:tcPr>
            <w:tcW w:w="6095" w:type="dxa"/>
            <w:tcBorders>
              <w:top w:val="single" w:color="000000" w:sz="8" w:space="0"/>
              <w:left w:val="single" w:color="000000" w:sz="2" w:space="0"/>
              <w:bottom w:val="single" w:color="000000" w:sz="8" w:space="0"/>
              <w:right w:val="single" w:color="000000" w:sz="8" w:space="0"/>
            </w:tcBorders>
            <w:vAlign w:val="center"/>
          </w:tcPr>
          <w:p w14:paraId="05D9EAB0">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仿宋" w:hAnsi="仿宋" w:eastAsia="宋体" w:cs="仿宋"/>
                <w:b w:val="0"/>
                <w:bCs/>
                <w:szCs w:val="24"/>
                <w:highlight w:val="none"/>
              </w:rPr>
            </w:pPr>
            <w:r>
              <w:rPr>
                <w:rFonts w:hint="eastAsia" w:ascii="仿宋" w:hAnsi="仿宋" w:eastAsia="宋体" w:cs="仿宋"/>
                <w:b w:val="0"/>
                <w:bCs/>
                <w:szCs w:val="24"/>
                <w:highlight w:val="none"/>
                <w:lang w:eastAsia="zh-CN"/>
              </w:rPr>
              <w:t>（</w:t>
            </w:r>
            <w:r>
              <w:rPr>
                <w:rFonts w:hint="eastAsia" w:ascii="仿宋" w:hAnsi="仿宋" w:eastAsia="宋体" w:cs="仿宋"/>
                <w:b w:val="0"/>
                <w:bCs/>
                <w:szCs w:val="24"/>
                <w:highlight w:val="none"/>
                <w:lang w:val="en-US" w:eastAsia="zh-CN"/>
              </w:rPr>
              <w:t>1）</w:t>
            </w:r>
            <w:r>
              <w:rPr>
                <w:rFonts w:hint="eastAsia" w:ascii="仿宋" w:hAnsi="仿宋" w:eastAsia="宋体" w:cs="仿宋"/>
                <w:b w:val="0"/>
                <w:bCs/>
                <w:szCs w:val="24"/>
                <w:highlight w:val="none"/>
              </w:rPr>
              <w:t>投标人应对照财政部《关于进一步加大政府采购支持中小企业力度的通知》（财库〔2022〕19号）《政府采购促进中小企业发展管理办法》（财库〔2020〕46号）《关于促进残疾人就业政府采购政策的通知》（财库〔2017〕141号）《关于政府采购支持监狱企业发展有关问题的通知》（财库〔2014〕68号）文件的要求，根据自身实际情况审慎作出判断，是否符合相关要求，并视情况提供《中小企业声明函》（格式见附件）《残疾人福利性单位声明函》（格式见附件）《监狱企业证明文件》。</w:t>
            </w:r>
          </w:p>
          <w:p w14:paraId="6EA5E9C6">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仿宋" w:hAnsi="仿宋" w:eastAsia="宋体" w:cs="仿宋"/>
                <w:b/>
                <w:szCs w:val="24"/>
                <w:highlight w:val="none"/>
              </w:rPr>
            </w:pPr>
            <w:r>
              <w:rPr>
                <w:rFonts w:hint="eastAsia" w:ascii="仿宋" w:hAnsi="仿宋" w:eastAsia="宋体" w:cs="仿宋"/>
                <w:b/>
                <w:szCs w:val="24"/>
                <w:highlight w:val="none"/>
                <w:lang w:eastAsia="zh-CN"/>
              </w:rPr>
              <w:t>（</w:t>
            </w:r>
            <w:r>
              <w:rPr>
                <w:rFonts w:hint="eastAsia" w:ascii="仿宋" w:hAnsi="仿宋" w:eastAsia="宋体" w:cs="仿宋"/>
                <w:b/>
                <w:szCs w:val="24"/>
                <w:highlight w:val="none"/>
                <w:lang w:val="en-US" w:eastAsia="zh-CN"/>
              </w:rPr>
              <w:t>2）</w:t>
            </w:r>
            <w:r>
              <w:rPr>
                <w:rFonts w:hint="eastAsia" w:ascii="仿宋" w:hAnsi="仿宋" w:eastAsia="宋体" w:cs="仿宋"/>
                <w:b/>
                <w:szCs w:val="24"/>
                <w:highlight w:val="none"/>
              </w:rPr>
              <w:t>▲投标人应当对其出具的声明函的真实性负责，提供声明函内容不实的，属于提供虚假材料谋取中标、成交，投标无效，采购代理机构有权依法将线索移交至政府采购行政监督管理部门处理，依照《中华人民共和国政府采购法》等国家有关法律规定追究相应法律责任。</w:t>
            </w:r>
          </w:p>
          <w:p w14:paraId="03FA9616">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仿宋" w:hAnsi="仿宋" w:eastAsia="宋体" w:cs="仿宋"/>
                <w:b/>
                <w:szCs w:val="24"/>
                <w:highlight w:val="none"/>
              </w:rPr>
            </w:pPr>
            <w:r>
              <w:rPr>
                <w:rFonts w:hint="eastAsia" w:ascii="仿宋" w:hAnsi="仿宋" w:eastAsia="宋体" w:cs="仿宋"/>
                <w:b/>
                <w:szCs w:val="24"/>
                <w:highlight w:val="none"/>
                <w:lang w:eastAsia="zh-CN"/>
              </w:rPr>
              <w:t>（</w:t>
            </w:r>
            <w:r>
              <w:rPr>
                <w:rFonts w:hint="eastAsia" w:ascii="仿宋" w:hAnsi="仿宋" w:eastAsia="宋体" w:cs="仿宋"/>
                <w:b/>
                <w:szCs w:val="24"/>
                <w:highlight w:val="none"/>
                <w:lang w:val="en-US" w:eastAsia="zh-CN"/>
              </w:rPr>
              <w:t>3)</w:t>
            </w:r>
            <w:r>
              <w:rPr>
                <w:rFonts w:hint="eastAsia" w:ascii="仿宋" w:hAnsi="仿宋" w:eastAsia="宋体" w:cs="仿宋"/>
                <w:b/>
                <w:szCs w:val="24"/>
                <w:highlight w:val="none"/>
              </w:rPr>
              <w:t>如投标人对相关制造商信息了解不充分，或者不能确定相关信息真实、准确的，不建议出具《中小企业声明函》。</w:t>
            </w:r>
          </w:p>
          <w:p w14:paraId="5B7E0512">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仿宋" w:hAnsi="仿宋" w:eastAsia="宋体" w:cs="仿宋"/>
                <w:b/>
                <w:szCs w:val="24"/>
                <w:highlight w:val="none"/>
              </w:rPr>
            </w:pPr>
            <w:r>
              <w:rPr>
                <w:rFonts w:hint="eastAsia" w:ascii="仿宋" w:hAnsi="仿宋" w:eastAsia="宋体" w:cs="仿宋"/>
                <w:b/>
                <w:szCs w:val="24"/>
                <w:highlight w:val="none"/>
                <w:lang w:val="en-US" w:eastAsia="zh-CN"/>
              </w:rPr>
              <w:t>(4)</w:t>
            </w:r>
            <w:r>
              <w:rPr>
                <w:rFonts w:hint="eastAsia" w:ascii="仿宋" w:hAnsi="仿宋" w:eastAsia="宋体" w:cs="仿宋"/>
                <w:b/>
                <w:szCs w:val="24"/>
                <w:highlight w:val="none"/>
              </w:rPr>
              <w:t>对于未预留份额专门面向中小企业的政府采购货物或服务项目，以及预留份额政府采购货物或服务项目中的非预留部分标项，对符合小微企业价格扣除要求的，对小型和微型企业的投标报价给予10%-20%（本项目扣除比例为：</w:t>
            </w:r>
            <w:r>
              <w:rPr>
                <w:rFonts w:hint="eastAsia" w:ascii="仿宋" w:hAnsi="仿宋" w:eastAsia="宋体" w:cs="仿宋"/>
                <w:b/>
                <w:szCs w:val="24"/>
                <w:highlight w:val="none"/>
                <w:lang w:val="en-US" w:eastAsia="zh-CN"/>
              </w:rPr>
              <w:t>10</w:t>
            </w:r>
            <w:r>
              <w:rPr>
                <w:rFonts w:hint="eastAsia" w:ascii="仿宋" w:hAnsi="仿宋" w:eastAsia="宋体" w:cs="仿宋"/>
                <w:b/>
                <w:szCs w:val="24"/>
                <w:highlight w:val="none"/>
              </w:rPr>
              <w:t xml:space="preserve"> %）的扣除，用扣除后的价格参与评审。对于专门面向中、小、微型企业或者监狱企业或者残疾人福利性单位的政府采购货物或服务项目，符合资格条件的不再执行价格评审优惠的扶持政策。</w:t>
            </w:r>
          </w:p>
          <w:p w14:paraId="0873D423">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仿宋" w:hAnsi="仿宋" w:eastAsia="宋体" w:cs="仿宋"/>
                <w:b/>
                <w:szCs w:val="24"/>
                <w:highlight w:val="none"/>
              </w:rPr>
            </w:pPr>
            <w:r>
              <w:rPr>
                <w:rFonts w:hint="eastAsia" w:ascii="仿宋" w:hAnsi="仿宋" w:eastAsia="宋体" w:cs="仿宋"/>
                <w:b/>
                <w:szCs w:val="24"/>
                <w:highlight w:val="none"/>
                <w:lang w:val="en-US" w:eastAsia="zh-CN"/>
              </w:rPr>
              <w:t>(5)</w:t>
            </w:r>
            <w:r>
              <w:rPr>
                <w:rFonts w:hint="eastAsia" w:ascii="仿宋" w:hAnsi="仿宋" w:eastAsia="宋体" w:cs="仿宋"/>
                <w:b/>
                <w:szCs w:val="24"/>
                <w:highlight w:val="none"/>
              </w:rPr>
              <w:t xml:space="preserve">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本项目扣除比例为： </w:t>
            </w:r>
            <w:r>
              <w:rPr>
                <w:rFonts w:hint="eastAsia" w:ascii="仿宋" w:hAnsi="仿宋" w:eastAsia="宋体" w:cs="仿宋"/>
                <w:b/>
                <w:szCs w:val="24"/>
                <w:highlight w:val="none"/>
                <w:lang w:val="en-US" w:eastAsia="zh-CN"/>
              </w:rPr>
              <w:t>4</w:t>
            </w:r>
            <w:r>
              <w:rPr>
                <w:rFonts w:hint="eastAsia" w:ascii="仿宋" w:hAnsi="仿宋" w:eastAsia="宋体" w:cs="仿宋"/>
                <w:b/>
                <w:szCs w:val="24"/>
                <w:highlight w:val="none"/>
              </w:rPr>
              <w:t xml:space="preserve"> %）的扣除，用扣除后的价格参加评审。组成联合体或者接受分包的小微企业与联合体内其他企业、分包企业之间存在直接控股、管理关系的，不享受价格扣除优惠政策。</w:t>
            </w:r>
          </w:p>
          <w:p w14:paraId="4AE65951">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宋体" w:hAnsi="宋体" w:cs="宋体"/>
                <w:color w:val="auto"/>
                <w:kern w:val="0"/>
                <w:sz w:val="24"/>
                <w:highlight w:val="none"/>
                <w:u w:val="single"/>
                <w:lang w:val="en-US"/>
              </w:rPr>
            </w:pPr>
            <w:r>
              <w:rPr>
                <w:rFonts w:hint="eastAsia" w:ascii="仿宋" w:hAnsi="仿宋" w:eastAsia="宋体" w:cs="仿宋"/>
                <w:b/>
                <w:szCs w:val="24"/>
                <w:highlight w:val="none"/>
                <w:lang w:val="en-US" w:eastAsia="zh-CN"/>
              </w:rPr>
              <w:t>(6)</w:t>
            </w:r>
            <w:r>
              <w:rPr>
                <w:rFonts w:hint="eastAsia" w:ascii="仿宋" w:hAnsi="仿宋" w:eastAsia="宋体" w:cs="仿宋"/>
                <w:b/>
                <w:szCs w:val="24"/>
                <w:highlight w:val="none"/>
              </w:rPr>
              <w:t>中小企业享受扶持政策获得政府采购合同的，小微企业不得将合同分包给大中型企业，中型企业不得将合同分包给大型企业。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FFBC63">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keepNext w:val="0"/>
              <w:keepLines w:val="0"/>
              <w:pageBreakBefore w:val="0"/>
              <w:kinsoku/>
              <w:wordWrap/>
              <w:overflowPunct/>
              <w:topLinePunct w:val="0"/>
              <w:bidi w:val="0"/>
              <w:adjustRightInd w:val="0"/>
              <w:spacing w:line="240" w:lineRule="auto"/>
              <w:textAlignment w:val="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keepNext w:val="0"/>
              <w:keepLines w:val="0"/>
              <w:pageBreakBefore w:val="0"/>
              <w:kinsoku/>
              <w:wordWrap/>
              <w:overflowPunct/>
              <w:topLinePunct w:val="0"/>
              <w:bidi w:val="0"/>
              <w:adjustRightInd w:val="0"/>
              <w:snapToGrid w:val="0"/>
              <w:spacing w:line="24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690EDEA">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sz w:val="24"/>
                <w:highlight w:val="none"/>
                <w:lang w:eastAsia="zh-CN"/>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r>
              <w:rPr>
                <w:rFonts w:hint="eastAsia" w:ascii="宋体" w:hAnsi="宋体" w:cs="宋体"/>
                <w:color w:val="auto"/>
                <w:sz w:val="24"/>
                <w:highlight w:val="none"/>
                <w:lang w:eastAsia="zh-CN"/>
              </w:rPr>
              <w:t>。</w:t>
            </w:r>
          </w:p>
          <w:p w14:paraId="2FE069BD">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3B3BFA">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keepNext w:val="0"/>
              <w:keepLines w:val="0"/>
              <w:pageBreakBefore w:val="0"/>
              <w:kinsoku/>
              <w:wordWrap/>
              <w:overflowPunct/>
              <w:topLinePunct w:val="0"/>
              <w:bidi w:val="0"/>
              <w:adjustRightInd w:val="0"/>
              <w:spacing w:line="240" w:lineRule="auto"/>
              <w:textAlignment w:val="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keepNext w:val="0"/>
              <w:keepLines w:val="0"/>
              <w:pageBreakBefore w:val="0"/>
              <w:kinsoku/>
              <w:wordWrap/>
              <w:overflowPunct/>
              <w:topLinePunct w:val="0"/>
              <w:bidi w:val="0"/>
              <w:adjustRightInd w:val="0"/>
              <w:spacing w:line="240" w:lineRule="auto"/>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keepNext w:val="0"/>
              <w:keepLines w:val="0"/>
              <w:pageBreakBefore w:val="0"/>
              <w:kinsoku/>
              <w:wordWrap/>
              <w:overflowPunct/>
              <w:topLinePunct w:val="0"/>
              <w:bidi w:val="0"/>
              <w:adjustRightInd w:val="0"/>
              <w:spacing w:line="240" w:lineRule="auto"/>
              <w:ind w:firstLine="0" w:firstLineChars="0"/>
              <w:textAlignment w:val="auto"/>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25828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keepNext w:val="0"/>
              <w:keepLines w:val="0"/>
              <w:pageBreakBefore w:val="0"/>
              <w:kinsoku/>
              <w:wordWrap/>
              <w:overflowPunct/>
              <w:topLinePunct w:val="0"/>
              <w:bidi w:val="0"/>
              <w:adjustRightInd w:val="0"/>
              <w:spacing w:line="240" w:lineRule="auto"/>
              <w:textAlignment w:val="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2C2B9F7">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keepNext w:val="0"/>
              <w:keepLines w:val="0"/>
              <w:pageBreakBefore w:val="0"/>
              <w:kinsoku/>
              <w:wordWrap/>
              <w:overflowPunct/>
              <w:topLinePunct w:val="0"/>
              <w:bidi w:val="0"/>
              <w:adjustRightInd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keepNext w:val="0"/>
              <w:keepLines w:val="0"/>
              <w:pageBreakBefore w:val="0"/>
              <w:kinsoku/>
              <w:wordWrap/>
              <w:overflowPunct/>
              <w:topLinePunct w:val="0"/>
              <w:bidi w:val="0"/>
              <w:adjustRightInd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keepNext w:val="0"/>
              <w:keepLines w:val="0"/>
              <w:pageBreakBefore w:val="0"/>
              <w:kinsoku/>
              <w:wordWrap/>
              <w:overflowPunct/>
              <w:topLinePunct w:val="0"/>
              <w:bidi w:val="0"/>
              <w:adjustRightInd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keepNext w:val="0"/>
              <w:keepLines w:val="0"/>
              <w:pageBreakBefore w:val="0"/>
              <w:kinsoku/>
              <w:wordWrap/>
              <w:overflowPunct/>
              <w:topLinePunct w:val="0"/>
              <w:bidi w:val="0"/>
              <w:adjustRightInd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keepNext w:val="0"/>
              <w:keepLines w:val="0"/>
              <w:pageBreakBefore w:val="0"/>
              <w:kinsoku/>
              <w:wordWrap/>
              <w:overflowPunct/>
              <w:topLinePunct w:val="0"/>
              <w:bidi w:val="0"/>
              <w:adjustRightInd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keepNext w:val="0"/>
              <w:keepLines w:val="0"/>
              <w:pageBreakBefore w:val="0"/>
              <w:kinsoku/>
              <w:wordWrap/>
              <w:overflowPunct/>
              <w:topLinePunct w:val="0"/>
              <w:bidi w:val="0"/>
              <w:adjustRightInd w:val="0"/>
              <w:snapToGrid w:val="0"/>
              <w:spacing w:line="240" w:lineRule="auto"/>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0B1E496">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1843" w:type="dxa"/>
            <w:vMerge w:val="restart"/>
            <w:tcBorders>
              <w:top w:val="single" w:color="000000" w:sz="8" w:space="0"/>
              <w:left w:val="single" w:color="auto" w:sz="4" w:space="0"/>
              <w:right w:val="single" w:color="000000" w:sz="8" w:space="0"/>
            </w:tcBorders>
            <w:vAlign w:val="center"/>
          </w:tcPr>
          <w:p w14:paraId="4DDDB98A">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keepNext w:val="0"/>
              <w:keepLines w:val="0"/>
              <w:pageBreakBefore w:val="0"/>
              <w:kinsoku/>
              <w:wordWrap/>
              <w:overflowPunct/>
              <w:topLinePunct w:val="0"/>
              <w:bidi w:val="0"/>
              <w:adjustRightInd w:val="0"/>
              <w:spacing w:line="240" w:lineRule="auto"/>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keepNext w:val="0"/>
              <w:keepLines w:val="0"/>
              <w:pageBreakBefore w:val="0"/>
              <w:kinsoku/>
              <w:wordWrap/>
              <w:overflowPunct/>
              <w:topLinePunct w:val="0"/>
              <w:bidi w:val="0"/>
              <w:adjustRightInd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F751B8C">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keepNext w:val="0"/>
              <w:keepLines w:val="0"/>
              <w:pageBreakBefore w:val="0"/>
              <w:kinsoku/>
              <w:wordWrap/>
              <w:overflowPunct/>
              <w:topLinePunct w:val="0"/>
              <w:bidi w:val="0"/>
              <w:adjustRightInd w:val="0"/>
              <w:snapToGrid w:val="0"/>
              <w:spacing w:line="240" w:lineRule="auto"/>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keepNext w:val="0"/>
              <w:keepLines w:val="0"/>
              <w:pageBreakBefore w:val="0"/>
              <w:kinsoku/>
              <w:wordWrap/>
              <w:overflowPunct/>
              <w:topLinePunct w:val="0"/>
              <w:bidi w:val="0"/>
              <w:adjustRightInd w:val="0"/>
              <w:spacing w:line="240" w:lineRule="auto"/>
              <w:jc w:val="both"/>
              <w:textAlignment w:val="auto"/>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keepNext w:val="0"/>
              <w:keepLines w:val="0"/>
              <w:pageBreakBefore w:val="0"/>
              <w:kinsoku/>
              <w:wordWrap/>
              <w:overflowPunct/>
              <w:topLinePunct w:val="0"/>
              <w:bidi w:val="0"/>
              <w:adjustRightInd w:val="0"/>
              <w:spacing w:line="240" w:lineRule="auto"/>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keepNext w:val="0"/>
              <w:keepLines w:val="0"/>
              <w:pageBreakBefore w:val="0"/>
              <w:kinsoku/>
              <w:wordWrap/>
              <w:overflowPunct/>
              <w:topLinePunct w:val="0"/>
              <w:bidi w:val="0"/>
              <w:adjustRightInd w:val="0"/>
              <w:spacing w:line="240" w:lineRule="auto"/>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keepNext w:val="0"/>
              <w:keepLines w:val="0"/>
              <w:pageBreakBefore w:val="0"/>
              <w:kinsoku/>
              <w:wordWrap/>
              <w:overflowPunct/>
              <w:topLinePunct w:val="0"/>
              <w:bidi w:val="0"/>
              <w:adjustRightInd w:val="0"/>
              <w:spacing w:line="240" w:lineRule="auto"/>
              <w:jc w:val="both"/>
              <w:textAlignment w:val="auto"/>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5ED4C9E">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keepNext w:val="0"/>
              <w:keepLines w:val="0"/>
              <w:pageBreakBefore w:val="0"/>
              <w:kinsoku/>
              <w:wordWrap/>
              <w:overflowPunct/>
              <w:topLinePunct w:val="0"/>
              <w:bidi w:val="0"/>
              <w:adjustRightInd w:val="0"/>
              <w:snapToGrid w:val="0"/>
              <w:spacing w:line="240" w:lineRule="auto"/>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keepNext w:val="0"/>
              <w:keepLines w:val="0"/>
              <w:pageBreakBefore w:val="0"/>
              <w:kinsoku/>
              <w:wordWrap/>
              <w:overflowPunct/>
              <w:topLinePunct w:val="0"/>
              <w:bidi w:val="0"/>
              <w:adjustRightInd w:val="0"/>
              <w:snapToGrid w:val="0"/>
              <w:spacing w:line="240" w:lineRule="auto"/>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keepNext w:val="0"/>
              <w:keepLines w:val="0"/>
              <w:pageBreakBefore w:val="0"/>
              <w:kinsoku/>
              <w:wordWrap/>
              <w:overflowPunct/>
              <w:topLinePunct w:val="0"/>
              <w:bidi w:val="0"/>
              <w:adjustRightInd w:val="0"/>
              <w:snapToGrid w:val="0"/>
              <w:spacing w:line="240" w:lineRule="auto"/>
              <w:ind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keepNext w:val="0"/>
              <w:keepLines w:val="0"/>
              <w:pageBreakBefore w:val="0"/>
              <w:kinsoku/>
              <w:wordWrap/>
              <w:overflowPunct/>
              <w:topLinePunct w:val="0"/>
              <w:bidi w:val="0"/>
              <w:adjustRightInd w:val="0"/>
              <w:snapToGrid w:val="0"/>
              <w:spacing w:line="240" w:lineRule="auto"/>
              <w:ind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keepNext w:val="0"/>
              <w:keepLines w:val="0"/>
              <w:pageBreakBefore w:val="0"/>
              <w:kinsoku/>
              <w:wordWrap/>
              <w:overflowPunct/>
              <w:topLinePunct w:val="0"/>
              <w:bidi w:val="0"/>
              <w:adjustRightInd w:val="0"/>
              <w:spacing w:line="240" w:lineRule="auto"/>
              <w:ind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keepNext w:val="0"/>
              <w:keepLines w:val="0"/>
              <w:pageBreakBefore w:val="0"/>
              <w:kinsoku/>
              <w:wordWrap/>
              <w:overflowPunct/>
              <w:topLinePunct w:val="0"/>
              <w:bidi w:val="0"/>
              <w:adjustRightInd w:val="0"/>
              <w:spacing w:line="240" w:lineRule="auto"/>
              <w:ind w:firstLine="241" w:firstLineChars="1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3" w:hRule="atLeast"/>
          <w:tblHeader/>
        </w:trPr>
        <w:tc>
          <w:tcPr>
            <w:tcW w:w="629" w:type="dxa"/>
            <w:tcBorders>
              <w:top w:val="single" w:color="auto" w:sz="4" w:space="0"/>
              <w:left w:val="single" w:color="000000" w:sz="8" w:space="0"/>
              <w:right w:val="single" w:color="000000" w:sz="2" w:space="0"/>
            </w:tcBorders>
            <w:vAlign w:val="center"/>
          </w:tcPr>
          <w:p w14:paraId="508204F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p>
        </w:tc>
        <w:tc>
          <w:tcPr>
            <w:tcW w:w="1843" w:type="dxa"/>
            <w:tcBorders>
              <w:top w:val="single" w:color="000000" w:sz="8" w:space="0"/>
              <w:left w:val="single" w:color="000000" w:sz="2" w:space="0"/>
              <w:right w:val="single" w:color="000000" w:sz="8" w:space="0"/>
            </w:tcBorders>
            <w:vAlign w:val="center"/>
          </w:tcPr>
          <w:p w14:paraId="3D8BAA3D">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keepNext w:val="0"/>
              <w:keepLines w:val="0"/>
              <w:pageBreakBefore w:val="0"/>
              <w:kinsoku/>
              <w:wordWrap/>
              <w:overflowPunct/>
              <w:topLinePunct w:val="0"/>
              <w:bidi w:val="0"/>
              <w:adjustRightInd w:val="0"/>
              <w:spacing w:line="240" w:lineRule="auto"/>
              <w:ind w:firstLine="480" w:firstLineChars="200"/>
              <w:textAlignment w:val="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4"/>
              <w:keepNext w:val="0"/>
              <w:keepLines w:val="0"/>
              <w:pageBreakBefore w:val="0"/>
              <w:kinsoku/>
              <w:wordWrap/>
              <w:overflowPunct/>
              <w:topLinePunct w:val="0"/>
              <w:bidi w:val="0"/>
              <w:adjustRightInd w:val="0"/>
              <w:spacing w:line="240" w:lineRule="auto"/>
              <w:textAlignment w:val="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lang w:val="en-US" w:eastAsia="zh-CN"/>
              </w:rPr>
              <w:t>杭州市富阳区鹿山街道江波街580号</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13486180010</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p>
        </w:tc>
        <w:tc>
          <w:tcPr>
            <w:tcW w:w="1843" w:type="dxa"/>
            <w:vMerge w:val="restart"/>
            <w:tcBorders>
              <w:top w:val="single" w:color="000000" w:sz="8" w:space="0"/>
              <w:left w:val="single" w:color="000000" w:sz="2" w:space="0"/>
              <w:right w:val="single" w:color="000000" w:sz="8" w:space="0"/>
            </w:tcBorders>
            <w:vAlign w:val="center"/>
          </w:tcPr>
          <w:p w14:paraId="251E7FA4">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keepNext w:val="0"/>
              <w:keepLines w:val="0"/>
              <w:pageBreakBefore w:val="0"/>
              <w:kinsoku/>
              <w:wordWrap/>
              <w:overflowPunct/>
              <w:topLinePunct w:val="0"/>
              <w:bidi w:val="0"/>
              <w:adjustRightInd w:val="0"/>
              <w:spacing w:line="240" w:lineRule="auto"/>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keepNext w:val="0"/>
              <w:keepLines w:val="0"/>
              <w:pageBreakBefore w:val="0"/>
              <w:kinsoku/>
              <w:wordWrap/>
              <w:overflowPunct/>
              <w:topLinePunct w:val="0"/>
              <w:bidi w:val="0"/>
              <w:adjustRightInd w:val="0"/>
              <w:snapToGrid w:val="0"/>
              <w:spacing w:line="240" w:lineRule="auto"/>
              <w:jc w:val="center"/>
              <w:textAlignment w:val="auto"/>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keepNext w:val="0"/>
              <w:keepLines w:val="0"/>
              <w:pageBreakBefore w:val="0"/>
              <w:kinsoku/>
              <w:wordWrap/>
              <w:overflowPunct/>
              <w:topLinePunct w:val="0"/>
              <w:bidi w:val="0"/>
              <w:adjustRightInd w:val="0"/>
              <w:spacing w:line="24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keepNext w:val="0"/>
              <w:keepLines w:val="0"/>
              <w:pageBreakBefore w:val="0"/>
              <w:kinsoku/>
              <w:wordWrap/>
              <w:overflowPunct/>
              <w:topLinePunct w:val="0"/>
              <w:bidi w:val="0"/>
              <w:adjustRightInd w:val="0"/>
              <w:spacing w:line="24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5</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keepNext w:val="0"/>
              <w:keepLines w:val="0"/>
              <w:pageBreakBefore w:val="0"/>
              <w:kinsoku/>
              <w:wordWrap/>
              <w:overflowPunct/>
              <w:topLinePunct w:val="0"/>
              <w:bidi w:val="0"/>
              <w:adjustRightInd w:val="0"/>
              <w:snapToGrid w:val="0"/>
              <w:spacing w:line="24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keepNext w:val="0"/>
              <w:keepLines w:val="0"/>
              <w:pageBreakBefore w:val="0"/>
              <w:kinsoku/>
              <w:wordWrap/>
              <w:overflowPunct/>
              <w:topLinePunct w:val="0"/>
              <w:bidi w:val="0"/>
              <w:adjustRightInd w:val="0"/>
              <w:snapToGrid w:val="0"/>
              <w:spacing w:line="24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49F4FBCA">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本项目采购代理费由中标人支付，收费以下表为准计取，计费基数为本项目中标价，中标人在领取中标通知书时支付给采购代理机构。</w:t>
            </w:r>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86"/>
              <w:gridCol w:w="1279"/>
              <w:gridCol w:w="1150"/>
              <w:gridCol w:w="1312"/>
            </w:tblGrid>
            <w:tr w14:paraId="11E51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1896" w:type="pct"/>
                  <w:vAlign w:val="center"/>
                </w:tcPr>
                <w:p w14:paraId="23596D89">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服务类型、费率</w:t>
                  </w:r>
                </w:p>
                <w:p w14:paraId="0ED2442B">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mc:AlternateContent>
                      <mc:Choice Requires="wps">
                        <w:drawing>
                          <wp:anchor distT="0" distB="0" distL="114300" distR="114300" simplePos="0" relativeHeight="251661312"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1" name="直线连接符 1"/>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直线连接符 1" o:spid="_x0000_s1026" o:spt="20" style="position:absolute;left:0pt;margin-left:-9pt;margin-top:-0.5pt;height:0pt;width:0.05pt;z-index:251661312;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uR037VAAAACQEAAA8AAAAAAAAAAQAgAAAAIgAAAGRycy9kb3ducmV2LnhtbFBL&#10;AQIUABQAAAAIAIdO4kAAOyvG+QEAAO4DAAAOAAAAAAAAAAEAIAAAACQBAABkcnMvZTJvRG9jLnht&#10;bFBLBQYAAAAABgAGAFkBAACPBQAAAAA=&#10;">
                            <v:fill on="f" focussize="0,0"/>
                            <v:stroke color="#000000" joinstyle="round"/>
                            <v:imagedata o:title=""/>
                            <o:lock v:ext="edit" aspectratio="f"/>
                          </v:line>
                        </w:pict>
                      </mc:Fallback>
                    </mc:AlternateContent>
                  </w:r>
                  <w:r>
                    <w:rPr>
                      <w:rFonts w:hint="eastAsia" w:ascii="宋体" w:hAnsi="宋体" w:eastAsia="宋体" w:cs="宋体"/>
                      <w:color w:val="auto"/>
                      <w:kern w:val="0"/>
                      <w:sz w:val="24"/>
                      <w:highlight w:val="none"/>
                      <w:lang w:val="en" w:eastAsia="zh-CN"/>
                    </w:rPr>
                    <w:t>金额（万元）</w:t>
                  </w:r>
                </w:p>
              </w:tc>
              <w:tc>
                <w:tcPr>
                  <w:tcW w:w="1061" w:type="pct"/>
                  <w:vAlign w:val="center"/>
                </w:tcPr>
                <w:p w14:paraId="5AB86DF9">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货物</w:t>
                  </w:r>
                </w:p>
              </w:tc>
              <w:tc>
                <w:tcPr>
                  <w:tcW w:w="954" w:type="pct"/>
                  <w:vAlign w:val="center"/>
                </w:tcPr>
                <w:p w14:paraId="738D2FD7">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服务</w:t>
                  </w:r>
                </w:p>
              </w:tc>
              <w:tc>
                <w:tcPr>
                  <w:tcW w:w="1087" w:type="pct"/>
                  <w:vAlign w:val="center"/>
                </w:tcPr>
                <w:p w14:paraId="71E8D8B6">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工程</w:t>
                  </w:r>
                </w:p>
              </w:tc>
            </w:tr>
            <w:tr w14:paraId="73B8B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896" w:type="pct"/>
                  <w:vAlign w:val="center"/>
                </w:tcPr>
                <w:p w14:paraId="63B015F6">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100以下</w:t>
                  </w:r>
                </w:p>
              </w:tc>
              <w:tc>
                <w:tcPr>
                  <w:tcW w:w="1061" w:type="pct"/>
                  <w:vAlign w:val="center"/>
                </w:tcPr>
                <w:p w14:paraId="27A45021">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1.5%</w:t>
                  </w:r>
                </w:p>
              </w:tc>
              <w:tc>
                <w:tcPr>
                  <w:tcW w:w="954" w:type="pct"/>
                  <w:vAlign w:val="center"/>
                </w:tcPr>
                <w:p w14:paraId="1124F83C">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1.5%</w:t>
                  </w:r>
                </w:p>
              </w:tc>
              <w:tc>
                <w:tcPr>
                  <w:tcW w:w="1087" w:type="pct"/>
                  <w:vAlign w:val="center"/>
                </w:tcPr>
                <w:p w14:paraId="5ACFF5FD">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1.0%</w:t>
                  </w:r>
                </w:p>
              </w:tc>
            </w:tr>
            <w:tr w14:paraId="38967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896" w:type="pct"/>
                  <w:vAlign w:val="center"/>
                </w:tcPr>
                <w:p w14:paraId="6A956BA6">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100万元-500万元</w:t>
                  </w:r>
                </w:p>
              </w:tc>
              <w:tc>
                <w:tcPr>
                  <w:tcW w:w="1061" w:type="pct"/>
                  <w:vAlign w:val="center"/>
                </w:tcPr>
                <w:p w14:paraId="11C345EB">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1.1%</w:t>
                  </w:r>
                </w:p>
              </w:tc>
              <w:tc>
                <w:tcPr>
                  <w:tcW w:w="954" w:type="pct"/>
                  <w:vAlign w:val="center"/>
                </w:tcPr>
                <w:p w14:paraId="04FAA1AE">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0.8%</w:t>
                  </w:r>
                </w:p>
              </w:tc>
              <w:tc>
                <w:tcPr>
                  <w:tcW w:w="1087" w:type="pct"/>
                  <w:vAlign w:val="center"/>
                </w:tcPr>
                <w:p w14:paraId="2661FB98">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0.7%</w:t>
                  </w:r>
                </w:p>
              </w:tc>
            </w:tr>
            <w:tr w14:paraId="05931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896" w:type="pct"/>
                  <w:vAlign w:val="center"/>
                </w:tcPr>
                <w:p w14:paraId="301BB5B9">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500万元-1000万元</w:t>
                  </w:r>
                </w:p>
              </w:tc>
              <w:tc>
                <w:tcPr>
                  <w:tcW w:w="1061" w:type="pct"/>
                  <w:vAlign w:val="center"/>
                </w:tcPr>
                <w:p w14:paraId="7F397B54">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0.8%</w:t>
                  </w:r>
                </w:p>
              </w:tc>
              <w:tc>
                <w:tcPr>
                  <w:tcW w:w="954" w:type="pct"/>
                  <w:vAlign w:val="center"/>
                </w:tcPr>
                <w:p w14:paraId="42D8A7C1">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0.45%</w:t>
                  </w:r>
                </w:p>
              </w:tc>
              <w:tc>
                <w:tcPr>
                  <w:tcW w:w="1087" w:type="pct"/>
                  <w:vAlign w:val="center"/>
                </w:tcPr>
                <w:p w14:paraId="6BF4416A">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0.55%</w:t>
                  </w:r>
                </w:p>
              </w:tc>
            </w:tr>
            <w:tr w14:paraId="1C7E0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896" w:type="pct"/>
                  <w:vAlign w:val="center"/>
                </w:tcPr>
                <w:p w14:paraId="24E9D5C3">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1000万元-5000万元</w:t>
                  </w:r>
                </w:p>
              </w:tc>
              <w:tc>
                <w:tcPr>
                  <w:tcW w:w="1061" w:type="pct"/>
                  <w:vAlign w:val="center"/>
                </w:tcPr>
                <w:p w14:paraId="6F560E43">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0.5%</w:t>
                  </w:r>
                </w:p>
              </w:tc>
              <w:tc>
                <w:tcPr>
                  <w:tcW w:w="954" w:type="pct"/>
                  <w:vAlign w:val="center"/>
                </w:tcPr>
                <w:p w14:paraId="0E9512CD">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0.25%</w:t>
                  </w:r>
                </w:p>
              </w:tc>
              <w:tc>
                <w:tcPr>
                  <w:tcW w:w="1087" w:type="pct"/>
                  <w:vAlign w:val="center"/>
                </w:tcPr>
                <w:p w14:paraId="430BBE1E">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0.35%</w:t>
                  </w:r>
                </w:p>
              </w:tc>
            </w:tr>
          </w:tbl>
          <w:p w14:paraId="0EA3F989">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注：招标代理服务收费按差额定率累进法计算。</w:t>
            </w:r>
          </w:p>
          <w:p w14:paraId="1B13B034">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汇款信息：</w:t>
            </w:r>
          </w:p>
          <w:p w14:paraId="3A01DC7B">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单位全称：浙江金穗工程项目管理有限公司富阳分公司</w:t>
            </w:r>
          </w:p>
          <w:p w14:paraId="4E97BDB7">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开户行及账号：</w:t>
            </w:r>
          </w:p>
          <w:p w14:paraId="463FE8E5">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泰隆银行杭州富阳支行</w:t>
            </w:r>
          </w:p>
          <w:p w14:paraId="3078A507">
            <w:pPr>
              <w:keepNext w:val="0"/>
              <w:keepLines w:val="0"/>
              <w:pageBreakBefore w:val="0"/>
              <w:kinsoku/>
              <w:wordWrap/>
              <w:overflowPunct/>
              <w:topLinePunct w:val="0"/>
              <w:bidi w:val="0"/>
              <w:adjustRightInd w:val="0"/>
              <w:spacing w:line="240" w:lineRule="auto"/>
              <w:textAlignment w:val="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33020030201000014966</w:t>
            </w:r>
          </w:p>
        </w:tc>
      </w:tr>
    </w:tbl>
    <w:p w14:paraId="1969C939">
      <w:pPr>
        <w:rPr>
          <w:rFonts w:ascii="宋体" w:hAnsi="宋体" w:cs="宋体"/>
          <w:b/>
          <w:color w:val="auto"/>
          <w:sz w:val="32"/>
          <w:szCs w:val="20"/>
          <w:highlight w:val="none"/>
        </w:rPr>
      </w:pPr>
      <w:r>
        <w:rPr>
          <w:rFonts w:ascii="宋体" w:hAnsi="宋体" w:cs="宋体"/>
          <w:b/>
          <w:color w:val="auto"/>
          <w:sz w:val="32"/>
          <w:szCs w:val="20"/>
          <w:highlight w:val="none"/>
        </w:rPr>
        <w:br w:type="page"/>
      </w:r>
    </w:p>
    <w:p w14:paraId="31B25FD5">
      <w:pPr>
        <w:pStyle w:val="23"/>
        <w:rPr>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3"/>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3"/>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3"/>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6"/>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290"/>
      <w:bookmarkEnd w:id="15"/>
      <w:bookmarkStart w:id="16" w:name="_Hlt75236011"/>
      <w:bookmarkEnd w:id="16"/>
      <w:bookmarkStart w:id="17" w:name="_Hlt74707468"/>
      <w:bookmarkEnd w:id="17"/>
      <w:bookmarkStart w:id="18" w:name="_Hlt68072990"/>
      <w:bookmarkEnd w:id="18"/>
      <w:bookmarkStart w:id="19" w:name="_Hlt74730295"/>
      <w:bookmarkEnd w:id="19"/>
      <w:bookmarkStart w:id="20" w:name="_Hlt68403820"/>
      <w:bookmarkEnd w:id="20"/>
      <w:bookmarkStart w:id="21" w:name="_Hlt75236101"/>
      <w:bookmarkEnd w:id="21"/>
      <w:bookmarkStart w:id="22" w:name="_Hlt68057669"/>
      <w:bookmarkEnd w:id="22"/>
      <w:bookmarkStart w:id="23" w:name="_Hlt68073093"/>
      <w:bookmarkEnd w:id="23"/>
      <w:bookmarkStart w:id="24" w:name="_Hlt74714665"/>
      <w:bookmarkEnd w:id="24"/>
      <w:bookmarkStart w:id="25" w:name="_Hlt74729768"/>
      <w:bookmarkEnd w:id="25"/>
      <w:bookmarkStart w:id="26" w:name="_Hlt68072998"/>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33A0DB00">
      <w:pPr>
        <w:pStyle w:val="58"/>
        <w:adjustRightInd w:val="0"/>
        <w:spacing w:before="0" w:beforeAutospacing="0" w:after="0" w:afterAutospacing="0"/>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一、项目概述</w:t>
      </w:r>
    </w:p>
    <w:p w14:paraId="029C4A0D">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按国家和省市关于年度国土变更调查的工作要求，开展我区2025年国土变更日常及年度调查工作，全面掌握我区2025年度的地类、面积、属性及相关单独图层信息的变化情况，更新2024年度国土变更调查数据库。</w:t>
      </w:r>
    </w:p>
    <w:p w14:paraId="4EDDE0CC">
      <w:pPr>
        <w:pStyle w:val="58"/>
        <w:adjustRightInd w:val="0"/>
        <w:spacing w:before="0" w:beforeAutospacing="0" w:after="0" w:afterAutospacing="0"/>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二、项目要求</w:t>
      </w:r>
    </w:p>
    <w:p w14:paraId="71EDB669">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按照省厅及市局的工作要求，国土变更调查内容及质量要求不低于“三调”以来年度变更调查标准，新增建设用地图斑、补充耕地图斑、涉及一级地类和耕地二级地类的变更图斑总体差错率等3项指标均要求低于2%，且数据库质量通过省部级质检要求。(具体以省部级最新通知文件为准)</w:t>
      </w:r>
    </w:p>
    <w:p w14:paraId="530BEA5F">
      <w:pPr>
        <w:pStyle w:val="58"/>
        <w:adjustRightInd w:val="0"/>
        <w:spacing w:before="0" w:beforeAutospacing="0" w:after="0" w:afterAutospacing="0"/>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三、时间要求</w:t>
      </w:r>
    </w:p>
    <w:p w14:paraId="03E132C7">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根据国家和省、市的调查要求，完成年度国土变更调查及日常变更等各项任务，并在2025年底进行成果数据总更新。</w:t>
      </w:r>
    </w:p>
    <w:p w14:paraId="0CFF5E7F">
      <w:pPr>
        <w:pStyle w:val="58"/>
        <w:adjustRightInd w:val="0"/>
        <w:spacing w:before="0" w:beforeAutospacing="0" w:after="0" w:afterAutospacing="0"/>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四、具体工作内容</w:t>
      </w:r>
    </w:p>
    <w:p w14:paraId="7922BC83">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根据历年来我区图斑数量的增长水平，预计2025年度我区作业图斑数量为15000~20000个。本年度的变更调查具体工作内容如下：</w:t>
      </w:r>
    </w:p>
    <w:tbl>
      <w:tblPr>
        <w:tblStyle w:val="63"/>
        <w:tblW w:w="74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996"/>
        <w:gridCol w:w="4811"/>
        <w:gridCol w:w="890"/>
      </w:tblGrid>
      <w:tr w14:paraId="24CA9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747" w:type="dxa"/>
            <w:vAlign w:val="center"/>
          </w:tcPr>
          <w:p w14:paraId="411F3DDA">
            <w:pPr>
              <w:pStyle w:val="58"/>
              <w:adjustRightInd w:val="0"/>
              <w:spacing w:before="0" w:beforeAutospacing="0" w:after="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rPr>
              <w:t>分类</w:t>
            </w:r>
          </w:p>
        </w:tc>
        <w:tc>
          <w:tcPr>
            <w:tcW w:w="996" w:type="dxa"/>
            <w:vAlign w:val="center"/>
          </w:tcPr>
          <w:p w14:paraId="344B8A4A">
            <w:pPr>
              <w:pStyle w:val="58"/>
              <w:adjustRightInd w:val="0"/>
              <w:spacing w:before="0" w:beforeAutospacing="0" w:after="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4811" w:type="dxa"/>
            <w:vAlign w:val="center"/>
          </w:tcPr>
          <w:p w14:paraId="70E0A1BC">
            <w:pPr>
              <w:pStyle w:val="58"/>
              <w:adjustRightInd w:val="0"/>
              <w:spacing w:before="0" w:beforeAutospacing="0" w:after="0" w:afterAutospacing="0"/>
              <w:ind w:firstLine="42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工作内容</w:t>
            </w:r>
          </w:p>
        </w:tc>
        <w:tc>
          <w:tcPr>
            <w:tcW w:w="890" w:type="dxa"/>
            <w:vAlign w:val="center"/>
          </w:tcPr>
          <w:p w14:paraId="23289C41">
            <w:pPr>
              <w:pStyle w:val="58"/>
              <w:adjustRightInd w:val="0"/>
              <w:spacing w:before="0" w:beforeAutospacing="0" w:after="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7F5AA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47" w:type="dxa"/>
            <w:vMerge w:val="restart"/>
            <w:vAlign w:val="center"/>
          </w:tcPr>
          <w:p w14:paraId="662A4648">
            <w:pPr>
              <w:pStyle w:val="58"/>
              <w:adjustRightInd w:val="0"/>
              <w:spacing w:before="0" w:beforeAutospacing="0" w:after="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rPr>
              <w:t>年度变更调查</w:t>
            </w:r>
          </w:p>
        </w:tc>
        <w:tc>
          <w:tcPr>
            <w:tcW w:w="996" w:type="dxa"/>
            <w:vAlign w:val="center"/>
          </w:tcPr>
          <w:p w14:paraId="575ED3F3">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4811" w:type="dxa"/>
            <w:vAlign w:val="center"/>
          </w:tcPr>
          <w:p w14:paraId="0DBBB6B3">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2025年度及日常国土变更调查方案编制</w:t>
            </w:r>
          </w:p>
        </w:tc>
        <w:tc>
          <w:tcPr>
            <w:tcW w:w="890" w:type="dxa"/>
            <w:vAlign w:val="center"/>
          </w:tcPr>
          <w:p w14:paraId="74D35E91">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0B9D6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747" w:type="dxa"/>
            <w:vMerge w:val="continue"/>
            <w:vAlign w:val="center"/>
          </w:tcPr>
          <w:p w14:paraId="41205FE9">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2B940D16">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4811" w:type="dxa"/>
            <w:vAlign w:val="center"/>
          </w:tcPr>
          <w:p w14:paraId="75093628">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调查资料收集及分析</w:t>
            </w:r>
          </w:p>
        </w:tc>
        <w:tc>
          <w:tcPr>
            <w:tcW w:w="890" w:type="dxa"/>
            <w:vAlign w:val="center"/>
          </w:tcPr>
          <w:p w14:paraId="67606042">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1ABCF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47" w:type="dxa"/>
            <w:vMerge w:val="continue"/>
            <w:vAlign w:val="center"/>
          </w:tcPr>
          <w:p w14:paraId="183A2E06">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13CEE4E6">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4811" w:type="dxa"/>
            <w:vAlign w:val="center"/>
          </w:tcPr>
          <w:p w14:paraId="56FB85C4">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农村土地利用现状变更调查</w:t>
            </w:r>
          </w:p>
        </w:tc>
        <w:tc>
          <w:tcPr>
            <w:tcW w:w="890" w:type="dxa"/>
            <w:vAlign w:val="center"/>
          </w:tcPr>
          <w:p w14:paraId="0C576901">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2E92F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747" w:type="dxa"/>
            <w:vMerge w:val="continue"/>
            <w:vAlign w:val="center"/>
          </w:tcPr>
          <w:p w14:paraId="74BDDABF">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1DEB873F">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4811" w:type="dxa"/>
            <w:vAlign w:val="center"/>
          </w:tcPr>
          <w:p w14:paraId="33106FD6">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城镇村庄内部土地利用现状变更调查</w:t>
            </w:r>
          </w:p>
        </w:tc>
        <w:tc>
          <w:tcPr>
            <w:tcW w:w="890" w:type="dxa"/>
            <w:vAlign w:val="center"/>
          </w:tcPr>
          <w:p w14:paraId="701943CB">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58203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747" w:type="dxa"/>
            <w:vMerge w:val="continue"/>
            <w:vAlign w:val="center"/>
          </w:tcPr>
          <w:p w14:paraId="216548CC">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2B5CB4FA">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4811" w:type="dxa"/>
            <w:vAlign w:val="center"/>
          </w:tcPr>
          <w:p w14:paraId="097BF369">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权属界线上图和补充调查</w:t>
            </w:r>
          </w:p>
        </w:tc>
        <w:tc>
          <w:tcPr>
            <w:tcW w:w="890" w:type="dxa"/>
            <w:vAlign w:val="center"/>
          </w:tcPr>
          <w:p w14:paraId="48CC06C8">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59327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47" w:type="dxa"/>
            <w:vMerge w:val="continue"/>
            <w:vAlign w:val="center"/>
          </w:tcPr>
          <w:p w14:paraId="58040C3A">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450799A9">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4811" w:type="dxa"/>
            <w:vAlign w:val="center"/>
          </w:tcPr>
          <w:p w14:paraId="444CCF96">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2024年度国土调查数据库更新</w:t>
            </w:r>
          </w:p>
        </w:tc>
        <w:tc>
          <w:tcPr>
            <w:tcW w:w="890" w:type="dxa"/>
            <w:vAlign w:val="center"/>
          </w:tcPr>
          <w:p w14:paraId="626B4787">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4C94D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747" w:type="dxa"/>
            <w:vMerge w:val="continue"/>
            <w:vAlign w:val="center"/>
          </w:tcPr>
          <w:p w14:paraId="75AE549A">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74516944">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4811" w:type="dxa"/>
            <w:vAlign w:val="center"/>
          </w:tcPr>
          <w:p w14:paraId="754204A7">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变更调查更新成果检查与核查整改</w:t>
            </w:r>
          </w:p>
        </w:tc>
        <w:tc>
          <w:tcPr>
            <w:tcW w:w="890" w:type="dxa"/>
            <w:vAlign w:val="center"/>
          </w:tcPr>
          <w:p w14:paraId="31984960">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414BD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747" w:type="dxa"/>
            <w:vMerge w:val="continue"/>
            <w:vAlign w:val="center"/>
          </w:tcPr>
          <w:p w14:paraId="448E8DDC">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515189A1">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4811" w:type="dxa"/>
            <w:vAlign w:val="center"/>
          </w:tcPr>
          <w:p w14:paraId="6DF5F5C8">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编制各类成果分析报告及相关技术报告</w:t>
            </w:r>
          </w:p>
        </w:tc>
        <w:tc>
          <w:tcPr>
            <w:tcW w:w="890" w:type="dxa"/>
            <w:vAlign w:val="center"/>
          </w:tcPr>
          <w:p w14:paraId="1480E5F0">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513D7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747" w:type="dxa"/>
            <w:vMerge w:val="continue"/>
            <w:vAlign w:val="center"/>
          </w:tcPr>
          <w:p w14:paraId="65623009">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558526F6">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4811" w:type="dxa"/>
            <w:vAlign w:val="center"/>
          </w:tcPr>
          <w:p w14:paraId="5D9B1022">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开展日常变更调查</w:t>
            </w:r>
          </w:p>
        </w:tc>
        <w:tc>
          <w:tcPr>
            <w:tcW w:w="890" w:type="dxa"/>
            <w:vAlign w:val="center"/>
          </w:tcPr>
          <w:p w14:paraId="54479CA3">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0950F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47" w:type="dxa"/>
            <w:vMerge w:val="restart"/>
            <w:vAlign w:val="center"/>
          </w:tcPr>
          <w:p w14:paraId="6F29075B">
            <w:pPr>
              <w:pStyle w:val="58"/>
              <w:adjustRightInd w:val="0"/>
              <w:spacing w:before="0" w:beforeAutospacing="0" w:after="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rPr>
              <w:t>其他</w:t>
            </w:r>
          </w:p>
        </w:tc>
        <w:tc>
          <w:tcPr>
            <w:tcW w:w="996" w:type="dxa"/>
            <w:vAlign w:val="center"/>
          </w:tcPr>
          <w:p w14:paraId="5FCD3CDD">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4811" w:type="dxa"/>
            <w:vAlign w:val="center"/>
          </w:tcPr>
          <w:p w14:paraId="46BFC6A0">
            <w:pPr>
              <w:pStyle w:val="58"/>
              <w:adjustRightInd w:val="0"/>
              <w:spacing w:before="0" w:beforeAutospacing="0" w:after="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rPr>
              <w:t>国家（省、市）下发的国土变更调查相关的其他任务（包括但不限于林草湿地类调查工作）</w:t>
            </w:r>
          </w:p>
        </w:tc>
        <w:tc>
          <w:tcPr>
            <w:tcW w:w="890" w:type="dxa"/>
            <w:vAlign w:val="center"/>
          </w:tcPr>
          <w:p w14:paraId="769D65B8">
            <w:pPr>
              <w:pStyle w:val="58"/>
              <w:adjustRightInd w:val="0"/>
              <w:spacing w:before="0" w:beforeAutospacing="0" w:after="0" w:afterAutospacing="0"/>
              <w:ind w:firstLine="422"/>
              <w:rPr>
                <w:rFonts w:hint="eastAsia" w:ascii="宋体" w:hAnsi="宋体" w:eastAsia="宋体" w:cs="宋体"/>
                <w:sz w:val="24"/>
                <w:szCs w:val="24"/>
                <w:highlight w:val="none"/>
              </w:rPr>
            </w:pPr>
          </w:p>
        </w:tc>
      </w:tr>
      <w:tr w14:paraId="37F68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47" w:type="dxa"/>
            <w:vMerge w:val="continue"/>
            <w:vAlign w:val="center"/>
          </w:tcPr>
          <w:p w14:paraId="5AD3B01D">
            <w:pPr>
              <w:pStyle w:val="58"/>
              <w:adjustRightInd w:val="0"/>
              <w:spacing w:before="0" w:beforeAutospacing="0" w:after="0" w:afterAutospacing="0"/>
              <w:ind w:firstLine="422"/>
              <w:jc w:val="center"/>
              <w:rPr>
                <w:rFonts w:hint="eastAsia" w:ascii="宋体" w:hAnsi="宋体" w:eastAsia="宋体" w:cs="宋体"/>
                <w:sz w:val="24"/>
                <w:szCs w:val="24"/>
                <w:highlight w:val="none"/>
              </w:rPr>
            </w:pPr>
          </w:p>
        </w:tc>
        <w:tc>
          <w:tcPr>
            <w:tcW w:w="996" w:type="dxa"/>
            <w:vAlign w:val="center"/>
          </w:tcPr>
          <w:p w14:paraId="7DB4FCCF">
            <w:pPr>
              <w:pStyle w:val="58"/>
              <w:adjustRightInd w:val="0"/>
              <w:spacing w:before="0" w:beforeAutospacing="0" w:after="0" w:afterAutospacing="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w:t>
            </w:r>
          </w:p>
        </w:tc>
        <w:tc>
          <w:tcPr>
            <w:tcW w:w="4811" w:type="dxa"/>
            <w:vAlign w:val="center"/>
          </w:tcPr>
          <w:p w14:paraId="0493D7EE">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提供与变更调查工作有关的技术支持</w:t>
            </w:r>
          </w:p>
        </w:tc>
        <w:tc>
          <w:tcPr>
            <w:tcW w:w="890" w:type="dxa"/>
            <w:vAlign w:val="center"/>
          </w:tcPr>
          <w:p w14:paraId="0F373FE9">
            <w:pPr>
              <w:pStyle w:val="58"/>
              <w:adjustRightInd w:val="0"/>
              <w:spacing w:before="0" w:beforeAutospacing="0" w:after="0" w:afterAutospacing="0"/>
              <w:ind w:firstLine="422"/>
              <w:rPr>
                <w:rFonts w:hint="eastAsia" w:ascii="宋体" w:hAnsi="宋体" w:eastAsia="宋体" w:cs="宋体"/>
                <w:sz w:val="24"/>
                <w:szCs w:val="24"/>
                <w:highlight w:val="none"/>
              </w:rPr>
            </w:pPr>
          </w:p>
        </w:tc>
      </w:tr>
    </w:tbl>
    <w:p w14:paraId="6BB7096A">
      <w:pPr>
        <w:adjustRightInd w:val="0"/>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五、质量要求</w:t>
      </w:r>
    </w:p>
    <w:p w14:paraId="6B3D6140">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1、调查成果质量检查率达100%。变更调查成果必须进行 100%全面自检，确保成果的完整性、规范性、真实性和准确性。</w:t>
      </w:r>
    </w:p>
    <w:p w14:paraId="58618A23">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三项差错率均低于2%。除成果数据必须严格按要求通过数据库质检外，2025年变更调查新增建设用地图斑、补充耕地图斑2个单项差错率和涉及一级地类和耕地二级地类的变更图斑总体差错率等3项指标均不得高于2%，同时必须通过自然资源部核查。</w:t>
      </w:r>
    </w:p>
    <w:p w14:paraId="3E97AEF1">
      <w:pPr>
        <w:pStyle w:val="58"/>
        <w:adjustRightInd w:val="0"/>
        <w:spacing w:before="0" w:beforeAutospacing="0" w:after="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3、调查成果数据库质量通过省部级质检要求。</w:t>
      </w:r>
    </w:p>
    <w:p w14:paraId="1F9660E6">
      <w:pPr>
        <w:adjustRightInd w:val="0"/>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六、项目资金预算</w:t>
      </w:r>
    </w:p>
    <w:p w14:paraId="3CDB5129">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本次调查经费总预算为200万，根据作业图斑量进行结算。结算内容如下：</w:t>
      </w:r>
    </w:p>
    <w:tbl>
      <w:tblPr>
        <w:tblStyle w:val="62"/>
        <w:tblW w:w="6278" w:type="dxa"/>
        <w:jc w:val="center"/>
        <w:tblLayout w:type="fixed"/>
        <w:tblCellMar>
          <w:top w:w="0" w:type="dxa"/>
          <w:left w:w="108" w:type="dxa"/>
          <w:bottom w:w="0" w:type="dxa"/>
          <w:right w:w="108" w:type="dxa"/>
        </w:tblCellMar>
      </w:tblPr>
      <w:tblGrid>
        <w:gridCol w:w="2103"/>
        <w:gridCol w:w="2072"/>
        <w:gridCol w:w="2103"/>
      </w:tblGrid>
      <w:tr w14:paraId="7593CFD3">
        <w:tblPrEx>
          <w:tblCellMar>
            <w:top w:w="0" w:type="dxa"/>
            <w:left w:w="108" w:type="dxa"/>
            <w:bottom w:w="0" w:type="dxa"/>
            <w:right w:w="108" w:type="dxa"/>
          </w:tblCellMar>
        </w:tblPrEx>
        <w:trPr>
          <w:trHeight w:val="331" w:hRule="atLeast"/>
          <w:jc w:val="center"/>
        </w:trPr>
        <w:tc>
          <w:tcPr>
            <w:tcW w:w="2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63E4E">
            <w:pPr>
              <w:adjustRightInd w:val="0"/>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作业内容</w:t>
            </w:r>
          </w:p>
        </w:tc>
        <w:tc>
          <w:tcPr>
            <w:tcW w:w="2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6B4D8">
            <w:pPr>
              <w:adjustRightInd w:val="0"/>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预算单价</w:t>
            </w:r>
          </w:p>
        </w:tc>
        <w:tc>
          <w:tcPr>
            <w:tcW w:w="2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ECCEB">
            <w:pPr>
              <w:adjustRightInd w:val="0"/>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备注</w:t>
            </w:r>
          </w:p>
        </w:tc>
      </w:tr>
      <w:tr w14:paraId="0DE65797">
        <w:tblPrEx>
          <w:tblCellMar>
            <w:top w:w="0" w:type="dxa"/>
            <w:left w:w="108" w:type="dxa"/>
            <w:bottom w:w="0" w:type="dxa"/>
            <w:right w:w="108" w:type="dxa"/>
          </w:tblCellMar>
        </w:tblPrEx>
        <w:trPr>
          <w:trHeight w:val="244" w:hRule="atLeast"/>
          <w:jc w:val="center"/>
        </w:trPr>
        <w:tc>
          <w:tcPr>
            <w:tcW w:w="2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0610B">
            <w:pPr>
              <w:widowControl/>
              <w:adjustRightInd w:val="0"/>
              <w:jc w:val="center"/>
              <w:textAlignment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外业取证</w:t>
            </w:r>
          </w:p>
        </w:tc>
        <w:tc>
          <w:tcPr>
            <w:tcW w:w="2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FCC1F">
            <w:pPr>
              <w:widowControl/>
              <w:adjustRightInd w:val="0"/>
              <w:jc w:val="center"/>
              <w:textAlignment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70元/个</w:t>
            </w:r>
          </w:p>
        </w:tc>
        <w:tc>
          <w:tcPr>
            <w:tcW w:w="2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F1A9D">
            <w:pPr>
              <w:adjustRightInd w:val="0"/>
              <w:jc w:val="center"/>
              <w:rPr>
                <w:rFonts w:hint="eastAsia" w:ascii="宋体" w:hAnsi="宋体" w:eastAsia="宋体" w:cs="宋体"/>
                <w:kern w:val="0"/>
                <w:sz w:val="24"/>
                <w:szCs w:val="24"/>
                <w:highlight w:val="none"/>
              </w:rPr>
            </w:pPr>
          </w:p>
        </w:tc>
      </w:tr>
      <w:tr w14:paraId="363C2315">
        <w:tblPrEx>
          <w:tblCellMar>
            <w:top w:w="0" w:type="dxa"/>
            <w:left w:w="108" w:type="dxa"/>
            <w:bottom w:w="0" w:type="dxa"/>
            <w:right w:w="108" w:type="dxa"/>
          </w:tblCellMar>
        </w:tblPrEx>
        <w:trPr>
          <w:trHeight w:val="294" w:hRule="atLeast"/>
          <w:jc w:val="center"/>
        </w:trPr>
        <w:tc>
          <w:tcPr>
            <w:tcW w:w="2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3E296">
            <w:pPr>
              <w:widowControl/>
              <w:adjustRightInd w:val="0"/>
              <w:jc w:val="center"/>
              <w:textAlignment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内业上图</w:t>
            </w:r>
          </w:p>
        </w:tc>
        <w:tc>
          <w:tcPr>
            <w:tcW w:w="2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F08E5">
            <w:pPr>
              <w:widowControl/>
              <w:adjustRightInd w:val="0"/>
              <w:jc w:val="center"/>
              <w:textAlignment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40元/个</w:t>
            </w:r>
          </w:p>
        </w:tc>
        <w:tc>
          <w:tcPr>
            <w:tcW w:w="21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DCA34">
            <w:pPr>
              <w:widowControl/>
              <w:adjustRightInd w:val="0"/>
              <w:jc w:val="center"/>
              <w:textAlignment w:val="center"/>
              <w:rPr>
                <w:rFonts w:hint="eastAsia" w:ascii="宋体" w:hAnsi="宋体" w:eastAsia="宋体" w:cs="宋体"/>
                <w:kern w:val="0"/>
                <w:sz w:val="24"/>
                <w:szCs w:val="24"/>
                <w:highlight w:val="none"/>
              </w:rPr>
            </w:pPr>
          </w:p>
        </w:tc>
      </w:tr>
    </w:tbl>
    <w:p w14:paraId="584F6803">
      <w:pPr>
        <w:pStyle w:val="58"/>
        <w:adjustRightInd w:val="0"/>
        <w:spacing w:before="0" w:beforeAutospacing="0" w:after="0" w:afterAutospacing="0"/>
        <w:ind w:firstLine="422"/>
        <w:rPr>
          <w:rFonts w:hint="eastAsia" w:ascii="宋体" w:hAnsi="宋体" w:eastAsia="宋体" w:cs="宋体"/>
          <w:sz w:val="24"/>
          <w:szCs w:val="24"/>
          <w:highlight w:val="none"/>
        </w:rPr>
      </w:pPr>
      <w:r>
        <w:rPr>
          <w:rFonts w:hint="eastAsia" w:ascii="宋体" w:hAnsi="宋体" w:eastAsia="宋体" w:cs="宋体"/>
          <w:sz w:val="24"/>
          <w:szCs w:val="24"/>
          <w:highlight w:val="none"/>
        </w:rPr>
        <w:t>计件规则：</w:t>
      </w:r>
    </w:p>
    <w:p w14:paraId="7CAC007B">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去重：上级部门下发的监测图斑和本地各科室部门自提的各类图斑为初始图斑，初始图斑必须经过去重步骤，去重规则为：有压叠、覆盖情况的两初始图斑均未完成外业举证的，无论压叠程度均按一个图斑统计计费；有一初始图斑已经过外业取证，另一有压叠、覆盖情况的初始图斑需要再次外业举证的，按两个图斑统计数量。</w:t>
      </w:r>
    </w:p>
    <w:p w14:paraId="657B57A0">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2、整图上图：初始图斑经外业举证、内业处理等作业后实现整图斑完整上图作业，并提交部级核查通过的，按初始图斑统计数量；计费按外业举证+内业上图，但无外业举证的，不得计算外业举证费用。</w:t>
      </w:r>
    </w:p>
    <w:p w14:paraId="373E685F">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局部上图：初始图斑经外业举证、内业处理等作业后实现部分图斑上图，并提交部级核查通过的，仍按初始图斑统计数量，但未上图部分不另计数量；计费按外业举证+内业上图，但无外业举证的，不得计算外业举证费用。</w:t>
      </w:r>
    </w:p>
    <w:p w14:paraId="5BF72508">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4、分割上图：初始图斑经外业举证、内业处理等作业后实现分割图斑上图作业，并提交部级核查通过的，仍按初始图斑统计数量；计费按外业举证+内业上图，但无外业举证的，不得计算外业举证费用。</w:t>
      </w:r>
    </w:p>
    <w:p w14:paraId="6453C97B">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5、合并上图：初始图斑经外业举证、内业处理等作业后实现合并图斑上图作业，并提交部级核查通过的，仍按初始图斑统计数量；计费按外业举证+内业上图，但无外业举证的，不得计算外业举证费用。</w:t>
      </w:r>
    </w:p>
    <w:p w14:paraId="03120098">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6、关联上图：对初始图斑举证作业后，需要对图斑外区域作关联举证的，按关联图斑新增，以实际关联图斑数统计数量；计费按外业举证+内业上图，但无外业举证的，不得计算外业举证费用。</w:t>
      </w:r>
    </w:p>
    <w:p w14:paraId="629ED8DE">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7、仅举证未上图：初始图斑经外业举证、内业分析后未最终上图的，按初始图斑统计数量，计费按外业举证，但无外业举证的，不得计算外业举证费用。</w:t>
      </w:r>
    </w:p>
    <w:p w14:paraId="59CACE2B">
      <w:pPr>
        <w:pStyle w:val="58"/>
        <w:adjustRightInd w:val="0"/>
        <w:spacing w:before="0" w:beforeAutospacing="0" w:after="0" w:afterAutospacing="0"/>
        <w:ind w:firstLine="42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8、二次举证：初始图斑在上图后，经对应科室、部门要求进行实地整改后再次举证的，按科室、部门提交图斑统计数量，计费按外业举证+内业分析。</w:t>
      </w:r>
    </w:p>
    <w:p w14:paraId="10550510">
      <w:pPr>
        <w:adjustRightInd w:val="0"/>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七、其他</w:t>
      </w:r>
    </w:p>
    <w:p w14:paraId="082A55DB">
      <w:pPr>
        <w:snapToGrid w:val="0"/>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1、本项目价格是估算后的项目总价，根据实际的作业图斑量进行结算，结算总额不得超过200万元；实际的作业图斑量由第三方资质单位进行统计，作为支付依据；若项目实际总量超过该预算的，不再另加费用，但仍须按要求完成项目任务。</w:t>
      </w:r>
    </w:p>
    <w:p w14:paraId="6F3E06DB">
      <w:pPr>
        <w:snapToGrid w:val="0"/>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2、合同期内，作业单位需同时配合我局完成变更调查相关的各类统计分析任务，任务总量不定，费用不计。</w:t>
      </w:r>
    </w:p>
    <w:p w14:paraId="6EF898A1">
      <w:pPr>
        <w:snapToGrid w:val="0"/>
        <w:ind w:firstLine="480" w:firstLineChars="200"/>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3、合同期内，作业单位需在富阳区富春街道范围内有固定驻点人员，并保证7*24*30响应要求（7天、24小时、30分钟响应速度）,年度变更调查任务期间，要求技术人员派驻局内服务。</w:t>
      </w:r>
    </w:p>
    <w:p w14:paraId="5A0DC268">
      <w:pPr>
        <w:spacing w:line="360" w:lineRule="auto"/>
        <w:rPr>
          <w:rFonts w:ascii="宋体" w:hAnsi="宋体" w:cs="宋体"/>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08057"/>
      <w:bookmarkEnd w:id="28"/>
      <w:bookmarkStart w:id="29" w:name="_Toc184308102"/>
      <w:bookmarkEnd w:id="29"/>
      <w:bookmarkStart w:id="30" w:name="_Toc184312125"/>
      <w:bookmarkEnd w:id="30"/>
      <w:bookmarkStart w:id="31" w:name="_Toc184314424"/>
      <w:bookmarkEnd w:id="31"/>
      <w:bookmarkStart w:id="32" w:name="_Toc184313259"/>
      <w:bookmarkEnd w:id="32"/>
      <w:bookmarkStart w:id="33" w:name="_Toc184310330"/>
      <w:bookmarkEnd w:id="33"/>
      <w:bookmarkStart w:id="34" w:name="_Toc184310343"/>
      <w:bookmarkEnd w:id="34"/>
      <w:bookmarkStart w:id="35" w:name="_Toc184308094"/>
      <w:bookmarkEnd w:id="35"/>
      <w:bookmarkStart w:id="36" w:name="_Toc184313270"/>
      <w:bookmarkEnd w:id="36"/>
      <w:bookmarkStart w:id="37" w:name="_Toc184313280"/>
      <w:bookmarkEnd w:id="37"/>
      <w:bookmarkStart w:id="38" w:name="_Toc184312126"/>
      <w:bookmarkEnd w:id="38"/>
      <w:bookmarkStart w:id="39" w:name="_Toc184310313"/>
      <w:bookmarkEnd w:id="39"/>
      <w:bookmarkStart w:id="40" w:name="_Toc184310276"/>
      <w:bookmarkEnd w:id="40"/>
      <w:bookmarkStart w:id="41" w:name="_Toc184314471"/>
      <w:bookmarkEnd w:id="41"/>
      <w:bookmarkStart w:id="42" w:name="_Toc184308108"/>
      <w:bookmarkEnd w:id="42"/>
      <w:bookmarkStart w:id="43" w:name="_Toc184310329"/>
      <w:bookmarkEnd w:id="43"/>
      <w:bookmarkStart w:id="44" w:name="_Toc184312118"/>
      <w:bookmarkEnd w:id="44"/>
      <w:bookmarkStart w:id="45" w:name="_Toc184308064"/>
      <w:bookmarkEnd w:id="45"/>
      <w:bookmarkStart w:id="46" w:name="_Toc184308058"/>
      <w:bookmarkEnd w:id="46"/>
      <w:bookmarkStart w:id="47" w:name="_Toc184308088"/>
      <w:bookmarkEnd w:id="47"/>
      <w:bookmarkStart w:id="48" w:name="_Toc184310331"/>
      <w:bookmarkEnd w:id="48"/>
      <w:bookmarkStart w:id="49" w:name="_Toc184308065"/>
      <w:bookmarkEnd w:id="49"/>
      <w:bookmarkStart w:id="50" w:name="_Toc184308055"/>
      <w:bookmarkEnd w:id="50"/>
      <w:bookmarkStart w:id="51" w:name="_Toc184313251"/>
      <w:bookmarkEnd w:id="51"/>
      <w:bookmarkStart w:id="52" w:name="_Toc184312101"/>
      <w:bookmarkEnd w:id="52"/>
      <w:bookmarkStart w:id="53" w:name="_Toc184310310"/>
      <w:bookmarkEnd w:id="53"/>
      <w:bookmarkStart w:id="54" w:name="_Toc184314433"/>
      <w:bookmarkEnd w:id="54"/>
      <w:bookmarkStart w:id="55" w:name="_Toc184314428"/>
      <w:bookmarkEnd w:id="55"/>
      <w:bookmarkStart w:id="56" w:name="_Toc184310335"/>
      <w:bookmarkEnd w:id="56"/>
      <w:bookmarkStart w:id="57" w:name="_Toc184314426"/>
      <w:bookmarkEnd w:id="57"/>
      <w:bookmarkStart w:id="58" w:name="_Toc184314427"/>
      <w:bookmarkEnd w:id="58"/>
      <w:bookmarkStart w:id="59" w:name="_Toc184310314"/>
      <w:bookmarkEnd w:id="59"/>
      <w:bookmarkStart w:id="60" w:name="_Toc184314444"/>
      <w:bookmarkEnd w:id="60"/>
      <w:bookmarkStart w:id="61" w:name="_Toc184313308"/>
      <w:bookmarkEnd w:id="61"/>
      <w:bookmarkStart w:id="62" w:name="_Toc184308048"/>
      <w:bookmarkEnd w:id="62"/>
      <w:bookmarkStart w:id="63" w:name="_Toc184313287"/>
      <w:bookmarkEnd w:id="63"/>
      <w:bookmarkStart w:id="64" w:name="_Toc184314421"/>
      <w:bookmarkEnd w:id="64"/>
      <w:bookmarkStart w:id="65" w:name="_Toc184313246"/>
      <w:bookmarkEnd w:id="65"/>
      <w:bookmarkStart w:id="66" w:name="_Toc184312087"/>
      <w:bookmarkEnd w:id="66"/>
      <w:bookmarkStart w:id="67" w:name="_Toc184308078"/>
      <w:bookmarkEnd w:id="67"/>
      <w:bookmarkStart w:id="68" w:name="_Toc184314460"/>
      <w:bookmarkEnd w:id="68"/>
      <w:bookmarkStart w:id="69" w:name="_Toc184312122"/>
      <w:bookmarkEnd w:id="69"/>
      <w:bookmarkStart w:id="70" w:name="_Toc184308049"/>
      <w:bookmarkEnd w:id="70"/>
      <w:bookmarkStart w:id="71" w:name="_Toc184313282"/>
      <w:bookmarkEnd w:id="71"/>
      <w:bookmarkStart w:id="72" w:name="_Toc184314412"/>
      <w:bookmarkEnd w:id="72"/>
      <w:bookmarkStart w:id="73" w:name="_Toc184312111"/>
      <w:bookmarkEnd w:id="73"/>
      <w:bookmarkStart w:id="74" w:name="_Toc184308070"/>
      <w:bookmarkEnd w:id="74"/>
      <w:bookmarkStart w:id="75" w:name="_Toc184310283"/>
      <w:bookmarkEnd w:id="75"/>
      <w:bookmarkStart w:id="76" w:name="_Toc184314475"/>
      <w:bookmarkEnd w:id="76"/>
      <w:bookmarkStart w:id="77" w:name="_Toc184308042"/>
      <w:bookmarkEnd w:id="77"/>
      <w:bookmarkStart w:id="78" w:name="_Toc184308089"/>
      <w:bookmarkEnd w:id="78"/>
      <w:bookmarkStart w:id="79" w:name="_Toc184310279"/>
      <w:bookmarkEnd w:id="79"/>
      <w:bookmarkStart w:id="80" w:name="_Toc184314477"/>
      <w:bookmarkEnd w:id="80"/>
      <w:bookmarkStart w:id="81" w:name="_Toc184308052"/>
      <w:bookmarkEnd w:id="81"/>
      <w:bookmarkStart w:id="82" w:name="_Toc184314466"/>
      <w:bookmarkEnd w:id="82"/>
      <w:bookmarkStart w:id="83" w:name="_Toc184313307"/>
      <w:bookmarkEnd w:id="83"/>
      <w:bookmarkStart w:id="84" w:name="_Toc184313247"/>
      <w:bookmarkEnd w:id="84"/>
      <w:bookmarkStart w:id="85" w:name="_Toc184310327"/>
      <w:bookmarkEnd w:id="85"/>
      <w:bookmarkStart w:id="86" w:name="_Toc184314441"/>
      <w:bookmarkEnd w:id="86"/>
      <w:bookmarkStart w:id="87" w:name="_Toc184313252"/>
      <w:bookmarkEnd w:id="87"/>
      <w:bookmarkStart w:id="88" w:name="_Toc184308099"/>
      <w:bookmarkEnd w:id="88"/>
      <w:bookmarkStart w:id="89" w:name="_Toc184310290"/>
      <w:bookmarkEnd w:id="89"/>
      <w:bookmarkStart w:id="90" w:name="_Toc184310342"/>
      <w:bookmarkEnd w:id="90"/>
      <w:bookmarkStart w:id="91" w:name="_Toc184312117"/>
      <w:bookmarkEnd w:id="91"/>
      <w:bookmarkStart w:id="92" w:name="_Toc184312100"/>
      <w:bookmarkEnd w:id="92"/>
      <w:bookmarkStart w:id="93" w:name="_Toc184310303"/>
      <w:bookmarkEnd w:id="93"/>
      <w:bookmarkStart w:id="94" w:name="_Toc184308056"/>
      <w:bookmarkEnd w:id="94"/>
      <w:bookmarkStart w:id="95" w:name="_Toc184308066"/>
      <w:bookmarkEnd w:id="95"/>
      <w:bookmarkStart w:id="96" w:name="_Toc184314472"/>
      <w:bookmarkEnd w:id="96"/>
      <w:bookmarkStart w:id="97" w:name="_Toc184312092"/>
      <w:bookmarkEnd w:id="97"/>
      <w:bookmarkStart w:id="98" w:name="_Toc184308107"/>
      <w:bookmarkEnd w:id="98"/>
      <w:bookmarkStart w:id="99" w:name="_Toc184314431"/>
      <w:bookmarkEnd w:id="99"/>
      <w:bookmarkStart w:id="100" w:name="_Toc184310304"/>
      <w:bookmarkEnd w:id="100"/>
      <w:bookmarkStart w:id="101" w:name="_Toc184312139"/>
      <w:bookmarkEnd w:id="101"/>
      <w:bookmarkStart w:id="102" w:name="_Toc184314454"/>
      <w:bookmarkEnd w:id="102"/>
      <w:bookmarkStart w:id="103" w:name="_Toc184312098"/>
      <w:bookmarkEnd w:id="103"/>
      <w:bookmarkStart w:id="104" w:name="_Toc184313283"/>
      <w:bookmarkEnd w:id="104"/>
      <w:bookmarkStart w:id="105" w:name="_Toc184314439"/>
      <w:bookmarkEnd w:id="105"/>
      <w:bookmarkStart w:id="106" w:name="_Toc184314419"/>
      <w:bookmarkEnd w:id="106"/>
      <w:bookmarkStart w:id="107" w:name="_Toc184312094"/>
      <w:bookmarkEnd w:id="107"/>
      <w:bookmarkStart w:id="108" w:name="_Toc184314449"/>
      <w:bookmarkEnd w:id="108"/>
      <w:bookmarkStart w:id="109" w:name="_Toc184312128"/>
      <w:bookmarkEnd w:id="109"/>
      <w:bookmarkStart w:id="110" w:name="_Toc184313277"/>
      <w:bookmarkEnd w:id="110"/>
      <w:bookmarkStart w:id="111" w:name="_Toc184308100"/>
      <w:bookmarkEnd w:id="111"/>
      <w:bookmarkStart w:id="112" w:name="_Toc184310332"/>
      <w:bookmarkEnd w:id="112"/>
      <w:bookmarkStart w:id="113" w:name="_Toc184308073"/>
      <w:bookmarkEnd w:id="113"/>
      <w:bookmarkStart w:id="114" w:name="_Toc184313288"/>
      <w:bookmarkEnd w:id="114"/>
      <w:bookmarkStart w:id="115" w:name="_Toc184308096"/>
      <w:bookmarkEnd w:id="115"/>
      <w:bookmarkStart w:id="116" w:name="_Toc184310300"/>
      <w:bookmarkEnd w:id="116"/>
      <w:bookmarkStart w:id="117" w:name="_Toc184308082"/>
      <w:bookmarkEnd w:id="117"/>
      <w:bookmarkStart w:id="118" w:name="_Toc184310309"/>
      <w:bookmarkEnd w:id="118"/>
      <w:bookmarkStart w:id="119" w:name="_Toc184314429"/>
      <w:bookmarkEnd w:id="119"/>
      <w:bookmarkStart w:id="120" w:name="_Toc184313289"/>
      <w:bookmarkEnd w:id="120"/>
      <w:bookmarkStart w:id="121" w:name="_Toc184308050"/>
      <w:bookmarkEnd w:id="121"/>
      <w:bookmarkStart w:id="122" w:name="_Toc184314413"/>
      <w:bookmarkEnd w:id="122"/>
      <w:bookmarkStart w:id="123" w:name="_Toc184312073"/>
      <w:bookmarkEnd w:id="123"/>
      <w:bookmarkStart w:id="124" w:name="_Toc184312077"/>
      <w:bookmarkEnd w:id="124"/>
      <w:bookmarkStart w:id="125" w:name="_Toc184313240"/>
      <w:bookmarkEnd w:id="125"/>
      <w:bookmarkStart w:id="126" w:name="_Toc184312124"/>
      <w:bookmarkEnd w:id="126"/>
      <w:bookmarkStart w:id="127" w:name="_Toc184314414"/>
      <w:bookmarkEnd w:id="127"/>
      <w:bookmarkStart w:id="128" w:name="_Toc184312102"/>
      <w:bookmarkEnd w:id="128"/>
      <w:bookmarkStart w:id="129" w:name="_Toc184313304"/>
      <w:bookmarkEnd w:id="129"/>
      <w:bookmarkStart w:id="130" w:name="_Toc184310336"/>
      <w:bookmarkEnd w:id="130"/>
      <w:bookmarkStart w:id="131" w:name="_Toc184314479"/>
      <w:bookmarkEnd w:id="131"/>
      <w:bookmarkStart w:id="132" w:name="_Toc184308063"/>
      <w:bookmarkEnd w:id="132"/>
      <w:bookmarkStart w:id="133" w:name="_Toc184312123"/>
      <w:bookmarkEnd w:id="133"/>
      <w:bookmarkStart w:id="134" w:name="_Toc184313295"/>
      <w:bookmarkEnd w:id="134"/>
      <w:bookmarkStart w:id="135" w:name="_Toc184312138"/>
      <w:bookmarkEnd w:id="135"/>
      <w:bookmarkStart w:id="136" w:name="_Toc184312068"/>
      <w:bookmarkEnd w:id="136"/>
      <w:bookmarkStart w:id="137" w:name="_Toc184308047"/>
      <w:bookmarkEnd w:id="137"/>
      <w:bookmarkStart w:id="138" w:name="_Toc184308079"/>
      <w:bookmarkEnd w:id="138"/>
      <w:bookmarkStart w:id="139" w:name="_Toc184312112"/>
      <w:bookmarkEnd w:id="139"/>
      <w:bookmarkStart w:id="140" w:name="_Toc184308091"/>
      <w:bookmarkEnd w:id="140"/>
      <w:bookmarkStart w:id="141" w:name="_Toc184310297"/>
      <w:bookmarkEnd w:id="141"/>
      <w:bookmarkStart w:id="142" w:name="_Toc184308043"/>
      <w:bookmarkEnd w:id="142"/>
      <w:bookmarkStart w:id="143" w:name="_Toc184314418"/>
      <w:bookmarkEnd w:id="143"/>
      <w:bookmarkStart w:id="144" w:name="_Toc184308038"/>
      <w:bookmarkEnd w:id="144"/>
      <w:bookmarkStart w:id="145" w:name="_Toc184313244"/>
      <w:bookmarkEnd w:id="145"/>
      <w:bookmarkStart w:id="146" w:name="_Toc184314450"/>
      <w:bookmarkEnd w:id="146"/>
      <w:bookmarkStart w:id="147" w:name="_Toc184312070"/>
      <w:bookmarkEnd w:id="147"/>
      <w:bookmarkStart w:id="148" w:name="_Toc184310288"/>
      <w:bookmarkEnd w:id="148"/>
      <w:bookmarkStart w:id="149" w:name="_Toc184312096"/>
      <w:bookmarkEnd w:id="149"/>
      <w:bookmarkStart w:id="150" w:name="_Toc184314438"/>
      <w:bookmarkEnd w:id="150"/>
      <w:bookmarkStart w:id="151" w:name="_Toc184308097"/>
      <w:bookmarkEnd w:id="151"/>
      <w:bookmarkStart w:id="152" w:name="_Toc184313258"/>
      <w:bookmarkEnd w:id="152"/>
      <w:bookmarkStart w:id="153" w:name="_Toc184313239"/>
      <w:bookmarkEnd w:id="153"/>
      <w:bookmarkStart w:id="154" w:name="_Toc184314425"/>
      <w:bookmarkEnd w:id="154"/>
      <w:bookmarkStart w:id="155" w:name="_Toc184310325"/>
      <w:bookmarkEnd w:id="155"/>
      <w:bookmarkStart w:id="156" w:name="_Toc184308051"/>
      <w:bookmarkEnd w:id="156"/>
      <w:bookmarkStart w:id="157" w:name="_Toc184313298"/>
      <w:bookmarkEnd w:id="157"/>
      <w:bookmarkStart w:id="158" w:name="_Toc184310307"/>
      <w:bookmarkEnd w:id="158"/>
      <w:bookmarkStart w:id="159" w:name="_Toc184310318"/>
      <w:bookmarkEnd w:id="159"/>
      <w:bookmarkStart w:id="160" w:name="_Toc184308072"/>
      <w:bookmarkEnd w:id="160"/>
      <w:bookmarkStart w:id="161" w:name="_Toc184308061"/>
      <w:bookmarkEnd w:id="161"/>
      <w:bookmarkStart w:id="162" w:name="_Toc184308045"/>
      <w:bookmarkEnd w:id="162"/>
      <w:bookmarkStart w:id="163" w:name="_Toc184313262"/>
      <w:bookmarkEnd w:id="163"/>
      <w:bookmarkStart w:id="164" w:name="_Toc184314463"/>
      <w:bookmarkEnd w:id="164"/>
      <w:bookmarkStart w:id="165" w:name="_Toc184308086"/>
      <w:bookmarkEnd w:id="165"/>
      <w:bookmarkStart w:id="166" w:name="_Toc184312072"/>
      <w:bookmarkEnd w:id="166"/>
      <w:bookmarkStart w:id="167" w:name="_Toc184313299"/>
      <w:bookmarkEnd w:id="167"/>
      <w:bookmarkStart w:id="168" w:name="_Toc184308040"/>
      <w:bookmarkEnd w:id="168"/>
      <w:bookmarkStart w:id="169" w:name="_Toc184314482"/>
      <w:bookmarkEnd w:id="169"/>
      <w:bookmarkStart w:id="170" w:name="_Toc184314434"/>
      <w:bookmarkEnd w:id="170"/>
      <w:bookmarkStart w:id="171" w:name="_Toc184314442"/>
      <w:bookmarkEnd w:id="171"/>
      <w:bookmarkStart w:id="172" w:name="_Toc184314440"/>
      <w:bookmarkEnd w:id="172"/>
      <w:bookmarkStart w:id="173" w:name="_Toc184308080"/>
      <w:bookmarkEnd w:id="173"/>
      <w:bookmarkStart w:id="174" w:name="_Toc184310334"/>
      <w:bookmarkEnd w:id="174"/>
      <w:bookmarkStart w:id="175" w:name="_Toc184310281"/>
      <w:bookmarkEnd w:id="175"/>
      <w:bookmarkStart w:id="176" w:name="_Toc184312084"/>
      <w:bookmarkEnd w:id="176"/>
      <w:bookmarkStart w:id="177" w:name="_Toc184314458"/>
      <w:bookmarkEnd w:id="177"/>
      <w:bookmarkStart w:id="178" w:name="_Toc184313303"/>
      <w:bookmarkEnd w:id="178"/>
      <w:bookmarkStart w:id="179" w:name="_Toc184310277"/>
      <w:bookmarkEnd w:id="179"/>
      <w:bookmarkStart w:id="180" w:name="_Toc184314430"/>
      <w:bookmarkEnd w:id="180"/>
      <w:bookmarkStart w:id="181" w:name="_Toc184314478"/>
      <w:bookmarkEnd w:id="181"/>
      <w:bookmarkStart w:id="182" w:name="_Toc184312113"/>
      <w:bookmarkEnd w:id="182"/>
      <w:bookmarkStart w:id="183" w:name="_Toc184310312"/>
      <w:bookmarkEnd w:id="183"/>
      <w:bookmarkStart w:id="184" w:name="_Toc184313273"/>
      <w:bookmarkEnd w:id="184"/>
      <w:bookmarkStart w:id="185" w:name="_Toc184308093"/>
      <w:bookmarkEnd w:id="185"/>
      <w:bookmarkStart w:id="186" w:name="_Toc184314445"/>
      <w:bookmarkEnd w:id="186"/>
      <w:bookmarkStart w:id="187" w:name="_Toc184312127"/>
      <w:bookmarkEnd w:id="187"/>
      <w:bookmarkStart w:id="188" w:name="_Toc184314459"/>
      <w:bookmarkEnd w:id="188"/>
      <w:bookmarkStart w:id="189" w:name="_Toc184313302"/>
      <w:bookmarkEnd w:id="189"/>
      <w:bookmarkStart w:id="190" w:name="_Toc184312080"/>
      <w:bookmarkEnd w:id="190"/>
      <w:bookmarkStart w:id="191" w:name="_Toc184308037"/>
      <w:bookmarkEnd w:id="191"/>
      <w:bookmarkStart w:id="192" w:name="_Toc184312086"/>
      <w:bookmarkEnd w:id="192"/>
      <w:bookmarkStart w:id="193" w:name="_Toc184314464"/>
      <w:bookmarkEnd w:id="193"/>
      <w:bookmarkStart w:id="194" w:name="_Toc184312120"/>
      <w:bookmarkEnd w:id="194"/>
      <w:bookmarkStart w:id="195" w:name="_Toc184314468"/>
      <w:bookmarkEnd w:id="195"/>
      <w:bookmarkStart w:id="196" w:name="_Toc184313253"/>
      <w:bookmarkEnd w:id="196"/>
      <w:bookmarkStart w:id="197" w:name="_Toc184310338"/>
      <w:bookmarkEnd w:id="197"/>
      <w:bookmarkStart w:id="198" w:name="_Toc184313241"/>
      <w:bookmarkEnd w:id="198"/>
      <w:bookmarkStart w:id="199" w:name="_Toc184312071"/>
      <w:bookmarkEnd w:id="199"/>
      <w:bookmarkStart w:id="200" w:name="_Toc184308062"/>
      <w:bookmarkEnd w:id="200"/>
      <w:bookmarkStart w:id="201" w:name="_Toc184312116"/>
      <w:bookmarkEnd w:id="201"/>
      <w:bookmarkStart w:id="202" w:name="_Toc184310289"/>
      <w:bookmarkEnd w:id="202"/>
      <w:bookmarkStart w:id="203" w:name="_Toc184310340"/>
      <w:bookmarkEnd w:id="203"/>
      <w:bookmarkStart w:id="204" w:name="_Toc184308105"/>
      <w:bookmarkEnd w:id="204"/>
      <w:bookmarkStart w:id="205" w:name="_Toc184312089"/>
      <w:bookmarkEnd w:id="205"/>
      <w:bookmarkStart w:id="206" w:name="_Toc184314416"/>
      <w:bookmarkEnd w:id="206"/>
      <w:bookmarkStart w:id="207" w:name="_Toc184310298"/>
      <w:bookmarkEnd w:id="207"/>
      <w:bookmarkStart w:id="208" w:name="_Toc184314461"/>
      <w:bookmarkEnd w:id="208"/>
      <w:bookmarkStart w:id="209" w:name="_Toc184310339"/>
      <w:bookmarkEnd w:id="209"/>
      <w:bookmarkStart w:id="210" w:name="_Toc184310328"/>
      <w:bookmarkEnd w:id="210"/>
      <w:bookmarkStart w:id="211" w:name="_Toc184314465"/>
      <w:bookmarkEnd w:id="211"/>
      <w:bookmarkStart w:id="212" w:name="_Toc184312132"/>
      <w:bookmarkEnd w:id="212"/>
      <w:bookmarkStart w:id="213" w:name="_Toc184314435"/>
      <w:bookmarkEnd w:id="213"/>
      <w:bookmarkStart w:id="214" w:name="_Toc184308083"/>
      <w:bookmarkEnd w:id="214"/>
      <w:bookmarkStart w:id="215" w:name="_Toc184310299"/>
      <w:bookmarkEnd w:id="215"/>
      <w:bookmarkStart w:id="216" w:name="_Toc184312133"/>
      <w:bookmarkEnd w:id="216"/>
      <w:bookmarkStart w:id="217" w:name="_Toc184312074"/>
      <w:bookmarkEnd w:id="217"/>
      <w:bookmarkStart w:id="218" w:name="_Toc184312135"/>
      <w:bookmarkEnd w:id="218"/>
      <w:bookmarkStart w:id="219" w:name="_Toc184313279"/>
      <w:bookmarkEnd w:id="219"/>
      <w:bookmarkStart w:id="220" w:name="_Toc184308053"/>
      <w:bookmarkEnd w:id="220"/>
      <w:bookmarkStart w:id="221" w:name="_Toc184314447"/>
      <w:bookmarkEnd w:id="221"/>
      <w:bookmarkStart w:id="222" w:name="_Toc184314446"/>
      <w:bookmarkEnd w:id="222"/>
      <w:bookmarkStart w:id="223" w:name="_Toc184313272"/>
      <w:bookmarkEnd w:id="223"/>
      <w:bookmarkStart w:id="224" w:name="_Toc184313250"/>
      <w:bookmarkEnd w:id="224"/>
      <w:bookmarkStart w:id="225" w:name="_Toc184314415"/>
      <w:bookmarkEnd w:id="225"/>
      <w:bookmarkStart w:id="226" w:name="_Toc184312129"/>
      <w:bookmarkEnd w:id="226"/>
      <w:bookmarkStart w:id="227" w:name="_Toc184314462"/>
      <w:bookmarkEnd w:id="227"/>
      <w:bookmarkStart w:id="228" w:name="_Toc184308095"/>
      <w:bookmarkEnd w:id="228"/>
      <w:bookmarkStart w:id="229" w:name="_Toc184310287"/>
      <w:bookmarkEnd w:id="229"/>
      <w:bookmarkStart w:id="230" w:name="_Toc184308069"/>
      <w:bookmarkEnd w:id="230"/>
      <w:bookmarkStart w:id="231" w:name="_Toc184308067"/>
      <w:bookmarkEnd w:id="231"/>
      <w:bookmarkStart w:id="232" w:name="_Toc184310296"/>
      <w:bookmarkEnd w:id="232"/>
      <w:bookmarkStart w:id="233" w:name="_Toc184314481"/>
      <w:bookmarkEnd w:id="233"/>
      <w:bookmarkStart w:id="234" w:name="_Toc184312078"/>
      <w:bookmarkEnd w:id="234"/>
      <w:bookmarkStart w:id="235" w:name="_Toc184308044"/>
      <w:bookmarkEnd w:id="235"/>
      <w:bookmarkStart w:id="236" w:name="_Toc184312091"/>
      <w:bookmarkEnd w:id="236"/>
      <w:bookmarkStart w:id="237" w:name="_Toc184310274"/>
      <w:bookmarkEnd w:id="237"/>
      <w:bookmarkStart w:id="238" w:name="_Toc184308081"/>
      <w:bookmarkEnd w:id="238"/>
      <w:bookmarkStart w:id="239" w:name="_Toc184312093"/>
      <w:bookmarkEnd w:id="239"/>
      <w:bookmarkStart w:id="240" w:name="_Toc184308084"/>
      <w:bookmarkEnd w:id="240"/>
      <w:bookmarkStart w:id="241" w:name="_Toc184312097"/>
      <w:bookmarkEnd w:id="241"/>
      <w:bookmarkStart w:id="242" w:name="_Toc184313267"/>
      <w:bookmarkEnd w:id="242"/>
      <w:bookmarkStart w:id="243" w:name="_Toc184314467"/>
      <w:bookmarkEnd w:id="243"/>
      <w:bookmarkStart w:id="244" w:name="_Toc184313248"/>
      <w:bookmarkEnd w:id="244"/>
      <w:bookmarkStart w:id="245" w:name="_Toc184313292"/>
      <w:bookmarkEnd w:id="245"/>
      <w:bookmarkStart w:id="246" w:name="_Toc184313306"/>
      <w:bookmarkEnd w:id="246"/>
      <w:bookmarkStart w:id="247" w:name="_Toc184308106"/>
      <w:bookmarkEnd w:id="247"/>
      <w:bookmarkStart w:id="248" w:name="_Toc184313281"/>
      <w:bookmarkEnd w:id="248"/>
      <w:bookmarkStart w:id="249" w:name="_Toc184313256"/>
      <w:bookmarkEnd w:id="249"/>
      <w:bookmarkStart w:id="250" w:name="_Toc184312095"/>
      <w:bookmarkEnd w:id="250"/>
      <w:bookmarkStart w:id="251" w:name="_Toc184308075"/>
      <w:bookmarkEnd w:id="251"/>
      <w:bookmarkStart w:id="252" w:name="_Toc184312121"/>
      <w:bookmarkEnd w:id="252"/>
      <w:bookmarkStart w:id="253" w:name="_Toc184312103"/>
      <w:bookmarkEnd w:id="253"/>
      <w:bookmarkStart w:id="254" w:name="_Toc184313285"/>
      <w:bookmarkEnd w:id="254"/>
      <w:bookmarkStart w:id="255" w:name="_Toc184313264"/>
      <w:bookmarkEnd w:id="255"/>
      <w:bookmarkStart w:id="256" w:name="_Toc184312082"/>
      <w:bookmarkEnd w:id="256"/>
      <w:bookmarkStart w:id="257" w:name="_Toc184314451"/>
      <w:bookmarkEnd w:id="257"/>
      <w:bookmarkStart w:id="258" w:name="_Toc184308087"/>
      <w:bookmarkEnd w:id="258"/>
      <w:bookmarkStart w:id="259" w:name="_Toc184313260"/>
      <w:bookmarkEnd w:id="259"/>
      <w:bookmarkStart w:id="260" w:name="_Toc184308059"/>
      <w:bookmarkEnd w:id="260"/>
      <w:bookmarkStart w:id="261" w:name="_Toc184313275"/>
      <w:bookmarkEnd w:id="261"/>
      <w:bookmarkStart w:id="262" w:name="_Toc184310295"/>
      <w:bookmarkEnd w:id="262"/>
      <w:bookmarkStart w:id="263" w:name="_Toc184310285"/>
      <w:bookmarkEnd w:id="263"/>
      <w:bookmarkStart w:id="264" w:name="_Toc184312069"/>
      <w:bookmarkEnd w:id="264"/>
      <w:bookmarkStart w:id="265" w:name="_Toc184308071"/>
      <w:bookmarkEnd w:id="265"/>
      <w:bookmarkStart w:id="266" w:name="_Toc184310301"/>
      <w:bookmarkEnd w:id="266"/>
      <w:bookmarkStart w:id="267" w:name="_Toc184313276"/>
      <w:bookmarkEnd w:id="267"/>
      <w:bookmarkStart w:id="268" w:name="_Toc184313257"/>
      <w:bookmarkEnd w:id="268"/>
      <w:bookmarkStart w:id="269" w:name="_Toc184313274"/>
      <w:bookmarkEnd w:id="269"/>
      <w:bookmarkStart w:id="270" w:name="_Toc184312131"/>
      <w:bookmarkEnd w:id="270"/>
      <w:bookmarkStart w:id="271" w:name="_Toc184312108"/>
      <w:bookmarkEnd w:id="271"/>
      <w:bookmarkStart w:id="272" w:name="_Toc184310302"/>
      <w:bookmarkEnd w:id="272"/>
      <w:bookmarkStart w:id="273" w:name="_Toc184314474"/>
      <w:bookmarkEnd w:id="273"/>
      <w:bookmarkStart w:id="274" w:name="_Toc184310280"/>
      <w:bookmarkEnd w:id="274"/>
      <w:bookmarkStart w:id="275" w:name="_Toc184312085"/>
      <w:bookmarkEnd w:id="275"/>
      <w:bookmarkStart w:id="276" w:name="_Toc184312119"/>
      <w:bookmarkEnd w:id="276"/>
      <w:bookmarkStart w:id="277" w:name="_Toc184308039"/>
      <w:bookmarkEnd w:id="277"/>
      <w:bookmarkStart w:id="278" w:name="_Toc184310320"/>
      <w:bookmarkEnd w:id="278"/>
      <w:bookmarkStart w:id="279" w:name="_Toc184313255"/>
      <w:bookmarkEnd w:id="279"/>
      <w:bookmarkStart w:id="280" w:name="_Toc184313269"/>
      <w:bookmarkEnd w:id="280"/>
      <w:bookmarkStart w:id="281" w:name="_Toc184313261"/>
      <w:bookmarkEnd w:id="281"/>
      <w:bookmarkStart w:id="282" w:name="_Toc184313243"/>
      <w:bookmarkEnd w:id="282"/>
      <w:bookmarkStart w:id="283" w:name="_Toc184314457"/>
      <w:bookmarkEnd w:id="283"/>
      <w:bookmarkStart w:id="284" w:name="_Toc184312136"/>
      <w:bookmarkEnd w:id="284"/>
      <w:bookmarkStart w:id="285" w:name="_Toc184310316"/>
      <w:bookmarkEnd w:id="285"/>
      <w:bookmarkStart w:id="286" w:name="_Toc184310321"/>
      <w:bookmarkEnd w:id="286"/>
      <w:bookmarkStart w:id="287" w:name="_Toc184312076"/>
      <w:bookmarkEnd w:id="287"/>
      <w:bookmarkStart w:id="288" w:name="_Toc184310317"/>
      <w:bookmarkEnd w:id="288"/>
      <w:bookmarkStart w:id="289" w:name="_Toc184314432"/>
      <w:bookmarkEnd w:id="289"/>
      <w:bookmarkStart w:id="290" w:name="_Toc184313301"/>
      <w:bookmarkEnd w:id="290"/>
      <w:bookmarkStart w:id="291" w:name="_Toc184313263"/>
      <w:bookmarkEnd w:id="291"/>
      <w:bookmarkStart w:id="292" w:name="_Toc184313291"/>
      <w:bookmarkEnd w:id="292"/>
      <w:bookmarkStart w:id="293" w:name="_Toc184310315"/>
      <w:bookmarkEnd w:id="293"/>
      <w:bookmarkStart w:id="294" w:name="_Toc184313284"/>
      <w:bookmarkEnd w:id="294"/>
      <w:bookmarkStart w:id="295" w:name="_Toc184314423"/>
      <w:bookmarkEnd w:id="295"/>
      <w:bookmarkStart w:id="296" w:name="_Toc184308036"/>
      <w:bookmarkEnd w:id="296"/>
      <w:bookmarkStart w:id="297" w:name="_Toc184310273"/>
      <w:bookmarkEnd w:id="297"/>
      <w:bookmarkStart w:id="298" w:name="_Toc184308103"/>
      <w:bookmarkEnd w:id="298"/>
      <w:bookmarkStart w:id="299" w:name="_Toc184314443"/>
      <w:bookmarkEnd w:id="299"/>
      <w:bookmarkStart w:id="300" w:name="_Toc184310291"/>
      <w:bookmarkEnd w:id="300"/>
      <w:bookmarkStart w:id="301" w:name="_Toc184308046"/>
      <w:bookmarkEnd w:id="301"/>
      <w:bookmarkStart w:id="302" w:name="_Toc184314410"/>
      <w:bookmarkEnd w:id="302"/>
      <w:bookmarkStart w:id="303" w:name="_Toc184308090"/>
      <w:bookmarkEnd w:id="303"/>
      <w:bookmarkStart w:id="304" w:name="_Toc184313294"/>
      <w:bookmarkEnd w:id="304"/>
      <w:bookmarkStart w:id="305" w:name="_Toc184312099"/>
      <w:bookmarkEnd w:id="305"/>
      <w:bookmarkStart w:id="306" w:name="_Toc184314411"/>
      <w:bookmarkEnd w:id="306"/>
      <w:bookmarkStart w:id="307" w:name="_Toc184310324"/>
      <w:bookmarkEnd w:id="307"/>
      <w:bookmarkStart w:id="308" w:name="_Toc184310275"/>
      <w:bookmarkEnd w:id="308"/>
      <w:bookmarkStart w:id="309" w:name="_Toc184313286"/>
      <w:bookmarkEnd w:id="309"/>
      <w:bookmarkStart w:id="310" w:name="_Toc184312079"/>
      <w:bookmarkEnd w:id="310"/>
      <w:bookmarkStart w:id="311" w:name="_Toc184314448"/>
      <w:bookmarkEnd w:id="311"/>
      <w:bookmarkStart w:id="312" w:name="_Toc184310272"/>
      <w:bookmarkEnd w:id="312"/>
      <w:bookmarkStart w:id="313" w:name="_Toc184310333"/>
      <w:bookmarkEnd w:id="313"/>
      <w:bookmarkStart w:id="314" w:name="_Toc184310305"/>
      <w:bookmarkEnd w:id="314"/>
      <w:bookmarkStart w:id="315" w:name="_Toc184308076"/>
      <w:bookmarkEnd w:id="315"/>
      <w:bookmarkStart w:id="316" w:name="_Toc184313245"/>
      <w:bookmarkEnd w:id="316"/>
      <w:bookmarkStart w:id="317" w:name="_Toc184310286"/>
      <w:bookmarkEnd w:id="317"/>
      <w:bookmarkStart w:id="318" w:name="_Toc184312130"/>
      <w:bookmarkEnd w:id="318"/>
      <w:bookmarkStart w:id="319" w:name="_Toc184314452"/>
      <w:bookmarkEnd w:id="319"/>
      <w:bookmarkStart w:id="320" w:name="_Toc184314453"/>
      <w:bookmarkEnd w:id="320"/>
      <w:bookmarkStart w:id="321" w:name="_Toc184314417"/>
      <w:bookmarkEnd w:id="321"/>
      <w:bookmarkStart w:id="322" w:name="_Toc184314455"/>
      <w:bookmarkEnd w:id="322"/>
      <w:bookmarkStart w:id="323" w:name="_Toc184310326"/>
      <w:bookmarkEnd w:id="323"/>
      <w:bookmarkStart w:id="324" w:name="_Toc184308104"/>
      <w:bookmarkEnd w:id="324"/>
      <w:bookmarkStart w:id="325" w:name="_Toc184308074"/>
      <w:bookmarkEnd w:id="325"/>
      <w:bookmarkStart w:id="326" w:name="_Toc184312075"/>
      <w:bookmarkEnd w:id="326"/>
      <w:bookmarkStart w:id="327" w:name="_Toc184310337"/>
      <w:bookmarkEnd w:id="327"/>
      <w:bookmarkStart w:id="328" w:name="_Toc184314473"/>
      <w:bookmarkEnd w:id="328"/>
      <w:bookmarkStart w:id="329" w:name="_Toc184308098"/>
      <w:bookmarkEnd w:id="329"/>
      <w:bookmarkStart w:id="330" w:name="_Toc184310344"/>
      <w:bookmarkEnd w:id="330"/>
      <w:bookmarkStart w:id="331" w:name="_Toc184310282"/>
      <w:bookmarkEnd w:id="331"/>
      <w:bookmarkStart w:id="332" w:name="_Toc184312109"/>
      <w:bookmarkEnd w:id="332"/>
      <w:bookmarkStart w:id="333" w:name="_Toc184312114"/>
      <w:bookmarkEnd w:id="333"/>
      <w:bookmarkStart w:id="334" w:name="_Toc184313278"/>
      <w:bookmarkEnd w:id="334"/>
      <w:bookmarkStart w:id="335" w:name="_Toc184312106"/>
      <w:bookmarkEnd w:id="335"/>
      <w:bookmarkStart w:id="336" w:name="_Toc184314436"/>
      <w:bookmarkEnd w:id="336"/>
      <w:bookmarkStart w:id="337" w:name="_Toc184310319"/>
      <w:bookmarkEnd w:id="337"/>
      <w:bookmarkStart w:id="338" w:name="_Toc184310323"/>
      <w:bookmarkEnd w:id="338"/>
      <w:bookmarkStart w:id="339" w:name="_Toc184308068"/>
      <w:bookmarkEnd w:id="339"/>
      <w:bookmarkStart w:id="340" w:name="_Toc184308041"/>
      <w:bookmarkEnd w:id="340"/>
      <w:bookmarkStart w:id="341" w:name="_Toc184312110"/>
      <w:bookmarkEnd w:id="341"/>
      <w:bookmarkStart w:id="342" w:name="_Toc184313293"/>
      <w:bookmarkEnd w:id="342"/>
      <w:bookmarkStart w:id="343" w:name="_Toc184312088"/>
      <w:bookmarkEnd w:id="343"/>
      <w:bookmarkStart w:id="344" w:name="_Toc184310341"/>
      <w:bookmarkEnd w:id="344"/>
      <w:bookmarkStart w:id="345" w:name="_Toc184314469"/>
      <w:bookmarkEnd w:id="345"/>
      <w:bookmarkStart w:id="346" w:name="_Toc184313310"/>
      <w:bookmarkEnd w:id="346"/>
      <w:bookmarkStart w:id="347" w:name="_Toc184314480"/>
      <w:bookmarkEnd w:id="347"/>
      <w:bookmarkStart w:id="348" w:name="_Toc184313271"/>
      <w:bookmarkEnd w:id="348"/>
      <w:bookmarkStart w:id="349" w:name="_Toc184310293"/>
      <w:bookmarkEnd w:id="349"/>
      <w:bookmarkStart w:id="350" w:name="_Toc184314470"/>
      <w:bookmarkEnd w:id="350"/>
      <w:bookmarkStart w:id="351" w:name="_Toc184313265"/>
      <w:bookmarkEnd w:id="351"/>
      <w:bookmarkStart w:id="352" w:name="_Toc184312137"/>
      <w:bookmarkEnd w:id="352"/>
      <w:bookmarkStart w:id="353" w:name="_Toc184312134"/>
      <w:bookmarkEnd w:id="353"/>
      <w:bookmarkStart w:id="354" w:name="_Toc184310278"/>
      <w:bookmarkEnd w:id="354"/>
      <w:bookmarkStart w:id="355" w:name="_Toc184310311"/>
      <w:bookmarkEnd w:id="355"/>
      <w:bookmarkStart w:id="356" w:name="_Toc184310292"/>
      <w:bookmarkEnd w:id="356"/>
      <w:bookmarkStart w:id="357" w:name="_Toc184308101"/>
      <w:bookmarkEnd w:id="357"/>
      <w:bookmarkStart w:id="358" w:name="_Toc184314422"/>
      <w:bookmarkEnd w:id="358"/>
      <w:bookmarkStart w:id="359" w:name="_Toc184312115"/>
      <w:bookmarkEnd w:id="359"/>
      <w:bookmarkStart w:id="360" w:name="_Toc184313238"/>
      <w:bookmarkEnd w:id="360"/>
      <w:bookmarkStart w:id="361" w:name="_Toc184312081"/>
      <w:bookmarkEnd w:id="361"/>
      <w:bookmarkStart w:id="362" w:name="_Toc184312083"/>
      <w:bookmarkEnd w:id="362"/>
      <w:bookmarkStart w:id="363" w:name="_Toc184313309"/>
      <w:bookmarkEnd w:id="363"/>
      <w:bookmarkStart w:id="364" w:name="_Toc184313249"/>
      <w:bookmarkEnd w:id="364"/>
      <w:bookmarkStart w:id="365" w:name="_Toc184313305"/>
      <w:bookmarkEnd w:id="365"/>
      <w:bookmarkStart w:id="366" w:name="_Toc184310308"/>
      <w:bookmarkEnd w:id="366"/>
      <w:bookmarkStart w:id="367" w:name="_Toc184314437"/>
      <w:bookmarkEnd w:id="367"/>
      <w:bookmarkStart w:id="368" w:name="_Toc184308054"/>
      <w:bookmarkEnd w:id="368"/>
      <w:bookmarkStart w:id="369" w:name="_Toc184313300"/>
      <w:bookmarkEnd w:id="369"/>
      <w:bookmarkStart w:id="370" w:name="_Toc184313254"/>
      <w:bookmarkEnd w:id="370"/>
      <w:bookmarkStart w:id="371" w:name="_Toc184312104"/>
      <w:bookmarkEnd w:id="371"/>
      <w:bookmarkStart w:id="372" w:name="_Toc184313266"/>
      <w:bookmarkEnd w:id="372"/>
      <w:bookmarkStart w:id="373" w:name="_Toc184314476"/>
      <w:bookmarkEnd w:id="373"/>
      <w:bookmarkStart w:id="374" w:name="_Toc184308077"/>
      <w:bookmarkEnd w:id="374"/>
      <w:bookmarkStart w:id="375" w:name="_Toc184313242"/>
      <w:bookmarkEnd w:id="375"/>
      <w:bookmarkStart w:id="376" w:name="_Toc184313290"/>
      <w:bookmarkEnd w:id="376"/>
      <w:bookmarkStart w:id="377" w:name="_Toc184310284"/>
      <w:bookmarkEnd w:id="377"/>
      <w:bookmarkStart w:id="378" w:name="_Toc184310294"/>
      <w:bookmarkEnd w:id="378"/>
      <w:bookmarkStart w:id="379" w:name="_Toc184312107"/>
      <w:bookmarkEnd w:id="379"/>
      <w:bookmarkStart w:id="380" w:name="_Toc184312067"/>
      <w:bookmarkEnd w:id="380"/>
      <w:bookmarkStart w:id="381" w:name="_Toc184313268"/>
      <w:bookmarkEnd w:id="381"/>
      <w:bookmarkStart w:id="382" w:name="_Toc184313296"/>
      <w:bookmarkEnd w:id="382"/>
      <w:bookmarkStart w:id="383" w:name="_Toc184313297"/>
      <w:bookmarkEnd w:id="383"/>
      <w:bookmarkStart w:id="384" w:name="_Toc184308085"/>
      <w:bookmarkEnd w:id="384"/>
      <w:bookmarkStart w:id="385" w:name="_Toc184310306"/>
      <w:bookmarkEnd w:id="385"/>
      <w:bookmarkStart w:id="386" w:name="_Toc184312090"/>
      <w:bookmarkEnd w:id="386"/>
      <w:bookmarkStart w:id="387" w:name="_Toc184314456"/>
      <w:bookmarkEnd w:id="387"/>
      <w:bookmarkStart w:id="388" w:name="_Toc184312105"/>
      <w:bookmarkEnd w:id="388"/>
      <w:bookmarkStart w:id="389" w:name="_Toc184310322"/>
      <w:bookmarkEnd w:id="389"/>
      <w:bookmarkStart w:id="390" w:name="_Toc184308060"/>
      <w:bookmarkEnd w:id="390"/>
      <w:bookmarkStart w:id="391" w:name="_Toc184308092"/>
      <w:bookmarkEnd w:id="391"/>
      <w:bookmarkStart w:id="392" w:name="_Toc184314420"/>
      <w:bookmarkEnd w:id="392"/>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5400"/>
        <w:gridCol w:w="705"/>
        <w:gridCol w:w="645"/>
        <w:gridCol w:w="1016"/>
      </w:tblGrid>
      <w:tr w14:paraId="3743B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31023228">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5400" w:type="dxa"/>
            <w:vAlign w:val="center"/>
          </w:tcPr>
          <w:p w14:paraId="2BC01234">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705" w:type="dxa"/>
            <w:vAlign w:val="center"/>
          </w:tcPr>
          <w:p w14:paraId="5124943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权重</w:t>
            </w:r>
          </w:p>
        </w:tc>
        <w:tc>
          <w:tcPr>
            <w:tcW w:w="645" w:type="dxa"/>
            <w:vAlign w:val="center"/>
          </w:tcPr>
          <w:p w14:paraId="45D77CFE">
            <w:pPr>
              <w:snapToGrid w:val="0"/>
              <w:spacing w:line="360" w:lineRule="auto"/>
              <w:jc w:val="center"/>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属性</w:t>
            </w:r>
          </w:p>
        </w:tc>
        <w:tc>
          <w:tcPr>
            <w:tcW w:w="1016" w:type="dxa"/>
            <w:vAlign w:val="center"/>
          </w:tcPr>
          <w:p w14:paraId="64F7815E">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相应目录*</w:t>
            </w:r>
          </w:p>
        </w:tc>
      </w:tr>
      <w:tr w14:paraId="4F9E5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2E63656A">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5400" w:type="dxa"/>
            <w:vAlign w:val="center"/>
          </w:tcPr>
          <w:p w14:paraId="2C98B4D8">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自2022年1月1日以来（按合同签订时间为准）投标人承担过调查监测等同类型项目业绩，每个得0.25分，最高得1分。</w:t>
            </w:r>
          </w:p>
          <w:p w14:paraId="6770641E">
            <w:pPr>
              <w:snapToGrid w:val="0"/>
              <w:spacing w:line="360" w:lineRule="auto"/>
              <w:jc w:val="both"/>
              <w:rPr>
                <w:rFonts w:cs="仿宋_GB2312" w:asciiTheme="minorEastAsia" w:hAnsiTheme="minorEastAsia" w:eastAsiaTheme="minorEastAsia"/>
                <w:color w:val="auto"/>
                <w:sz w:val="24"/>
                <w:highlight w:val="none"/>
              </w:rPr>
            </w:pPr>
            <w:r>
              <w:rPr>
                <w:rFonts w:hint="eastAsia" w:ascii="宋体" w:hAnsi="宋体" w:eastAsia="宋体" w:cs="宋体"/>
                <w:b/>
                <w:bCs/>
                <w:color w:val="auto"/>
                <w:szCs w:val="21"/>
                <w:highlight w:val="none"/>
                <w:lang w:val="en-US" w:eastAsia="zh-CN"/>
              </w:rPr>
              <w:t>注：提供业绩合同扫描件</w:t>
            </w:r>
            <w:r>
              <w:rPr>
                <w:rFonts w:hint="eastAsia" w:ascii="宋体" w:hAnsi="宋体" w:eastAsia="宋体" w:cs="宋体"/>
                <w:b/>
                <w:bCs/>
                <w:color w:val="auto"/>
                <w:szCs w:val="21"/>
                <w:highlight w:val="none"/>
              </w:rPr>
              <w:t>并加盖公章</w:t>
            </w:r>
            <w:r>
              <w:rPr>
                <w:rFonts w:hint="eastAsia" w:ascii="宋体" w:hAnsi="宋体" w:eastAsia="宋体" w:cs="宋体"/>
                <w:b/>
                <w:bCs/>
                <w:color w:val="auto"/>
                <w:szCs w:val="21"/>
                <w:highlight w:val="none"/>
                <w:lang w:val="en-US" w:eastAsia="zh-CN"/>
              </w:rPr>
              <w:t>，不提供不得分。</w:t>
            </w:r>
          </w:p>
        </w:tc>
        <w:tc>
          <w:tcPr>
            <w:tcW w:w="705" w:type="dxa"/>
            <w:vAlign w:val="center"/>
          </w:tcPr>
          <w:p w14:paraId="635DBB97">
            <w:pPr>
              <w:snapToGrid w:val="0"/>
              <w:spacing w:line="360" w:lineRule="auto"/>
              <w:jc w:val="center"/>
              <w:rPr>
                <w:rFonts w:cs="仿宋_GB2312" w:asciiTheme="minorEastAsia" w:hAnsiTheme="minorEastAsia" w:eastAsiaTheme="minorEastAsia"/>
                <w:color w:val="auto"/>
                <w:sz w:val="24"/>
                <w:highlight w:val="none"/>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shd w:val="clear" w:color="auto" w:fill="FFFFFF"/>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tc>
        <w:tc>
          <w:tcPr>
            <w:tcW w:w="645" w:type="dxa"/>
            <w:vAlign w:val="center"/>
          </w:tcPr>
          <w:p w14:paraId="5A6084F3">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Align w:val="center"/>
          </w:tcPr>
          <w:p w14:paraId="1E82A75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企业业绩</w:t>
            </w:r>
          </w:p>
        </w:tc>
      </w:tr>
      <w:tr w14:paraId="23ACF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restart"/>
            <w:vAlign w:val="center"/>
          </w:tcPr>
          <w:p w14:paraId="632E193C">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2</w:t>
            </w:r>
          </w:p>
        </w:tc>
        <w:tc>
          <w:tcPr>
            <w:tcW w:w="5400" w:type="dxa"/>
            <w:shd w:val="clear" w:color="auto" w:fill="auto"/>
            <w:vAlign w:val="center"/>
          </w:tcPr>
          <w:p w14:paraId="75235AF7">
            <w:pPr>
              <w:spacing w:line="276" w:lineRule="auto"/>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
              </w:rPr>
              <w:t>投标人</w:t>
            </w:r>
            <w:r>
              <w:rPr>
                <w:rFonts w:hint="eastAsia" w:ascii="宋体" w:hAnsi="宋体" w:eastAsia="宋体" w:cs="宋体"/>
                <w:color w:val="auto"/>
                <w:szCs w:val="21"/>
                <w:highlight w:val="none"/>
              </w:rPr>
              <w:t>具有国家认证认可监督管理委员会批准认可的认证机构颁发的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且在有效期内的环境管理体系认证、职业健康安全管理体认证证书、质量管理体系认证证书、信息安全管理体系认证证书、信息技术服务管理体系认证证书的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每提供一个得</w:t>
            </w:r>
            <w:r>
              <w:rPr>
                <w:rFonts w:hint="eastAsia" w:ascii="宋体" w:hAnsi="宋体" w:cs="宋体"/>
                <w:color w:val="auto"/>
                <w:szCs w:val="21"/>
                <w:highlight w:val="none"/>
                <w:lang w:val="en-US" w:eastAsia="zh-CN"/>
              </w:rPr>
              <w:t>0.4</w:t>
            </w:r>
            <w:r>
              <w:rPr>
                <w:rFonts w:hint="eastAsia" w:ascii="宋体" w:hAnsi="宋体" w:eastAsia="宋体" w:cs="宋体"/>
                <w:color w:val="auto"/>
                <w:szCs w:val="21"/>
                <w:highlight w:val="none"/>
              </w:rPr>
              <w:t>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最高得</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分。</w:t>
            </w:r>
          </w:p>
          <w:p w14:paraId="45CA5C8A">
            <w:pPr>
              <w:spacing w:line="276"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szCs w:val="21"/>
                <w:highlight w:val="none"/>
              </w:rPr>
              <w:t>注：</w:t>
            </w:r>
            <w:r>
              <w:rPr>
                <w:rFonts w:hint="eastAsia" w:ascii="宋体" w:hAnsi="宋体" w:eastAsia="宋体" w:cs="宋体"/>
                <w:b/>
                <w:bCs/>
                <w:color w:val="auto"/>
                <w:szCs w:val="21"/>
                <w:highlight w:val="none"/>
                <w:lang w:val="en-US" w:eastAsia="zh-CN"/>
              </w:rPr>
              <w:t>须</w:t>
            </w:r>
            <w:r>
              <w:rPr>
                <w:rFonts w:hint="eastAsia" w:ascii="宋体" w:hAnsi="宋体" w:eastAsia="宋体" w:cs="宋体"/>
                <w:b/>
                <w:bCs/>
                <w:color w:val="auto"/>
                <w:szCs w:val="21"/>
                <w:highlight w:val="none"/>
              </w:rPr>
              <w:t>提供证书原件扫描件</w:t>
            </w:r>
            <w:r>
              <w:rPr>
                <w:rFonts w:hint="eastAsia" w:ascii="宋体" w:hAnsi="宋体" w:eastAsia="宋体" w:cs="宋体"/>
                <w:b/>
                <w:bCs/>
                <w:color w:val="auto"/>
                <w:szCs w:val="21"/>
                <w:highlight w:val="none"/>
                <w:lang w:eastAsia="zh-CN"/>
              </w:rPr>
              <w:t>，</w:t>
            </w:r>
            <w:r>
              <w:rPr>
                <w:rFonts w:hint="eastAsia" w:ascii="宋体" w:hAnsi="宋体" w:eastAsia="宋体" w:cs="宋体"/>
                <w:b/>
                <w:bCs/>
                <w:color w:val="auto"/>
                <w:szCs w:val="21"/>
                <w:highlight w:val="none"/>
              </w:rPr>
              <w:t>未提供的不得分。</w:t>
            </w:r>
          </w:p>
        </w:tc>
        <w:tc>
          <w:tcPr>
            <w:tcW w:w="705" w:type="dxa"/>
            <w:shd w:val="clear" w:color="auto" w:fill="auto"/>
            <w:vAlign w:val="center"/>
          </w:tcPr>
          <w:p w14:paraId="3EA0E6DC">
            <w:pPr>
              <w:spacing w:before="100" w:beforeAutospacing="1" w:after="100" w:afterAutospacing="1"/>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shd w:val="clear" w:color="auto" w:fill="FFFFFF"/>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645" w:type="dxa"/>
            <w:vAlign w:val="center"/>
          </w:tcPr>
          <w:p w14:paraId="10F0B31D">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Merge w:val="restart"/>
            <w:vAlign w:val="center"/>
          </w:tcPr>
          <w:p w14:paraId="3032FAA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企业资信</w:t>
            </w:r>
          </w:p>
        </w:tc>
      </w:tr>
      <w:tr w14:paraId="75C04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continue"/>
            <w:vAlign w:val="center"/>
          </w:tcPr>
          <w:p w14:paraId="0DC0DA29">
            <w:pPr>
              <w:snapToGrid w:val="0"/>
              <w:spacing w:line="360" w:lineRule="auto"/>
              <w:jc w:val="center"/>
              <w:rPr>
                <w:rFonts w:cs="仿宋_GB2312" w:asciiTheme="minorEastAsia" w:hAnsiTheme="minorEastAsia" w:eastAsiaTheme="minorEastAsia"/>
                <w:color w:val="auto"/>
                <w:sz w:val="24"/>
                <w:highlight w:val="none"/>
              </w:rPr>
            </w:pPr>
          </w:p>
        </w:tc>
        <w:tc>
          <w:tcPr>
            <w:tcW w:w="5400" w:type="dxa"/>
            <w:shd w:val="clear" w:color="auto" w:fill="auto"/>
            <w:vAlign w:val="center"/>
          </w:tcPr>
          <w:p w14:paraId="42CEFC98">
            <w:pPr>
              <w:spacing w:line="276" w:lineRule="auto"/>
              <w:jc w:val="both"/>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具有有效期内的CMA检验检测机构资质认定证书（认定项须包含：遥感数据获取、地理信息数据库、</w:t>
            </w:r>
            <w:r>
              <w:rPr>
                <w:rFonts w:hint="eastAsia" w:ascii="宋体" w:hAnsi="宋体" w:eastAsia="宋体" w:cs="宋体"/>
                <w:color w:val="auto"/>
                <w:szCs w:val="21"/>
                <w:highlight w:val="none"/>
                <w:lang w:val="en-US" w:eastAsia="zh-CN"/>
              </w:rPr>
              <w:t>工程测量</w:t>
            </w:r>
            <w:r>
              <w:rPr>
                <w:rFonts w:hint="eastAsia" w:ascii="宋体" w:hAnsi="宋体" w:eastAsia="宋体" w:cs="宋体"/>
                <w:color w:val="auto"/>
                <w:szCs w:val="21"/>
                <w:highlight w:val="none"/>
                <w:lang w:val="zh-CN" w:eastAsia="zh-CN"/>
              </w:rPr>
              <w:t>）的得</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val="zh-CN" w:eastAsia="zh-CN"/>
              </w:rPr>
              <w:t>分。</w:t>
            </w:r>
          </w:p>
          <w:p w14:paraId="6C5904A6">
            <w:pPr>
              <w:spacing w:line="276" w:lineRule="auto"/>
              <w:jc w:val="both"/>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Cs w:val="21"/>
                <w:highlight w:val="none"/>
                <w:lang w:val="en-US" w:eastAsia="zh-CN"/>
              </w:rPr>
              <w:t>注：</w:t>
            </w:r>
            <w:r>
              <w:rPr>
                <w:rFonts w:hint="eastAsia" w:ascii="宋体" w:hAnsi="宋体" w:eastAsia="宋体" w:cs="宋体"/>
                <w:b/>
                <w:bCs/>
                <w:color w:val="auto"/>
                <w:szCs w:val="21"/>
                <w:highlight w:val="none"/>
                <w:lang w:val="zh-CN" w:eastAsia="zh-CN"/>
              </w:rPr>
              <w:t>提供证明材料扫描件</w:t>
            </w:r>
            <w:r>
              <w:rPr>
                <w:rFonts w:hint="eastAsia" w:ascii="宋体" w:hAnsi="宋体" w:cs="宋体"/>
                <w:b/>
                <w:bCs/>
                <w:color w:val="auto"/>
                <w:szCs w:val="21"/>
                <w:highlight w:val="none"/>
                <w:lang w:val="en-US" w:eastAsia="zh-CN"/>
              </w:rPr>
              <w:t>或</w:t>
            </w:r>
            <w:r>
              <w:rPr>
                <w:rFonts w:hint="eastAsia" w:ascii="宋体" w:hAnsi="宋体" w:eastAsia="宋体" w:cs="宋体"/>
                <w:b/>
                <w:bCs/>
                <w:color w:val="auto"/>
                <w:szCs w:val="21"/>
                <w:highlight w:val="none"/>
                <w:lang w:val="zh-CN" w:eastAsia="zh-CN"/>
              </w:rPr>
              <w:t>全国认证认可信息公共服务平台官网查询截图</w:t>
            </w:r>
            <w:r>
              <w:rPr>
                <w:rFonts w:hint="eastAsia" w:ascii="宋体" w:hAnsi="宋体" w:eastAsia="宋体" w:cs="宋体"/>
                <w:b/>
                <w:bCs/>
                <w:color w:val="auto"/>
                <w:szCs w:val="21"/>
                <w:highlight w:val="none"/>
                <w:lang w:val="en"/>
              </w:rPr>
              <w:t>并加盖公章</w:t>
            </w:r>
            <w:r>
              <w:rPr>
                <w:rFonts w:hint="eastAsia" w:ascii="宋体" w:hAnsi="宋体" w:eastAsia="宋体" w:cs="宋体"/>
                <w:b/>
                <w:bCs/>
                <w:color w:val="auto"/>
                <w:szCs w:val="21"/>
                <w:highlight w:val="none"/>
                <w:lang w:val="zh-CN" w:eastAsia="zh-CN"/>
              </w:rPr>
              <w:t>，</w:t>
            </w:r>
            <w:r>
              <w:rPr>
                <w:rFonts w:hint="eastAsia" w:ascii="宋体" w:hAnsi="宋体" w:cs="宋体"/>
                <w:b/>
                <w:bCs/>
                <w:color w:val="auto"/>
                <w:szCs w:val="21"/>
                <w:highlight w:val="none"/>
                <w:lang w:val="en-US" w:eastAsia="zh-CN"/>
              </w:rPr>
              <w:t>未</w:t>
            </w:r>
            <w:r>
              <w:rPr>
                <w:rFonts w:hint="eastAsia" w:ascii="宋体" w:hAnsi="宋体" w:eastAsia="宋体" w:cs="宋体"/>
                <w:b/>
                <w:bCs/>
                <w:color w:val="auto"/>
                <w:szCs w:val="21"/>
                <w:highlight w:val="none"/>
                <w:lang w:val="zh-CN" w:eastAsia="zh-CN"/>
              </w:rPr>
              <w:t>提供不得分。</w:t>
            </w:r>
          </w:p>
        </w:tc>
        <w:tc>
          <w:tcPr>
            <w:tcW w:w="705" w:type="dxa"/>
            <w:shd w:val="clear" w:color="auto" w:fill="auto"/>
            <w:vAlign w:val="center"/>
          </w:tcPr>
          <w:p w14:paraId="4F2055DD">
            <w:pPr>
              <w:spacing w:before="100" w:beforeAutospacing="1" w:after="100" w:afterAutospacing="1"/>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shd w:val="clear" w:color="auto" w:fill="FFFFFF"/>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645" w:type="dxa"/>
            <w:vAlign w:val="center"/>
          </w:tcPr>
          <w:p w14:paraId="667F2B57">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Merge w:val="continue"/>
            <w:vAlign w:val="center"/>
          </w:tcPr>
          <w:p w14:paraId="38916BFF">
            <w:pPr>
              <w:snapToGrid w:val="0"/>
              <w:spacing w:line="360" w:lineRule="auto"/>
              <w:jc w:val="center"/>
              <w:rPr>
                <w:rFonts w:hint="eastAsia" w:cs="仿宋_GB2312" w:asciiTheme="minorEastAsia" w:hAnsiTheme="minorEastAsia" w:eastAsiaTheme="minorEastAsia"/>
                <w:color w:val="auto"/>
                <w:sz w:val="24"/>
                <w:highlight w:val="none"/>
              </w:rPr>
            </w:pPr>
          </w:p>
        </w:tc>
      </w:tr>
      <w:tr w14:paraId="3D8F9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restart"/>
            <w:vAlign w:val="center"/>
          </w:tcPr>
          <w:p w14:paraId="7AE020B5">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3</w:t>
            </w:r>
          </w:p>
        </w:tc>
        <w:tc>
          <w:tcPr>
            <w:tcW w:w="5400" w:type="dxa"/>
            <w:shd w:val="clear" w:color="auto" w:fill="auto"/>
            <w:vAlign w:val="center"/>
          </w:tcPr>
          <w:p w14:paraId="42AE505E">
            <w:pPr>
              <w:spacing w:line="276" w:lineRule="auto"/>
              <w:jc w:val="both"/>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投标人自202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val="zh-CN" w:eastAsia="zh-CN"/>
              </w:rPr>
              <w:t>年1月1日以来，主持编制过测绘与地理信息类国家标准的得1分；主持编制过省级标准的得0.5分；参与编制过国家或省级标准的得0.25分；本项最高得2分。</w:t>
            </w:r>
          </w:p>
          <w:p w14:paraId="12EE6ECE">
            <w:pPr>
              <w:spacing w:line="276"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szCs w:val="21"/>
                <w:highlight w:val="none"/>
                <w:lang w:val="zh-CN" w:eastAsia="zh-CN"/>
              </w:rPr>
              <w:t>注：同一奖项按最高分计，不重复计分。</w:t>
            </w:r>
            <w:r>
              <w:rPr>
                <w:rFonts w:hint="eastAsia" w:ascii="宋体" w:hAnsi="宋体" w:eastAsia="宋体" w:cs="宋体"/>
                <w:b/>
                <w:bCs/>
                <w:color w:val="auto"/>
                <w:szCs w:val="21"/>
                <w:highlight w:val="none"/>
                <w:lang w:val="en-US" w:eastAsia="zh-CN"/>
              </w:rPr>
              <w:t>（提供证明材料扫描件，不提供不得分）</w:t>
            </w:r>
          </w:p>
        </w:tc>
        <w:tc>
          <w:tcPr>
            <w:tcW w:w="705" w:type="dxa"/>
            <w:shd w:val="clear" w:color="auto" w:fill="auto"/>
            <w:vAlign w:val="center"/>
          </w:tcPr>
          <w:p w14:paraId="703C915F">
            <w:pPr>
              <w:spacing w:before="100" w:beforeAutospacing="1" w:after="100" w:afterAutospacing="1"/>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shd w:val="clear" w:color="auto" w:fill="FFFFFF"/>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645" w:type="dxa"/>
            <w:vAlign w:val="center"/>
          </w:tcPr>
          <w:p w14:paraId="48F96F6E">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Merge w:val="restart"/>
            <w:vAlign w:val="center"/>
          </w:tcPr>
          <w:p w14:paraId="6A5D52E9">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企业荣誉</w:t>
            </w:r>
          </w:p>
        </w:tc>
      </w:tr>
      <w:tr w14:paraId="5968C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continue"/>
            <w:vAlign w:val="center"/>
          </w:tcPr>
          <w:p w14:paraId="286BE242">
            <w:pPr>
              <w:snapToGrid w:val="0"/>
              <w:spacing w:line="360" w:lineRule="auto"/>
              <w:jc w:val="center"/>
              <w:rPr>
                <w:rFonts w:hint="eastAsia" w:cs="仿宋_GB2312" w:asciiTheme="minorEastAsia" w:hAnsiTheme="minorEastAsia" w:eastAsiaTheme="minorEastAsia"/>
                <w:color w:val="auto"/>
                <w:sz w:val="24"/>
                <w:highlight w:val="none"/>
              </w:rPr>
            </w:pPr>
          </w:p>
        </w:tc>
        <w:tc>
          <w:tcPr>
            <w:tcW w:w="5400" w:type="dxa"/>
            <w:shd w:val="clear" w:color="auto" w:fill="auto"/>
            <w:vAlign w:val="center"/>
          </w:tcPr>
          <w:p w14:paraId="3C04D325">
            <w:pPr>
              <w:spacing w:line="276" w:lineRule="auto"/>
              <w:jc w:val="both"/>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投标人自202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val="zh-CN" w:eastAsia="zh-CN"/>
              </w:rPr>
              <w:t>年1月1日以来，承担的测绘地理信息类项目获得过地理信息科技进步奖或测绘科学技术奖，国家级的每项得0.5分；省级的每项得0.25分；本项最高得2分。</w:t>
            </w:r>
          </w:p>
          <w:p w14:paraId="3424F641">
            <w:pPr>
              <w:spacing w:line="276"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szCs w:val="21"/>
                <w:highlight w:val="none"/>
                <w:lang w:val="zh-CN" w:eastAsia="zh-CN"/>
              </w:rPr>
              <w:t>注：同一奖项按最高分计，不重复计分。</w:t>
            </w:r>
            <w:r>
              <w:rPr>
                <w:rFonts w:hint="eastAsia" w:ascii="宋体" w:hAnsi="宋体" w:eastAsia="宋体" w:cs="宋体"/>
                <w:b/>
                <w:bCs/>
                <w:color w:val="auto"/>
                <w:szCs w:val="21"/>
                <w:highlight w:val="none"/>
                <w:lang w:val="en-US" w:eastAsia="zh-CN"/>
              </w:rPr>
              <w:t>（提供证明材料扫描件，不提供不得分）</w:t>
            </w:r>
          </w:p>
        </w:tc>
        <w:tc>
          <w:tcPr>
            <w:tcW w:w="705" w:type="dxa"/>
            <w:shd w:val="clear" w:color="auto" w:fill="auto"/>
            <w:vAlign w:val="center"/>
          </w:tcPr>
          <w:p w14:paraId="1AF8FF5F">
            <w:pPr>
              <w:spacing w:before="100" w:beforeAutospacing="1" w:after="100" w:afterAutospacing="1"/>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shd w:val="clear" w:color="auto" w:fill="FFFFFF"/>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645" w:type="dxa"/>
            <w:vAlign w:val="center"/>
          </w:tcPr>
          <w:p w14:paraId="21A4B9B7">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Merge w:val="continue"/>
            <w:vAlign w:val="center"/>
          </w:tcPr>
          <w:p w14:paraId="1FBEAF1D">
            <w:pPr>
              <w:snapToGrid w:val="0"/>
              <w:spacing w:line="360" w:lineRule="auto"/>
              <w:jc w:val="center"/>
              <w:rPr>
                <w:rFonts w:hint="eastAsia" w:cs="仿宋_GB2312" w:asciiTheme="minorEastAsia" w:hAnsiTheme="minorEastAsia" w:eastAsiaTheme="minorEastAsia"/>
                <w:color w:val="auto"/>
                <w:sz w:val="24"/>
                <w:highlight w:val="none"/>
              </w:rPr>
            </w:pPr>
          </w:p>
        </w:tc>
      </w:tr>
      <w:tr w14:paraId="55DA7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17DFE56A">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4</w:t>
            </w:r>
          </w:p>
        </w:tc>
        <w:tc>
          <w:tcPr>
            <w:tcW w:w="5400" w:type="dxa"/>
            <w:shd w:val="clear" w:color="auto" w:fill="auto"/>
            <w:vAlign w:val="center"/>
          </w:tcPr>
          <w:p w14:paraId="6E3CAF79">
            <w:pPr>
              <w:widowControl/>
              <w:snapToGrid w:val="0"/>
              <w:spacing w:line="36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根据投标人对熟悉国土变更调查业务程度，对项目采购需求理解情况、采购数据理解及综合分析程度，对各个任务理解深刻，包括对采购方现有数据基础、建设需求等内容的分析，给出有效的方案：</w:t>
            </w:r>
          </w:p>
          <w:p w14:paraId="0A08B759">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①</w:t>
            </w:r>
            <w:r>
              <w:rPr>
                <w:rFonts w:hint="eastAsia" w:ascii="宋体" w:hAnsi="宋体" w:eastAsia="宋体" w:cs="宋体"/>
                <w:color w:val="auto"/>
                <w:szCs w:val="21"/>
                <w:highlight w:val="none"/>
                <w:lang w:val="en-US" w:eastAsia="zh-CN"/>
              </w:rPr>
              <w:t>内容完整，对各个任务理解</w:t>
            </w:r>
            <w:r>
              <w:rPr>
                <w:rFonts w:hint="eastAsia" w:ascii="宋体" w:hAnsi="宋体" w:eastAsia="宋体" w:cs="宋体"/>
                <w:kern w:val="0"/>
                <w:szCs w:val="21"/>
                <w:highlight w:val="none"/>
                <w:lang w:val="en-US" w:eastAsia="zh-CN"/>
              </w:rPr>
              <w:t>深刻的</w:t>
            </w:r>
            <w:r>
              <w:rPr>
                <w:rFonts w:hint="eastAsia" w:ascii="宋体" w:hAnsi="宋体" w:cs="宋体"/>
                <w:kern w:val="0"/>
                <w:szCs w:val="21"/>
                <w:highlight w:val="none"/>
              </w:rPr>
              <w:t>，得</w:t>
            </w:r>
            <w:r>
              <w:rPr>
                <w:rFonts w:hint="eastAsia" w:ascii="宋体" w:hAnsi="宋体" w:cs="宋体"/>
                <w:kern w:val="0"/>
                <w:szCs w:val="21"/>
                <w:highlight w:val="none"/>
                <w:lang w:val="en-US" w:eastAsia="zh-CN"/>
              </w:rPr>
              <w:t>5</w:t>
            </w:r>
            <w:r>
              <w:rPr>
                <w:rFonts w:hint="eastAsia" w:ascii="宋体" w:hAnsi="宋体" w:cs="宋体"/>
                <w:kern w:val="0"/>
                <w:szCs w:val="21"/>
                <w:highlight w:val="none"/>
              </w:rPr>
              <w:t>分；</w:t>
            </w:r>
          </w:p>
          <w:p w14:paraId="3E56FB52">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②</w:t>
            </w:r>
            <w:r>
              <w:rPr>
                <w:rFonts w:hint="eastAsia" w:ascii="宋体" w:hAnsi="宋体" w:eastAsia="宋体" w:cs="宋体"/>
                <w:color w:val="auto"/>
                <w:szCs w:val="21"/>
                <w:highlight w:val="none"/>
                <w:lang w:val="en-US" w:eastAsia="zh-CN"/>
              </w:rPr>
              <w:t>内容较完整，对各个任务理解</w:t>
            </w:r>
            <w:r>
              <w:rPr>
                <w:rFonts w:hint="eastAsia" w:ascii="宋体" w:hAnsi="宋体" w:cs="宋体"/>
                <w:kern w:val="0"/>
                <w:szCs w:val="21"/>
                <w:highlight w:val="none"/>
              </w:rPr>
              <w:t>较</w:t>
            </w:r>
            <w:r>
              <w:rPr>
                <w:rFonts w:hint="eastAsia" w:ascii="宋体" w:hAnsi="宋体" w:eastAsia="宋体" w:cs="宋体"/>
                <w:kern w:val="0"/>
                <w:szCs w:val="21"/>
                <w:highlight w:val="none"/>
                <w:lang w:val="en-US" w:eastAsia="zh-CN"/>
              </w:rPr>
              <w:t>深刻</w:t>
            </w:r>
            <w:r>
              <w:rPr>
                <w:rFonts w:hint="eastAsia" w:ascii="宋体" w:hAnsi="宋体" w:cs="宋体"/>
                <w:kern w:val="0"/>
                <w:szCs w:val="21"/>
                <w:highlight w:val="none"/>
              </w:rPr>
              <w:t>的，得</w:t>
            </w:r>
            <w:r>
              <w:rPr>
                <w:rFonts w:hint="eastAsia" w:ascii="宋体" w:hAnsi="宋体" w:cs="宋体"/>
                <w:kern w:val="0"/>
                <w:szCs w:val="21"/>
                <w:highlight w:val="none"/>
                <w:lang w:val="en-US" w:eastAsia="zh-CN"/>
              </w:rPr>
              <w:t>4</w:t>
            </w:r>
            <w:r>
              <w:rPr>
                <w:rFonts w:hint="eastAsia" w:ascii="宋体" w:hAnsi="宋体" w:cs="宋体"/>
                <w:kern w:val="0"/>
                <w:szCs w:val="21"/>
                <w:highlight w:val="none"/>
              </w:rPr>
              <w:t>分；</w:t>
            </w:r>
          </w:p>
          <w:p w14:paraId="69B28CD0">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③</w:t>
            </w:r>
            <w:r>
              <w:rPr>
                <w:rFonts w:hint="eastAsia" w:ascii="宋体" w:hAnsi="宋体" w:eastAsia="宋体" w:cs="宋体"/>
                <w:color w:val="auto"/>
                <w:szCs w:val="21"/>
                <w:highlight w:val="none"/>
                <w:lang w:val="en-US" w:eastAsia="zh-CN"/>
              </w:rPr>
              <w:t>内容较完整，对各个任务理解</w:t>
            </w:r>
            <w:r>
              <w:rPr>
                <w:rFonts w:hint="eastAsia" w:ascii="宋体" w:hAnsi="宋体" w:cs="宋体"/>
                <w:kern w:val="0"/>
                <w:szCs w:val="21"/>
                <w:highlight w:val="none"/>
              </w:rPr>
              <w:t>一般的，得</w:t>
            </w:r>
            <w:r>
              <w:rPr>
                <w:rFonts w:hint="eastAsia" w:ascii="宋体" w:hAnsi="宋体" w:cs="宋体"/>
                <w:kern w:val="0"/>
                <w:szCs w:val="21"/>
                <w:highlight w:val="none"/>
                <w:lang w:val="en-US" w:eastAsia="zh-CN"/>
              </w:rPr>
              <w:t>3</w:t>
            </w:r>
            <w:r>
              <w:rPr>
                <w:rFonts w:hint="eastAsia" w:ascii="宋体" w:hAnsi="宋体" w:cs="宋体"/>
                <w:kern w:val="0"/>
                <w:szCs w:val="21"/>
                <w:highlight w:val="none"/>
              </w:rPr>
              <w:t>分；</w:t>
            </w:r>
          </w:p>
          <w:p w14:paraId="7C742A1F">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④</w:t>
            </w:r>
            <w:r>
              <w:rPr>
                <w:rFonts w:hint="eastAsia" w:ascii="宋体" w:hAnsi="宋体" w:eastAsia="宋体" w:cs="宋体"/>
                <w:color w:val="auto"/>
                <w:szCs w:val="21"/>
                <w:highlight w:val="none"/>
                <w:lang w:val="en-US" w:eastAsia="zh-CN"/>
              </w:rPr>
              <w:t>内容不完整，对各个任务理解</w:t>
            </w:r>
            <w:r>
              <w:rPr>
                <w:rFonts w:hint="eastAsia" w:ascii="宋体" w:hAnsi="宋体" w:cs="宋体"/>
                <w:kern w:val="0"/>
                <w:szCs w:val="21"/>
                <w:highlight w:val="none"/>
              </w:rPr>
              <w:t>欠缺的，得</w:t>
            </w:r>
            <w:r>
              <w:rPr>
                <w:rFonts w:hint="eastAsia" w:ascii="宋体" w:hAnsi="宋体" w:cs="宋体"/>
                <w:kern w:val="0"/>
                <w:szCs w:val="21"/>
                <w:highlight w:val="none"/>
                <w:lang w:val="en-US" w:eastAsia="zh-CN"/>
              </w:rPr>
              <w:t>2</w:t>
            </w:r>
            <w:r>
              <w:rPr>
                <w:rFonts w:hint="eastAsia" w:ascii="宋体" w:hAnsi="宋体" w:cs="宋体"/>
                <w:kern w:val="0"/>
                <w:szCs w:val="21"/>
                <w:highlight w:val="none"/>
              </w:rPr>
              <w:t>分；</w:t>
            </w:r>
          </w:p>
          <w:p w14:paraId="05D3B390">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⑤</w:t>
            </w:r>
            <w:r>
              <w:rPr>
                <w:rFonts w:hint="eastAsia" w:ascii="宋体" w:hAnsi="宋体" w:eastAsia="宋体" w:cs="宋体"/>
                <w:color w:val="auto"/>
                <w:szCs w:val="21"/>
                <w:highlight w:val="none"/>
                <w:lang w:val="en-US" w:eastAsia="zh-CN"/>
              </w:rPr>
              <w:t>内容不完整，对各个任务理解</w:t>
            </w:r>
            <w:r>
              <w:rPr>
                <w:rFonts w:hint="eastAsia" w:ascii="宋体" w:hAnsi="宋体" w:cs="宋体"/>
                <w:kern w:val="0"/>
                <w:szCs w:val="21"/>
                <w:highlight w:val="none"/>
              </w:rPr>
              <w:t>差的，得1分；</w:t>
            </w:r>
          </w:p>
          <w:p w14:paraId="3099B4F3">
            <w:pPr>
              <w:widowControl/>
              <w:snapToGrid w:val="0"/>
              <w:spacing w:line="360" w:lineRule="exact"/>
              <w:jc w:val="left"/>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bCs/>
                <w:sz w:val="24"/>
                <w:szCs w:val="24"/>
                <w:highlight w:val="none"/>
              </w:rPr>
              <w:t>⑥</w:t>
            </w:r>
            <w:r>
              <w:rPr>
                <w:rFonts w:hint="eastAsia" w:ascii="宋体" w:hAnsi="宋体" w:cs="宋体"/>
                <w:kern w:val="0"/>
                <w:szCs w:val="21"/>
                <w:highlight w:val="none"/>
              </w:rPr>
              <w:t>未提供的不得分。</w:t>
            </w:r>
          </w:p>
        </w:tc>
        <w:tc>
          <w:tcPr>
            <w:tcW w:w="705" w:type="dxa"/>
            <w:shd w:val="clear" w:color="auto" w:fill="auto"/>
            <w:vAlign w:val="center"/>
          </w:tcPr>
          <w:p w14:paraId="5B54A3A4">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0-5分</w:t>
            </w:r>
          </w:p>
        </w:tc>
        <w:tc>
          <w:tcPr>
            <w:tcW w:w="645" w:type="dxa"/>
            <w:vAlign w:val="center"/>
          </w:tcPr>
          <w:p w14:paraId="479D2CFD">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Align w:val="center"/>
          </w:tcPr>
          <w:p w14:paraId="24BCDF9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对本项目的需求理解</w:t>
            </w:r>
          </w:p>
        </w:tc>
      </w:tr>
      <w:tr w14:paraId="7BEC8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restart"/>
            <w:vAlign w:val="center"/>
          </w:tcPr>
          <w:p w14:paraId="4DDACC30">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5</w:t>
            </w:r>
          </w:p>
        </w:tc>
        <w:tc>
          <w:tcPr>
            <w:tcW w:w="5400" w:type="dxa"/>
            <w:shd w:val="clear" w:color="auto" w:fill="auto"/>
            <w:vAlign w:val="center"/>
          </w:tcPr>
          <w:p w14:paraId="4F31A46C">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根据投标人阐述项目实施过程中重点难点的分析理解情况，由评审专家进行综合评分：</w:t>
            </w:r>
          </w:p>
          <w:p w14:paraId="5376E01F">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①</w:t>
            </w:r>
            <w:r>
              <w:rPr>
                <w:rFonts w:hint="eastAsia" w:ascii="宋体" w:hAnsi="宋体" w:eastAsia="宋体" w:cs="宋体"/>
                <w:color w:val="auto"/>
                <w:szCs w:val="21"/>
                <w:highlight w:val="none"/>
                <w:lang w:val="en-US" w:eastAsia="zh-CN"/>
              </w:rPr>
              <w:t>理解、分析准确</w:t>
            </w:r>
            <w:r>
              <w:rPr>
                <w:rFonts w:hint="eastAsia" w:ascii="宋体" w:hAnsi="宋体" w:eastAsia="宋体" w:cs="宋体"/>
                <w:kern w:val="0"/>
                <w:szCs w:val="21"/>
                <w:highlight w:val="none"/>
                <w:lang w:val="en-US" w:eastAsia="zh-CN"/>
              </w:rPr>
              <w:t>的</w:t>
            </w:r>
            <w:r>
              <w:rPr>
                <w:rFonts w:hint="eastAsia" w:ascii="宋体" w:hAnsi="宋体" w:cs="宋体"/>
                <w:kern w:val="0"/>
                <w:szCs w:val="21"/>
                <w:highlight w:val="none"/>
              </w:rPr>
              <w:t>，得</w:t>
            </w:r>
            <w:r>
              <w:rPr>
                <w:rFonts w:hint="eastAsia" w:ascii="宋体" w:hAnsi="宋体" w:cs="宋体"/>
                <w:kern w:val="0"/>
                <w:szCs w:val="21"/>
                <w:highlight w:val="none"/>
                <w:lang w:val="en-US" w:eastAsia="zh-CN"/>
              </w:rPr>
              <w:t>5</w:t>
            </w:r>
            <w:r>
              <w:rPr>
                <w:rFonts w:hint="eastAsia" w:ascii="宋体" w:hAnsi="宋体" w:cs="宋体"/>
                <w:kern w:val="0"/>
                <w:szCs w:val="21"/>
                <w:highlight w:val="none"/>
              </w:rPr>
              <w:t>分；</w:t>
            </w:r>
          </w:p>
          <w:p w14:paraId="0F0FB65E">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②</w:t>
            </w:r>
            <w:r>
              <w:rPr>
                <w:rFonts w:hint="eastAsia" w:ascii="宋体" w:hAnsi="宋体" w:eastAsia="宋体" w:cs="宋体"/>
                <w:color w:val="auto"/>
                <w:szCs w:val="21"/>
                <w:highlight w:val="none"/>
                <w:lang w:val="en-US" w:eastAsia="zh-CN"/>
              </w:rPr>
              <w:t>理解、分析</w:t>
            </w:r>
            <w:r>
              <w:rPr>
                <w:rFonts w:hint="eastAsia" w:ascii="宋体" w:hAnsi="宋体" w:cs="宋体"/>
                <w:kern w:val="0"/>
                <w:szCs w:val="21"/>
                <w:highlight w:val="none"/>
              </w:rPr>
              <w:t>较</w:t>
            </w:r>
            <w:r>
              <w:rPr>
                <w:rFonts w:hint="eastAsia" w:ascii="宋体" w:hAnsi="宋体" w:eastAsia="宋体" w:cs="宋体"/>
                <w:color w:val="auto"/>
                <w:szCs w:val="21"/>
                <w:highlight w:val="none"/>
                <w:lang w:val="en-US" w:eastAsia="zh-CN"/>
              </w:rPr>
              <w:t>准确</w:t>
            </w:r>
            <w:r>
              <w:rPr>
                <w:rFonts w:hint="eastAsia" w:ascii="宋体" w:hAnsi="宋体" w:cs="宋体"/>
                <w:kern w:val="0"/>
                <w:szCs w:val="21"/>
                <w:highlight w:val="none"/>
              </w:rPr>
              <w:t>的，得</w:t>
            </w:r>
            <w:r>
              <w:rPr>
                <w:rFonts w:hint="eastAsia" w:ascii="宋体" w:hAnsi="宋体" w:cs="宋体"/>
                <w:kern w:val="0"/>
                <w:szCs w:val="21"/>
                <w:highlight w:val="none"/>
                <w:lang w:val="en-US" w:eastAsia="zh-CN"/>
              </w:rPr>
              <w:t>4</w:t>
            </w:r>
            <w:r>
              <w:rPr>
                <w:rFonts w:hint="eastAsia" w:ascii="宋体" w:hAnsi="宋体" w:cs="宋体"/>
                <w:kern w:val="0"/>
                <w:szCs w:val="21"/>
                <w:highlight w:val="none"/>
              </w:rPr>
              <w:t>分；</w:t>
            </w:r>
          </w:p>
          <w:p w14:paraId="043BDEAE">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③</w:t>
            </w:r>
            <w:r>
              <w:rPr>
                <w:rFonts w:hint="eastAsia" w:ascii="宋体" w:hAnsi="宋体" w:eastAsia="宋体" w:cs="宋体"/>
                <w:color w:val="auto"/>
                <w:szCs w:val="21"/>
                <w:highlight w:val="none"/>
                <w:lang w:val="en-US" w:eastAsia="zh-CN"/>
              </w:rPr>
              <w:t>理解、分析</w:t>
            </w:r>
            <w:r>
              <w:rPr>
                <w:rFonts w:hint="eastAsia" w:ascii="宋体" w:hAnsi="宋体" w:cs="宋体"/>
                <w:kern w:val="0"/>
                <w:szCs w:val="21"/>
                <w:highlight w:val="none"/>
              </w:rPr>
              <w:t>一般的，得</w:t>
            </w:r>
            <w:r>
              <w:rPr>
                <w:rFonts w:hint="eastAsia" w:ascii="宋体" w:hAnsi="宋体" w:cs="宋体"/>
                <w:kern w:val="0"/>
                <w:szCs w:val="21"/>
                <w:highlight w:val="none"/>
                <w:lang w:val="en-US" w:eastAsia="zh-CN"/>
              </w:rPr>
              <w:t>3</w:t>
            </w:r>
            <w:r>
              <w:rPr>
                <w:rFonts w:hint="eastAsia" w:ascii="宋体" w:hAnsi="宋体" w:cs="宋体"/>
                <w:kern w:val="0"/>
                <w:szCs w:val="21"/>
                <w:highlight w:val="none"/>
              </w:rPr>
              <w:t>分；</w:t>
            </w:r>
          </w:p>
          <w:p w14:paraId="74BED6AB">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④</w:t>
            </w:r>
            <w:r>
              <w:rPr>
                <w:rFonts w:hint="eastAsia" w:ascii="宋体" w:hAnsi="宋体" w:eastAsia="宋体" w:cs="宋体"/>
                <w:color w:val="auto"/>
                <w:szCs w:val="21"/>
                <w:highlight w:val="none"/>
                <w:lang w:val="en-US" w:eastAsia="zh-CN"/>
              </w:rPr>
              <w:t>理解、分析</w:t>
            </w:r>
            <w:r>
              <w:rPr>
                <w:rFonts w:hint="eastAsia" w:ascii="宋体" w:hAnsi="宋体" w:cs="宋体"/>
                <w:kern w:val="0"/>
                <w:szCs w:val="21"/>
                <w:highlight w:val="none"/>
              </w:rPr>
              <w:t>欠缺的，得</w:t>
            </w:r>
            <w:r>
              <w:rPr>
                <w:rFonts w:hint="eastAsia" w:ascii="宋体" w:hAnsi="宋体" w:cs="宋体"/>
                <w:kern w:val="0"/>
                <w:szCs w:val="21"/>
                <w:highlight w:val="none"/>
                <w:lang w:val="en-US" w:eastAsia="zh-CN"/>
              </w:rPr>
              <w:t>2</w:t>
            </w:r>
            <w:r>
              <w:rPr>
                <w:rFonts w:hint="eastAsia" w:ascii="宋体" w:hAnsi="宋体" w:cs="宋体"/>
                <w:kern w:val="0"/>
                <w:szCs w:val="21"/>
                <w:highlight w:val="none"/>
              </w:rPr>
              <w:t>分；</w:t>
            </w:r>
          </w:p>
          <w:p w14:paraId="715C9E13">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⑤</w:t>
            </w:r>
            <w:r>
              <w:rPr>
                <w:rFonts w:hint="eastAsia" w:ascii="宋体" w:hAnsi="宋体" w:eastAsia="宋体" w:cs="宋体"/>
                <w:color w:val="auto"/>
                <w:szCs w:val="21"/>
                <w:highlight w:val="none"/>
                <w:lang w:val="en-US" w:eastAsia="zh-CN"/>
              </w:rPr>
              <w:t>理解、分析</w:t>
            </w:r>
            <w:r>
              <w:rPr>
                <w:rFonts w:hint="eastAsia" w:ascii="宋体" w:hAnsi="宋体" w:cs="宋体"/>
                <w:kern w:val="0"/>
                <w:szCs w:val="21"/>
                <w:highlight w:val="none"/>
              </w:rPr>
              <w:t>差的，得1分；</w:t>
            </w:r>
          </w:p>
          <w:p w14:paraId="60DFCDE6">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bCs/>
                <w:sz w:val="24"/>
                <w:szCs w:val="24"/>
                <w:highlight w:val="none"/>
              </w:rPr>
              <w:t>⑥</w:t>
            </w:r>
            <w:r>
              <w:rPr>
                <w:rFonts w:hint="eastAsia" w:ascii="宋体" w:hAnsi="宋体" w:cs="宋体"/>
                <w:kern w:val="0"/>
                <w:szCs w:val="21"/>
                <w:highlight w:val="none"/>
              </w:rPr>
              <w:t>未提供的不得分。</w:t>
            </w:r>
          </w:p>
        </w:tc>
        <w:tc>
          <w:tcPr>
            <w:tcW w:w="705" w:type="dxa"/>
            <w:shd w:val="clear" w:color="auto" w:fill="auto"/>
            <w:vAlign w:val="center"/>
          </w:tcPr>
          <w:p w14:paraId="537E1820">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0-5分</w:t>
            </w:r>
          </w:p>
        </w:tc>
        <w:tc>
          <w:tcPr>
            <w:tcW w:w="645" w:type="dxa"/>
            <w:vAlign w:val="center"/>
          </w:tcPr>
          <w:p w14:paraId="0891E6D0">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Merge w:val="restart"/>
            <w:vAlign w:val="center"/>
          </w:tcPr>
          <w:p w14:paraId="76537953">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重点难点分析及应对措施</w:t>
            </w:r>
          </w:p>
        </w:tc>
      </w:tr>
      <w:tr w14:paraId="483AE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continue"/>
            <w:vAlign w:val="center"/>
          </w:tcPr>
          <w:p w14:paraId="67430ACA">
            <w:pPr>
              <w:snapToGrid w:val="0"/>
              <w:spacing w:line="360" w:lineRule="auto"/>
              <w:jc w:val="center"/>
              <w:rPr>
                <w:rFonts w:hint="eastAsia" w:cs="仿宋_GB2312" w:asciiTheme="minorEastAsia" w:hAnsiTheme="minorEastAsia" w:eastAsiaTheme="minorEastAsia"/>
                <w:color w:val="auto"/>
                <w:sz w:val="24"/>
                <w:highlight w:val="none"/>
              </w:rPr>
            </w:pPr>
          </w:p>
        </w:tc>
        <w:tc>
          <w:tcPr>
            <w:tcW w:w="5400" w:type="dxa"/>
            <w:shd w:val="clear" w:color="auto" w:fill="auto"/>
            <w:vAlign w:val="center"/>
          </w:tcPr>
          <w:p w14:paraId="1B7FDA3A">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根据投标人提供的针对本项目重点、难点的对应性措施，由评审专家进行综合评分：</w:t>
            </w:r>
          </w:p>
          <w:p w14:paraId="1A0AB4D3">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①</w:t>
            </w:r>
            <w:r>
              <w:rPr>
                <w:rFonts w:hint="eastAsia" w:ascii="宋体" w:hAnsi="宋体" w:eastAsia="宋体" w:cs="宋体"/>
                <w:color w:val="auto"/>
                <w:szCs w:val="21"/>
                <w:highlight w:val="none"/>
                <w:lang w:val="en-US" w:eastAsia="zh-CN"/>
              </w:rPr>
              <w:t>重点、难点的对应性措施准确</w:t>
            </w:r>
            <w:r>
              <w:rPr>
                <w:rFonts w:hint="eastAsia" w:ascii="宋体" w:hAnsi="宋体" w:eastAsia="宋体" w:cs="宋体"/>
                <w:kern w:val="0"/>
                <w:szCs w:val="21"/>
                <w:highlight w:val="none"/>
                <w:lang w:val="en-US" w:eastAsia="zh-CN"/>
              </w:rPr>
              <w:t>的</w:t>
            </w:r>
            <w:r>
              <w:rPr>
                <w:rFonts w:hint="eastAsia" w:ascii="宋体" w:hAnsi="宋体" w:cs="宋体"/>
                <w:kern w:val="0"/>
                <w:szCs w:val="21"/>
                <w:highlight w:val="none"/>
              </w:rPr>
              <w:t>，得</w:t>
            </w:r>
            <w:r>
              <w:rPr>
                <w:rFonts w:hint="eastAsia" w:ascii="宋体" w:hAnsi="宋体" w:cs="宋体"/>
                <w:kern w:val="0"/>
                <w:szCs w:val="21"/>
                <w:highlight w:val="none"/>
                <w:lang w:val="en-US" w:eastAsia="zh-CN"/>
              </w:rPr>
              <w:t>5</w:t>
            </w:r>
            <w:r>
              <w:rPr>
                <w:rFonts w:hint="eastAsia" w:ascii="宋体" w:hAnsi="宋体" w:cs="宋体"/>
                <w:kern w:val="0"/>
                <w:szCs w:val="21"/>
                <w:highlight w:val="none"/>
              </w:rPr>
              <w:t>分；</w:t>
            </w:r>
          </w:p>
          <w:p w14:paraId="523F150D">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②</w:t>
            </w:r>
            <w:r>
              <w:rPr>
                <w:rFonts w:hint="eastAsia" w:ascii="宋体" w:hAnsi="宋体" w:eastAsia="宋体" w:cs="宋体"/>
                <w:color w:val="auto"/>
                <w:szCs w:val="21"/>
                <w:highlight w:val="none"/>
                <w:lang w:val="en-US" w:eastAsia="zh-CN"/>
              </w:rPr>
              <w:t>重点、难点的对应性措施</w:t>
            </w:r>
            <w:r>
              <w:rPr>
                <w:rFonts w:hint="eastAsia" w:ascii="宋体" w:hAnsi="宋体" w:cs="宋体"/>
                <w:kern w:val="0"/>
                <w:szCs w:val="21"/>
                <w:highlight w:val="none"/>
              </w:rPr>
              <w:t>较</w:t>
            </w:r>
            <w:r>
              <w:rPr>
                <w:rFonts w:hint="eastAsia" w:ascii="宋体" w:hAnsi="宋体" w:eastAsia="宋体" w:cs="宋体"/>
                <w:color w:val="auto"/>
                <w:szCs w:val="21"/>
                <w:highlight w:val="none"/>
                <w:lang w:val="en-US" w:eastAsia="zh-CN"/>
              </w:rPr>
              <w:t>准确</w:t>
            </w:r>
            <w:r>
              <w:rPr>
                <w:rFonts w:hint="eastAsia" w:ascii="宋体" w:hAnsi="宋体" w:cs="宋体"/>
                <w:kern w:val="0"/>
                <w:szCs w:val="21"/>
                <w:highlight w:val="none"/>
              </w:rPr>
              <w:t>的，得</w:t>
            </w:r>
            <w:r>
              <w:rPr>
                <w:rFonts w:hint="eastAsia" w:ascii="宋体" w:hAnsi="宋体" w:cs="宋体"/>
                <w:kern w:val="0"/>
                <w:szCs w:val="21"/>
                <w:highlight w:val="none"/>
                <w:lang w:val="en-US" w:eastAsia="zh-CN"/>
              </w:rPr>
              <w:t>4</w:t>
            </w:r>
            <w:r>
              <w:rPr>
                <w:rFonts w:hint="eastAsia" w:ascii="宋体" w:hAnsi="宋体" w:cs="宋体"/>
                <w:kern w:val="0"/>
                <w:szCs w:val="21"/>
                <w:highlight w:val="none"/>
              </w:rPr>
              <w:t>分；</w:t>
            </w:r>
          </w:p>
          <w:p w14:paraId="0747FB1D">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③</w:t>
            </w:r>
            <w:r>
              <w:rPr>
                <w:rFonts w:hint="eastAsia" w:ascii="宋体" w:hAnsi="宋体" w:eastAsia="宋体" w:cs="宋体"/>
                <w:color w:val="auto"/>
                <w:szCs w:val="21"/>
                <w:highlight w:val="none"/>
                <w:lang w:val="en-US" w:eastAsia="zh-CN"/>
              </w:rPr>
              <w:t>重点、难点的对应性措施一般</w:t>
            </w:r>
            <w:r>
              <w:rPr>
                <w:rFonts w:hint="eastAsia" w:ascii="宋体" w:hAnsi="宋体" w:cs="宋体"/>
                <w:kern w:val="0"/>
                <w:szCs w:val="21"/>
                <w:highlight w:val="none"/>
              </w:rPr>
              <w:t>的，得</w:t>
            </w:r>
            <w:r>
              <w:rPr>
                <w:rFonts w:hint="eastAsia" w:ascii="宋体" w:hAnsi="宋体" w:cs="宋体"/>
                <w:kern w:val="0"/>
                <w:szCs w:val="21"/>
                <w:highlight w:val="none"/>
                <w:lang w:val="en-US" w:eastAsia="zh-CN"/>
              </w:rPr>
              <w:t>3</w:t>
            </w:r>
            <w:r>
              <w:rPr>
                <w:rFonts w:hint="eastAsia" w:ascii="宋体" w:hAnsi="宋体" w:cs="宋体"/>
                <w:kern w:val="0"/>
                <w:szCs w:val="21"/>
                <w:highlight w:val="none"/>
              </w:rPr>
              <w:t>分；</w:t>
            </w:r>
          </w:p>
          <w:p w14:paraId="094D04D3">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④</w:t>
            </w:r>
            <w:r>
              <w:rPr>
                <w:rFonts w:hint="eastAsia" w:ascii="宋体" w:hAnsi="宋体" w:eastAsia="宋体" w:cs="宋体"/>
                <w:color w:val="auto"/>
                <w:szCs w:val="21"/>
                <w:highlight w:val="none"/>
                <w:lang w:val="en-US" w:eastAsia="zh-CN"/>
              </w:rPr>
              <w:t>重点、难点的对应性措施</w:t>
            </w:r>
            <w:r>
              <w:rPr>
                <w:rFonts w:hint="eastAsia" w:ascii="宋体" w:hAnsi="宋体" w:cs="宋体"/>
                <w:kern w:val="0"/>
                <w:szCs w:val="21"/>
                <w:highlight w:val="none"/>
              </w:rPr>
              <w:t>欠缺的，得</w:t>
            </w:r>
            <w:r>
              <w:rPr>
                <w:rFonts w:hint="eastAsia" w:ascii="宋体" w:hAnsi="宋体" w:cs="宋体"/>
                <w:kern w:val="0"/>
                <w:szCs w:val="21"/>
                <w:highlight w:val="none"/>
                <w:lang w:val="en-US" w:eastAsia="zh-CN"/>
              </w:rPr>
              <w:t>2</w:t>
            </w:r>
            <w:r>
              <w:rPr>
                <w:rFonts w:hint="eastAsia" w:ascii="宋体" w:hAnsi="宋体" w:cs="宋体"/>
                <w:kern w:val="0"/>
                <w:szCs w:val="21"/>
                <w:highlight w:val="none"/>
              </w:rPr>
              <w:t>分；</w:t>
            </w:r>
          </w:p>
          <w:p w14:paraId="34A327B8">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⑤</w:t>
            </w:r>
            <w:r>
              <w:rPr>
                <w:rFonts w:hint="eastAsia" w:ascii="宋体" w:hAnsi="宋体" w:eastAsia="宋体" w:cs="宋体"/>
                <w:color w:val="auto"/>
                <w:szCs w:val="21"/>
                <w:highlight w:val="none"/>
                <w:lang w:val="en-US" w:eastAsia="zh-CN"/>
              </w:rPr>
              <w:t>重点、难点的对应性措施</w:t>
            </w:r>
            <w:r>
              <w:rPr>
                <w:rFonts w:hint="eastAsia" w:ascii="宋体" w:hAnsi="宋体" w:cs="宋体"/>
                <w:kern w:val="0"/>
                <w:szCs w:val="21"/>
                <w:highlight w:val="none"/>
              </w:rPr>
              <w:t>差的，得1分；</w:t>
            </w:r>
          </w:p>
          <w:p w14:paraId="41CD0F81">
            <w:pPr>
              <w:spacing w:line="276" w:lineRule="auto"/>
              <w:jc w:val="both"/>
              <w:rPr>
                <w:rFonts w:hint="default" w:ascii="宋体" w:hAnsi="宋体" w:eastAsia="宋体" w:cs="宋体"/>
                <w:color w:val="auto"/>
                <w:szCs w:val="21"/>
                <w:highlight w:val="none"/>
                <w:lang w:val="en-US" w:eastAsia="zh-CN"/>
              </w:rPr>
            </w:pPr>
            <w:r>
              <w:rPr>
                <w:rFonts w:hint="eastAsia" w:ascii="宋体" w:hAnsi="宋体" w:eastAsia="宋体" w:cs="宋体"/>
                <w:bCs/>
                <w:sz w:val="24"/>
                <w:szCs w:val="24"/>
                <w:highlight w:val="none"/>
              </w:rPr>
              <w:t>⑥</w:t>
            </w:r>
            <w:r>
              <w:rPr>
                <w:rFonts w:hint="eastAsia" w:ascii="宋体" w:hAnsi="宋体" w:cs="宋体"/>
                <w:kern w:val="0"/>
                <w:szCs w:val="21"/>
                <w:highlight w:val="none"/>
              </w:rPr>
              <w:t>未提供的不得分。</w:t>
            </w:r>
          </w:p>
        </w:tc>
        <w:tc>
          <w:tcPr>
            <w:tcW w:w="705" w:type="dxa"/>
            <w:shd w:val="clear" w:color="auto" w:fill="auto"/>
            <w:vAlign w:val="center"/>
          </w:tcPr>
          <w:p w14:paraId="6F2F92FA">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0-5分</w:t>
            </w:r>
          </w:p>
        </w:tc>
        <w:tc>
          <w:tcPr>
            <w:tcW w:w="645" w:type="dxa"/>
            <w:vAlign w:val="center"/>
          </w:tcPr>
          <w:p w14:paraId="12844E28">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Merge w:val="continue"/>
            <w:vAlign w:val="center"/>
          </w:tcPr>
          <w:p w14:paraId="1F564651">
            <w:pPr>
              <w:snapToGrid w:val="0"/>
              <w:spacing w:line="360" w:lineRule="auto"/>
              <w:jc w:val="center"/>
              <w:rPr>
                <w:rFonts w:hint="eastAsia" w:cs="仿宋_GB2312" w:asciiTheme="minorEastAsia" w:hAnsiTheme="minorEastAsia" w:eastAsiaTheme="minorEastAsia"/>
                <w:color w:val="auto"/>
                <w:sz w:val="24"/>
                <w:highlight w:val="none"/>
              </w:rPr>
            </w:pPr>
          </w:p>
        </w:tc>
      </w:tr>
      <w:tr w14:paraId="0788F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4" w:hRule="atLeast"/>
        </w:trPr>
        <w:tc>
          <w:tcPr>
            <w:tcW w:w="729" w:type="dxa"/>
            <w:vAlign w:val="center"/>
          </w:tcPr>
          <w:p w14:paraId="7C3E86C7">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6</w:t>
            </w:r>
          </w:p>
        </w:tc>
        <w:tc>
          <w:tcPr>
            <w:tcW w:w="5400" w:type="dxa"/>
            <w:shd w:val="clear" w:color="auto" w:fill="auto"/>
            <w:vAlign w:val="center"/>
          </w:tcPr>
          <w:p w14:paraId="69A5AEF8">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根据投标人提供的针对本项目特点设置的管理组织机构是否科学合理，各岗位的职责分工是否明确，简练地列出主要管理流程，包括运作流程图等，由评审专家综合比较打分：</w:t>
            </w:r>
          </w:p>
          <w:p w14:paraId="782EEEA1">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①</w:t>
            </w:r>
            <w:r>
              <w:rPr>
                <w:rFonts w:hint="eastAsia" w:ascii="宋体" w:hAnsi="宋体" w:cs="宋体"/>
                <w:kern w:val="0"/>
                <w:szCs w:val="21"/>
                <w:highlight w:val="none"/>
              </w:rPr>
              <w:t>项目</w:t>
            </w:r>
            <w:r>
              <w:rPr>
                <w:rFonts w:ascii="宋体" w:hAnsi="宋体" w:cs="宋体"/>
                <w:kern w:val="0"/>
                <w:szCs w:val="21"/>
                <w:highlight w:val="none"/>
              </w:rPr>
              <w:t>分析</w:t>
            </w:r>
            <w:r>
              <w:rPr>
                <w:rFonts w:hint="eastAsia" w:ascii="宋体" w:hAnsi="宋体" w:cs="宋体"/>
                <w:kern w:val="0"/>
                <w:szCs w:val="21"/>
                <w:highlight w:val="none"/>
                <w:lang w:val="en-US" w:eastAsia="zh-CN"/>
              </w:rPr>
              <w:t>科学</w:t>
            </w:r>
            <w:r>
              <w:rPr>
                <w:rFonts w:ascii="宋体" w:hAnsi="宋体" w:cs="宋体"/>
                <w:kern w:val="0"/>
                <w:szCs w:val="21"/>
                <w:highlight w:val="none"/>
              </w:rPr>
              <w:t>、</w:t>
            </w:r>
            <w:r>
              <w:rPr>
                <w:rFonts w:hint="eastAsia" w:ascii="宋体" w:hAnsi="宋体" w:eastAsia="宋体" w:cs="宋体"/>
                <w:color w:val="auto"/>
                <w:szCs w:val="21"/>
                <w:highlight w:val="none"/>
                <w:lang w:val="en-US" w:eastAsia="zh-CN"/>
              </w:rPr>
              <w:t>职责分工明确</w:t>
            </w:r>
            <w:r>
              <w:rPr>
                <w:rFonts w:ascii="宋体" w:hAnsi="宋体" w:cs="宋体"/>
                <w:kern w:val="0"/>
                <w:szCs w:val="21"/>
                <w:highlight w:val="none"/>
              </w:rPr>
              <w:t>且针对性强的，得</w:t>
            </w:r>
            <w:r>
              <w:rPr>
                <w:rFonts w:hint="eastAsia" w:ascii="宋体" w:hAnsi="宋体" w:cs="宋体"/>
                <w:kern w:val="0"/>
                <w:szCs w:val="21"/>
                <w:highlight w:val="none"/>
                <w:lang w:val="en-US" w:eastAsia="zh-CN"/>
              </w:rPr>
              <w:t>6</w:t>
            </w:r>
            <w:r>
              <w:rPr>
                <w:rFonts w:ascii="宋体" w:hAnsi="宋体" w:cs="宋体"/>
                <w:kern w:val="0"/>
                <w:szCs w:val="21"/>
                <w:highlight w:val="none"/>
              </w:rPr>
              <w:t>分；</w:t>
            </w:r>
          </w:p>
          <w:p w14:paraId="3E86206E">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②</w:t>
            </w:r>
            <w:r>
              <w:rPr>
                <w:rFonts w:hint="eastAsia" w:ascii="宋体" w:hAnsi="宋体" w:cs="宋体"/>
                <w:kern w:val="0"/>
                <w:szCs w:val="21"/>
                <w:highlight w:val="none"/>
              </w:rPr>
              <w:t>项目</w:t>
            </w:r>
            <w:r>
              <w:rPr>
                <w:rFonts w:ascii="宋体" w:hAnsi="宋体" w:cs="宋体"/>
                <w:kern w:val="0"/>
                <w:szCs w:val="21"/>
                <w:highlight w:val="none"/>
              </w:rPr>
              <w:t>分析</w:t>
            </w:r>
            <w:r>
              <w:rPr>
                <w:rFonts w:hint="eastAsia" w:ascii="宋体" w:hAnsi="宋体" w:cs="宋体"/>
                <w:kern w:val="0"/>
                <w:szCs w:val="21"/>
                <w:highlight w:val="none"/>
              </w:rPr>
              <w:t>较</w:t>
            </w:r>
            <w:r>
              <w:rPr>
                <w:rFonts w:hint="eastAsia" w:ascii="宋体" w:hAnsi="宋体" w:cs="宋体"/>
                <w:kern w:val="0"/>
                <w:szCs w:val="21"/>
                <w:highlight w:val="none"/>
                <w:lang w:val="en-US" w:eastAsia="zh-CN"/>
              </w:rPr>
              <w:t>科学</w:t>
            </w:r>
            <w:r>
              <w:rPr>
                <w:rFonts w:ascii="宋体" w:hAnsi="宋体" w:cs="宋体"/>
                <w:kern w:val="0"/>
                <w:szCs w:val="21"/>
                <w:highlight w:val="none"/>
              </w:rPr>
              <w:t>、</w:t>
            </w:r>
            <w:r>
              <w:rPr>
                <w:rFonts w:hint="eastAsia" w:ascii="宋体" w:hAnsi="宋体" w:eastAsia="宋体" w:cs="宋体"/>
                <w:color w:val="auto"/>
                <w:szCs w:val="21"/>
                <w:highlight w:val="none"/>
                <w:lang w:val="en-US" w:eastAsia="zh-CN"/>
              </w:rPr>
              <w:t>职责分工</w:t>
            </w:r>
            <w:r>
              <w:rPr>
                <w:rFonts w:hint="eastAsia" w:ascii="宋体" w:hAnsi="宋体" w:cs="宋体"/>
                <w:kern w:val="0"/>
                <w:szCs w:val="21"/>
                <w:highlight w:val="none"/>
              </w:rPr>
              <w:t>较</w:t>
            </w:r>
            <w:r>
              <w:rPr>
                <w:rFonts w:hint="eastAsia" w:ascii="宋体" w:hAnsi="宋体" w:eastAsia="宋体" w:cs="宋体"/>
                <w:color w:val="auto"/>
                <w:szCs w:val="21"/>
                <w:highlight w:val="none"/>
                <w:lang w:val="en-US" w:eastAsia="zh-CN"/>
              </w:rPr>
              <w:t>明确</w:t>
            </w:r>
            <w:r>
              <w:rPr>
                <w:rFonts w:ascii="宋体" w:hAnsi="宋体" w:cs="宋体"/>
                <w:kern w:val="0"/>
                <w:szCs w:val="21"/>
                <w:highlight w:val="none"/>
              </w:rPr>
              <w:t>且针对性</w:t>
            </w:r>
            <w:r>
              <w:rPr>
                <w:rFonts w:hint="eastAsia" w:ascii="宋体" w:hAnsi="宋体" w:cs="宋体"/>
                <w:kern w:val="0"/>
                <w:szCs w:val="21"/>
                <w:highlight w:val="none"/>
                <w:lang w:val="en-US" w:eastAsia="zh-CN"/>
              </w:rPr>
              <w:t>较</w:t>
            </w:r>
            <w:r>
              <w:rPr>
                <w:rFonts w:ascii="宋体" w:hAnsi="宋体" w:cs="宋体"/>
                <w:kern w:val="0"/>
                <w:szCs w:val="21"/>
                <w:highlight w:val="none"/>
              </w:rPr>
              <w:t>强的，得</w:t>
            </w:r>
            <w:r>
              <w:rPr>
                <w:rFonts w:hint="eastAsia" w:ascii="宋体" w:hAnsi="宋体" w:cs="宋体"/>
                <w:kern w:val="0"/>
                <w:szCs w:val="21"/>
                <w:highlight w:val="none"/>
                <w:lang w:val="en-US" w:eastAsia="zh-CN"/>
              </w:rPr>
              <w:t>5</w:t>
            </w:r>
            <w:r>
              <w:rPr>
                <w:rFonts w:ascii="宋体" w:hAnsi="宋体" w:cs="宋体"/>
                <w:kern w:val="0"/>
                <w:szCs w:val="21"/>
                <w:highlight w:val="none"/>
              </w:rPr>
              <w:t>分；</w:t>
            </w:r>
          </w:p>
          <w:p w14:paraId="4AEE8805">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③</w:t>
            </w:r>
            <w:r>
              <w:rPr>
                <w:rFonts w:hint="eastAsia" w:ascii="宋体" w:hAnsi="宋体" w:cs="宋体"/>
                <w:kern w:val="0"/>
                <w:szCs w:val="21"/>
                <w:highlight w:val="none"/>
              </w:rPr>
              <w:t>项目</w:t>
            </w:r>
            <w:r>
              <w:rPr>
                <w:rFonts w:ascii="宋体" w:hAnsi="宋体" w:cs="宋体"/>
                <w:kern w:val="0"/>
                <w:szCs w:val="21"/>
                <w:highlight w:val="none"/>
              </w:rPr>
              <w:t>分析</w:t>
            </w:r>
            <w:r>
              <w:rPr>
                <w:rFonts w:hint="eastAsia" w:ascii="宋体" w:hAnsi="宋体" w:cs="宋体"/>
                <w:kern w:val="0"/>
                <w:szCs w:val="21"/>
                <w:highlight w:val="none"/>
              </w:rPr>
              <w:t>一般</w:t>
            </w:r>
            <w:r>
              <w:rPr>
                <w:rFonts w:ascii="宋体" w:hAnsi="宋体" w:cs="宋体"/>
                <w:kern w:val="0"/>
                <w:szCs w:val="21"/>
                <w:highlight w:val="none"/>
              </w:rPr>
              <w:t>、</w:t>
            </w:r>
            <w:r>
              <w:rPr>
                <w:rFonts w:hint="eastAsia" w:ascii="宋体" w:hAnsi="宋体" w:eastAsia="宋体" w:cs="宋体"/>
                <w:color w:val="auto"/>
                <w:szCs w:val="21"/>
                <w:highlight w:val="none"/>
                <w:lang w:val="en-US" w:eastAsia="zh-CN"/>
              </w:rPr>
              <w:t>职责分工一般</w:t>
            </w:r>
            <w:r>
              <w:rPr>
                <w:rFonts w:ascii="宋体" w:hAnsi="宋体" w:cs="宋体"/>
                <w:kern w:val="0"/>
                <w:szCs w:val="21"/>
                <w:highlight w:val="none"/>
              </w:rPr>
              <w:t>且针对性</w:t>
            </w:r>
            <w:r>
              <w:rPr>
                <w:rFonts w:hint="eastAsia" w:ascii="宋体" w:hAnsi="宋体" w:cs="宋体"/>
                <w:kern w:val="0"/>
                <w:szCs w:val="21"/>
                <w:highlight w:val="none"/>
              </w:rPr>
              <w:t>一般</w:t>
            </w:r>
            <w:r>
              <w:rPr>
                <w:rFonts w:hint="eastAsia" w:ascii="宋体" w:hAnsi="宋体" w:cs="宋体"/>
                <w:kern w:val="0"/>
                <w:szCs w:val="21"/>
                <w:highlight w:val="none"/>
                <w:lang w:val="en-US" w:eastAsia="zh-CN"/>
              </w:rPr>
              <w:t>的</w:t>
            </w:r>
            <w:r>
              <w:rPr>
                <w:rFonts w:ascii="宋体" w:hAnsi="宋体" w:cs="宋体"/>
                <w:kern w:val="0"/>
                <w:szCs w:val="21"/>
                <w:highlight w:val="none"/>
              </w:rPr>
              <w:t>，得</w:t>
            </w:r>
            <w:r>
              <w:rPr>
                <w:rFonts w:hint="eastAsia" w:ascii="宋体" w:hAnsi="宋体" w:cs="宋体"/>
                <w:kern w:val="0"/>
                <w:szCs w:val="21"/>
                <w:highlight w:val="none"/>
                <w:lang w:val="en-US" w:eastAsia="zh-CN"/>
              </w:rPr>
              <w:t>4</w:t>
            </w:r>
            <w:r>
              <w:rPr>
                <w:rFonts w:ascii="宋体" w:hAnsi="宋体" w:cs="宋体"/>
                <w:kern w:val="0"/>
                <w:szCs w:val="21"/>
                <w:highlight w:val="none"/>
              </w:rPr>
              <w:t>分；</w:t>
            </w:r>
          </w:p>
          <w:p w14:paraId="786CFB57">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④</w:t>
            </w:r>
            <w:r>
              <w:rPr>
                <w:rFonts w:hint="eastAsia" w:ascii="宋体" w:hAnsi="宋体" w:cs="宋体"/>
                <w:kern w:val="0"/>
                <w:szCs w:val="21"/>
                <w:highlight w:val="none"/>
              </w:rPr>
              <w:t>项目</w:t>
            </w:r>
            <w:r>
              <w:rPr>
                <w:rFonts w:ascii="宋体" w:hAnsi="宋体" w:cs="宋体"/>
                <w:kern w:val="0"/>
                <w:szCs w:val="21"/>
                <w:highlight w:val="none"/>
              </w:rPr>
              <w:t>分析</w:t>
            </w:r>
            <w:r>
              <w:rPr>
                <w:rFonts w:hint="eastAsia" w:ascii="宋体" w:hAnsi="宋体" w:cs="宋体"/>
                <w:kern w:val="0"/>
                <w:szCs w:val="21"/>
                <w:highlight w:val="none"/>
                <w:lang w:val="en-US" w:eastAsia="zh-CN"/>
              </w:rPr>
              <w:t>欠缺</w:t>
            </w:r>
            <w:r>
              <w:rPr>
                <w:rFonts w:ascii="宋体" w:hAnsi="宋体" w:cs="宋体"/>
                <w:kern w:val="0"/>
                <w:szCs w:val="21"/>
                <w:highlight w:val="none"/>
              </w:rPr>
              <w:t>、</w:t>
            </w:r>
            <w:r>
              <w:rPr>
                <w:rFonts w:hint="eastAsia" w:ascii="宋体" w:hAnsi="宋体" w:eastAsia="宋体" w:cs="宋体"/>
                <w:color w:val="auto"/>
                <w:szCs w:val="21"/>
                <w:highlight w:val="none"/>
                <w:lang w:val="en-US" w:eastAsia="zh-CN"/>
              </w:rPr>
              <w:t>职责分工</w:t>
            </w:r>
            <w:r>
              <w:rPr>
                <w:rFonts w:hint="eastAsia" w:ascii="宋体" w:hAnsi="宋体" w:cs="宋体"/>
                <w:kern w:val="0"/>
                <w:szCs w:val="21"/>
                <w:highlight w:val="none"/>
                <w:lang w:val="en-US" w:eastAsia="zh-CN"/>
              </w:rPr>
              <w:t>欠缺</w:t>
            </w:r>
            <w:r>
              <w:rPr>
                <w:rFonts w:ascii="宋体" w:hAnsi="宋体" w:cs="宋体"/>
                <w:kern w:val="0"/>
                <w:szCs w:val="21"/>
                <w:highlight w:val="none"/>
              </w:rPr>
              <w:t>且针对性</w:t>
            </w:r>
            <w:r>
              <w:rPr>
                <w:rFonts w:hint="eastAsia" w:ascii="宋体" w:hAnsi="宋体" w:cs="宋体"/>
                <w:kern w:val="0"/>
                <w:szCs w:val="21"/>
                <w:highlight w:val="none"/>
                <w:lang w:val="en-US" w:eastAsia="zh-CN"/>
              </w:rPr>
              <w:t>欠缺</w:t>
            </w:r>
            <w:r>
              <w:rPr>
                <w:rFonts w:ascii="宋体" w:hAnsi="宋体" w:cs="宋体"/>
                <w:kern w:val="0"/>
                <w:szCs w:val="21"/>
                <w:highlight w:val="none"/>
              </w:rPr>
              <w:t>，得</w:t>
            </w:r>
            <w:r>
              <w:rPr>
                <w:rFonts w:hint="eastAsia" w:ascii="宋体" w:hAnsi="宋体" w:cs="宋体"/>
                <w:kern w:val="0"/>
                <w:szCs w:val="21"/>
                <w:highlight w:val="none"/>
              </w:rPr>
              <w:t>3</w:t>
            </w:r>
            <w:r>
              <w:rPr>
                <w:rFonts w:ascii="宋体" w:hAnsi="宋体" w:cs="宋体"/>
                <w:kern w:val="0"/>
                <w:szCs w:val="21"/>
                <w:highlight w:val="none"/>
              </w:rPr>
              <w:t>分；</w:t>
            </w:r>
          </w:p>
          <w:p w14:paraId="6FF04379">
            <w:pPr>
              <w:widowControl/>
              <w:snapToGrid w:val="0"/>
              <w:spacing w:line="360" w:lineRule="exact"/>
              <w:jc w:val="left"/>
              <w:rPr>
                <w:rFonts w:ascii="宋体" w:hAnsi="宋体" w:cs="宋体"/>
                <w:kern w:val="0"/>
                <w:szCs w:val="21"/>
                <w:highlight w:val="none"/>
              </w:rPr>
            </w:pPr>
            <w:r>
              <w:rPr>
                <w:rFonts w:hint="eastAsia" w:ascii="宋体" w:hAnsi="宋体" w:eastAsia="宋体" w:cs="宋体"/>
                <w:bCs/>
                <w:sz w:val="24"/>
                <w:szCs w:val="24"/>
                <w:highlight w:val="none"/>
              </w:rPr>
              <w:t>⑤</w:t>
            </w:r>
            <w:r>
              <w:rPr>
                <w:rFonts w:ascii="宋体" w:hAnsi="宋体" w:cs="宋体"/>
                <w:kern w:val="0"/>
                <w:szCs w:val="21"/>
                <w:highlight w:val="none"/>
              </w:rPr>
              <w:t>分析不全面或</w:t>
            </w:r>
            <w:r>
              <w:rPr>
                <w:rFonts w:hint="eastAsia" w:ascii="宋体" w:hAnsi="宋体" w:cs="宋体"/>
                <w:kern w:val="0"/>
                <w:szCs w:val="21"/>
                <w:highlight w:val="none"/>
                <w:lang w:val="en-US" w:eastAsia="zh-CN"/>
              </w:rPr>
              <w:t>针对</w:t>
            </w:r>
            <w:r>
              <w:rPr>
                <w:rFonts w:ascii="宋体" w:hAnsi="宋体" w:cs="宋体"/>
                <w:kern w:val="0"/>
                <w:szCs w:val="21"/>
                <w:highlight w:val="none"/>
              </w:rPr>
              <w:t>性</w:t>
            </w:r>
            <w:r>
              <w:rPr>
                <w:rFonts w:hint="eastAsia" w:ascii="宋体" w:hAnsi="宋体" w:cs="宋体"/>
                <w:kern w:val="0"/>
                <w:szCs w:val="21"/>
                <w:highlight w:val="none"/>
                <w:lang w:val="en-US" w:eastAsia="zh-CN"/>
              </w:rPr>
              <w:t>差</w:t>
            </w:r>
            <w:r>
              <w:rPr>
                <w:rFonts w:ascii="宋体" w:hAnsi="宋体" w:cs="宋体"/>
                <w:kern w:val="0"/>
                <w:szCs w:val="21"/>
                <w:highlight w:val="none"/>
              </w:rPr>
              <w:t>的，得</w:t>
            </w:r>
            <w:r>
              <w:rPr>
                <w:rFonts w:hint="eastAsia" w:ascii="宋体" w:hAnsi="宋体" w:cs="宋体"/>
                <w:kern w:val="0"/>
                <w:szCs w:val="21"/>
                <w:highlight w:val="none"/>
              </w:rPr>
              <w:t>1</w:t>
            </w:r>
            <w:r>
              <w:rPr>
                <w:rFonts w:ascii="宋体" w:hAnsi="宋体" w:cs="宋体"/>
                <w:kern w:val="0"/>
                <w:szCs w:val="21"/>
                <w:highlight w:val="none"/>
              </w:rPr>
              <w:t>分；</w:t>
            </w:r>
          </w:p>
          <w:p w14:paraId="3A5ABBD1">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bCs/>
                <w:sz w:val="24"/>
                <w:szCs w:val="24"/>
                <w:highlight w:val="none"/>
              </w:rPr>
              <w:t>⑥</w:t>
            </w:r>
            <w:r>
              <w:rPr>
                <w:rFonts w:ascii="宋体" w:hAnsi="宋体" w:cs="宋体"/>
                <w:kern w:val="0"/>
                <w:szCs w:val="21"/>
                <w:highlight w:val="none"/>
              </w:rPr>
              <w:t>未提供或完全不符的，不得分。</w:t>
            </w:r>
          </w:p>
        </w:tc>
        <w:tc>
          <w:tcPr>
            <w:tcW w:w="705" w:type="dxa"/>
            <w:shd w:val="clear" w:color="auto" w:fill="auto"/>
            <w:vAlign w:val="center"/>
          </w:tcPr>
          <w:p w14:paraId="0D09B0A9">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0-6分</w:t>
            </w:r>
          </w:p>
        </w:tc>
        <w:tc>
          <w:tcPr>
            <w:tcW w:w="645" w:type="dxa"/>
            <w:vAlign w:val="center"/>
          </w:tcPr>
          <w:p w14:paraId="71E6E21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Align w:val="center"/>
          </w:tcPr>
          <w:p w14:paraId="6745E3CC">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内部管理</w:t>
            </w:r>
          </w:p>
        </w:tc>
      </w:tr>
      <w:tr w14:paraId="6B451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restart"/>
            <w:vAlign w:val="center"/>
          </w:tcPr>
          <w:p w14:paraId="09A4EF02">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7</w:t>
            </w:r>
          </w:p>
        </w:tc>
        <w:tc>
          <w:tcPr>
            <w:tcW w:w="5400" w:type="dxa"/>
            <w:shd w:val="clear" w:color="auto" w:fill="auto"/>
            <w:vAlign w:val="center"/>
          </w:tcPr>
          <w:p w14:paraId="3201AA37">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根据投标人提供的技术方案，投标技术方案总体设计的可行性、扩展性、安全性和独特性，包括项目的技术路线、实施方案和关键技术</w:t>
            </w:r>
            <w:r>
              <w:rPr>
                <w:rFonts w:hint="eastAsia" w:ascii="宋体" w:hAnsi="宋体" w:cs="宋体"/>
                <w:color w:val="auto"/>
                <w:szCs w:val="21"/>
                <w:highlight w:val="none"/>
                <w:lang w:val="en-US" w:eastAsia="zh-CN"/>
              </w:rPr>
              <w:t>、数据库建设方案</w:t>
            </w:r>
            <w:r>
              <w:rPr>
                <w:rFonts w:hint="eastAsia" w:ascii="宋体" w:hAnsi="宋体" w:eastAsia="宋体" w:cs="宋体"/>
                <w:color w:val="auto"/>
                <w:szCs w:val="21"/>
                <w:highlight w:val="none"/>
                <w:lang w:val="en-US" w:eastAsia="zh-CN"/>
              </w:rPr>
              <w:t>的阐述：</w:t>
            </w:r>
          </w:p>
          <w:p w14:paraId="41F4FD27">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①技术方案完全满足需求得8分；</w:t>
            </w:r>
          </w:p>
          <w:p w14:paraId="03C13709">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②技术方案考虑充分措施有效得7分；</w:t>
            </w:r>
          </w:p>
          <w:p w14:paraId="6E38E0B0">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③技术方案考虑较充分措施较有效得5分；</w:t>
            </w:r>
          </w:p>
          <w:p w14:paraId="60C55C33">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④技术方案考虑一般得4分；</w:t>
            </w:r>
          </w:p>
          <w:p w14:paraId="698EC27E">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⑤技术方案内容简单的的3分；</w:t>
            </w:r>
          </w:p>
          <w:p w14:paraId="40CF70C5">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⑥技术方案内容有缺失，方案可行性不高的得1分；</w:t>
            </w:r>
          </w:p>
          <w:p w14:paraId="0728F687">
            <w:pPr>
              <w:numPr>
                <w:ilvl w:val="0"/>
                <w:numId w:val="0"/>
              </w:numPr>
              <w:spacing w:line="276" w:lineRule="auto"/>
              <w:ind w:leftChars="0"/>
              <w:jc w:val="both"/>
              <w:rPr>
                <w:rFonts w:hint="eastAsia" w:ascii="仿宋_GB2312" w:hAnsi="宋体" w:eastAsia="仿宋_GB2312" w:cs="宋体"/>
                <w:szCs w:val="21"/>
                <w:highlight w:val="none"/>
                <w:lang w:val="en-US" w:eastAsia="zh-CN"/>
              </w:rPr>
            </w:pPr>
            <w:r>
              <w:rPr>
                <w:rFonts w:hint="eastAsia" w:ascii="宋体" w:hAnsi="宋体" w:eastAsia="宋体" w:cs="宋体"/>
                <w:kern w:val="0"/>
                <w:szCs w:val="21"/>
                <w:highlight w:val="none"/>
                <w:lang w:val="en-US" w:eastAsia="zh-CN"/>
              </w:rPr>
              <w:t>⑦未提供或完全不符的，不得分。</w:t>
            </w:r>
          </w:p>
        </w:tc>
        <w:tc>
          <w:tcPr>
            <w:tcW w:w="705" w:type="dxa"/>
            <w:shd w:val="clear" w:color="auto" w:fill="auto"/>
            <w:vAlign w:val="center"/>
          </w:tcPr>
          <w:p w14:paraId="277F9837">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0-8分</w:t>
            </w:r>
          </w:p>
        </w:tc>
        <w:tc>
          <w:tcPr>
            <w:tcW w:w="645" w:type="dxa"/>
            <w:vAlign w:val="center"/>
          </w:tcPr>
          <w:p w14:paraId="65C2F77C">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Merge w:val="restart"/>
            <w:vAlign w:val="center"/>
          </w:tcPr>
          <w:p w14:paraId="6819A11C">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实施</w:t>
            </w:r>
            <w:r>
              <w:rPr>
                <w:rFonts w:hint="eastAsia" w:cs="仿宋_GB2312" w:asciiTheme="minorEastAsia" w:hAnsiTheme="minorEastAsia" w:eastAsiaTheme="minorEastAsia"/>
                <w:color w:val="auto"/>
                <w:sz w:val="24"/>
                <w:highlight w:val="none"/>
              </w:rPr>
              <w:t>方案</w:t>
            </w:r>
          </w:p>
        </w:tc>
      </w:tr>
      <w:tr w14:paraId="24D11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continue"/>
            <w:vAlign w:val="center"/>
          </w:tcPr>
          <w:p w14:paraId="5DAD91FC">
            <w:pPr>
              <w:snapToGrid w:val="0"/>
              <w:spacing w:line="360" w:lineRule="auto"/>
              <w:jc w:val="center"/>
              <w:rPr>
                <w:rFonts w:hint="eastAsia" w:cs="仿宋_GB2312" w:asciiTheme="minorEastAsia" w:hAnsiTheme="minorEastAsia" w:eastAsiaTheme="minorEastAsia"/>
                <w:color w:val="auto"/>
                <w:sz w:val="24"/>
                <w:highlight w:val="none"/>
              </w:rPr>
            </w:pPr>
          </w:p>
        </w:tc>
        <w:tc>
          <w:tcPr>
            <w:tcW w:w="5400" w:type="dxa"/>
            <w:shd w:val="clear" w:color="auto" w:fill="auto"/>
            <w:vAlign w:val="center"/>
          </w:tcPr>
          <w:p w14:paraId="7C3FE629">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根据投标人提供的实施方案，项目实施方案客观、合理、完整，有操作性和针对性：</w:t>
            </w:r>
          </w:p>
          <w:p w14:paraId="60828E62">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w:t>
            </w:r>
            <w:r>
              <w:rPr>
                <w:rFonts w:hint="eastAsia" w:ascii="宋体" w:hAnsi="宋体" w:eastAsia="宋体" w:cs="宋体"/>
                <w:color w:val="auto"/>
                <w:szCs w:val="21"/>
                <w:highlight w:val="none"/>
                <w:lang w:val="en-US" w:eastAsia="zh-CN"/>
              </w:rPr>
              <w:t>实施</w:t>
            </w:r>
            <w:r>
              <w:rPr>
                <w:rFonts w:hint="eastAsia" w:ascii="宋体" w:hAnsi="宋体" w:eastAsia="宋体" w:cs="宋体"/>
                <w:kern w:val="0"/>
                <w:szCs w:val="21"/>
                <w:highlight w:val="none"/>
                <w:lang w:val="en-US" w:eastAsia="zh-CN"/>
              </w:rPr>
              <w:t>方案完全满足需求得8分；</w:t>
            </w:r>
          </w:p>
          <w:p w14:paraId="7503D42B">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w:t>
            </w:r>
            <w:r>
              <w:rPr>
                <w:rFonts w:hint="eastAsia" w:ascii="宋体" w:hAnsi="宋体" w:eastAsia="宋体" w:cs="宋体"/>
                <w:color w:val="auto"/>
                <w:szCs w:val="21"/>
                <w:highlight w:val="none"/>
                <w:lang w:val="en-US" w:eastAsia="zh-CN"/>
              </w:rPr>
              <w:t>实施</w:t>
            </w:r>
            <w:r>
              <w:rPr>
                <w:rFonts w:hint="eastAsia" w:ascii="宋体" w:hAnsi="宋体" w:eastAsia="宋体" w:cs="宋体"/>
                <w:kern w:val="0"/>
                <w:szCs w:val="21"/>
                <w:highlight w:val="none"/>
                <w:lang w:val="en-US" w:eastAsia="zh-CN"/>
              </w:rPr>
              <w:t>方案考虑充分措施有效得7分；</w:t>
            </w:r>
          </w:p>
          <w:p w14:paraId="4471F775">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w:t>
            </w:r>
            <w:r>
              <w:rPr>
                <w:rFonts w:hint="eastAsia" w:ascii="宋体" w:hAnsi="宋体" w:eastAsia="宋体" w:cs="宋体"/>
                <w:color w:val="auto"/>
                <w:szCs w:val="21"/>
                <w:highlight w:val="none"/>
                <w:lang w:val="en-US" w:eastAsia="zh-CN"/>
              </w:rPr>
              <w:t>实施</w:t>
            </w:r>
            <w:r>
              <w:rPr>
                <w:rFonts w:hint="eastAsia" w:ascii="宋体" w:hAnsi="宋体" w:eastAsia="宋体" w:cs="宋体"/>
                <w:kern w:val="0"/>
                <w:szCs w:val="21"/>
                <w:highlight w:val="none"/>
                <w:lang w:val="en-US" w:eastAsia="zh-CN"/>
              </w:rPr>
              <w:t>方案考虑较充分措施较有效得5分；</w:t>
            </w:r>
          </w:p>
          <w:p w14:paraId="7213D487">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w:t>
            </w:r>
            <w:r>
              <w:rPr>
                <w:rFonts w:hint="eastAsia" w:ascii="宋体" w:hAnsi="宋体" w:eastAsia="宋体" w:cs="宋体"/>
                <w:color w:val="auto"/>
                <w:szCs w:val="21"/>
                <w:highlight w:val="none"/>
                <w:lang w:val="en-US" w:eastAsia="zh-CN"/>
              </w:rPr>
              <w:t>实施</w:t>
            </w:r>
            <w:r>
              <w:rPr>
                <w:rFonts w:hint="eastAsia" w:ascii="宋体" w:hAnsi="宋体" w:eastAsia="宋体" w:cs="宋体"/>
                <w:kern w:val="0"/>
                <w:szCs w:val="21"/>
                <w:highlight w:val="none"/>
                <w:lang w:val="en-US" w:eastAsia="zh-CN"/>
              </w:rPr>
              <w:t>方案考虑一般得4分；</w:t>
            </w:r>
          </w:p>
          <w:p w14:paraId="44C9E230">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w:t>
            </w:r>
            <w:r>
              <w:rPr>
                <w:rFonts w:hint="eastAsia" w:ascii="宋体" w:hAnsi="宋体" w:eastAsia="宋体" w:cs="宋体"/>
                <w:color w:val="auto"/>
                <w:szCs w:val="21"/>
                <w:highlight w:val="none"/>
                <w:lang w:val="en-US" w:eastAsia="zh-CN"/>
              </w:rPr>
              <w:t>实施</w:t>
            </w:r>
            <w:r>
              <w:rPr>
                <w:rFonts w:hint="eastAsia" w:ascii="宋体" w:hAnsi="宋体" w:eastAsia="宋体" w:cs="宋体"/>
                <w:kern w:val="0"/>
                <w:szCs w:val="21"/>
                <w:highlight w:val="none"/>
                <w:lang w:val="en-US" w:eastAsia="zh-CN"/>
              </w:rPr>
              <w:t>方案内容简单的的3分；</w:t>
            </w:r>
          </w:p>
          <w:p w14:paraId="7F548C24">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⑥</w:t>
            </w:r>
            <w:r>
              <w:rPr>
                <w:rFonts w:hint="eastAsia" w:ascii="宋体" w:hAnsi="宋体" w:eastAsia="宋体" w:cs="宋体"/>
                <w:color w:val="auto"/>
                <w:szCs w:val="21"/>
                <w:highlight w:val="none"/>
                <w:lang w:val="en-US" w:eastAsia="zh-CN"/>
              </w:rPr>
              <w:t>实施</w:t>
            </w:r>
            <w:r>
              <w:rPr>
                <w:rFonts w:hint="eastAsia" w:ascii="宋体" w:hAnsi="宋体" w:eastAsia="宋体" w:cs="宋体"/>
                <w:kern w:val="0"/>
                <w:szCs w:val="21"/>
                <w:highlight w:val="none"/>
                <w:lang w:val="en-US" w:eastAsia="zh-CN"/>
              </w:rPr>
              <w:t>方案内容有缺失，方案可行性不高的得1分；</w:t>
            </w:r>
          </w:p>
          <w:p w14:paraId="5758A62E">
            <w:pPr>
              <w:spacing w:line="276"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kern w:val="0"/>
                <w:szCs w:val="21"/>
                <w:highlight w:val="none"/>
                <w:lang w:val="en-US" w:eastAsia="zh-CN"/>
              </w:rPr>
              <w:t>⑦未提供或完全不符的，不得分。</w:t>
            </w:r>
          </w:p>
        </w:tc>
        <w:tc>
          <w:tcPr>
            <w:tcW w:w="705" w:type="dxa"/>
            <w:shd w:val="clear" w:color="auto" w:fill="auto"/>
            <w:vAlign w:val="center"/>
          </w:tcPr>
          <w:p w14:paraId="44B808F5">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0-8分</w:t>
            </w:r>
          </w:p>
        </w:tc>
        <w:tc>
          <w:tcPr>
            <w:tcW w:w="645" w:type="dxa"/>
            <w:vAlign w:val="center"/>
          </w:tcPr>
          <w:p w14:paraId="1B7FA97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Merge w:val="continue"/>
            <w:vAlign w:val="center"/>
          </w:tcPr>
          <w:p w14:paraId="5CC0B587">
            <w:pPr>
              <w:snapToGrid w:val="0"/>
              <w:spacing w:line="360" w:lineRule="auto"/>
              <w:jc w:val="center"/>
              <w:rPr>
                <w:rFonts w:hint="eastAsia" w:cs="仿宋_GB2312" w:asciiTheme="minorEastAsia" w:hAnsiTheme="minorEastAsia" w:eastAsiaTheme="minorEastAsia"/>
                <w:color w:val="auto"/>
                <w:sz w:val="24"/>
                <w:highlight w:val="none"/>
              </w:rPr>
            </w:pPr>
          </w:p>
        </w:tc>
      </w:tr>
      <w:tr w14:paraId="7FC77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44368F4F">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8</w:t>
            </w:r>
          </w:p>
        </w:tc>
        <w:tc>
          <w:tcPr>
            <w:tcW w:w="5400" w:type="dxa"/>
            <w:shd w:val="clear" w:color="auto" w:fill="auto"/>
            <w:vAlign w:val="center"/>
          </w:tcPr>
          <w:p w14:paraId="2960B14E">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根据投标人提供的成果数据质量措施保障等，由评审专家综合比较打分：</w:t>
            </w:r>
          </w:p>
          <w:p w14:paraId="42ED960F">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①质量保障措施完全满足需求得6分；</w:t>
            </w:r>
          </w:p>
          <w:p w14:paraId="26CF0ECB">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②质量保障措施考虑充分措施有效得5分；</w:t>
            </w:r>
          </w:p>
          <w:p w14:paraId="2BD5B57E">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③质量保障措施考虑较充分措施较有效得4分；</w:t>
            </w:r>
          </w:p>
          <w:p w14:paraId="17AC94A4">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④质量保障措施考虑一般得3分；</w:t>
            </w:r>
          </w:p>
          <w:p w14:paraId="6B8E0F6C">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⑤质量保障措施内容简单的的2分；</w:t>
            </w:r>
          </w:p>
          <w:p w14:paraId="00DA6DD5">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⑥质量保障措施内容有缺失，方案可行性不高的得1分；</w:t>
            </w:r>
          </w:p>
          <w:p w14:paraId="13B36F47">
            <w:pPr>
              <w:numPr>
                <w:ilvl w:val="0"/>
                <w:numId w:val="0"/>
              </w:numPr>
              <w:spacing w:line="276" w:lineRule="auto"/>
              <w:ind w:leftChars="0"/>
              <w:jc w:val="both"/>
              <w:rPr>
                <w:rFonts w:hint="eastAsia" w:ascii="宋体" w:hAnsi="宋体" w:eastAsia="宋体" w:cs="宋体"/>
                <w:color w:val="auto"/>
                <w:szCs w:val="21"/>
                <w:highlight w:val="none"/>
                <w:lang w:val="en-US" w:eastAsia="zh-CN"/>
              </w:rPr>
            </w:pPr>
            <w:r>
              <w:rPr>
                <w:rFonts w:hint="eastAsia" w:ascii="宋体" w:hAnsi="宋体" w:eastAsia="宋体" w:cs="宋体"/>
                <w:kern w:val="0"/>
                <w:szCs w:val="21"/>
                <w:highlight w:val="none"/>
                <w:lang w:val="en-US" w:eastAsia="zh-CN"/>
              </w:rPr>
              <w:t>⑦质量未提供或完全不符的，不得分。</w:t>
            </w:r>
          </w:p>
        </w:tc>
        <w:tc>
          <w:tcPr>
            <w:tcW w:w="705" w:type="dxa"/>
            <w:shd w:val="clear" w:color="auto" w:fill="auto"/>
            <w:vAlign w:val="center"/>
          </w:tcPr>
          <w:p w14:paraId="11FF704E">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0-6分</w:t>
            </w:r>
          </w:p>
        </w:tc>
        <w:tc>
          <w:tcPr>
            <w:tcW w:w="645" w:type="dxa"/>
            <w:vAlign w:val="center"/>
          </w:tcPr>
          <w:p w14:paraId="6F894856">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shd w:val="clear" w:color="auto" w:fill="auto"/>
            <w:vAlign w:val="center"/>
          </w:tcPr>
          <w:p w14:paraId="47BC81E0">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成果数据质量保障</w:t>
            </w:r>
          </w:p>
        </w:tc>
      </w:tr>
      <w:tr w14:paraId="20B54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20C978F2">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9</w:t>
            </w:r>
          </w:p>
        </w:tc>
        <w:tc>
          <w:tcPr>
            <w:tcW w:w="5400" w:type="dxa"/>
            <w:shd w:val="clear" w:color="auto" w:fill="auto"/>
            <w:vAlign w:val="center"/>
          </w:tcPr>
          <w:p w14:paraId="08C861DB">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根据投标人提供的工作计划和时间进度安排、项目组织管理与保障措施等情况，由评审专家进行综合评分：</w:t>
            </w:r>
          </w:p>
          <w:p w14:paraId="209F4707">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①进度保障措施完全满足需求得6分；</w:t>
            </w:r>
          </w:p>
          <w:p w14:paraId="0E4889A1">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②进度保障措施考虑充分措施有效得5分；</w:t>
            </w:r>
          </w:p>
          <w:p w14:paraId="007F1E22">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③进度保障措施考虑较充分措施较有效得4分；</w:t>
            </w:r>
          </w:p>
          <w:p w14:paraId="27B40183">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④进度保障措施考虑一般得3分；</w:t>
            </w:r>
          </w:p>
          <w:p w14:paraId="3389A30A">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⑤进度保障措施内容简单的的2分；</w:t>
            </w:r>
          </w:p>
          <w:p w14:paraId="38C58746">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⑥进度保障措施内容有缺失，方案可行性不高的得1分；</w:t>
            </w:r>
          </w:p>
          <w:p w14:paraId="211FB29A">
            <w:pPr>
              <w:numPr>
                <w:ilvl w:val="0"/>
                <w:numId w:val="0"/>
              </w:numPr>
              <w:spacing w:line="276" w:lineRule="auto"/>
              <w:ind w:left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kern w:val="0"/>
                <w:szCs w:val="21"/>
                <w:highlight w:val="none"/>
                <w:lang w:val="en-US" w:eastAsia="zh-CN"/>
              </w:rPr>
              <w:t>⑦进度未提供或完全不符的，不得分。</w:t>
            </w:r>
          </w:p>
        </w:tc>
        <w:tc>
          <w:tcPr>
            <w:tcW w:w="705" w:type="dxa"/>
            <w:shd w:val="clear" w:color="auto" w:fill="auto"/>
            <w:vAlign w:val="center"/>
          </w:tcPr>
          <w:p w14:paraId="3DD46863">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0-6分</w:t>
            </w:r>
          </w:p>
        </w:tc>
        <w:tc>
          <w:tcPr>
            <w:tcW w:w="645" w:type="dxa"/>
            <w:vAlign w:val="center"/>
          </w:tcPr>
          <w:p w14:paraId="7406FAE3">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shd w:val="clear" w:color="auto" w:fill="auto"/>
            <w:vAlign w:val="center"/>
          </w:tcPr>
          <w:p w14:paraId="3D8DAE28">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进度保障措施</w:t>
            </w:r>
          </w:p>
        </w:tc>
      </w:tr>
      <w:tr w14:paraId="079C8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restart"/>
            <w:vAlign w:val="center"/>
          </w:tcPr>
          <w:p w14:paraId="56BB8D35">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5400" w:type="dxa"/>
            <w:shd w:val="clear" w:color="auto" w:fill="auto"/>
            <w:vAlign w:val="center"/>
          </w:tcPr>
          <w:p w14:paraId="49171D6F">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拟派项目负责人：</w:t>
            </w:r>
          </w:p>
          <w:p w14:paraId="7EDC233C">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具有测绘</w:t>
            </w:r>
            <w:r>
              <w:rPr>
                <w:rFonts w:hint="eastAsia" w:ascii="宋体" w:hAnsi="宋体" w:cs="宋体"/>
                <w:color w:val="auto"/>
                <w:szCs w:val="21"/>
                <w:highlight w:val="none"/>
                <w:lang w:val="en-US" w:eastAsia="zh-CN"/>
              </w:rPr>
              <w:t>或地理信息类</w:t>
            </w:r>
            <w:r>
              <w:rPr>
                <w:rFonts w:hint="eastAsia" w:ascii="宋体" w:hAnsi="宋体" w:eastAsia="宋体" w:cs="宋体"/>
                <w:color w:val="auto"/>
                <w:szCs w:val="21"/>
                <w:highlight w:val="none"/>
                <w:lang w:val="en-US" w:eastAsia="zh-CN"/>
              </w:rPr>
              <w:t>教授级</w:t>
            </w:r>
            <w:r>
              <w:rPr>
                <w:rFonts w:hint="eastAsia" w:ascii="宋体" w:hAnsi="宋体" w:cs="宋体"/>
                <w:color w:val="auto"/>
                <w:szCs w:val="21"/>
                <w:highlight w:val="none"/>
                <w:lang w:val="en-US" w:eastAsia="zh-CN"/>
              </w:rPr>
              <w:t>高级</w:t>
            </w:r>
            <w:r>
              <w:rPr>
                <w:rFonts w:hint="eastAsia" w:ascii="宋体" w:hAnsi="宋体" w:eastAsia="宋体" w:cs="宋体"/>
                <w:color w:val="auto"/>
                <w:szCs w:val="21"/>
                <w:highlight w:val="none"/>
                <w:lang w:val="en-US" w:eastAsia="zh-CN"/>
              </w:rPr>
              <w:t>工程师职称且取得注册测绘师证书的得3分；具有测绘</w:t>
            </w:r>
            <w:r>
              <w:rPr>
                <w:rFonts w:hint="eastAsia" w:ascii="宋体" w:hAnsi="宋体" w:cs="宋体"/>
                <w:color w:val="auto"/>
                <w:szCs w:val="21"/>
                <w:highlight w:val="none"/>
                <w:lang w:val="en-US" w:eastAsia="zh-CN"/>
              </w:rPr>
              <w:t>或地理信息类</w:t>
            </w:r>
            <w:r>
              <w:rPr>
                <w:rFonts w:hint="eastAsia" w:ascii="宋体" w:hAnsi="宋体" w:eastAsia="宋体" w:cs="宋体"/>
                <w:color w:val="auto"/>
                <w:szCs w:val="21"/>
                <w:highlight w:val="none"/>
                <w:lang w:val="en-US" w:eastAsia="zh-CN"/>
              </w:rPr>
              <w:t>高级工程师职称且取得注册测绘师证书得1.5分，其他不得分。</w:t>
            </w:r>
          </w:p>
          <w:p w14:paraId="648D137F">
            <w:pPr>
              <w:spacing w:line="276"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szCs w:val="21"/>
                <w:highlight w:val="none"/>
                <w:lang w:val="en-US" w:eastAsia="zh-CN"/>
              </w:rPr>
              <w:t>注：须提供相关证明材料原件扫描件，未提供的不得分。</w:t>
            </w:r>
          </w:p>
        </w:tc>
        <w:tc>
          <w:tcPr>
            <w:tcW w:w="705" w:type="dxa"/>
            <w:shd w:val="clear" w:color="auto" w:fill="auto"/>
            <w:vAlign w:val="center"/>
          </w:tcPr>
          <w:p w14:paraId="72245A6C">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0-3分</w:t>
            </w:r>
          </w:p>
        </w:tc>
        <w:tc>
          <w:tcPr>
            <w:tcW w:w="645" w:type="dxa"/>
            <w:vAlign w:val="center"/>
          </w:tcPr>
          <w:p w14:paraId="4E915C48">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bCs/>
                <w:color w:val="auto"/>
                <w:sz w:val="24"/>
                <w:highlight w:val="none"/>
              </w:rPr>
              <w:t>客观分</w:t>
            </w:r>
          </w:p>
        </w:tc>
        <w:tc>
          <w:tcPr>
            <w:tcW w:w="1016" w:type="dxa"/>
            <w:vMerge w:val="restart"/>
            <w:vAlign w:val="center"/>
          </w:tcPr>
          <w:p w14:paraId="59AEF5C6">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人员配备</w:t>
            </w:r>
          </w:p>
        </w:tc>
      </w:tr>
      <w:tr w14:paraId="61DCC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continue"/>
            <w:vAlign w:val="center"/>
          </w:tcPr>
          <w:p w14:paraId="20FE5E35">
            <w:pPr>
              <w:snapToGrid w:val="0"/>
              <w:spacing w:line="360" w:lineRule="auto"/>
              <w:jc w:val="center"/>
              <w:rPr>
                <w:rFonts w:hint="eastAsia" w:cs="仿宋_GB2312" w:asciiTheme="minorEastAsia" w:hAnsiTheme="minorEastAsia" w:eastAsiaTheme="minorEastAsia"/>
                <w:color w:val="auto"/>
                <w:sz w:val="24"/>
                <w:highlight w:val="none"/>
              </w:rPr>
            </w:pPr>
          </w:p>
        </w:tc>
        <w:tc>
          <w:tcPr>
            <w:tcW w:w="5400" w:type="dxa"/>
            <w:shd w:val="clear" w:color="auto" w:fill="auto"/>
            <w:vAlign w:val="center"/>
          </w:tcPr>
          <w:p w14:paraId="3008DF95">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拟派技术负责人：</w:t>
            </w:r>
          </w:p>
          <w:p w14:paraId="56BAA76A">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具有测绘</w:t>
            </w:r>
            <w:r>
              <w:rPr>
                <w:rFonts w:hint="eastAsia" w:ascii="宋体" w:hAnsi="宋体" w:cs="宋体"/>
                <w:color w:val="auto"/>
                <w:szCs w:val="21"/>
                <w:highlight w:val="none"/>
                <w:lang w:val="en-US" w:eastAsia="zh-CN"/>
              </w:rPr>
              <w:t>或地理信息类</w:t>
            </w:r>
            <w:r>
              <w:rPr>
                <w:rFonts w:hint="eastAsia" w:ascii="宋体" w:hAnsi="宋体" w:eastAsia="宋体" w:cs="宋体"/>
                <w:color w:val="auto"/>
                <w:szCs w:val="21"/>
                <w:highlight w:val="none"/>
                <w:lang w:val="en-US" w:eastAsia="zh-CN"/>
              </w:rPr>
              <w:t>教授级高级工程师职称且取得注册测绘师证书得3分；具有测绘</w:t>
            </w:r>
            <w:r>
              <w:rPr>
                <w:rFonts w:hint="eastAsia" w:ascii="宋体" w:hAnsi="宋体" w:cs="宋体"/>
                <w:color w:val="auto"/>
                <w:szCs w:val="21"/>
                <w:highlight w:val="none"/>
                <w:lang w:val="en-US" w:eastAsia="zh-CN"/>
              </w:rPr>
              <w:t>或地理信息类</w:t>
            </w:r>
            <w:r>
              <w:rPr>
                <w:rFonts w:hint="eastAsia" w:ascii="宋体" w:hAnsi="宋体" w:eastAsia="宋体" w:cs="宋体"/>
                <w:color w:val="auto"/>
                <w:szCs w:val="21"/>
                <w:highlight w:val="none"/>
                <w:lang w:val="en-US" w:eastAsia="zh-CN"/>
              </w:rPr>
              <w:t>高级工程师职称且取得注册测绘师证书得1.5分，其他不得分。</w:t>
            </w:r>
          </w:p>
          <w:p w14:paraId="769B584E">
            <w:pPr>
              <w:spacing w:line="276" w:lineRule="auto"/>
              <w:jc w:val="both"/>
              <w:rPr>
                <w:rFonts w:hint="eastAsia" w:ascii="Times New Roman" w:hAnsi="Times New Roman" w:eastAsia="宋体" w:cs="Times New Roman"/>
                <w:kern w:val="2"/>
                <w:sz w:val="21"/>
                <w:szCs w:val="24"/>
                <w:highlight w:val="none"/>
                <w:lang w:val="en-US" w:eastAsia="zh-CN" w:bidi="ar-SA"/>
              </w:rPr>
            </w:pPr>
            <w:r>
              <w:rPr>
                <w:rFonts w:hint="eastAsia" w:ascii="宋体" w:hAnsi="宋体" w:eastAsia="宋体" w:cs="宋体"/>
                <w:b/>
                <w:bCs/>
                <w:color w:val="auto"/>
                <w:szCs w:val="21"/>
                <w:highlight w:val="none"/>
                <w:lang w:val="en-US" w:eastAsia="zh-CN"/>
              </w:rPr>
              <w:t>注：须提供相关证明材料原件扫描件，未提供的不得分。</w:t>
            </w:r>
          </w:p>
        </w:tc>
        <w:tc>
          <w:tcPr>
            <w:tcW w:w="705" w:type="dxa"/>
            <w:shd w:val="clear" w:color="auto" w:fill="auto"/>
            <w:vAlign w:val="center"/>
          </w:tcPr>
          <w:p w14:paraId="04CFE8AF">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0-3分</w:t>
            </w:r>
          </w:p>
        </w:tc>
        <w:tc>
          <w:tcPr>
            <w:tcW w:w="645" w:type="dxa"/>
            <w:vAlign w:val="center"/>
          </w:tcPr>
          <w:p w14:paraId="202353E0">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Merge w:val="continue"/>
            <w:vAlign w:val="center"/>
          </w:tcPr>
          <w:p w14:paraId="28F7FEBF">
            <w:pPr>
              <w:snapToGrid w:val="0"/>
              <w:spacing w:line="360" w:lineRule="auto"/>
              <w:jc w:val="center"/>
              <w:rPr>
                <w:rFonts w:hint="eastAsia" w:cs="仿宋_GB2312" w:asciiTheme="minorEastAsia" w:hAnsiTheme="minorEastAsia" w:eastAsiaTheme="minorEastAsia"/>
                <w:color w:val="auto"/>
                <w:sz w:val="24"/>
                <w:highlight w:val="none"/>
              </w:rPr>
            </w:pPr>
          </w:p>
        </w:tc>
      </w:tr>
      <w:tr w14:paraId="5C8CD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Merge w:val="continue"/>
            <w:vAlign w:val="center"/>
          </w:tcPr>
          <w:p w14:paraId="385494FD">
            <w:pPr>
              <w:snapToGrid w:val="0"/>
              <w:spacing w:line="360" w:lineRule="auto"/>
              <w:jc w:val="center"/>
              <w:rPr>
                <w:rFonts w:hint="eastAsia" w:cs="仿宋_GB2312" w:asciiTheme="minorEastAsia" w:hAnsiTheme="minorEastAsia" w:eastAsiaTheme="minorEastAsia"/>
                <w:color w:val="auto"/>
                <w:sz w:val="24"/>
                <w:highlight w:val="none"/>
              </w:rPr>
            </w:pPr>
          </w:p>
        </w:tc>
        <w:tc>
          <w:tcPr>
            <w:tcW w:w="5400" w:type="dxa"/>
            <w:shd w:val="clear" w:color="auto" w:fill="auto"/>
            <w:vAlign w:val="center"/>
          </w:tcPr>
          <w:p w14:paraId="63AD7F2F">
            <w:pPr>
              <w:spacing w:line="276" w:lineRule="auto"/>
              <w:jc w:val="both"/>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en-US" w:eastAsia="zh-CN"/>
              </w:rPr>
              <w:t>项目组成员（项目负责人、技术负责人除外）：</w:t>
            </w:r>
          </w:p>
          <w:p w14:paraId="12FC022E">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⑴拟投入本项目组成员具有测绘</w:t>
            </w:r>
            <w:r>
              <w:rPr>
                <w:rFonts w:hint="eastAsia" w:ascii="宋体" w:hAnsi="宋体" w:cs="宋体"/>
                <w:color w:val="auto"/>
                <w:szCs w:val="21"/>
                <w:highlight w:val="none"/>
                <w:lang w:val="en-US" w:eastAsia="zh-CN"/>
              </w:rPr>
              <w:t>或地理信息类</w:t>
            </w:r>
            <w:r>
              <w:rPr>
                <w:rFonts w:hint="eastAsia" w:ascii="宋体" w:hAnsi="宋体" w:eastAsia="宋体" w:cs="宋体"/>
                <w:color w:val="auto"/>
                <w:szCs w:val="21"/>
                <w:highlight w:val="none"/>
                <w:lang w:val="en-US" w:eastAsia="zh-CN"/>
              </w:rPr>
              <w:t>高级及以上工程师职称的，每一人得0.5分，最高得6分；</w:t>
            </w:r>
          </w:p>
          <w:p w14:paraId="20E0E32F">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⑵拟投入本项目组成员具有涉密测绘成果管理人</w:t>
            </w:r>
            <w:bookmarkStart w:id="519" w:name="_GoBack"/>
            <w:bookmarkEnd w:id="519"/>
            <w:r>
              <w:rPr>
                <w:rFonts w:hint="eastAsia" w:ascii="宋体" w:hAnsi="宋体" w:eastAsia="宋体" w:cs="宋体"/>
                <w:color w:val="auto"/>
                <w:szCs w:val="21"/>
                <w:highlight w:val="none"/>
                <w:lang w:val="en-US" w:eastAsia="zh-CN"/>
              </w:rPr>
              <w:t>员岗位培训证书的，每提供一人得0.5分，最高得4分。</w:t>
            </w:r>
          </w:p>
          <w:p w14:paraId="6A8E18E4">
            <w:pPr>
              <w:jc w:val="both"/>
              <w:rPr>
                <w:rFonts w:hint="eastAsia" w:ascii="Times New Roman" w:hAnsi="Times New Roman" w:eastAsia="宋体" w:cs="Times New Roman"/>
                <w:kern w:val="2"/>
                <w:sz w:val="21"/>
                <w:szCs w:val="24"/>
                <w:highlight w:val="none"/>
                <w:lang w:val="en-US" w:eastAsia="zh-CN" w:bidi="ar-SA"/>
              </w:rPr>
            </w:pPr>
            <w:r>
              <w:rPr>
                <w:rFonts w:hint="eastAsia" w:ascii="宋体" w:hAnsi="宋体" w:eastAsia="宋体" w:cs="宋体"/>
                <w:b/>
                <w:bCs/>
                <w:color w:val="auto"/>
                <w:szCs w:val="21"/>
                <w:highlight w:val="none"/>
                <w:lang w:val="en-US" w:eastAsia="zh-CN"/>
              </w:rPr>
              <w:t>注：须提供相关证明材料原件扫描件，未提供的不得分。</w:t>
            </w:r>
          </w:p>
        </w:tc>
        <w:tc>
          <w:tcPr>
            <w:tcW w:w="705" w:type="dxa"/>
            <w:shd w:val="clear" w:color="auto" w:fill="auto"/>
            <w:vAlign w:val="center"/>
          </w:tcPr>
          <w:p w14:paraId="0A505871">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0-10分</w:t>
            </w:r>
          </w:p>
        </w:tc>
        <w:tc>
          <w:tcPr>
            <w:tcW w:w="645" w:type="dxa"/>
            <w:vAlign w:val="center"/>
          </w:tcPr>
          <w:p w14:paraId="68223733">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客观分</w:t>
            </w:r>
          </w:p>
        </w:tc>
        <w:tc>
          <w:tcPr>
            <w:tcW w:w="1016" w:type="dxa"/>
            <w:vMerge w:val="continue"/>
            <w:vAlign w:val="center"/>
          </w:tcPr>
          <w:p w14:paraId="051117A8">
            <w:pPr>
              <w:snapToGrid w:val="0"/>
              <w:spacing w:line="360" w:lineRule="auto"/>
              <w:jc w:val="center"/>
              <w:rPr>
                <w:rFonts w:hint="eastAsia" w:cs="仿宋_GB2312" w:asciiTheme="minorEastAsia" w:hAnsiTheme="minorEastAsia" w:eastAsiaTheme="minorEastAsia"/>
                <w:color w:val="auto"/>
                <w:sz w:val="24"/>
                <w:highlight w:val="none"/>
              </w:rPr>
            </w:pPr>
          </w:p>
        </w:tc>
      </w:tr>
      <w:tr w14:paraId="2F692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36DB4021">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11</w:t>
            </w:r>
          </w:p>
        </w:tc>
        <w:tc>
          <w:tcPr>
            <w:tcW w:w="5400" w:type="dxa"/>
            <w:shd w:val="clear" w:color="auto" w:fill="auto"/>
            <w:vAlign w:val="center"/>
          </w:tcPr>
          <w:p w14:paraId="7B283F1D">
            <w:pPr>
              <w:numPr>
                <w:ilvl w:val="0"/>
                <w:numId w:val="0"/>
              </w:numPr>
              <w:spacing w:line="276" w:lineRule="auto"/>
              <w:ind w:leftChars="0"/>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根据投标人结合本项目工作内容及特点，从实际需求出发，提供具有实用性、前瞻性的建议，由评审专家进行综合评分：</w:t>
            </w:r>
          </w:p>
          <w:p w14:paraId="4D5E6E9B">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①建议内容完全满足需求得6分；</w:t>
            </w:r>
          </w:p>
          <w:p w14:paraId="50E35AFD">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②建议内容考虑充分措施有效得5分；</w:t>
            </w:r>
          </w:p>
          <w:p w14:paraId="06D331A8">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③建议内容考虑较充分措施较有效得4分；</w:t>
            </w:r>
          </w:p>
          <w:p w14:paraId="7CE738E8">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④建议内容一般得3分；</w:t>
            </w:r>
          </w:p>
          <w:p w14:paraId="39692E8B">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⑤建议内容简单的的2分；</w:t>
            </w:r>
          </w:p>
          <w:p w14:paraId="7A50C41B">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⑥建议内容有缺失，可行性不高的得1分；</w:t>
            </w:r>
          </w:p>
          <w:p w14:paraId="48A14E91">
            <w:pPr>
              <w:spacing w:line="276" w:lineRule="auto"/>
              <w:jc w:val="both"/>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kern w:val="0"/>
                <w:szCs w:val="21"/>
                <w:highlight w:val="none"/>
                <w:lang w:val="en-US" w:eastAsia="zh-CN"/>
              </w:rPr>
              <w:t>⑦进度未提供或完全不符的，不得分。</w:t>
            </w:r>
          </w:p>
        </w:tc>
        <w:tc>
          <w:tcPr>
            <w:tcW w:w="705" w:type="dxa"/>
            <w:shd w:val="clear" w:color="auto" w:fill="auto"/>
            <w:vAlign w:val="center"/>
          </w:tcPr>
          <w:p w14:paraId="56366C92">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0-6分</w:t>
            </w:r>
          </w:p>
        </w:tc>
        <w:tc>
          <w:tcPr>
            <w:tcW w:w="645" w:type="dxa"/>
            <w:vAlign w:val="center"/>
          </w:tcPr>
          <w:p w14:paraId="00FDDD5A">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Align w:val="center"/>
          </w:tcPr>
          <w:p w14:paraId="21FE5398">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合理化建议</w:t>
            </w:r>
          </w:p>
        </w:tc>
      </w:tr>
      <w:tr w14:paraId="10566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64089748">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w:t>
            </w:r>
          </w:p>
        </w:tc>
        <w:tc>
          <w:tcPr>
            <w:tcW w:w="5400" w:type="dxa"/>
            <w:shd w:val="clear" w:color="auto" w:fill="auto"/>
            <w:vAlign w:val="center"/>
          </w:tcPr>
          <w:p w14:paraId="0515E471">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根据投标人针对本项目可能出现的突发状况分析，并提出应对突发状况的处理方法及对策，由评审专家综合比较打分：</w:t>
            </w:r>
          </w:p>
          <w:p w14:paraId="72593363">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①应急服务方案完全满足需求得5分；</w:t>
            </w:r>
          </w:p>
          <w:p w14:paraId="5BA9DB7C">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②应急服务方案考虑较充分措施较有效得4分；</w:t>
            </w:r>
          </w:p>
          <w:p w14:paraId="4E6C599C">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③应急服务方案内容一般得3分；</w:t>
            </w:r>
          </w:p>
          <w:p w14:paraId="755183DE">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④应急服务方案内容简单的的2分；</w:t>
            </w:r>
          </w:p>
          <w:p w14:paraId="08EA4403">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⑤应急服务方案内容有缺失，可行性不高的得1分；</w:t>
            </w:r>
          </w:p>
          <w:p w14:paraId="5A72C8D4">
            <w:pPr>
              <w:numPr>
                <w:ilvl w:val="0"/>
                <w:numId w:val="0"/>
              </w:numPr>
              <w:spacing w:line="276" w:lineRule="auto"/>
              <w:ind w:left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kern w:val="0"/>
                <w:szCs w:val="21"/>
                <w:highlight w:val="none"/>
                <w:lang w:val="en-US" w:eastAsia="zh-CN"/>
              </w:rPr>
              <w:t>⑥进度未提供或完全不符的，不得分。</w:t>
            </w:r>
          </w:p>
        </w:tc>
        <w:tc>
          <w:tcPr>
            <w:tcW w:w="705" w:type="dxa"/>
            <w:shd w:val="clear" w:color="auto" w:fill="auto"/>
            <w:vAlign w:val="center"/>
          </w:tcPr>
          <w:p w14:paraId="6D1F463F">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0-5分</w:t>
            </w:r>
          </w:p>
        </w:tc>
        <w:tc>
          <w:tcPr>
            <w:tcW w:w="645" w:type="dxa"/>
            <w:vAlign w:val="center"/>
          </w:tcPr>
          <w:p w14:paraId="02FEFCF5">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Align w:val="center"/>
          </w:tcPr>
          <w:p w14:paraId="1C72C8F1">
            <w:pPr>
              <w:snapToGrid w:val="0"/>
              <w:spacing w:line="360" w:lineRule="auto"/>
              <w:jc w:val="center"/>
              <w:rPr>
                <w:rFonts w:hint="default" w:cs="仿宋_GB2312" w:asciiTheme="minorEastAsia" w:hAnsiTheme="minorEastAsia" w:eastAsiaTheme="minorEastAsia"/>
                <w:color w:val="auto"/>
                <w:sz w:val="24"/>
                <w:highlight w:val="none"/>
                <w:lang w:val="en-US"/>
              </w:rPr>
            </w:pPr>
            <w:r>
              <w:rPr>
                <w:rFonts w:hint="eastAsia" w:cs="仿宋_GB2312" w:asciiTheme="minorEastAsia" w:hAnsiTheme="minorEastAsia" w:eastAsiaTheme="minorEastAsia"/>
                <w:color w:val="auto"/>
                <w:sz w:val="24"/>
                <w:highlight w:val="none"/>
                <w:lang w:val="en-US" w:eastAsia="zh-CN"/>
              </w:rPr>
              <w:t>应急响应服务方案</w:t>
            </w:r>
          </w:p>
        </w:tc>
      </w:tr>
      <w:tr w14:paraId="20964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4354793E">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13</w:t>
            </w:r>
          </w:p>
        </w:tc>
        <w:tc>
          <w:tcPr>
            <w:tcW w:w="5400" w:type="dxa"/>
            <w:shd w:val="clear" w:color="auto" w:fill="auto"/>
            <w:vAlign w:val="center"/>
          </w:tcPr>
          <w:p w14:paraId="54C80617">
            <w:pPr>
              <w:spacing w:line="276"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根据</w:t>
            </w:r>
            <w:r>
              <w:rPr>
                <w:rFonts w:hint="eastAsia" w:ascii="宋体" w:hAnsi="宋体" w:eastAsia="宋体" w:cs="宋体"/>
                <w:color w:val="auto"/>
                <w:szCs w:val="21"/>
                <w:highlight w:val="none"/>
                <w:lang w:val="en" w:eastAsia="zh-CN"/>
              </w:rPr>
              <w:t>投标人</w:t>
            </w:r>
            <w:r>
              <w:rPr>
                <w:rFonts w:hint="eastAsia" w:ascii="宋体" w:hAnsi="宋体" w:eastAsia="宋体" w:cs="宋体"/>
                <w:color w:val="auto"/>
                <w:szCs w:val="21"/>
                <w:highlight w:val="none"/>
                <w:lang w:val="en-US" w:eastAsia="zh-CN"/>
              </w:rPr>
              <w:t>提供的售后服务方案、售后服务承诺的可行性、完整性、服务承诺落实的保障措施，尤其是在评估报告有效期内的承诺情况，能提供快速的售后服务响应时间以及在评估报告有效期内外的后续技术支持能力情况等,由评审专家综合比较打分：</w:t>
            </w:r>
          </w:p>
          <w:p w14:paraId="1E344574">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①</w:t>
            </w:r>
            <w:r>
              <w:rPr>
                <w:rFonts w:hint="eastAsia" w:ascii="宋体" w:hAnsi="宋体" w:eastAsia="宋体" w:cs="宋体"/>
                <w:color w:val="auto"/>
                <w:szCs w:val="21"/>
                <w:highlight w:val="none"/>
                <w:lang w:val="en-US" w:eastAsia="zh-CN"/>
              </w:rPr>
              <w:t>服务</w:t>
            </w:r>
            <w:r>
              <w:rPr>
                <w:rFonts w:hint="eastAsia" w:ascii="宋体" w:hAnsi="宋体" w:eastAsia="宋体" w:cs="宋体"/>
                <w:kern w:val="0"/>
                <w:szCs w:val="21"/>
                <w:highlight w:val="none"/>
                <w:lang w:val="en-US" w:eastAsia="zh-CN"/>
              </w:rPr>
              <w:t>方案完全满足需求得5分；</w:t>
            </w:r>
          </w:p>
          <w:p w14:paraId="7268AE74">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②服务方案考虑较充分措施较有效得4分；</w:t>
            </w:r>
          </w:p>
          <w:p w14:paraId="3F4E0699">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③服务方案内容一般得3分；</w:t>
            </w:r>
          </w:p>
          <w:p w14:paraId="2698ED32">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④服务方案内容简单的的2分；</w:t>
            </w:r>
          </w:p>
          <w:p w14:paraId="203AE6C2">
            <w:pPr>
              <w:numPr>
                <w:ilvl w:val="0"/>
                <w:numId w:val="0"/>
              </w:numPr>
              <w:spacing w:line="276" w:lineRule="auto"/>
              <w:ind w:leftChars="0"/>
              <w:jc w:val="both"/>
              <w:rPr>
                <w:rFonts w:hint="eastAsia"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⑤服务方案内容有缺失，可行性不高的得1分；</w:t>
            </w:r>
          </w:p>
          <w:p w14:paraId="11EB6F60">
            <w:pPr>
              <w:spacing w:line="276" w:lineRule="auto"/>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kern w:val="0"/>
                <w:szCs w:val="21"/>
                <w:highlight w:val="none"/>
                <w:lang w:val="en-US" w:eastAsia="zh-CN"/>
              </w:rPr>
              <w:t>⑥进度未提供或完全不符的，不得分。</w:t>
            </w:r>
          </w:p>
        </w:tc>
        <w:tc>
          <w:tcPr>
            <w:tcW w:w="705" w:type="dxa"/>
            <w:shd w:val="clear" w:color="auto" w:fill="auto"/>
            <w:vAlign w:val="center"/>
          </w:tcPr>
          <w:p w14:paraId="09763C94">
            <w:pPr>
              <w:spacing w:line="276"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0-5分</w:t>
            </w:r>
          </w:p>
        </w:tc>
        <w:tc>
          <w:tcPr>
            <w:tcW w:w="645" w:type="dxa"/>
            <w:vAlign w:val="center"/>
          </w:tcPr>
          <w:p w14:paraId="1CA95D3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主观分</w:t>
            </w:r>
          </w:p>
        </w:tc>
        <w:tc>
          <w:tcPr>
            <w:tcW w:w="1016" w:type="dxa"/>
            <w:vAlign w:val="center"/>
          </w:tcPr>
          <w:p w14:paraId="28B8428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售后服务保障方案</w:t>
            </w:r>
          </w:p>
        </w:tc>
      </w:tr>
      <w:tr w14:paraId="2F35B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vAlign w:val="center"/>
          </w:tcPr>
          <w:p w14:paraId="7099FBF2">
            <w:pPr>
              <w:snapToGrid w:val="0"/>
              <w:spacing w:line="360" w:lineRule="auto"/>
              <w:jc w:val="center"/>
              <w:rPr>
                <w:rFonts w:cs="仿宋_GB2312" w:asciiTheme="minorEastAsia" w:hAnsiTheme="minorEastAsia" w:eastAsiaTheme="minorEastAsia"/>
                <w:color w:val="auto"/>
                <w:sz w:val="24"/>
                <w:highlight w:val="none"/>
              </w:rPr>
            </w:pPr>
          </w:p>
        </w:tc>
        <w:tc>
          <w:tcPr>
            <w:tcW w:w="5400" w:type="dxa"/>
          </w:tcPr>
          <w:p w14:paraId="6F514C5E">
            <w:pPr>
              <w:keepNext w:val="0"/>
              <w:keepLines w:val="0"/>
              <w:pageBreakBefore w:val="0"/>
              <w:kinsoku/>
              <w:wordWrap/>
              <w:overflowPunct/>
              <w:topLinePunct w:val="0"/>
              <w:autoSpaceDE/>
              <w:autoSpaceDN/>
              <w:bidi w:val="0"/>
              <w:snapToGrid/>
              <w:spacing w:line="240" w:lineRule="auto"/>
              <w:ind w:firstLine="0"/>
              <w:textAlignment w:val="auto"/>
              <w:outlineLvl w:val="0"/>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有效投标报价的最低价作为评标基准价，其最低报价为满分；按［投标报价得分</w:t>
            </w:r>
            <w:r>
              <w:rPr>
                <w:rFonts w:cs="仿宋_GB2312" w:asciiTheme="minorEastAsia" w:hAnsiTheme="minorEastAsia" w:eastAsiaTheme="minorEastAsia"/>
                <w:color w:val="auto"/>
                <w:sz w:val="21"/>
                <w:szCs w:val="21"/>
                <w:highlight w:val="none"/>
              </w:rPr>
              <w:t>=（评标基准价/投标报价）*</w:t>
            </w:r>
            <w:r>
              <w:rPr>
                <w:rFonts w:hint="eastAsia" w:cs="仿宋_GB2312" w:asciiTheme="minorEastAsia" w:hAnsiTheme="minorEastAsia" w:eastAsiaTheme="minorEastAsia"/>
                <w:color w:val="auto"/>
                <w:sz w:val="21"/>
                <w:szCs w:val="21"/>
                <w:highlight w:val="none"/>
              </w:rPr>
              <w:t>权重</w:t>
            </w:r>
            <w:r>
              <w:rPr>
                <w:rFonts w:cs="仿宋_GB2312" w:asciiTheme="minorEastAsia" w:hAnsiTheme="minorEastAsia" w:eastAsiaTheme="minorEastAsia"/>
                <w:color w:val="auto"/>
                <w:sz w:val="21"/>
                <w:szCs w:val="21"/>
                <w:highlight w:val="none"/>
              </w:rPr>
              <w:t>］的计算公式计算。</w:t>
            </w:r>
          </w:p>
          <w:p w14:paraId="6DA66EE0">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0"/>
              <w:jc w:val="left"/>
              <w:textAlignment w:val="auto"/>
              <w:rPr>
                <w:rFonts w:cs="仿宋_GB2312" w:asciiTheme="minorEastAsia" w:hAnsiTheme="minorEastAsia" w:eastAsiaTheme="minorEastAsia"/>
                <w:color w:val="auto"/>
                <w:sz w:val="21"/>
                <w:szCs w:val="21"/>
                <w:highlight w:val="none"/>
              </w:rPr>
            </w:pPr>
            <w:r>
              <w:rPr>
                <w:rFonts w:cs="仿宋_GB2312" w:asciiTheme="minorEastAsia" w:hAnsiTheme="minorEastAsia" w:eastAsiaTheme="minorEastAsia"/>
                <w:color w:val="auto"/>
                <w:sz w:val="21"/>
                <w:szCs w:val="21"/>
                <w:highlight w:val="none"/>
              </w:rPr>
              <w:t>评标过程中，不得去掉报价中的最高报价和最低报价。</w:t>
            </w:r>
          </w:p>
          <w:p w14:paraId="780CC4CC">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0"/>
              <w:jc w:val="left"/>
              <w:textAlignment w:val="auto"/>
              <w:rPr>
                <w:rFonts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对于未预留份额专门面向中小企业的政府采购服务项目，以及预留份额政府采购服务项目中的非预留部分标项，对小型和微型企业的投标报价给予</w:t>
            </w:r>
            <w:r>
              <w:rPr>
                <w:rFonts w:hint="eastAsia" w:cs="仿宋_GB2312" w:asciiTheme="minorEastAsia" w:hAnsiTheme="minorEastAsia" w:eastAsiaTheme="minorEastAsia"/>
                <w:color w:val="auto"/>
                <w:sz w:val="21"/>
                <w:szCs w:val="21"/>
                <w:highlight w:val="none"/>
                <w:lang w:val="en-US" w:eastAsia="zh-CN"/>
              </w:rPr>
              <w:t>10</w:t>
            </w:r>
            <w:r>
              <w:rPr>
                <w:rFonts w:hint="eastAsia" w:cs="仿宋_GB2312" w:asciiTheme="minorEastAsia" w:hAnsiTheme="minorEastAsia" w:eastAsiaTheme="minorEastAsia"/>
                <w:color w:val="auto"/>
                <w:sz w:val="21"/>
                <w:szCs w:val="21"/>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color w:val="auto"/>
                <w:sz w:val="21"/>
                <w:szCs w:val="21"/>
                <w:highlight w:val="none"/>
                <w:lang w:val="en-US" w:eastAsia="zh-CN"/>
              </w:rPr>
              <w:t>4</w:t>
            </w:r>
            <w:r>
              <w:rPr>
                <w:rFonts w:hint="eastAsia" w:cs="仿宋_GB2312" w:asciiTheme="minorEastAsia" w:hAnsiTheme="minorEastAsia" w:eastAsiaTheme="minorEastAsia"/>
                <w:color w:val="auto"/>
                <w:sz w:val="21"/>
                <w:szCs w:val="21"/>
                <w:highlight w:val="none"/>
              </w:rPr>
              <w:t>%的扣除，用扣除后的价格参加评审</w:t>
            </w:r>
            <w:r>
              <w:rPr>
                <w:rFonts w:cs="仿宋_GB2312" w:asciiTheme="minorEastAsia" w:hAnsiTheme="minorEastAsia" w:eastAsiaTheme="minorEastAsia"/>
                <w:color w:val="auto"/>
                <w:sz w:val="21"/>
                <w:szCs w:val="21"/>
                <w:highlight w:val="none"/>
              </w:rPr>
              <w:t>。</w:t>
            </w:r>
          </w:p>
        </w:tc>
        <w:tc>
          <w:tcPr>
            <w:tcW w:w="705" w:type="dxa"/>
            <w:vAlign w:val="center"/>
          </w:tcPr>
          <w:p w14:paraId="19D9D845">
            <w:pPr>
              <w:spacing w:line="360" w:lineRule="auto"/>
              <w:jc w:val="center"/>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645" w:type="dxa"/>
            <w:vAlign w:val="center"/>
          </w:tcPr>
          <w:p w14:paraId="61C9E4D3">
            <w:pPr>
              <w:spacing w:line="360" w:lineRule="auto"/>
              <w:jc w:val="center"/>
              <w:outlineLvl w:val="0"/>
              <w:rPr>
                <w:rFonts w:cs="仿宋_GB2312" w:asciiTheme="minorEastAsia" w:hAnsiTheme="minorEastAsia" w:eastAsiaTheme="minorEastAsia"/>
                <w:color w:val="auto"/>
                <w:sz w:val="24"/>
                <w:highlight w:val="none"/>
              </w:rPr>
            </w:pPr>
          </w:p>
        </w:tc>
        <w:tc>
          <w:tcPr>
            <w:tcW w:w="1016" w:type="dxa"/>
            <w:vAlign w:val="center"/>
          </w:tcPr>
          <w:p w14:paraId="1D5B8451">
            <w:pPr>
              <w:spacing w:line="360" w:lineRule="auto"/>
              <w:jc w:val="center"/>
              <w:outlineLvl w:val="0"/>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r>
    </w:tbl>
    <w:p w14:paraId="40C36696">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6"/>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6D191506">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3"/>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28855"/>
      <w:bookmarkStart w:id="396" w:name="_Toc19273"/>
      <w:bookmarkStart w:id="397" w:name="_Toc15367"/>
      <w:bookmarkStart w:id="398" w:name="_Toc20421"/>
      <w:bookmarkStart w:id="399"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6311"/>
      <w:bookmarkStart w:id="401" w:name="_Toc6773"/>
      <w:bookmarkStart w:id="402" w:name="_Toc22185"/>
      <w:bookmarkStart w:id="403" w:name="_Toc18585"/>
      <w:bookmarkStart w:id="404" w:name="_Toc2918"/>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13918"/>
      <w:bookmarkStart w:id="406" w:name="_Toc21124"/>
      <w:bookmarkStart w:id="407" w:name="_Toc4929"/>
      <w:bookmarkStart w:id="408" w:name="_Toc5635"/>
      <w:bookmarkStart w:id="409"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3654"/>
      <w:bookmarkStart w:id="411" w:name="_Toc26916"/>
      <w:bookmarkStart w:id="412" w:name="_Toc30158"/>
      <w:bookmarkStart w:id="413" w:name="_Toc14993"/>
      <w:bookmarkStart w:id="414" w:name="_Toc3050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3"/>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0"/>
        <w:spacing w:before="0" w:beforeAutospacing="0" w:after="0" w:afterAutospacing="0" w:line="360" w:lineRule="auto"/>
        <w:ind w:firstLine="480"/>
        <w:rPr>
          <w:b/>
          <w:color w:val="auto"/>
          <w:highlight w:val="none"/>
        </w:rPr>
      </w:pPr>
      <w:bookmarkStart w:id="415" w:name="_Toc22618"/>
      <w:bookmarkStart w:id="416" w:name="_Toc1814"/>
      <w:bookmarkStart w:id="417" w:name="_Toc10340"/>
      <w:bookmarkStart w:id="418" w:name="_Toc31421"/>
      <w:bookmarkStart w:id="419" w:name="_Toc11108"/>
      <w:bookmarkStart w:id="420" w:name="_Toc4760"/>
      <w:bookmarkStart w:id="421" w:name="_Toc3625"/>
      <w:bookmarkStart w:id="422" w:name="_Toc8772"/>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8586"/>
      <w:bookmarkStart w:id="424" w:name="_Toc24662"/>
      <w:bookmarkStart w:id="425" w:name="_Toc3079"/>
      <w:bookmarkStart w:id="426" w:name="_Toc2375"/>
      <w:bookmarkStart w:id="427" w:name="_Toc5698"/>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18683"/>
      <w:bookmarkStart w:id="429" w:name="_Toc30329"/>
      <w:bookmarkStart w:id="430" w:name="_Toc32454"/>
      <w:bookmarkStart w:id="431" w:name="_Toc9497"/>
      <w:bookmarkStart w:id="432" w:name="_Toc2680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28375"/>
      <w:bookmarkStart w:id="434" w:name="_Toc16021"/>
      <w:bookmarkStart w:id="435" w:name="_Toc15583"/>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5322"/>
      <w:bookmarkStart w:id="437" w:name="_Toc11173"/>
      <w:bookmarkStart w:id="438" w:name="_Toc7245"/>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5228"/>
      <w:bookmarkStart w:id="440" w:name="_Toc25079"/>
      <w:bookmarkStart w:id="441" w:name="_Toc31297"/>
      <w:bookmarkStart w:id="442" w:name="_Toc19680"/>
      <w:bookmarkStart w:id="443" w:name="_Toc14021"/>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31402"/>
      <w:bookmarkStart w:id="445" w:name="_Toc16752"/>
      <w:bookmarkStart w:id="446" w:name="_Toc23289"/>
      <w:bookmarkStart w:id="447" w:name="_Toc3769"/>
      <w:bookmarkStart w:id="448" w:name="_Toc19539"/>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4133"/>
      <w:bookmarkStart w:id="450" w:name="_Toc13673"/>
      <w:bookmarkStart w:id="451" w:name="_Toc9161"/>
      <w:bookmarkStart w:id="452" w:name="_Toc27945"/>
      <w:bookmarkStart w:id="453" w:name="_Toc12412"/>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31233"/>
      <w:bookmarkStart w:id="455" w:name="_Toc22011"/>
      <w:bookmarkStart w:id="456" w:name="_Toc32670"/>
      <w:bookmarkStart w:id="457" w:name="_Toc15447"/>
      <w:bookmarkStart w:id="458" w:name="_Toc26555"/>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3467"/>
      <w:bookmarkStart w:id="460" w:name="_Toc18990"/>
      <w:bookmarkStart w:id="461" w:name="_Toc13154"/>
      <w:bookmarkStart w:id="462" w:name="_Toc30507"/>
      <w:bookmarkStart w:id="463" w:name="_Toc16163"/>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23368"/>
      <w:bookmarkStart w:id="468" w:name="_Toc10663"/>
      <w:bookmarkStart w:id="469" w:name="_Toc21830"/>
      <w:bookmarkStart w:id="470" w:name="_Toc26689"/>
      <w:bookmarkStart w:id="471" w:name="_Toc42"/>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25571"/>
      <w:bookmarkStart w:id="473" w:name="_Toc26633"/>
      <w:bookmarkStart w:id="474" w:name="_Toc4720"/>
      <w:bookmarkStart w:id="475" w:name="_Toc32494"/>
      <w:bookmarkStart w:id="476" w:name="_Toc14371"/>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25783"/>
      <w:bookmarkStart w:id="478" w:name="_Toc3638"/>
      <w:bookmarkStart w:id="479" w:name="_Toc23854"/>
      <w:bookmarkStart w:id="480" w:name="_Toc24465"/>
      <w:bookmarkStart w:id="481" w:name="_Toc14115"/>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7315"/>
      <w:bookmarkStart w:id="483" w:name="_Toc14814"/>
      <w:bookmarkStart w:id="484" w:name="_Toc30105"/>
      <w:bookmarkStart w:id="485" w:name="_Toc26883"/>
      <w:bookmarkStart w:id="486" w:name="_Toc2552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2016"/>
      <w:bookmarkStart w:id="488" w:name="_Toc23323"/>
      <w:bookmarkStart w:id="489" w:name="_Toc1123"/>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7363"/>
      <w:bookmarkStart w:id="491" w:name="_Toc14525"/>
      <w:bookmarkStart w:id="492" w:name="_Toc1969"/>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9808"/>
      <w:bookmarkStart w:id="494" w:name="_Toc12666"/>
      <w:bookmarkStart w:id="495" w:name="_Toc31892"/>
      <w:bookmarkStart w:id="496" w:name="_Toc25198"/>
      <w:bookmarkStart w:id="497" w:name="_Toc2308"/>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18401"/>
      <w:bookmarkStart w:id="499"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27644"/>
      <w:bookmarkStart w:id="501" w:name="_Toc28906"/>
      <w:bookmarkStart w:id="502" w:name="_Toc20808"/>
      <w:bookmarkStart w:id="503" w:name="_Toc12254"/>
      <w:bookmarkStart w:id="504" w:name="_Toc5063"/>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30599"/>
      <w:bookmarkStart w:id="506" w:name="_Toc4355"/>
      <w:bookmarkStart w:id="507" w:name="_Toc18540"/>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1.3.2</w:t>
            </w:r>
          </w:p>
        </w:tc>
        <w:tc>
          <w:tcPr>
            <w:tcW w:w="8149" w:type="dxa"/>
            <w:shd w:val="clear" w:color="auto" w:fill="auto"/>
            <w:vAlign w:val="center"/>
          </w:tcPr>
          <w:p w14:paraId="304DB868">
            <w:pPr>
              <w:pStyle w:val="23"/>
              <w:keepNext w:val="0"/>
              <w:keepLines w:val="0"/>
              <w:pageBreakBefore w:val="0"/>
              <w:kinsoku/>
              <w:wordWrap/>
              <w:overflowPunct/>
              <w:topLinePunct w:val="0"/>
              <w:bidi w:val="0"/>
              <w:spacing w:line="240" w:lineRule="auto"/>
              <w:ind w:right="0" w:rightChars="0"/>
              <w:rPr>
                <w:rFonts w:ascii="宋体" w:hAnsi="宋体" w:eastAsia="宋体" w:cs="Times New Roman"/>
                <w:snapToGrid/>
                <w:color w:val="auto"/>
                <w:kern w:val="2"/>
                <w:sz w:val="21"/>
                <w:szCs w:val="21"/>
                <w:highlight w:val="none"/>
                <w:lang w:val="en-US" w:eastAsia="zh-CN" w:bidi="ar-SA"/>
              </w:rPr>
            </w:pPr>
            <w:r>
              <w:rPr>
                <w:rFonts w:hint="eastAsia" w:ascii="宋体" w:hAnsi="宋体" w:eastAsia="宋体" w:cs="Times New Roman"/>
                <w:snapToGrid/>
                <w:color w:val="auto"/>
                <w:kern w:val="2"/>
                <w:sz w:val="21"/>
                <w:szCs w:val="21"/>
                <w:highlight w:val="none"/>
                <w:lang w:val="en-US" w:eastAsia="zh-CN" w:bidi="ar-SA"/>
              </w:rPr>
              <w:t>按业主单位指定要求。</w:t>
            </w: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1.4.2</w:t>
            </w:r>
          </w:p>
        </w:tc>
        <w:tc>
          <w:tcPr>
            <w:tcW w:w="8149" w:type="dxa"/>
            <w:shd w:val="clear" w:color="auto" w:fill="auto"/>
            <w:vAlign w:val="center"/>
          </w:tcPr>
          <w:p w14:paraId="7791C121">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本项目收取履约保证金</w:t>
            </w:r>
            <w:r>
              <w:rPr>
                <w:rFonts w:hint="eastAsia" w:ascii="宋体" w:hAnsi="宋体" w:cs="Times New Roman"/>
                <w:color w:val="auto"/>
                <w:kern w:val="2"/>
                <w:sz w:val="21"/>
                <w:szCs w:val="21"/>
                <w:highlight w:val="none"/>
                <w:lang w:val="en-US" w:eastAsia="zh-CN" w:bidi="ar-SA"/>
              </w:rPr>
              <w:t>：中标价的1%</w:t>
            </w:r>
            <w:r>
              <w:rPr>
                <w:rFonts w:hint="eastAsia" w:ascii="宋体" w:hAnsi="宋体" w:eastAsia="宋体" w:cs="Times New Roman"/>
                <w:color w:val="auto"/>
                <w:kern w:val="2"/>
                <w:sz w:val="21"/>
                <w:szCs w:val="21"/>
                <w:highlight w:val="none"/>
                <w:lang w:val="en-US" w:eastAsia="zh-CN" w:bidi="ar-SA"/>
              </w:rPr>
              <w:t>。</w:t>
            </w: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shd w:val="clear" w:color="auto" w:fill="auto"/>
            <w:vAlign w:val="center"/>
          </w:tcPr>
          <w:p w14:paraId="4F7069E5">
            <w:pPr>
              <w:keepNext w:val="0"/>
              <w:keepLines w:val="0"/>
              <w:pageBreakBefore w:val="0"/>
              <w:kinsoku/>
              <w:wordWrap/>
              <w:overflowPunct/>
              <w:topLinePunct w:val="0"/>
              <w:bidi w:val="0"/>
              <w:spacing w:line="240" w:lineRule="auto"/>
              <w:ind w:right="0" w:rightChars="0"/>
              <w:rPr>
                <w:rFonts w:hint="default"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w:t>
            </w: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1.5.2</w:t>
            </w:r>
          </w:p>
        </w:tc>
        <w:tc>
          <w:tcPr>
            <w:tcW w:w="8149" w:type="dxa"/>
            <w:shd w:val="clear" w:color="auto" w:fill="auto"/>
            <w:vAlign w:val="center"/>
          </w:tcPr>
          <w:p w14:paraId="4AA1D5F3">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w:t>
            </w: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shd w:val="clear" w:color="auto" w:fill="auto"/>
            <w:vAlign w:val="center"/>
          </w:tcPr>
          <w:p w14:paraId="601A43BA">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w:t>
            </w: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1.6.2</w:t>
            </w:r>
          </w:p>
        </w:tc>
        <w:tc>
          <w:tcPr>
            <w:tcW w:w="8149" w:type="dxa"/>
            <w:shd w:val="clear" w:color="auto" w:fill="auto"/>
            <w:vAlign w:val="center"/>
          </w:tcPr>
          <w:p w14:paraId="31D42319">
            <w:pPr>
              <w:keepNext w:val="0"/>
              <w:keepLines w:val="0"/>
              <w:pageBreakBefore w:val="0"/>
              <w:tabs>
                <w:tab w:val="left" w:pos="0"/>
              </w:tabs>
              <w:kinsoku/>
              <w:wordWrap/>
              <w:overflowPunct/>
              <w:topLinePunct w:val="0"/>
              <w:bidi w:val="0"/>
              <w:snapToGrid w:val="0"/>
              <w:spacing w:line="240" w:lineRule="auto"/>
              <w:ind w:right="0" w:rightChars="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根据实际的作业图斑量进行结算，结算总额不得超过200万元；实际的作业图斑量由第三方资质单位进行统计，作为支付依据；若项目实际总量超过该预算的，不再另加费用，但仍须按要求完成项目任务。</w:t>
            </w: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1.7.1</w:t>
            </w:r>
          </w:p>
        </w:tc>
        <w:tc>
          <w:tcPr>
            <w:tcW w:w="8149" w:type="dxa"/>
            <w:shd w:val="clear" w:color="auto" w:fill="auto"/>
            <w:vAlign w:val="center"/>
          </w:tcPr>
          <w:p w14:paraId="5B41A289">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按业主单位指定要求。</w:t>
            </w: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1.7.2</w:t>
            </w:r>
          </w:p>
        </w:tc>
        <w:tc>
          <w:tcPr>
            <w:tcW w:w="8149" w:type="dxa"/>
            <w:shd w:val="clear" w:color="auto" w:fill="auto"/>
            <w:vAlign w:val="center"/>
          </w:tcPr>
          <w:p w14:paraId="70E5ED3A">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按业主单位指定要求。</w:t>
            </w: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shd w:val="clear" w:color="auto" w:fill="auto"/>
            <w:vAlign w:val="center"/>
          </w:tcPr>
          <w:p w14:paraId="7261FC83">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ascii="宋体" w:hAnsi="宋体" w:eastAsia="宋体" w:cs="Times New Roman"/>
                <w:color w:val="auto"/>
                <w:kern w:val="2"/>
                <w:sz w:val="21"/>
                <w:szCs w:val="21"/>
                <w:highlight w:val="none"/>
                <w:lang w:val="en-US" w:eastAsia="zh-CN" w:bidi="ar-SA"/>
              </w:rPr>
              <w:t>乙方在甲方规定时间内完成</w:t>
            </w:r>
            <w:r>
              <w:rPr>
                <w:rFonts w:hint="eastAsia" w:ascii="宋体" w:hAnsi="宋体" w:eastAsia="宋体" w:cs="Times New Roman"/>
                <w:color w:val="auto"/>
                <w:kern w:val="2"/>
                <w:sz w:val="21"/>
                <w:szCs w:val="21"/>
                <w:highlight w:val="none"/>
                <w:lang w:val="en-US" w:eastAsia="zh-CN" w:bidi="ar-SA"/>
              </w:rPr>
              <w:t>。</w:t>
            </w: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1.7.4.1</w:t>
            </w:r>
          </w:p>
        </w:tc>
        <w:tc>
          <w:tcPr>
            <w:tcW w:w="8149" w:type="dxa"/>
            <w:shd w:val="clear" w:color="auto" w:fill="auto"/>
            <w:vAlign w:val="center"/>
          </w:tcPr>
          <w:p w14:paraId="6490AB55">
            <w:pPr>
              <w:pStyle w:val="965"/>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right="0" w:rightChars="0" w:firstLine="0" w:firstLineChars="0"/>
              <w:textAlignment w:val="auto"/>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服务期限：根据国家和省、市的调查要求，完成年度国土变更调查及日常变更等各项任务，并在2025年底进行成果数据总更新。</w:t>
            </w: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1.7.4.2</w:t>
            </w:r>
          </w:p>
        </w:tc>
        <w:tc>
          <w:tcPr>
            <w:tcW w:w="8149" w:type="dxa"/>
            <w:shd w:val="clear" w:color="auto" w:fill="auto"/>
            <w:vAlign w:val="center"/>
          </w:tcPr>
          <w:p w14:paraId="3A43FF54">
            <w:pPr>
              <w:pStyle w:val="966"/>
              <w:keepNext w:val="0"/>
              <w:keepLines w:val="0"/>
              <w:pageBreakBefore w:val="0"/>
              <w:widowControl/>
              <w:kinsoku/>
              <w:wordWrap/>
              <w:overflowPunct/>
              <w:topLinePunct w:val="0"/>
              <w:bidi w:val="0"/>
              <w:spacing w:line="240" w:lineRule="auto"/>
              <w:ind w:right="0" w:rightChars="0" w:firstLine="0" w:firstLineChars="0"/>
              <w:textAlignment w:val="baseline"/>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按业主单位指定要求。</w:t>
            </w: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1.7.4.3</w:t>
            </w:r>
          </w:p>
        </w:tc>
        <w:tc>
          <w:tcPr>
            <w:tcW w:w="8149" w:type="dxa"/>
            <w:shd w:val="clear" w:color="auto" w:fill="auto"/>
            <w:vAlign w:val="top"/>
          </w:tcPr>
          <w:p w14:paraId="24FED585">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 w:val="21"/>
                <w:szCs w:val="21"/>
                <w:highlight w:val="none"/>
              </w:rPr>
              <w:t>按业主单位指定要求。</w:t>
            </w: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shd w:val="clear" w:color="auto" w:fill="auto"/>
            <w:vAlign w:val="center"/>
          </w:tcPr>
          <w:p w14:paraId="475F6F49">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ascii="宋体" w:hAnsi="宋体" w:eastAsia="宋体" w:cs="Times New Roman"/>
                <w:color w:val="auto"/>
                <w:sz w:val="21"/>
                <w:szCs w:val="21"/>
                <w:highlight w:val="none"/>
              </w:rPr>
              <w:t>除不可抗力外，如果乙方没有按照本合同约定的期限</w:t>
            </w:r>
            <w:r>
              <w:rPr>
                <w:rFonts w:hint="eastAsia" w:ascii="宋体" w:hAnsi="宋体" w:eastAsia="宋体" w:cs="Times New Roman"/>
                <w:color w:val="auto"/>
                <w:sz w:val="21"/>
                <w:szCs w:val="21"/>
                <w:highlight w:val="none"/>
              </w:rPr>
              <w:t>、</w:t>
            </w:r>
            <w:r>
              <w:rPr>
                <w:rFonts w:ascii="宋体" w:hAnsi="宋体" w:eastAsia="宋体" w:cs="Times New Roman"/>
                <w:color w:val="auto"/>
                <w:sz w:val="21"/>
                <w:szCs w:val="21"/>
                <w:highlight w:val="none"/>
              </w:rPr>
              <w:t>地点和方式</w:t>
            </w:r>
            <w:r>
              <w:rPr>
                <w:rFonts w:hint="eastAsia" w:ascii="宋体" w:hAnsi="宋体" w:eastAsia="宋体" w:cs="Times New Roman"/>
                <w:color w:val="auto"/>
                <w:sz w:val="21"/>
                <w:szCs w:val="21"/>
                <w:highlight w:val="none"/>
              </w:rPr>
              <w:t>交付服务成果或者实施服务</w:t>
            </w:r>
            <w:r>
              <w:rPr>
                <w:rFonts w:ascii="宋体" w:hAnsi="宋体" w:eastAsia="宋体" w:cs="Times New Roman"/>
                <w:color w:val="auto"/>
                <w:sz w:val="21"/>
                <w:szCs w:val="21"/>
                <w:highlight w:val="none"/>
              </w:rPr>
              <w:t>，那么甲方可要求乙方支付违约金</w:t>
            </w:r>
            <w:r>
              <w:rPr>
                <w:rFonts w:hint="eastAsia" w:ascii="宋体" w:hAnsi="宋体" w:eastAsia="宋体" w:cs="Times New Roman"/>
                <w:color w:val="auto"/>
                <w:sz w:val="21"/>
                <w:szCs w:val="21"/>
                <w:highlight w:val="none"/>
              </w:rPr>
              <w:t>，迟延履行</w:t>
            </w:r>
            <w:r>
              <w:rPr>
                <w:rFonts w:ascii="宋体" w:hAnsi="宋体" w:eastAsia="宋体" w:cs="Times New Roman"/>
                <w:color w:val="auto"/>
                <w:sz w:val="21"/>
                <w:szCs w:val="21"/>
                <w:highlight w:val="none"/>
              </w:rPr>
              <w:t>违约金按每迟延</w:t>
            </w:r>
            <w:r>
              <w:rPr>
                <w:rFonts w:hint="eastAsia" w:ascii="宋体" w:hAnsi="宋体" w:eastAsia="宋体" w:cs="Times New Roman"/>
                <w:color w:val="auto"/>
                <w:sz w:val="21"/>
                <w:szCs w:val="21"/>
                <w:highlight w:val="none"/>
              </w:rPr>
              <w:t>履行</w:t>
            </w:r>
            <w:r>
              <w:rPr>
                <w:rFonts w:ascii="宋体" w:hAnsi="宋体" w:eastAsia="宋体" w:cs="Times New Roman"/>
                <w:color w:val="auto"/>
                <w:sz w:val="21"/>
                <w:szCs w:val="21"/>
                <w:highlight w:val="none"/>
              </w:rPr>
              <w:t>一日的应提供而未</w:t>
            </w:r>
            <w:r>
              <w:rPr>
                <w:rFonts w:hint="eastAsia" w:ascii="宋体" w:hAnsi="宋体" w:eastAsia="宋体" w:cs="Times New Roman"/>
                <w:color w:val="auto"/>
                <w:sz w:val="21"/>
                <w:szCs w:val="21"/>
                <w:highlight w:val="none"/>
              </w:rPr>
              <w:t>提供</w:t>
            </w:r>
            <w:r>
              <w:rPr>
                <w:rFonts w:ascii="宋体" w:hAnsi="宋体" w:eastAsia="宋体" w:cs="Times New Roman"/>
                <w:color w:val="auto"/>
                <w:sz w:val="21"/>
                <w:szCs w:val="21"/>
                <w:highlight w:val="none"/>
              </w:rPr>
              <w:t>服务价格的</w:t>
            </w:r>
            <w:r>
              <w:rPr>
                <w:rFonts w:hint="eastAsia" w:ascii="宋体" w:hAnsi="宋体" w:eastAsia="宋体" w:cs="Times New Roman"/>
                <w:color w:val="auto"/>
                <w:sz w:val="21"/>
                <w:szCs w:val="21"/>
                <w:highlight w:val="none"/>
              </w:rPr>
              <w:t>0.05</w:t>
            </w:r>
            <w:r>
              <w:rPr>
                <w:rFonts w:ascii="宋体" w:hAnsi="宋体" w:eastAsia="宋体" w:cs="Times New Roman"/>
                <w:color w:val="auto"/>
                <w:sz w:val="21"/>
                <w:szCs w:val="21"/>
                <w:highlight w:val="none"/>
              </w:rPr>
              <w:t xml:space="preserve"> %计算</w:t>
            </w:r>
            <w:r>
              <w:rPr>
                <w:rFonts w:hint="eastAsia" w:ascii="宋体" w:hAnsi="宋体" w:eastAsia="宋体" w:cs="Times New Roman"/>
                <w:color w:val="auto"/>
                <w:sz w:val="21"/>
                <w:szCs w:val="21"/>
                <w:highlight w:val="none"/>
              </w:rPr>
              <w:t>，</w:t>
            </w:r>
            <w:r>
              <w:rPr>
                <w:rFonts w:ascii="宋体" w:hAnsi="宋体" w:eastAsia="宋体" w:cs="Times New Roman"/>
                <w:color w:val="auto"/>
                <w:sz w:val="21"/>
                <w:szCs w:val="21"/>
                <w:highlight w:val="none"/>
              </w:rPr>
              <w:t>最高限额为</w:t>
            </w:r>
            <w:r>
              <w:rPr>
                <w:rFonts w:hint="eastAsia" w:ascii="宋体" w:hAnsi="宋体" w:eastAsia="宋体" w:cs="Times New Roman"/>
                <w:color w:val="auto"/>
                <w:sz w:val="21"/>
                <w:szCs w:val="21"/>
                <w:highlight w:val="none"/>
              </w:rPr>
              <w:t>本</w:t>
            </w:r>
            <w:r>
              <w:rPr>
                <w:rFonts w:ascii="宋体" w:hAnsi="宋体" w:eastAsia="宋体" w:cs="Times New Roman"/>
                <w:color w:val="auto"/>
                <w:sz w:val="21"/>
                <w:szCs w:val="21"/>
                <w:highlight w:val="none"/>
              </w:rPr>
              <w:t>合同总价的 20 %</w:t>
            </w:r>
            <w:r>
              <w:rPr>
                <w:rFonts w:hint="eastAsia" w:ascii="宋体" w:hAnsi="宋体" w:eastAsia="宋体" w:cs="Times New Roman"/>
                <w:color w:val="auto"/>
                <w:sz w:val="21"/>
                <w:szCs w:val="21"/>
                <w:highlight w:val="none"/>
              </w:rPr>
              <w:t>；</w:t>
            </w:r>
            <w:r>
              <w:rPr>
                <w:rFonts w:ascii="宋体" w:hAnsi="宋体" w:eastAsia="宋体" w:cs="Times New Roman"/>
                <w:color w:val="auto"/>
                <w:sz w:val="21"/>
                <w:szCs w:val="21"/>
                <w:highlight w:val="none"/>
              </w:rPr>
              <w:t>迟延</w:t>
            </w:r>
            <w:r>
              <w:rPr>
                <w:rFonts w:hint="eastAsia" w:ascii="宋体" w:hAnsi="宋体" w:eastAsia="宋体" w:cs="Times New Roman"/>
                <w:color w:val="auto"/>
                <w:sz w:val="21"/>
                <w:szCs w:val="21"/>
                <w:highlight w:val="none"/>
              </w:rPr>
              <w:t>履行</w:t>
            </w:r>
            <w:r>
              <w:rPr>
                <w:rFonts w:ascii="宋体" w:hAnsi="宋体" w:eastAsia="宋体" w:cs="Times New Roman"/>
                <w:color w:val="auto"/>
                <w:sz w:val="21"/>
                <w:szCs w:val="21"/>
                <w:highlight w:val="none"/>
              </w:rPr>
              <w:t>的违约金计算数额达到前述最高限额之日起</w:t>
            </w:r>
            <w:r>
              <w:rPr>
                <w:rFonts w:hint="eastAsia" w:ascii="宋体" w:hAnsi="宋体" w:eastAsia="宋体" w:cs="Times New Roman"/>
                <w:color w:val="auto"/>
                <w:sz w:val="21"/>
                <w:szCs w:val="21"/>
                <w:highlight w:val="none"/>
              </w:rPr>
              <w:t>，</w:t>
            </w:r>
            <w:r>
              <w:rPr>
                <w:rFonts w:ascii="宋体" w:hAnsi="宋体" w:eastAsia="宋体" w:cs="Times New Roman"/>
                <w:color w:val="auto"/>
                <w:sz w:val="21"/>
                <w:szCs w:val="21"/>
                <w:highlight w:val="none"/>
              </w:rPr>
              <w:t>甲方有权在要求乙方支付违约金的同时</w:t>
            </w:r>
            <w:r>
              <w:rPr>
                <w:rFonts w:hint="eastAsia" w:ascii="宋体" w:hAnsi="宋体" w:eastAsia="宋体" w:cs="Times New Roman"/>
                <w:color w:val="auto"/>
                <w:sz w:val="21"/>
                <w:szCs w:val="21"/>
                <w:highlight w:val="none"/>
              </w:rPr>
              <w:t>，书面通知乙方</w:t>
            </w:r>
            <w:r>
              <w:rPr>
                <w:rFonts w:ascii="宋体" w:hAnsi="宋体" w:eastAsia="宋体" w:cs="Times New Roman"/>
                <w:color w:val="auto"/>
                <w:sz w:val="21"/>
                <w:szCs w:val="21"/>
                <w:highlight w:val="none"/>
              </w:rPr>
              <w:t>解除本合同</w:t>
            </w:r>
            <w:r>
              <w:rPr>
                <w:rFonts w:hint="eastAsia" w:ascii="宋体" w:hAnsi="宋体" w:eastAsia="宋体" w:cs="Times New Roman"/>
                <w:color w:val="auto"/>
                <w:sz w:val="21"/>
                <w:szCs w:val="21"/>
                <w:highlight w:val="none"/>
              </w:rPr>
              <w:t>；</w:t>
            </w: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1.9.1</w:t>
            </w:r>
          </w:p>
        </w:tc>
        <w:tc>
          <w:tcPr>
            <w:tcW w:w="8149" w:type="dxa"/>
            <w:shd w:val="clear" w:color="auto" w:fill="auto"/>
            <w:vAlign w:val="center"/>
          </w:tcPr>
          <w:p w14:paraId="634980CB">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 w:val="21"/>
                <w:szCs w:val="21"/>
                <w:highlight w:val="none"/>
                <w:lang w:val="en-US" w:eastAsia="zh-CN"/>
              </w:rPr>
              <w:t>/</w:t>
            </w: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1.9.2</w:t>
            </w:r>
          </w:p>
        </w:tc>
        <w:tc>
          <w:tcPr>
            <w:tcW w:w="8149" w:type="dxa"/>
            <w:shd w:val="clear" w:color="auto" w:fill="auto"/>
            <w:vAlign w:val="top"/>
          </w:tcPr>
          <w:p w14:paraId="7D8A34B0">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 w:val="21"/>
                <w:szCs w:val="21"/>
                <w:highlight w:val="none"/>
              </w:rPr>
              <w:t>采购文件要求乙方提交履约保证金的，乙方应提交合同价1%的履约保证金约定的方式，以支票、汇票、本票或者金融机构、担保机构出具的保函等非现金形式，提交不超过合同金额1%的履约保证金；鼓励和支持乙方以银行、保险公司出具的保函形式提供履约保证。</w:t>
            </w: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shd w:val="clear" w:color="auto" w:fill="auto"/>
            <w:vAlign w:val="center"/>
          </w:tcPr>
          <w:p w14:paraId="0AE3F9EA">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ascii="宋体" w:hAnsi="宋体" w:eastAsia="宋体" w:cs="Times New Roman"/>
                <w:color w:val="auto"/>
                <w:sz w:val="21"/>
                <w:szCs w:val="21"/>
                <w:highlight w:val="none"/>
                <w:lang w:val="en-US" w:eastAsia="zh-CN"/>
              </w:rPr>
              <w:t>均归属甲方所有</w:t>
            </w: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shd w:val="clear" w:color="auto" w:fill="auto"/>
            <w:vAlign w:val="top"/>
          </w:tcPr>
          <w:p w14:paraId="6761C5ED">
            <w:pPr>
              <w:keepNext w:val="0"/>
              <w:keepLines w:val="0"/>
              <w:pageBreakBefore w:val="0"/>
              <w:kinsoku/>
              <w:wordWrap/>
              <w:overflowPunct/>
              <w:topLinePunct w:val="0"/>
              <w:bidi w:val="0"/>
              <w:spacing w:line="240" w:lineRule="auto"/>
              <w:ind w:right="0" w:rightChars="0"/>
              <w:rPr>
                <w:rFonts w:ascii="宋体" w:hAnsi="宋体" w:eastAsia="宋体" w:cs="Times New Roman"/>
                <w:color w:val="auto"/>
                <w:kern w:val="2"/>
                <w:sz w:val="21"/>
                <w:szCs w:val="21"/>
                <w:highlight w:val="none"/>
                <w:lang w:val="en-US" w:eastAsia="zh-CN" w:bidi="ar-SA"/>
              </w:rPr>
            </w:pPr>
            <w:r>
              <w:rPr>
                <w:rFonts w:ascii="宋体" w:hAnsi="宋体" w:eastAsia="宋体" w:cs="Times New Roman"/>
                <w:color w:val="auto"/>
                <w:sz w:val="21"/>
                <w:szCs w:val="21"/>
                <w:highlight w:val="none"/>
              </w:rPr>
              <w:t>详</w:t>
            </w:r>
            <w:r>
              <w:rPr>
                <w:rFonts w:hint="eastAsia" w:ascii="宋体" w:hAnsi="宋体" w:eastAsia="宋体" w:cs="Times New Roman"/>
                <w:color w:val="auto"/>
                <w:sz w:val="21"/>
                <w:szCs w:val="21"/>
                <w:highlight w:val="none"/>
              </w:rPr>
              <w:t>见合同专用条款。</w:t>
            </w: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shd w:val="clear" w:color="auto" w:fill="auto"/>
            <w:vAlign w:val="top"/>
          </w:tcPr>
          <w:p w14:paraId="19BAD9B3">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 w:val="21"/>
                <w:szCs w:val="21"/>
                <w:highlight w:val="none"/>
              </w:rPr>
              <w:t>因</w:t>
            </w:r>
            <w:r>
              <w:rPr>
                <w:rFonts w:ascii="宋体" w:hAnsi="宋体" w:eastAsia="宋体" w:cs="Times New Roman"/>
                <w:color w:val="auto"/>
                <w:sz w:val="21"/>
                <w:szCs w:val="21"/>
                <w:highlight w:val="none"/>
              </w:rPr>
              <w:t>不可抗力致使合同有变更必要的，双方当事人应在合同约定时间内以书面形式变更合同</w:t>
            </w:r>
            <w:r>
              <w:rPr>
                <w:rFonts w:hint="eastAsia" w:ascii="宋体" w:hAnsi="宋体" w:eastAsia="宋体" w:cs="Times New Roman"/>
                <w:color w:val="auto"/>
                <w:sz w:val="21"/>
                <w:szCs w:val="21"/>
                <w:highlight w:val="none"/>
                <w:lang w:eastAsia="zh-CN"/>
              </w:rPr>
              <w:t>。</w:t>
            </w: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8149" w:type="dxa"/>
            <w:shd w:val="clear" w:color="auto" w:fill="auto"/>
            <w:vAlign w:val="top"/>
          </w:tcPr>
          <w:p w14:paraId="5082AFF0">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ascii="宋体" w:hAnsi="宋体" w:eastAsia="宋体" w:cs="Times New Roman"/>
                <w:color w:val="auto"/>
                <w:sz w:val="21"/>
                <w:szCs w:val="21"/>
                <w:highlight w:val="none"/>
              </w:rPr>
              <w:t>受</w:t>
            </w:r>
            <w:r>
              <w:rPr>
                <w:rFonts w:hint="eastAsia" w:ascii="宋体" w:hAnsi="宋体" w:eastAsia="宋体" w:cs="Times New Roman"/>
                <w:color w:val="auto"/>
                <w:sz w:val="21"/>
                <w:szCs w:val="21"/>
                <w:highlight w:val="none"/>
              </w:rPr>
              <w:t>不可抗力</w:t>
            </w:r>
            <w:r>
              <w:rPr>
                <w:rFonts w:ascii="宋体" w:hAnsi="宋体" w:eastAsia="宋体" w:cs="Times New Roman"/>
                <w:color w:val="auto"/>
                <w:sz w:val="21"/>
                <w:szCs w:val="21"/>
                <w:highlight w:val="none"/>
              </w:rPr>
              <w:t>影响的一方在不可抗力发生后</w:t>
            </w:r>
            <w:r>
              <w:rPr>
                <w:rFonts w:hint="eastAsia" w:ascii="宋体" w:hAnsi="宋体" w:eastAsia="宋体" w:cs="Times New Roman"/>
                <w:color w:val="auto"/>
                <w:sz w:val="21"/>
                <w:szCs w:val="21"/>
                <w:highlight w:val="none"/>
              </w:rPr>
              <w:t>，</w:t>
            </w:r>
            <w:r>
              <w:rPr>
                <w:rFonts w:ascii="宋体" w:hAnsi="宋体" w:eastAsia="宋体" w:cs="Times New Roman"/>
                <w:color w:val="auto"/>
                <w:sz w:val="21"/>
                <w:szCs w:val="21"/>
                <w:highlight w:val="none"/>
              </w:rPr>
              <w:t>应在合同约定时间内以书面形式通知</w:t>
            </w:r>
            <w:r>
              <w:rPr>
                <w:rFonts w:hint="eastAsia" w:ascii="宋体" w:hAnsi="宋体" w:eastAsia="宋体" w:cs="Times New Roman"/>
                <w:color w:val="auto"/>
                <w:sz w:val="21"/>
                <w:szCs w:val="21"/>
                <w:highlight w:val="none"/>
              </w:rPr>
              <w:t>对</w:t>
            </w:r>
            <w:r>
              <w:rPr>
                <w:rFonts w:ascii="宋体" w:hAnsi="宋体" w:eastAsia="宋体" w:cs="Times New Roman"/>
                <w:color w:val="auto"/>
                <w:sz w:val="21"/>
                <w:szCs w:val="21"/>
                <w:highlight w:val="none"/>
              </w:rPr>
              <w:t>方当事人，并在合同约定时间内，将有关部门出具的证明文件送达</w:t>
            </w:r>
            <w:r>
              <w:rPr>
                <w:rFonts w:hint="eastAsia" w:ascii="宋体" w:hAnsi="宋体" w:eastAsia="宋体" w:cs="Times New Roman"/>
                <w:color w:val="auto"/>
                <w:sz w:val="21"/>
                <w:szCs w:val="21"/>
                <w:highlight w:val="none"/>
              </w:rPr>
              <w:t>对方当事人</w:t>
            </w:r>
            <w:r>
              <w:rPr>
                <w:rFonts w:ascii="宋体" w:hAnsi="宋体" w:eastAsia="宋体" w:cs="Times New Roman"/>
                <w:color w:val="auto"/>
                <w:sz w:val="21"/>
                <w:szCs w:val="21"/>
                <w:highlight w:val="none"/>
              </w:rPr>
              <w:t>。</w:t>
            </w: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shd w:val="clear" w:color="auto" w:fill="auto"/>
            <w:vAlign w:val="top"/>
          </w:tcPr>
          <w:p w14:paraId="48C69B9A">
            <w:pPr>
              <w:keepNext w:val="0"/>
              <w:keepLines w:val="0"/>
              <w:pageBreakBefore w:val="0"/>
              <w:widowControl/>
              <w:kinsoku/>
              <w:wordWrap/>
              <w:overflowPunct/>
              <w:topLinePunct w:val="0"/>
              <w:autoSpaceDE/>
              <w:autoSpaceDN/>
              <w:bidi w:val="0"/>
              <w:spacing w:line="240" w:lineRule="auto"/>
              <w:ind w:right="0" w:rightChars="0"/>
              <w:jc w:val="left"/>
              <w:textAlignment w:val="auto"/>
              <w:outlineLvl w:val="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kern w:val="0"/>
                <w:sz w:val="21"/>
                <w:szCs w:val="21"/>
                <w:highlight w:val="none"/>
              </w:rPr>
              <w:t>由中标人电话通知招标人现场验收，并提供现场照片，如招标人接到验收通知后一星期内无异议，作验收合格结论；招标人如对中标人完成情况有异议，应在现场验收之日起七天内提出书面异议。</w:t>
            </w: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shd w:val="clear" w:color="auto" w:fill="auto"/>
            <w:vAlign w:val="top"/>
          </w:tcPr>
          <w:p w14:paraId="4B94E58B">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 w:val="21"/>
                <w:szCs w:val="21"/>
                <w:highlight w:val="none"/>
              </w:rPr>
              <w:t>按业主单位指定要求。</w:t>
            </w: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keepNext w:val="0"/>
              <w:keepLines w:val="0"/>
              <w:pageBreakBefore w:val="0"/>
              <w:kinsoku/>
              <w:wordWrap/>
              <w:overflowPunct/>
              <w:topLinePunct w:val="0"/>
              <w:bidi w:val="0"/>
              <w:spacing w:line="24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shd w:val="clear" w:color="auto" w:fill="auto"/>
            <w:vAlign w:val="top"/>
          </w:tcPr>
          <w:p w14:paraId="43CE10F1">
            <w:pPr>
              <w:keepNext w:val="0"/>
              <w:keepLines w:val="0"/>
              <w:pageBreakBefore w:val="0"/>
              <w:kinsoku/>
              <w:wordWrap/>
              <w:overflowPunct/>
              <w:topLinePunct w:val="0"/>
              <w:bidi w:val="0"/>
              <w:spacing w:line="240" w:lineRule="auto"/>
              <w:ind w:right="0" w:rightChars="0"/>
              <w:rPr>
                <w:rFonts w:hint="eastAsia" w:ascii="宋体" w:hAnsi="宋体" w:eastAsia="宋体" w:cs="Times New Roman"/>
                <w:color w:val="auto"/>
                <w:kern w:val="2"/>
                <w:sz w:val="21"/>
                <w:szCs w:val="21"/>
                <w:highlight w:val="none"/>
                <w:lang w:val="en-US" w:eastAsia="zh-CN" w:bidi="ar-SA"/>
              </w:rPr>
            </w:pPr>
            <w:r>
              <w:rPr>
                <w:rFonts w:ascii="宋体" w:hAnsi="宋体" w:eastAsia="宋体" w:cs="Times New Roman"/>
                <w:color w:val="auto"/>
                <w:sz w:val="21"/>
                <w:szCs w:val="21"/>
                <w:highlight w:val="none"/>
                <w:lang w:val="en-US" w:eastAsia="zh-CN"/>
              </w:rPr>
              <w:t>本合同一式【</w:t>
            </w:r>
            <w:r>
              <w:rPr>
                <w:rFonts w:hint="eastAsia" w:ascii="宋体" w:hAnsi="宋体" w:eastAsia="宋体" w:cs="Times New Roman"/>
                <w:color w:val="auto"/>
                <w:sz w:val="21"/>
                <w:szCs w:val="21"/>
                <w:highlight w:val="none"/>
                <w:lang w:val="en-US" w:eastAsia="zh-CN"/>
              </w:rPr>
              <w:t>伍</w:t>
            </w:r>
            <w:r>
              <w:rPr>
                <w:rFonts w:ascii="宋体" w:hAnsi="宋体" w:eastAsia="宋体" w:cs="Times New Roman"/>
                <w:color w:val="auto"/>
                <w:sz w:val="21"/>
                <w:szCs w:val="21"/>
                <w:highlight w:val="none"/>
                <w:lang w:val="en-US" w:eastAsia="zh-CN"/>
              </w:rPr>
              <w:t>】份，甲方执【</w:t>
            </w:r>
            <w:r>
              <w:rPr>
                <w:rFonts w:hint="eastAsia" w:ascii="宋体" w:hAnsi="宋体" w:eastAsia="宋体" w:cs="Times New Roman"/>
                <w:color w:val="auto"/>
                <w:sz w:val="21"/>
                <w:szCs w:val="21"/>
                <w:highlight w:val="none"/>
                <w:lang w:val="en-US" w:eastAsia="zh-CN"/>
              </w:rPr>
              <w:t>贰</w:t>
            </w:r>
            <w:r>
              <w:rPr>
                <w:rFonts w:ascii="宋体" w:hAnsi="宋体" w:eastAsia="宋体" w:cs="Times New Roman"/>
                <w:color w:val="auto"/>
                <w:sz w:val="21"/>
                <w:szCs w:val="21"/>
                <w:highlight w:val="none"/>
                <w:lang w:val="en-US" w:eastAsia="zh-CN"/>
              </w:rPr>
              <w:t>】份，乙方执【贰】份</w:t>
            </w:r>
            <w:r>
              <w:rPr>
                <w:rFonts w:hint="eastAsia" w:ascii="宋体" w:hAnsi="宋体" w:eastAsia="宋体" w:cs="Times New Roman"/>
                <w:color w:val="auto"/>
                <w:sz w:val="21"/>
                <w:szCs w:val="21"/>
                <w:highlight w:val="none"/>
                <w:lang w:val="en-US" w:eastAsia="zh-CN"/>
              </w:rPr>
              <w:t>，代理机构执</w:t>
            </w:r>
            <w:r>
              <w:rPr>
                <w:rFonts w:ascii="宋体" w:hAnsi="宋体" w:eastAsia="宋体" w:cs="Times New Roman"/>
                <w:color w:val="auto"/>
                <w:sz w:val="21"/>
                <w:szCs w:val="21"/>
                <w:highlight w:val="none"/>
                <w:lang w:val="en-US" w:eastAsia="zh-CN"/>
              </w:rPr>
              <w:t>【</w:t>
            </w:r>
            <w:r>
              <w:rPr>
                <w:rFonts w:hint="eastAsia" w:ascii="宋体" w:hAnsi="宋体" w:eastAsia="宋体" w:cs="Times New Roman"/>
                <w:color w:val="auto"/>
                <w:sz w:val="21"/>
                <w:szCs w:val="21"/>
                <w:highlight w:val="none"/>
                <w:lang w:val="en-US" w:eastAsia="zh-CN"/>
              </w:rPr>
              <w:t>壹</w:t>
            </w:r>
            <w:r>
              <w:rPr>
                <w:rFonts w:ascii="宋体" w:hAnsi="宋体" w:eastAsia="宋体" w:cs="Times New Roman"/>
                <w:color w:val="auto"/>
                <w:sz w:val="21"/>
                <w:szCs w:val="21"/>
                <w:highlight w:val="none"/>
                <w:lang w:val="en-US" w:eastAsia="zh-CN"/>
              </w:rPr>
              <w:t>】</w:t>
            </w:r>
            <w:r>
              <w:rPr>
                <w:rFonts w:hint="eastAsia" w:ascii="宋体" w:hAnsi="宋体" w:eastAsia="宋体" w:cs="Times New Roman"/>
                <w:color w:val="auto"/>
                <w:sz w:val="21"/>
                <w:szCs w:val="21"/>
                <w:highlight w:val="none"/>
                <w:lang w:val="en-US" w:eastAsia="zh-CN"/>
              </w:rPr>
              <w:t>份。</w:t>
            </w:r>
          </w:p>
        </w:tc>
      </w:tr>
    </w:tbl>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rPr>
          <w:rFonts w:ascii="宋体" w:hAnsi="宋体" w:cs="宋体"/>
          <w:b/>
          <w:color w:val="auto"/>
          <w:kern w:val="0"/>
          <w:sz w:val="32"/>
          <w:szCs w:val="32"/>
          <w:highlight w:val="none"/>
          <w:lang w:val="zh-CN"/>
        </w:rPr>
      </w:pPr>
      <w:r>
        <w:rPr>
          <w:rFonts w:ascii="宋体" w:hAnsi="宋体" w:cs="宋体"/>
          <w:b/>
          <w:color w:val="auto"/>
          <w:kern w:val="0"/>
          <w:sz w:val="32"/>
          <w:szCs w:val="32"/>
          <w:highlight w:val="none"/>
          <w:lang w:val="zh-CN"/>
        </w:rPr>
        <w:br w:type="page"/>
      </w:r>
    </w:p>
    <w:p w14:paraId="57BAA89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4479D3EC">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240" w:lineRule="auto"/>
              <w:ind w:firstLine="0" w:firstLineChars="0"/>
              <w:rPr>
                <w:rFonts w:ascii="宋体" w:hAnsi="宋体" w:cs="宋体"/>
                <w:b/>
                <w:color w:val="auto"/>
                <w:sz w:val="24"/>
                <w:highlight w:val="none"/>
              </w:rPr>
            </w:pPr>
            <w:r>
              <w:rPr>
                <w:rFonts w:hint="eastAsia" w:ascii="仿宋" w:hAnsi="仿宋" w:cs="仿宋"/>
                <w:b/>
                <w:szCs w:val="24"/>
                <w:highlight w:val="none"/>
              </w:rPr>
              <w:t>序号</w:t>
            </w:r>
          </w:p>
        </w:tc>
        <w:tc>
          <w:tcPr>
            <w:tcW w:w="992" w:type="dxa"/>
            <w:vAlign w:val="center"/>
          </w:tcPr>
          <w:p w14:paraId="1F4FA1BE">
            <w:pPr>
              <w:spacing w:line="240" w:lineRule="auto"/>
              <w:ind w:firstLine="0" w:firstLineChars="0"/>
              <w:jc w:val="center"/>
              <w:rPr>
                <w:rFonts w:ascii="宋体" w:hAnsi="宋体" w:cs="宋体"/>
                <w:b/>
                <w:color w:val="auto"/>
                <w:sz w:val="24"/>
                <w:highlight w:val="none"/>
              </w:rPr>
            </w:pPr>
            <w:r>
              <w:rPr>
                <w:rFonts w:hint="eastAsia" w:ascii="宋体" w:hAnsi="宋体" w:cs="宋体"/>
                <w:b/>
                <w:highlight w:val="none"/>
              </w:rPr>
              <w:t>名称</w:t>
            </w:r>
          </w:p>
        </w:tc>
        <w:tc>
          <w:tcPr>
            <w:tcW w:w="2268" w:type="dxa"/>
            <w:vAlign w:val="center"/>
          </w:tcPr>
          <w:p w14:paraId="2C2593F5">
            <w:pPr>
              <w:spacing w:line="240" w:lineRule="auto"/>
              <w:ind w:firstLine="0" w:firstLineChars="0"/>
              <w:jc w:val="center"/>
              <w:rPr>
                <w:rFonts w:hint="eastAsia" w:ascii="宋体" w:hAnsi="宋体" w:cs="宋体"/>
                <w:b/>
                <w:highlight w:val="none"/>
              </w:rPr>
            </w:pPr>
            <w:r>
              <w:rPr>
                <w:rFonts w:hint="eastAsia" w:ascii="宋体" w:hAnsi="宋体" w:cs="宋体"/>
                <w:b/>
                <w:highlight w:val="none"/>
              </w:rPr>
              <w:t>具体服务</w:t>
            </w:r>
          </w:p>
          <w:p w14:paraId="4A06141F">
            <w:pPr>
              <w:spacing w:line="240" w:lineRule="auto"/>
              <w:ind w:firstLine="0" w:firstLineChars="0"/>
              <w:jc w:val="center"/>
              <w:rPr>
                <w:rFonts w:ascii="宋体" w:hAnsi="宋体" w:cs="宋体"/>
                <w:b/>
                <w:color w:val="auto"/>
                <w:sz w:val="24"/>
                <w:highlight w:val="none"/>
              </w:rPr>
            </w:pPr>
            <w:r>
              <w:rPr>
                <w:rFonts w:hint="eastAsia" w:ascii="宋体" w:hAnsi="宋体" w:cs="宋体"/>
                <w:b/>
                <w:highlight w:val="none"/>
              </w:rPr>
              <w:t>（服务范围）</w:t>
            </w:r>
          </w:p>
        </w:tc>
        <w:tc>
          <w:tcPr>
            <w:tcW w:w="2410" w:type="dxa"/>
            <w:vAlign w:val="center"/>
          </w:tcPr>
          <w:p w14:paraId="7653DDE9">
            <w:pPr>
              <w:spacing w:line="240" w:lineRule="auto"/>
              <w:ind w:firstLine="0" w:firstLineChars="0"/>
              <w:jc w:val="center"/>
              <w:rPr>
                <w:rFonts w:ascii="宋体" w:hAnsi="宋体" w:cs="宋体"/>
                <w:b/>
                <w:color w:val="auto"/>
                <w:sz w:val="24"/>
                <w:highlight w:val="none"/>
              </w:rPr>
            </w:pPr>
            <w:r>
              <w:rPr>
                <w:rFonts w:hint="eastAsia" w:ascii="宋体" w:hAnsi="宋体" w:cs="宋体"/>
                <w:b/>
                <w:highlight w:val="none"/>
              </w:rPr>
              <w:t>服务要求</w:t>
            </w:r>
          </w:p>
        </w:tc>
        <w:tc>
          <w:tcPr>
            <w:tcW w:w="2268" w:type="dxa"/>
            <w:vAlign w:val="center"/>
          </w:tcPr>
          <w:p w14:paraId="15B12DF6">
            <w:pPr>
              <w:spacing w:line="240" w:lineRule="auto"/>
              <w:ind w:firstLine="0" w:firstLineChars="0"/>
              <w:jc w:val="center"/>
              <w:rPr>
                <w:rFonts w:ascii="宋体" w:hAnsi="宋体" w:cs="宋体"/>
                <w:b/>
                <w:color w:val="auto"/>
                <w:sz w:val="24"/>
                <w:highlight w:val="none"/>
              </w:rPr>
            </w:pPr>
            <w:r>
              <w:rPr>
                <w:rFonts w:hint="eastAsia" w:ascii="宋体" w:hAnsi="宋体" w:cs="宋体"/>
                <w:b/>
                <w:highlight w:val="none"/>
              </w:rPr>
              <w:t>服务时间（年限）</w:t>
            </w:r>
          </w:p>
        </w:tc>
        <w:tc>
          <w:tcPr>
            <w:tcW w:w="2126" w:type="dxa"/>
            <w:vAlign w:val="center"/>
          </w:tcPr>
          <w:p w14:paraId="41336C83">
            <w:pPr>
              <w:spacing w:line="240" w:lineRule="auto"/>
              <w:ind w:firstLine="0" w:firstLineChars="0"/>
              <w:jc w:val="center"/>
              <w:rPr>
                <w:rFonts w:ascii="宋体" w:hAnsi="宋体" w:cs="宋体"/>
                <w:b/>
                <w:color w:val="auto"/>
                <w:sz w:val="24"/>
                <w:highlight w:val="none"/>
              </w:rPr>
            </w:pPr>
            <w:r>
              <w:rPr>
                <w:rFonts w:hint="eastAsia" w:ascii="宋体" w:hAnsi="宋体" w:cs="宋体"/>
                <w:b/>
                <w:highlight w:val="none"/>
                <w:lang w:val="en-US" w:eastAsia="zh-CN"/>
              </w:rPr>
              <w:t>单价最高限价（元/个）</w:t>
            </w:r>
          </w:p>
        </w:tc>
        <w:tc>
          <w:tcPr>
            <w:tcW w:w="2127" w:type="dxa"/>
            <w:vAlign w:val="center"/>
          </w:tcPr>
          <w:p w14:paraId="5722E16A">
            <w:pPr>
              <w:spacing w:line="240" w:lineRule="auto"/>
              <w:ind w:firstLine="0" w:firstLineChars="0"/>
              <w:jc w:val="center"/>
              <w:rPr>
                <w:rFonts w:ascii="宋体" w:hAnsi="宋体" w:cs="宋体"/>
                <w:b/>
                <w:color w:val="auto"/>
                <w:sz w:val="24"/>
                <w:highlight w:val="none"/>
              </w:rPr>
            </w:pPr>
            <w:r>
              <w:rPr>
                <w:rFonts w:hint="eastAsia" w:ascii="宋体" w:hAnsi="宋体" w:cs="宋体"/>
                <w:b/>
                <w:highlight w:val="none"/>
              </w:rPr>
              <w:t>单价</w:t>
            </w:r>
            <w:r>
              <w:rPr>
                <w:rFonts w:hint="eastAsia" w:ascii="仿宋" w:hAnsi="仿宋" w:cs="仿宋"/>
                <w:b/>
                <w:szCs w:val="24"/>
                <w:highlight w:val="none"/>
              </w:rPr>
              <w:t>（元</w:t>
            </w:r>
            <w:r>
              <w:rPr>
                <w:rFonts w:hint="eastAsia" w:ascii="仿宋" w:hAnsi="仿宋" w:cs="仿宋"/>
                <w:b/>
                <w:szCs w:val="24"/>
                <w:highlight w:val="none"/>
                <w:lang w:val="en-US" w:eastAsia="zh-CN"/>
              </w:rPr>
              <w:t>/个</w:t>
            </w:r>
            <w:r>
              <w:rPr>
                <w:rFonts w:hint="eastAsia" w:ascii="仿宋" w:hAnsi="仿宋" w:cs="仿宋"/>
                <w:b/>
                <w:szCs w:val="24"/>
                <w:highlight w:val="none"/>
              </w:rPr>
              <w:t>）</w:t>
            </w:r>
          </w:p>
        </w:tc>
        <w:tc>
          <w:tcPr>
            <w:tcW w:w="2126" w:type="dxa"/>
            <w:vAlign w:val="center"/>
          </w:tcPr>
          <w:p w14:paraId="250671E8">
            <w:pPr>
              <w:spacing w:line="240" w:lineRule="auto"/>
              <w:ind w:firstLine="0" w:firstLineChars="0"/>
              <w:jc w:val="center"/>
              <w:rPr>
                <w:rFonts w:ascii="宋体" w:hAnsi="宋体" w:cs="宋体"/>
                <w:b/>
                <w:highlight w:val="none"/>
              </w:rPr>
            </w:pPr>
          </w:p>
          <w:p w14:paraId="042B99D0">
            <w:pPr>
              <w:spacing w:line="240" w:lineRule="auto"/>
              <w:ind w:firstLine="0" w:firstLineChars="0"/>
              <w:jc w:val="center"/>
              <w:rPr>
                <w:rFonts w:ascii="宋体" w:hAnsi="宋体" w:cs="宋体"/>
                <w:b/>
                <w:highlight w:val="none"/>
              </w:rPr>
            </w:pPr>
            <w:r>
              <w:rPr>
                <w:rFonts w:hint="eastAsia" w:ascii="宋体" w:hAnsi="宋体" w:cs="宋体"/>
                <w:b/>
                <w:highlight w:val="none"/>
              </w:rPr>
              <w:t>备注（若有）</w:t>
            </w:r>
          </w:p>
          <w:p w14:paraId="287A20A8">
            <w:pPr>
              <w:spacing w:line="240" w:lineRule="auto"/>
              <w:ind w:firstLine="0" w:firstLineChars="0"/>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napToGrid w:val="0"/>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p>
        </w:tc>
        <w:tc>
          <w:tcPr>
            <w:tcW w:w="992" w:type="dxa"/>
            <w:vAlign w:val="center"/>
          </w:tcPr>
          <w:p w14:paraId="5929EBA4">
            <w:pPr>
              <w:snapToGrid w:val="0"/>
              <w:spacing w:line="360" w:lineRule="auto"/>
              <w:ind w:firstLine="482"/>
              <w:rPr>
                <w:rFonts w:hint="eastAsia" w:ascii="宋体" w:hAnsi="宋体" w:eastAsia="宋体" w:cs="宋体"/>
                <w:color w:val="auto"/>
                <w:kern w:val="0"/>
                <w:sz w:val="24"/>
                <w:highlight w:val="none"/>
                <w:lang w:val="zh-CN"/>
              </w:rPr>
            </w:pPr>
          </w:p>
        </w:tc>
        <w:tc>
          <w:tcPr>
            <w:tcW w:w="2268" w:type="dxa"/>
            <w:vAlign w:val="center"/>
          </w:tcPr>
          <w:p w14:paraId="7E6B6B80">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外业取证</w:t>
            </w:r>
          </w:p>
        </w:tc>
        <w:tc>
          <w:tcPr>
            <w:tcW w:w="2410" w:type="dxa"/>
            <w:vAlign w:val="center"/>
          </w:tcPr>
          <w:p w14:paraId="49011045">
            <w:pPr>
              <w:snapToGrid w:val="0"/>
              <w:spacing w:line="360" w:lineRule="auto"/>
              <w:ind w:firstLine="482"/>
              <w:rPr>
                <w:rFonts w:hint="eastAsia" w:ascii="宋体" w:hAnsi="宋体" w:eastAsia="宋体" w:cs="宋体"/>
                <w:color w:val="auto"/>
                <w:kern w:val="0"/>
                <w:sz w:val="24"/>
                <w:highlight w:val="none"/>
                <w:lang w:val="zh-CN"/>
              </w:rPr>
            </w:pPr>
          </w:p>
        </w:tc>
        <w:tc>
          <w:tcPr>
            <w:tcW w:w="2268" w:type="dxa"/>
            <w:vAlign w:val="center"/>
          </w:tcPr>
          <w:p w14:paraId="07DD5525">
            <w:pPr>
              <w:snapToGrid w:val="0"/>
              <w:spacing w:line="360" w:lineRule="auto"/>
              <w:ind w:firstLine="482"/>
              <w:rPr>
                <w:rFonts w:hint="eastAsia" w:ascii="宋体" w:hAnsi="宋体" w:eastAsia="宋体" w:cs="宋体"/>
                <w:color w:val="auto"/>
                <w:kern w:val="0"/>
                <w:sz w:val="24"/>
                <w:highlight w:val="none"/>
                <w:lang w:val="zh-CN"/>
              </w:rPr>
            </w:pPr>
          </w:p>
        </w:tc>
        <w:tc>
          <w:tcPr>
            <w:tcW w:w="2126" w:type="dxa"/>
            <w:vAlign w:val="center"/>
          </w:tcPr>
          <w:p w14:paraId="60BB9C9F">
            <w:pPr>
              <w:snapToGrid w:val="0"/>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70</w:t>
            </w:r>
          </w:p>
        </w:tc>
        <w:tc>
          <w:tcPr>
            <w:tcW w:w="2127" w:type="dxa"/>
            <w:vAlign w:val="center"/>
          </w:tcPr>
          <w:p w14:paraId="30C10E6C">
            <w:pPr>
              <w:spacing w:line="240" w:lineRule="auto"/>
              <w:ind w:firstLine="0" w:firstLineChars="0"/>
              <w:jc w:val="center"/>
              <w:rPr>
                <w:rFonts w:ascii="宋体" w:hAnsi="宋体" w:cs="宋体"/>
                <w:color w:val="auto"/>
                <w:sz w:val="24"/>
                <w:highlight w:val="none"/>
              </w:rPr>
            </w:pPr>
          </w:p>
        </w:tc>
        <w:tc>
          <w:tcPr>
            <w:tcW w:w="2126" w:type="dxa"/>
            <w:vAlign w:val="center"/>
          </w:tcPr>
          <w:p w14:paraId="09E11B5D">
            <w:pPr>
              <w:spacing w:line="240" w:lineRule="auto"/>
              <w:ind w:firstLine="0" w:firstLineChars="0"/>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817" w:type="dxa"/>
            <w:vAlign w:val="center"/>
          </w:tcPr>
          <w:p w14:paraId="1E644F2B">
            <w:pPr>
              <w:snapToGrid w:val="0"/>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p>
        </w:tc>
        <w:tc>
          <w:tcPr>
            <w:tcW w:w="992" w:type="dxa"/>
            <w:vAlign w:val="center"/>
          </w:tcPr>
          <w:p w14:paraId="15316B94">
            <w:pPr>
              <w:snapToGrid w:val="0"/>
              <w:spacing w:line="360" w:lineRule="auto"/>
              <w:ind w:firstLine="482"/>
              <w:rPr>
                <w:rFonts w:hint="eastAsia" w:ascii="宋体" w:hAnsi="宋体" w:eastAsia="宋体" w:cs="宋体"/>
                <w:color w:val="auto"/>
                <w:kern w:val="0"/>
                <w:sz w:val="24"/>
                <w:highlight w:val="none"/>
                <w:lang w:val="zh-CN"/>
              </w:rPr>
            </w:pPr>
          </w:p>
        </w:tc>
        <w:tc>
          <w:tcPr>
            <w:tcW w:w="2268" w:type="dxa"/>
            <w:vAlign w:val="center"/>
          </w:tcPr>
          <w:p w14:paraId="76DA92F8">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内业上图</w:t>
            </w:r>
          </w:p>
        </w:tc>
        <w:tc>
          <w:tcPr>
            <w:tcW w:w="2410" w:type="dxa"/>
            <w:vAlign w:val="center"/>
          </w:tcPr>
          <w:p w14:paraId="7715326D">
            <w:pPr>
              <w:snapToGrid w:val="0"/>
              <w:spacing w:line="360" w:lineRule="auto"/>
              <w:ind w:firstLine="482"/>
              <w:rPr>
                <w:rFonts w:hint="eastAsia" w:ascii="宋体" w:hAnsi="宋体" w:eastAsia="宋体" w:cs="宋体"/>
                <w:color w:val="auto"/>
                <w:kern w:val="0"/>
                <w:sz w:val="24"/>
                <w:highlight w:val="none"/>
                <w:lang w:val="zh-CN"/>
              </w:rPr>
            </w:pPr>
          </w:p>
        </w:tc>
        <w:tc>
          <w:tcPr>
            <w:tcW w:w="2268" w:type="dxa"/>
            <w:vAlign w:val="center"/>
          </w:tcPr>
          <w:p w14:paraId="29502B17">
            <w:pPr>
              <w:snapToGrid w:val="0"/>
              <w:spacing w:line="360" w:lineRule="auto"/>
              <w:ind w:firstLine="482"/>
              <w:rPr>
                <w:rFonts w:hint="eastAsia" w:ascii="宋体" w:hAnsi="宋体" w:eastAsia="宋体" w:cs="宋体"/>
                <w:color w:val="auto"/>
                <w:kern w:val="0"/>
                <w:sz w:val="24"/>
                <w:highlight w:val="none"/>
                <w:lang w:val="zh-CN"/>
              </w:rPr>
            </w:pPr>
          </w:p>
        </w:tc>
        <w:tc>
          <w:tcPr>
            <w:tcW w:w="2126" w:type="dxa"/>
            <w:vAlign w:val="center"/>
          </w:tcPr>
          <w:p w14:paraId="645CF258">
            <w:pPr>
              <w:snapToGrid w:val="0"/>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40</w:t>
            </w:r>
          </w:p>
        </w:tc>
        <w:tc>
          <w:tcPr>
            <w:tcW w:w="2127" w:type="dxa"/>
            <w:vAlign w:val="center"/>
          </w:tcPr>
          <w:p w14:paraId="48B749E5">
            <w:pPr>
              <w:spacing w:line="240" w:lineRule="auto"/>
              <w:ind w:firstLine="0" w:firstLineChars="0"/>
              <w:jc w:val="center"/>
              <w:rPr>
                <w:rFonts w:ascii="宋体" w:hAnsi="宋体" w:cs="宋体"/>
                <w:color w:val="auto"/>
                <w:sz w:val="24"/>
                <w:highlight w:val="none"/>
              </w:rPr>
            </w:pPr>
          </w:p>
        </w:tc>
        <w:tc>
          <w:tcPr>
            <w:tcW w:w="2126" w:type="dxa"/>
            <w:vAlign w:val="center"/>
          </w:tcPr>
          <w:p w14:paraId="305D7009">
            <w:pPr>
              <w:spacing w:line="240" w:lineRule="auto"/>
              <w:ind w:firstLine="0" w:firstLineChars="0"/>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w:t>
            </w:r>
            <w:r>
              <w:rPr>
                <w:rFonts w:hint="eastAsia" w:ascii="宋体" w:hAnsi="宋体" w:eastAsia="宋体" w:cs="宋体"/>
                <w:b/>
                <w:color w:val="auto"/>
                <w:sz w:val="24"/>
                <w:highlight w:val="none"/>
                <w:lang w:val="en-US" w:eastAsia="zh-CN"/>
              </w:rPr>
              <w:t>合计</w:t>
            </w:r>
            <w:r>
              <w:rPr>
                <w:rFonts w:hint="eastAsia" w:ascii="宋体" w:hAnsi="宋体" w:cs="宋体"/>
                <w:b/>
                <w:color w:val="auto"/>
                <w:sz w:val="24"/>
                <w:highlight w:val="none"/>
              </w:rPr>
              <w:t>（小写）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w:t>
            </w:r>
            <w:r>
              <w:rPr>
                <w:rFonts w:hint="eastAsia" w:ascii="宋体" w:hAnsi="宋体" w:eastAsia="宋体" w:cs="宋体"/>
                <w:b/>
                <w:color w:val="auto"/>
                <w:sz w:val="24"/>
                <w:highlight w:val="none"/>
                <w:lang w:val="en-US" w:eastAsia="zh-CN"/>
              </w:rPr>
              <w:t>合计</w:t>
            </w:r>
            <w:r>
              <w:rPr>
                <w:rFonts w:hint="eastAsia" w:ascii="宋体" w:hAnsi="宋体" w:cs="宋体"/>
                <w:b/>
                <w:color w:val="auto"/>
                <w:sz w:val="24"/>
                <w:highlight w:val="none"/>
              </w:rPr>
              <w:t>（大写）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24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7B0D6FE5">
      <w:pPr>
        <w:spacing w:line="240" w:lineRule="auto"/>
        <w:ind w:firstLine="480" w:firstLineChars="200"/>
        <w:rPr>
          <w:rFonts w:hint="eastAsia" w:ascii="宋体" w:hAnsi="宋体" w:cs="宋体"/>
          <w:b/>
          <w:color w:val="auto"/>
          <w:sz w:val="24"/>
          <w:highlight w:val="none"/>
          <w:lang w:val="en-US" w:eastAsia="zh-CN"/>
        </w:rPr>
      </w:pPr>
      <w:r>
        <w:rPr>
          <w:rFonts w:hint="eastAsia" w:ascii="宋体" w:hAnsi="宋体" w:cs="宋体"/>
          <w:color w:val="auto"/>
          <w:kern w:val="0"/>
          <w:sz w:val="24"/>
          <w:highlight w:val="none"/>
          <w:lang w:val="zh-CN"/>
        </w:rPr>
        <w:t>3、</w:t>
      </w:r>
      <w:r>
        <w:rPr>
          <w:rFonts w:hint="eastAsia" w:ascii="宋体" w:hAnsi="宋体" w:cs="宋体"/>
          <w:b/>
          <w:color w:val="auto"/>
          <w:sz w:val="24"/>
          <w:highlight w:val="none"/>
          <w:lang w:val="en-US" w:eastAsia="zh-CN"/>
        </w:rPr>
        <w:t>本项目预算为2000000元，根据作业图斑量进行结算，若项目实际总量超过该预算的，不再另加费用，但仍须按要求完成项目任务。</w:t>
      </w:r>
    </w:p>
    <w:p w14:paraId="0EE272F8">
      <w:pPr>
        <w:bidi w:val="0"/>
        <w:ind w:firstLine="480" w:firstLineChars="200"/>
        <w:rPr>
          <w:rFonts w:hint="eastAsia" w:ascii="宋体" w:hAnsi="宋体" w:eastAsia="宋体" w:cs="宋体"/>
          <w:b/>
          <w:color w:val="auto"/>
          <w:sz w:val="24"/>
          <w:highlight w:val="none"/>
          <w:lang w:val="en-US" w:eastAsia="zh-CN"/>
        </w:rPr>
      </w:pP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lang w:val="zh-CN"/>
        </w:rPr>
        <w:t>、</w:t>
      </w:r>
      <w:r>
        <w:rPr>
          <w:rFonts w:hint="eastAsia" w:ascii="宋体" w:hAnsi="宋体" w:eastAsia="宋体" w:cs="宋体"/>
          <w:b/>
          <w:color w:val="auto"/>
          <w:sz w:val="24"/>
          <w:highlight w:val="none"/>
          <w:lang w:val="en-US" w:eastAsia="zh-CN"/>
        </w:rPr>
        <w:t>报价以合计价为准，但分项报价不得超过预算分项单价最高限价，否则视为无效报价。</w:t>
      </w:r>
    </w:p>
    <w:p w14:paraId="4A378867">
      <w:pPr>
        <w:snapToGrid w:val="0"/>
        <w:spacing w:line="24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B15FB6C">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3"/>
      <w:bookmarkStart w:id="511" w:name="OLE_LINK14"/>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rPr>
          <w:rFonts w:ascii="宋体" w:hAnsi="宋体" w:cs="宋体"/>
          <w:color w:val="auto"/>
          <w:sz w:val="24"/>
          <w:highlight w:val="none"/>
        </w:rPr>
      </w:pPr>
      <w:r>
        <w:rPr>
          <w:rFonts w:ascii="宋体" w:hAnsi="宋体" w:cs="宋体"/>
          <w:color w:val="auto"/>
          <w:sz w:val="24"/>
          <w:highlight w:val="none"/>
        </w:rPr>
        <w:br w:type="page"/>
      </w: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5E304330">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黑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1"/>
      <w:framePr w:wrap="around" w:vAnchor="text" w:hAnchor="margin" w:xAlign="right" w:y="1"/>
      <w:rPr>
        <w:rStyle w:val="72"/>
      </w:rPr>
    </w:pPr>
    <w:r>
      <w:fldChar w:fldCharType="begin"/>
    </w:r>
    <w:r>
      <w:rPr>
        <w:rStyle w:val="72"/>
      </w:rPr>
      <w:instrText xml:space="preserve">PAGE  </w:instrText>
    </w:r>
    <w:r>
      <w:fldChar w:fldCharType="end"/>
    </w:r>
  </w:p>
  <w:p w14:paraId="5E0900AF">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1"/>
      <w:framePr w:wrap="around" w:vAnchor="text" w:hAnchor="margin" w:xAlign="right" w:y="1"/>
      <w:rPr>
        <w:rStyle w:val="72"/>
      </w:rPr>
    </w:pPr>
    <w:r>
      <w:fldChar w:fldCharType="begin"/>
    </w:r>
    <w:r>
      <w:rPr>
        <w:rStyle w:val="72"/>
      </w:rPr>
      <w:instrText xml:space="preserve">PAGE  </w:instrText>
    </w:r>
    <w:r>
      <w:fldChar w:fldCharType="end"/>
    </w:r>
  </w:p>
  <w:p w14:paraId="65FC6C0A">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91899912"/>
    <w:bookmarkStart w:id="516" w:name="_Toc36110187"/>
    <w:bookmarkStart w:id="517" w:name="_Toc164085800"/>
    <w:bookmarkStart w:id="518" w:name="_Toc13184514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2"/>
      <w:pBdr>
        <w:bottom w:val="single" w:color="auto" w:sz="6" w:space="4"/>
      </w:pBdr>
      <w:jc w:val="right"/>
    </w:pPr>
    <w:r>
      <w:t></w:t>
    </w:r>
    <w:r>
      <w:rPr>
        <w:rFonts w:hint="eastAsia"/>
      </w:rPr>
      <w:t xml:space="preserve">             </w:t>
    </w:r>
    <w:r>
      <w:t>杭州市政府采购公开招标文件</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2"/>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2"/>
    </w:pPr>
    <w:r>
      <w:t></w:t>
    </w:r>
    <w:r>
      <w:rPr>
        <w:rFonts w:hint="eastAsia"/>
      </w:rPr>
      <w:t xml:space="preserve">         </w:t>
    </w:r>
  </w:p>
  <w:p w14:paraId="6F97612A">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2"/>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2"/>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CD24C"/>
    <w:multiLevelType w:val="singleLevel"/>
    <w:tmpl w:val="823CD24C"/>
    <w:lvl w:ilvl="0" w:tentative="0">
      <w:start w:val="1"/>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CAA"/>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04238E"/>
    <w:rsid w:val="025F0711"/>
    <w:rsid w:val="026B2E25"/>
    <w:rsid w:val="02824D4D"/>
    <w:rsid w:val="02DC4B10"/>
    <w:rsid w:val="02DD76CE"/>
    <w:rsid w:val="02E37742"/>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6C733A"/>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7F4515B"/>
    <w:rsid w:val="1830729E"/>
    <w:rsid w:val="1870062C"/>
    <w:rsid w:val="18817102"/>
    <w:rsid w:val="18830A15"/>
    <w:rsid w:val="18852B28"/>
    <w:rsid w:val="188B5321"/>
    <w:rsid w:val="18F21BC8"/>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2E5523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95E84"/>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AB3BDD"/>
    <w:rsid w:val="37EE7094"/>
    <w:rsid w:val="381979D3"/>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4D4D8B"/>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DD7BA7"/>
    <w:rsid w:val="4BEE2503"/>
    <w:rsid w:val="4C245A30"/>
    <w:rsid w:val="4C93644B"/>
    <w:rsid w:val="4CB6685F"/>
    <w:rsid w:val="4CC367FE"/>
    <w:rsid w:val="4D077F3C"/>
    <w:rsid w:val="4D123355"/>
    <w:rsid w:val="4D2A3B31"/>
    <w:rsid w:val="4D312C52"/>
    <w:rsid w:val="4D905305"/>
    <w:rsid w:val="4D964A72"/>
    <w:rsid w:val="4D9C1254"/>
    <w:rsid w:val="4DA74D9E"/>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AC666B"/>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34707A"/>
    <w:rsid w:val="595E1678"/>
    <w:rsid w:val="596D5BD4"/>
    <w:rsid w:val="597E3DD8"/>
    <w:rsid w:val="59F80043"/>
    <w:rsid w:val="5A09252F"/>
    <w:rsid w:val="5A0B2778"/>
    <w:rsid w:val="5A2A7C7B"/>
    <w:rsid w:val="5A3E2560"/>
    <w:rsid w:val="5A5D3B6E"/>
    <w:rsid w:val="5A637A76"/>
    <w:rsid w:val="5A6D33BA"/>
    <w:rsid w:val="5A7275AC"/>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463EA5"/>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D44AB9"/>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1"/>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link w:val="265"/>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125"/>
    <w:qFormat/>
    <w:uiPriority w:val="0"/>
    <w:rPr>
      <w:rFonts w:ascii="宋体" w:hAnsi="Courier New" w:cs="Arial"/>
      <w:snapToGrid w:val="0"/>
      <w:szCs w:val="21"/>
    </w:r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6"/>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basedOn w:val="1"/>
    <w:autoRedefine/>
    <w:qFormat/>
    <w:uiPriority w:val="0"/>
    <w:pPr>
      <w:widowControl/>
      <w:jc w:val="left"/>
    </w:pPr>
    <w:rPr>
      <w:rFonts w:ascii="宋体" w:hAnsi="宋体" w:cs="宋体"/>
      <w:kern w:val="0"/>
      <w:sz w:val="24"/>
      <w:szCs w:val="24"/>
    </w:rPr>
  </w:style>
  <w:style w:type="paragraph" w:customStyle="1" w:styleId="966">
    <w:name w:val="DAS正文"/>
    <w:basedOn w:val="1"/>
    <w:autoRedefine/>
    <w:qFormat/>
    <w:uiPriority w:val="0"/>
    <w:pPr>
      <w:ind w:right="181" w:firstLine="480"/>
    </w:pPr>
    <w:rPr>
      <w:rFonts w:ascii="Verdana" w:hAnsi="Verdana"/>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3478</Words>
  <Characters>3916</Characters>
  <Lines>281</Lines>
  <Paragraphs>79</Paragraphs>
  <TotalTime>4</TotalTime>
  <ScaleCrop>false</ScaleCrop>
  <LinksUpToDate>false</LinksUpToDate>
  <CharactersWithSpaces>4194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说。  </cp:lastModifiedBy>
  <cp:lastPrinted>2021-12-28T03:06:00Z</cp:lastPrinted>
  <dcterms:modified xsi:type="dcterms:W3CDTF">2025-04-08T06:56:50Z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E4AE50BED9ED41478FB251D3D13627BF_13</vt:lpwstr>
  </property>
  <property fmtid="{D5CDD505-2E9C-101B-9397-08002B2CF9AE}" pid="5" name="KSOTemplateDocerSaveRecord">
    <vt:lpwstr>eyJoZGlkIjoiM2RjZWJkYjY2OGU3Zjc0OTc5M2ZiYWVmOWExNTQ4MDgiLCJ1c2VySWQiOiIyOTc5NDEwNDAifQ==</vt:lpwstr>
  </property>
</Properties>
</file>