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7F840CE">
      <w:pPr>
        <w:rPr>
          <w:rFonts w:hint="eastAsia" w:ascii="新宋体" w:hAnsi="新宋体" w:eastAsia="新宋体" w:cs="新宋体"/>
          <w:color w:val="auto"/>
          <w:spacing w:val="20"/>
          <w:sz w:val="84"/>
          <w:highlight w:val="none"/>
        </w:rPr>
      </w:pPr>
    </w:p>
    <w:p w14:paraId="238C1678">
      <w:pPr>
        <w:rPr>
          <w:rFonts w:hint="eastAsia" w:ascii="新宋体" w:hAnsi="新宋体" w:eastAsia="新宋体" w:cs="新宋体"/>
          <w:b/>
          <w:bCs/>
          <w:color w:val="auto"/>
          <w:sz w:val="52"/>
          <w:szCs w:val="52"/>
          <w:highlight w:val="none"/>
        </w:rPr>
      </w:pPr>
      <w:r>
        <w:rPr>
          <w:rFonts w:hint="eastAsia" w:ascii="新宋体" w:hAnsi="新宋体" w:eastAsia="新宋体" w:cs="新宋体"/>
          <w:color w:val="auto"/>
          <w:spacing w:val="20"/>
          <w:sz w:val="84"/>
          <w:highlight w:val="none"/>
        </w:rPr>
        <w:t>温州市政府（分散）采购</w:t>
      </w:r>
    </w:p>
    <w:p w14:paraId="4D34AE42">
      <w:pPr>
        <w:jc w:val="both"/>
        <w:rPr>
          <w:rFonts w:hint="eastAsia" w:ascii="新宋体" w:hAnsi="新宋体" w:eastAsia="新宋体" w:cs="新宋体"/>
          <w:b/>
          <w:bCs/>
          <w:color w:val="auto"/>
          <w:spacing w:val="26"/>
          <w:sz w:val="52"/>
          <w:highlight w:val="none"/>
        </w:rPr>
      </w:pPr>
    </w:p>
    <w:p w14:paraId="4C62DCD9">
      <w:pPr>
        <w:rPr>
          <w:rFonts w:hint="eastAsia" w:ascii="新宋体" w:hAnsi="新宋体" w:eastAsia="新宋体" w:cs="新宋体"/>
          <w:b/>
          <w:bCs/>
          <w:color w:val="auto"/>
          <w:spacing w:val="140"/>
          <w:sz w:val="72"/>
          <w:highlight w:val="none"/>
        </w:rPr>
      </w:pPr>
    </w:p>
    <w:p w14:paraId="19AF4EC3">
      <w:pPr>
        <w:adjustRightInd w:val="0"/>
        <w:snapToGrid w:val="0"/>
        <w:spacing w:line="480" w:lineRule="auto"/>
        <w:ind w:right="361"/>
        <w:jc w:val="center"/>
        <w:rPr>
          <w:rFonts w:hint="eastAsia" w:ascii="新宋体" w:hAnsi="新宋体" w:eastAsia="新宋体" w:cs="新宋体"/>
          <w:color w:val="auto"/>
          <w:sz w:val="72"/>
          <w:szCs w:val="72"/>
          <w:highlight w:val="none"/>
        </w:rPr>
      </w:pPr>
      <w:r>
        <w:rPr>
          <w:rFonts w:hint="eastAsia" w:ascii="新宋体" w:hAnsi="新宋体" w:eastAsia="新宋体" w:cs="新宋体"/>
          <w:color w:val="auto"/>
          <w:sz w:val="72"/>
          <w:szCs w:val="72"/>
          <w:highlight w:val="none"/>
          <w:lang w:val="en-US" w:eastAsia="zh-CN"/>
        </w:rPr>
        <w:t>采 购</w:t>
      </w:r>
      <w:r>
        <w:rPr>
          <w:rFonts w:hint="eastAsia" w:ascii="新宋体" w:hAnsi="新宋体" w:eastAsia="新宋体" w:cs="新宋体"/>
          <w:color w:val="auto"/>
          <w:sz w:val="72"/>
          <w:szCs w:val="72"/>
          <w:highlight w:val="none"/>
        </w:rPr>
        <w:t xml:space="preserve"> 文 件</w:t>
      </w:r>
    </w:p>
    <w:p w14:paraId="0A757E23">
      <w:pPr>
        <w:keepNext w:val="0"/>
        <w:keepLines w:val="0"/>
        <w:pageBreakBefore w:val="0"/>
        <w:widowControl w:val="0"/>
        <w:kinsoku/>
        <w:wordWrap/>
        <w:overflowPunct/>
        <w:topLinePunct w:val="0"/>
        <w:autoSpaceDE/>
        <w:autoSpaceDN/>
        <w:bidi w:val="0"/>
        <w:adjustRightInd/>
        <w:snapToGrid/>
        <w:spacing w:line="800" w:lineRule="exact"/>
        <w:ind w:firstLine="1200" w:firstLineChars="400"/>
        <w:textAlignment w:val="auto"/>
        <w:rPr>
          <w:rFonts w:hint="eastAsia" w:ascii="新宋体" w:hAnsi="新宋体" w:eastAsia="新宋体" w:cs="新宋体"/>
          <w:color w:val="auto"/>
          <w:sz w:val="30"/>
          <w:szCs w:val="30"/>
          <w:highlight w:val="none"/>
        </w:rPr>
      </w:pPr>
      <w:r>
        <w:rPr>
          <w:rFonts w:hint="eastAsia" w:ascii="新宋体" w:hAnsi="新宋体" w:eastAsia="新宋体" w:cs="新宋体"/>
          <w:color w:val="auto"/>
          <w:sz w:val="30"/>
          <w:szCs w:val="30"/>
          <w:highlight w:val="none"/>
        </w:rPr>
        <w:t>项目编号：</w:t>
      </w:r>
      <w:r>
        <w:rPr>
          <w:rFonts w:hint="eastAsia" w:ascii="新宋体" w:hAnsi="新宋体" w:eastAsia="新宋体" w:cs="新宋体"/>
          <w:b/>
          <w:bCs/>
          <w:color w:val="auto"/>
          <w:sz w:val="30"/>
          <w:szCs w:val="30"/>
          <w:highlight w:val="none"/>
          <w:lang w:eastAsia="zh-CN"/>
        </w:rPr>
        <w:t>WZLCZB（L）-2025-04126</w:t>
      </w:r>
    </w:p>
    <w:p w14:paraId="4B2BD127">
      <w:pPr>
        <w:keepNext w:val="0"/>
        <w:keepLines w:val="0"/>
        <w:pageBreakBefore w:val="0"/>
        <w:widowControl w:val="0"/>
        <w:kinsoku/>
        <w:wordWrap/>
        <w:overflowPunct/>
        <w:topLinePunct w:val="0"/>
        <w:autoSpaceDE/>
        <w:autoSpaceDN/>
        <w:bidi w:val="0"/>
        <w:adjustRightInd/>
        <w:snapToGrid/>
        <w:spacing w:line="800" w:lineRule="exact"/>
        <w:ind w:firstLine="1200" w:firstLineChars="400"/>
        <w:textAlignment w:val="auto"/>
        <w:rPr>
          <w:rFonts w:hint="eastAsia" w:ascii="新宋体" w:hAnsi="新宋体" w:eastAsia="新宋体" w:cs="新宋体"/>
          <w:color w:val="auto"/>
          <w:sz w:val="30"/>
          <w:szCs w:val="30"/>
          <w:highlight w:val="none"/>
        </w:rPr>
      </w:pPr>
      <w:r>
        <w:rPr>
          <w:rFonts w:hint="eastAsia" w:ascii="新宋体" w:hAnsi="新宋体" w:eastAsia="新宋体" w:cs="新宋体"/>
          <w:color w:val="auto"/>
          <w:sz w:val="30"/>
          <w:szCs w:val="30"/>
          <w:highlight w:val="none"/>
        </w:rPr>
        <w:t>项目名称：</w:t>
      </w:r>
      <w:r>
        <w:rPr>
          <w:rFonts w:hint="eastAsia" w:ascii="新宋体" w:hAnsi="新宋体" w:eastAsia="新宋体" w:cs="新宋体"/>
          <w:b/>
          <w:bCs/>
          <w:color w:val="auto"/>
          <w:sz w:val="30"/>
          <w:szCs w:val="30"/>
          <w:highlight w:val="none"/>
          <w:lang w:eastAsia="zh-CN"/>
        </w:rPr>
        <w:t>流式细胞仪（含细胞计数仪、荧光定量PCR仪）</w:t>
      </w:r>
    </w:p>
    <w:p w14:paraId="00456620">
      <w:pPr>
        <w:keepNext w:val="0"/>
        <w:keepLines w:val="0"/>
        <w:pageBreakBefore w:val="0"/>
        <w:widowControl w:val="0"/>
        <w:kinsoku/>
        <w:wordWrap/>
        <w:overflowPunct/>
        <w:topLinePunct w:val="0"/>
        <w:autoSpaceDE/>
        <w:autoSpaceDN/>
        <w:bidi w:val="0"/>
        <w:adjustRightInd/>
        <w:snapToGrid/>
        <w:spacing w:line="800" w:lineRule="exact"/>
        <w:ind w:firstLine="1200" w:firstLineChars="400"/>
        <w:textAlignment w:val="auto"/>
        <w:rPr>
          <w:rFonts w:hint="eastAsia" w:ascii="新宋体" w:hAnsi="新宋体" w:eastAsia="新宋体" w:cs="新宋体"/>
          <w:color w:val="auto"/>
          <w:sz w:val="30"/>
          <w:szCs w:val="30"/>
          <w:highlight w:val="none"/>
        </w:rPr>
      </w:pPr>
      <w:r>
        <w:rPr>
          <w:rFonts w:hint="eastAsia" w:ascii="新宋体" w:hAnsi="新宋体" w:eastAsia="新宋体" w:cs="新宋体"/>
          <w:color w:val="auto"/>
          <w:sz w:val="30"/>
          <w:szCs w:val="30"/>
          <w:highlight w:val="none"/>
        </w:rPr>
        <w:t>采购方式：</w:t>
      </w:r>
      <w:r>
        <w:rPr>
          <w:rFonts w:hint="eastAsia" w:ascii="新宋体" w:hAnsi="新宋体" w:eastAsia="新宋体" w:cs="新宋体"/>
          <w:b/>
          <w:bCs/>
          <w:color w:val="auto"/>
          <w:sz w:val="30"/>
          <w:szCs w:val="30"/>
          <w:highlight w:val="none"/>
        </w:rPr>
        <w:t>公开招标</w:t>
      </w:r>
    </w:p>
    <w:p w14:paraId="772750F2">
      <w:pPr>
        <w:keepNext w:val="0"/>
        <w:keepLines w:val="0"/>
        <w:pageBreakBefore w:val="0"/>
        <w:widowControl w:val="0"/>
        <w:kinsoku/>
        <w:wordWrap/>
        <w:overflowPunct/>
        <w:topLinePunct w:val="0"/>
        <w:autoSpaceDE/>
        <w:autoSpaceDN/>
        <w:bidi w:val="0"/>
        <w:adjustRightInd/>
        <w:snapToGrid/>
        <w:spacing w:line="800" w:lineRule="exact"/>
        <w:ind w:firstLine="1200" w:firstLineChars="400"/>
        <w:textAlignment w:val="auto"/>
        <w:rPr>
          <w:rFonts w:hint="eastAsia" w:ascii="新宋体" w:hAnsi="新宋体" w:eastAsia="新宋体" w:cs="新宋体"/>
          <w:b/>
          <w:bCs/>
          <w:color w:val="auto"/>
          <w:sz w:val="30"/>
          <w:szCs w:val="30"/>
          <w:highlight w:val="none"/>
        </w:rPr>
      </w:pPr>
      <w:r>
        <w:rPr>
          <w:rFonts w:hint="eastAsia" w:ascii="新宋体" w:hAnsi="新宋体" w:eastAsia="新宋体" w:cs="新宋体"/>
          <w:color w:val="auto"/>
          <w:sz w:val="30"/>
          <w:szCs w:val="30"/>
          <w:highlight w:val="none"/>
        </w:rPr>
        <w:t>评审方式：</w:t>
      </w:r>
      <w:r>
        <w:rPr>
          <w:rFonts w:hint="eastAsia" w:ascii="新宋体" w:hAnsi="新宋体" w:eastAsia="新宋体" w:cs="新宋体"/>
          <w:b/>
          <w:bCs/>
          <w:color w:val="auto"/>
          <w:sz w:val="30"/>
          <w:szCs w:val="30"/>
          <w:highlight w:val="none"/>
        </w:rPr>
        <w:t>线上电子招投标</w:t>
      </w:r>
    </w:p>
    <w:p w14:paraId="16539F57">
      <w:pPr>
        <w:spacing w:line="700" w:lineRule="exact"/>
        <w:jc w:val="left"/>
        <w:rPr>
          <w:rFonts w:hint="eastAsia" w:ascii="新宋体" w:hAnsi="新宋体" w:eastAsia="新宋体" w:cs="新宋体"/>
          <w:b/>
          <w:color w:val="auto"/>
          <w:spacing w:val="40"/>
          <w:sz w:val="30"/>
          <w:szCs w:val="30"/>
          <w:highlight w:val="none"/>
        </w:rPr>
      </w:pPr>
    </w:p>
    <w:p w14:paraId="1A4008D1">
      <w:pPr>
        <w:bidi w:val="0"/>
        <w:rPr>
          <w:rFonts w:hint="eastAsia" w:ascii="新宋体" w:hAnsi="新宋体" w:eastAsia="新宋体" w:cs="新宋体"/>
          <w:color w:val="auto"/>
          <w:highlight w:val="none"/>
        </w:rPr>
      </w:pPr>
    </w:p>
    <w:p w14:paraId="5489F37E">
      <w:pPr>
        <w:bidi w:val="0"/>
        <w:rPr>
          <w:rFonts w:hint="eastAsia" w:ascii="新宋体" w:hAnsi="新宋体" w:eastAsia="新宋体" w:cs="新宋体"/>
          <w:color w:val="auto"/>
          <w:highlight w:val="none"/>
        </w:rPr>
      </w:pPr>
    </w:p>
    <w:p w14:paraId="2F32193F">
      <w:pPr>
        <w:bidi w:val="0"/>
        <w:rPr>
          <w:rFonts w:hint="eastAsia" w:ascii="新宋体" w:hAnsi="新宋体" w:eastAsia="新宋体" w:cs="新宋体"/>
          <w:color w:val="auto"/>
          <w:highlight w:val="none"/>
        </w:rPr>
      </w:pPr>
    </w:p>
    <w:p w14:paraId="12070B37">
      <w:pPr>
        <w:spacing w:line="600" w:lineRule="exact"/>
        <w:jc w:val="center"/>
        <w:rPr>
          <w:rFonts w:hint="eastAsia" w:ascii="新宋体" w:hAnsi="新宋体" w:eastAsia="新宋体" w:cs="新宋体"/>
          <w:color w:val="auto"/>
          <w:spacing w:val="30"/>
          <w:sz w:val="30"/>
          <w:highlight w:val="none"/>
          <w:lang w:eastAsia="zh-CN"/>
        </w:rPr>
      </w:pPr>
      <w:r>
        <w:rPr>
          <w:rFonts w:hint="eastAsia" w:ascii="新宋体" w:hAnsi="新宋体" w:eastAsia="新宋体" w:cs="新宋体"/>
          <w:color w:val="auto"/>
          <w:spacing w:val="30"/>
          <w:sz w:val="30"/>
          <w:highlight w:val="none"/>
          <w:lang w:val="en-US" w:eastAsia="zh-CN"/>
        </w:rPr>
        <w:t>采购</w:t>
      </w:r>
      <w:r>
        <w:rPr>
          <w:rFonts w:hint="eastAsia" w:ascii="新宋体" w:hAnsi="新宋体" w:eastAsia="新宋体" w:cs="新宋体"/>
          <w:color w:val="auto"/>
          <w:spacing w:val="30"/>
          <w:sz w:val="30"/>
          <w:highlight w:val="none"/>
        </w:rPr>
        <w:t>人</w:t>
      </w:r>
      <w:r>
        <w:rPr>
          <w:rFonts w:hint="eastAsia" w:ascii="新宋体" w:hAnsi="新宋体" w:eastAsia="新宋体" w:cs="新宋体"/>
          <w:color w:val="auto"/>
          <w:spacing w:val="30"/>
          <w:sz w:val="30"/>
          <w:highlight w:val="none"/>
          <w:lang w:eastAsia="zh-CN"/>
        </w:rPr>
        <w:t>：温州市疾病预防控制中心（温州市卫生监督所）</w:t>
      </w:r>
    </w:p>
    <w:p w14:paraId="40FB47C7">
      <w:pPr>
        <w:spacing w:line="600" w:lineRule="exact"/>
        <w:jc w:val="center"/>
        <w:rPr>
          <w:rFonts w:hint="eastAsia" w:ascii="新宋体" w:hAnsi="新宋体" w:eastAsia="新宋体" w:cs="新宋体"/>
          <w:color w:val="auto"/>
          <w:spacing w:val="30"/>
          <w:sz w:val="30"/>
          <w:highlight w:val="none"/>
        </w:rPr>
      </w:pPr>
      <w:r>
        <w:rPr>
          <w:rFonts w:hint="eastAsia" w:ascii="新宋体" w:hAnsi="新宋体" w:eastAsia="新宋体" w:cs="新宋体"/>
          <w:color w:val="auto"/>
          <w:spacing w:val="30"/>
          <w:sz w:val="30"/>
          <w:highlight w:val="none"/>
          <w:lang w:val="en-US" w:eastAsia="zh-CN"/>
        </w:rPr>
        <w:t>采购</w:t>
      </w:r>
      <w:r>
        <w:rPr>
          <w:rFonts w:hint="eastAsia" w:ascii="新宋体" w:hAnsi="新宋体" w:eastAsia="新宋体" w:cs="新宋体"/>
          <w:color w:val="auto"/>
          <w:spacing w:val="30"/>
          <w:sz w:val="30"/>
          <w:highlight w:val="none"/>
        </w:rPr>
        <w:t>代理机构：温州历程招标有限公司</w:t>
      </w:r>
    </w:p>
    <w:p w14:paraId="0B90C064">
      <w:pPr>
        <w:spacing w:line="600" w:lineRule="exact"/>
        <w:jc w:val="center"/>
        <w:rPr>
          <w:rFonts w:hint="eastAsia" w:ascii="新宋体" w:hAnsi="新宋体" w:eastAsia="新宋体" w:cs="新宋体"/>
          <w:color w:val="auto"/>
          <w:spacing w:val="30"/>
          <w:sz w:val="30"/>
          <w:highlight w:val="none"/>
        </w:rPr>
      </w:pPr>
      <w:r>
        <w:rPr>
          <w:rFonts w:hint="eastAsia" w:ascii="新宋体" w:hAnsi="新宋体" w:eastAsia="新宋体" w:cs="新宋体"/>
          <w:color w:val="auto"/>
          <w:spacing w:val="30"/>
          <w:sz w:val="30"/>
          <w:highlight w:val="none"/>
          <w:lang w:val="en-US" w:eastAsia="zh-CN"/>
        </w:rPr>
        <w:t>二〇二五</w:t>
      </w:r>
      <w:r>
        <w:rPr>
          <w:rFonts w:hint="eastAsia" w:ascii="新宋体" w:hAnsi="新宋体" w:eastAsia="新宋体" w:cs="新宋体"/>
          <w:color w:val="auto"/>
          <w:spacing w:val="30"/>
          <w:sz w:val="30"/>
          <w:highlight w:val="none"/>
        </w:rPr>
        <w:t>年</w:t>
      </w:r>
      <w:r>
        <w:rPr>
          <w:rFonts w:hint="eastAsia" w:ascii="新宋体" w:hAnsi="新宋体" w:eastAsia="新宋体" w:cs="新宋体"/>
          <w:color w:val="auto"/>
          <w:spacing w:val="30"/>
          <w:sz w:val="30"/>
          <w:highlight w:val="none"/>
          <w:lang w:val="en-US" w:eastAsia="zh-CN"/>
        </w:rPr>
        <w:t>四</w:t>
      </w:r>
      <w:r>
        <w:rPr>
          <w:rFonts w:hint="eastAsia" w:ascii="新宋体" w:hAnsi="新宋体" w:eastAsia="新宋体" w:cs="新宋体"/>
          <w:color w:val="auto"/>
          <w:spacing w:val="30"/>
          <w:sz w:val="30"/>
          <w:highlight w:val="none"/>
        </w:rPr>
        <w:t>月</w:t>
      </w:r>
    </w:p>
    <w:p w14:paraId="59F23ECC">
      <w:pPr>
        <w:rPr>
          <w:rFonts w:hint="eastAsia" w:ascii="新宋体" w:hAnsi="新宋体" w:eastAsia="新宋体" w:cs="新宋体"/>
          <w:color w:val="auto"/>
          <w:highlight w:val="none"/>
        </w:rPr>
      </w:pPr>
      <w:r>
        <w:rPr>
          <w:rFonts w:hint="eastAsia" w:ascii="新宋体" w:hAnsi="新宋体" w:eastAsia="新宋体" w:cs="新宋体"/>
          <w:b/>
          <w:color w:val="auto"/>
          <w:sz w:val="36"/>
          <w:szCs w:val="36"/>
          <w:highlight w:val="none"/>
        </w:rPr>
        <w:br w:type="page"/>
      </w:r>
    </w:p>
    <w:sdt>
      <w:sdtPr>
        <w:rPr>
          <w:rFonts w:hint="eastAsia" w:ascii="新宋体" w:hAnsi="新宋体" w:eastAsia="新宋体" w:cs="新宋体"/>
          <w:color w:val="auto"/>
          <w:highlight w:val="none"/>
        </w:rPr>
        <w:id w:val="147459729"/>
        <w15:color w:val="DBDBDB"/>
        <w:docPartObj>
          <w:docPartGallery w:val="Table of Contents"/>
          <w:docPartUnique/>
        </w:docPartObj>
      </w:sdtPr>
      <w:sdtEndPr>
        <w:rPr>
          <w:rFonts w:hint="eastAsia" w:ascii="新宋体" w:hAnsi="新宋体" w:eastAsia="新宋体" w:cs="新宋体"/>
          <w:color w:val="auto"/>
          <w:highlight w:val="none"/>
        </w:rPr>
      </w:sdtEndPr>
      <w:sdtContent>
        <w:p w14:paraId="7CF6592F">
          <w:pPr>
            <w:jc w:val="center"/>
            <w:rPr>
              <w:rFonts w:hint="eastAsia" w:ascii="新宋体" w:hAnsi="新宋体" w:eastAsia="新宋体" w:cs="新宋体"/>
              <w:color w:val="auto"/>
              <w:highlight w:val="none"/>
            </w:rPr>
          </w:pPr>
        </w:p>
        <w:p w14:paraId="7E83FDC7">
          <w:pPr>
            <w:pStyle w:val="37"/>
            <w:tabs>
              <w:tab w:val="right" w:leader="dot" w:pos="9638"/>
            </w:tabs>
            <w:spacing w:line="360" w:lineRule="auto"/>
            <w:jc w:val="center"/>
            <w:rPr>
              <w:rFonts w:hint="eastAsia" w:ascii="新宋体" w:hAnsi="新宋体" w:eastAsia="新宋体" w:cs="新宋体"/>
              <w:b/>
              <w:color w:val="auto"/>
              <w:sz w:val="36"/>
              <w:szCs w:val="36"/>
              <w:highlight w:val="none"/>
            </w:rPr>
          </w:pPr>
          <w:r>
            <w:rPr>
              <w:rFonts w:hint="eastAsia" w:ascii="新宋体" w:hAnsi="新宋体" w:eastAsia="新宋体" w:cs="新宋体"/>
              <w:b/>
              <w:color w:val="auto"/>
              <w:sz w:val="36"/>
              <w:szCs w:val="36"/>
              <w:highlight w:val="none"/>
            </w:rPr>
            <w:t>目  录</w:t>
          </w:r>
        </w:p>
        <w:p w14:paraId="030032DE">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fldChar w:fldCharType="begin"/>
          </w:r>
          <w:r>
            <w:rPr>
              <w:rFonts w:hint="eastAsia" w:ascii="新宋体" w:hAnsi="新宋体" w:eastAsia="新宋体" w:cs="新宋体"/>
              <w:b/>
              <w:color w:val="auto"/>
              <w:sz w:val="22"/>
              <w:szCs w:val="22"/>
              <w:highlight w:val="none"/>
            </w:rPr>
            <w:instrText xml:space="preserve">TOC \o "1-3" \h \u </w:instrText>
          </w:r>
          <w:r>
            <w:rPr>
              <w:rFonts w:hint="eastAsia" w:ascii="新宋体" w:hAnsi="新宋体" w:eastAsia="新宋体" w:cs="新宋体"/>
              <w:b/>
              <w:color w:val="auto"/>
              <w:sz w:val="22"/>
              <w:szCs w:val="22"/>
              <w:highlight w:val="none"/>
            </w:rPr>
            <w:fldChar w:fldCharType="separate"/>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_Toc30531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招 标 公 告</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_Toc30531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1AE5273">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_Toc9474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第一部分</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投标人须知</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_Toc9474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C8427FD">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_Toc14189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前 附 表</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_Toc14189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6FD71EAA">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_Toc14378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一、 说   明</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_Toc14378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20A56E8F">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_Toc11560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 xml:space="preserve">二、 </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_Toc11560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D764361">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_Toc19196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三、 投标文件的编制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_Toc19196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13</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31DCAC6">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_Toc5061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四、 投标文件的递交</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_Toc5061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16</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81BA937">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_Toc18572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五、 开标和评标</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_Toc18572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1377124">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_Toc23297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六、 授予合同</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_Toc23297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21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FFBA409">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_Toc14002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kern w:val="2"/>
              <w:sz w:val="22"/>
              <w:szCs w:val="22"/>
              <w:highlight w:val="none"/>
              <w:lang w:val="en-US" w:eastAsia="zh-CN" w:bidi="ar-SA"/>
            </w:rPr>
            <w:t>第二部分</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kern w:val="2"/>
              <w:sz w:val="22"/>
              <w:szCs w:val="22"/>
              <w:highlight w:val="none"/>
              <w:lang w:val="en-US" w:eastAsia="zh-CN" w:bidi="ar-SA"/>
            </w:rPr>
            <w:t>合同条款</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_Toc14002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23</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3D791FB">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_Toc15686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第三部分</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附件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_Toc15686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50DEC30F">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_Toc22705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附件一</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_Toc22705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96A2DE2">
          <w:pPr>
            <w:pStyle w:val="2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_Toc28749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资格证明文件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_Toc28749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DDB66C9">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_Toc8846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附件二</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_Toc8846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35</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194BD39">
          <w:pPr>
            <w:pStyle w:val="2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_Toc15481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报价文件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_Toc15481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35</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1A1F9F3">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_Toc18657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附件三</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_Toc18657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40</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CCDB95C">
          <w:pPr>
            <w:pStyle w:val="2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_Toc4257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lang w:val="zh-CN"/>
            </w:rPr>
            <w:t>商务技术文件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_Toc4257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40</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C8416DC">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_Toc16424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lang w:val="en-US" w:eastAsia="zh-CN"/>
            </w:rPr>
            <w:t xml:space="preserve">第四部分   </w:t>
          </w:r>
          <w:r>
            <w:rPr>
              <w:rFonts w:hint="eastAsia" w:ascii="新宋体" w:hAnsi="新宋体" w:eastAsia="新宋体" w:cs="新宋体"/>
              <w:color w:val="auto"/>
              <w:sz w:val="22"/>
              <w:szCs w:val="22"/>
              <w:highlight w:val="none"/>
            </w:rPr>
            <w:t>项目技术规范和服务要求</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_Toc16424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C154C65">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_Toc29737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第五部分   评标原则及方法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_Toc29737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2925A003">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_Toc19351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一、总 则</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_Toc19351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606EF528">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_Toc31083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二、评标组织</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_Toc31083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2A206FD4">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_Toc26694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三、评标程序</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_Toc26694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A83FC37">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_Toc13471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四、评标办法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_Toc13471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2931CDE5">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_Toc16138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lang w:val="en-US" w:eastAsia="zh-CN"/>
            </w:rPr>
            <w:t>五、</w:t>
          </w:r>
          <w:r>
            <w:rPr>
              <w:rFonts w:hint="eastAsia" w:ascii="新宋体" w:hAnsi="新宋体" w:eastAsia="新宋体" w:cs="新宋体"/>
              <w:color w:val="auto"/>
              <w:sz w:val="22"/>
              <w:szCs w:val="22"/>
              <w:highlight w:val="none"/>
            </w:rPr>
            <w:t>评分细则</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_Toc16138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77DA260D">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_Toc25303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六、定标办法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_Toc25303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6E0942A5">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_Toc14834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七、投标人义务</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_Toc14834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6688CEE">
          <w:pPr>
            <w:keepNext w:val="0"/>
            <w:keepLines w:val="0"/>
            <w:pageBreakBefore w:val="0"/>
            <w:widowControl w:val="0"/>
            <w:kinsoku/>
            <w:wordWrap/>
            <w:overflowPunct/>
            <w:topLinePunct w:val="0"/>
            <w:autoSpaceDE/>
            <w:autoSpaceDN/>
            <w:bidi w:val="0"/>
            <w:adjustRightInd/>
            <w:snapToGrid/>
            <w:spacing w:line="460" w:lineRule="exact"/>
            <w:ind w:firstLine="1870" w:firstLineChars="85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fldChar w:fldCharType="end"/>
          </w:r>
        </w:p>
      </w:sdtContent>
    </w:sdt>
    <w:p w14:paraId="5BCAD09F">
      <w:pPr>
        <w:rPr>
          <w:rFonts w:hint="eastAsia" w:ascii="新宋体" w:hAnsi="新宋体" w:eastAsia="新宋体" w:cs="新宋体"/>
          <w:color w:val="auto"/>
          <w:highlight w:val="none"/>
        </w:rPr>
      </w:pPr>
      <w:bookmarkStart w:id="0" w:name="_Toc32649"/>
      <w:bookmarkStart w:id="1" w:name="_Toc30531"/>
      <w:r>
        <w:rPr>
          <w:rFonts w:hint="eastAsia" w:ascii="新宋体" w:hAnsi="新宋体" w:eastAsia="新宋体" w:cs="新宋体"/>
          <w:color w:val="auto"/>
          <w:highlight w:val="none"/>
        </w:rPr>
        <w:br w:type="page"/>
      </w:r>
    </w:p>
    <w:bookmarkEnd w:id="0"/>
    <w:bookmarkEnd w:id="1"/>
    <w:p w14:paraId="2271DF79">
      <w:pPr>
        <w:pStyle w:val="3"/>
        <w:rPr>
          <w:rFonts w:hint="eastAsia" w:ascii="新宋体" w:hAnsi="新宋体" w:eastAsia="新宋体" w:cs="新宋体"/>
          <w:color w:val="auto"/>
          <w:sz w:val="32"/>
          <w:szCs w:val="32"/>
          <w:highlight w:val="none"/>
        </w:rPr>
      </w:pPr>
      <w:r>
        <w:rPr>
          <w:rFonts w:hint="eastAsia" w:ascii="新宋体" w:hAnsi="新宋体" w:eastAsia="新宋体" w:cs="新宋体"/>
          <w:b/>
          <w:bCs/>
          <w:i w:val="0"/>
          <w:iCs w:val="0"/>
          <w:caps w:val="0"/>
          <w:color w:val="auto"/>
          <w:spacing w:val="0"/>
          <w:sz w:val="32"/>
          <w:szCs w:val="32"/>
          <w:highlight w:val="none"/>
        </w:rPr>
        <w:t>温州历程招标有限公司关于温州市疾病预防控制中心（温州市卫生监督所）</w:t>
      </w:r>
      <w:r>
        <w:rPr>
          <w:rFonts w:hint="eastAsia" w:ascii="新宋体" w:hAnsi="新宋体" w:eastAsia="新宋体" w:cs="新宋体"/>
          <w:b/>
          <w:bCs/>
          <w:i w:val="0"/>
          <w:iCs w:val="0"/>
          <w:caps w:val="0"/>
          <w:color w:val="auto"/>
          <w:spacing w:val="0"/>
          <w:sz w:val="32"/>
          <w:szCs w:val="32"/>
          <w:highlight w:val="none"/>
          <w:lang w:val="en-US" w:eastAsia="zh-CN"/>
        </w:rPr>
        <w:t>流式细胞仪（含细胞计数仪、荧光定量PCR仪）</w:t>
      </w:r>
      <w:r>
        <w:rPr>
          <w:rFonts w:hint="eastAsia" w:ascii="新宋体" w:hAnsi="新宋体" w:eastAsia="新宋体" w:cs="新宋体"/>
          <w:b/>
          <w:bCs/>
          <w:i w:val="0"/>
          <w:iCs w:val="0"/>
          <w:caps w:val="0"/>
          <w:color w:val="auto"/>
          <w:spacing w:val="0"/>
          <w:sz w:val="32"/>
          <w:szCs w:val="32"/>
          <w:highlight w:val="none"/>
        </w:rPr>
        <w:t>的公开招标公告</w:t>
      </w: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4"/>
      </w:tblGrid>
      <w:tr w14:paraId="1C41B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trPr>
        <w:tc>
          <w:tcPr>
            <w:tcW w:w="9855" w:type="dxa"/>
          </w:tcPr>
          <w:p w14:paraId="6DA4917C">
            <w:pPr>
              <w:spacing w:line="460" w:lineRule="exact"/>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bCs/>
                <w:color w:val="auto"/>
                <w:sz w:val="22"/>
                <w:szCs w:val="22"/>
                <w:highlight w:val="none"/>
              </w:rPr>
              <w:t>项目概况</w:t>
            </w:r>
          </w:p>
          <w:p w14:paraId="24F43A9F">
            <w:pPr>
              <w:spacing w:line="460" w:lineRule="exact"/>
              <w:ind w:firstLine="440" w:firstLineChars="200"/>
              <w:rPr>
                <w:rFonts w:hint="eastAsia" w:ascii="新宋体" w:hAnsi="新宋体" w:eastAsia="新宋体" w:cs="新宋体"/>
                <w:b w:val="0"/>
                <w:bCs w:val="0"/>
                <w:color w:val="auto"/>
                <w:sz w:val="22"/>
                <w:szCs w:val="22"/>
                <w:highlight w:val="none"/>
              </w:rPr>
            </w:pPr>
            <w:r>
              <w:rPr>
                <w:rFonts w:hint="eastAsia" w:ascii="新宋体" w:hAnsi="新宋体" w:eastAsia="新宋体" w:cs="新宋体"/>
                <w:color w:val="auto"/>
                <w:sz w:val="22"/>
                <w:szCs w:val="22"/>
                <w:highlight w:val="none"/>
                <w:lang w:eastAsia="zh-CN"/>
              </w:rPr>
              <w:t>流式细胞仪（含细胞计数仪、荧光定量PCR仪）</w:t>
            </w:r>
            <w:r>
              <w:rPr>
                <w:rFonts w:hint="eastAsia" w:ascii="新宋体" w:hAnsi="新宋体" w:eastAsia="新宋体" w:cs="新宋体"/>
                <w:color w:val="auto"/>
                <w:sz w:val="22"/>
                <w:szCs w:val="22"/>
                <w:highlight w:val="none"/>
                <w:lang w:val="en-US" w:eastAsia="zh-CN"/>
              </w:rPr>
              <w:t>招标</w:t>
            </w:r>
            <w:r>
              <w:rPr>
                <w:rFonts w:hint="eastAsia" w:ascii="新宋体" w:hAnsi="新宋体" w:eastAsia="新宋体" w:cs="新宋体"/>
                <w:color w:val="auto"/>
                <w:sz w:val="22"/>
                <w:szCs w:val="22"/>
                <w:highlight w:val="none"/>
                <w:lang w:eastAsia="zh-CN"/>
              </w:rPr>
              <w:t>项目的潜在投标人应在政采云平台（https://www.zcygov.cn/）线上获取（下载）招标文件，并于2025年</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eastAsia="zh-CN"/>
              </w:rPr>
              <w:t>月</w:t>
            </w:r>
            <w:r>
              <w:rPr>
                <w:rFonts w:hint="eastAsia" w:ascii="新宋体" w:hAnsi="新宋体" w:eastAsia="新宋体" w:cs="新宋体"/>
                <w:color w:val="auto"/>
                <w:sz w:val="22"/>
                <w:szCs w:val="22"/>
                <w:highlight w:val="none"/>
                <w:lang w:val="en-US" w:eastAsia="zh-CN"/>
              </w:rPr>
              <w:t>14</w:t>
            </w:r>
            <w:r>
              <w:rPr>
                <w:rFonts w:hint="eastAsia" w:ascii="新宋体" w:hAnsi="新宋体" w:eastAsia="新宋体" w:cs="新宋体"/>
                <w:color w:val="auto"/>
                <w:sz w:val="22"/>
                <w:szCs w:val="22"/>
                <w:highlight w:val="none"/>
                <w:lang w:eastAsia="zh-CN"/>
              </w:rPr>
              <w:t>日</w:t>
            </w:r>
            <w:r>
              <w:rPr>
                <w:rFonts w:hint="eastAsia" w:ascii="新宋体" w:hAnsi="新宋体" w:eastAsia="新宋体" w:cs="新宋体"/>
                <w:color w:val="auto"/>
                <w:sz w:val="22"/>
                <w:szCs w:val="22"/>
                <w:highlight w:val="none"/>
                <w:lang w:val="en-US" w:eastAsia="zh-CN"/>
              </w:rPr>
              <w:t>09</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0（北京时间）前递交（上传）投标文件。</w:t>
            </w:r>
          </w:p>
        </w:tc>
      </w:tr>
    </w:tbl>
    <w:p w14:paraId="496124E8">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一、项目基本情况</w:t>
      </w:r>
    </w:p>
    <w:p w14:paraId="17B8035C">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r>
        <w:rPr>
          <w:rFonts w:hint="eastAsia" w:ascii="新宋体" w:hAnsi="新宋体" w:eastAsia="新宋体" w:cs="新宋体"/>
          <w:color w:val="auto"/>
          <w:sz w:val="22"/>
          <w:szCs w:val="22"/>
          <w:highlight w:val="none"/>
          <w:lang w:eastAsia="zh-CN"/>
        </w:rPr>
        <w:t>WZLCZB（L）-2025-04126</w:t>
      </w:r>
    </w:p>
    <w:p w14:paraId="2304B066">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项目名称：</w:t>
      </w:r>
      <w:r>
        <w:rPr>
          <w:rFonts w:hint="eastAsia" w:ascii="新宋体" w:hAnsi="新宋体" w:eastAsia="新宋体" w:cs="新宋体"/>
          <w:color w:val="auto"/>
          <w:kern w:val="2"/>
          <w:sz w:val="22"/>
          <w:szCs w:val="22"/>
          <w:highlight w:val="none"/>
          <w:lang w:val="en-US" w:eastAsia="zh-CN" w:bidi="ar-SA"/>
        </w:rPr>
        <w:t>流式细胞仪（含细胞计数仪、荧光定量PCR仪）</w:t>
      </w:r>
    </w:p>
    <w:p w14:paraId="6D136C60">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预算金额（元）：</w:t>
      </w:r>
      <w:r>
        <w:rPr>
          <w:rFonts w:hint="eastAsia" w:ascii="新宋体" w:hAnsi="新宋体" w:eastAsia="新宋体" w:cs="新宋体"/>
          <w:color w:val="auto"/>
          <w:sz w:val="22"/>
          <w:szCs w:val="22"/>
          <w:highlight w:val="none"/>
          <w:lang w:val="en-US" w:eastAsia="zh-CN"/>
        </w:rPr>
        <w:t>1800000</w:t>
      </w:r>
    </w:p>
    <w:p w14:paraId="221C563A">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最高限价（元）：</w:t>
      </w:r>
      <w:r>
        <w:rPr>
          <w:rFonts w:hint="eastAsia" w:ascii="新宋体" w:hAnsi="新宋体" w:eastAsia="新宋体" w:cs="新宋体"/>
          <w:color w:val="auto"/>
          <w:sz w:val="22"/>
          <w:szCs w:val="22"/>
          <w:highlight w:val="none"/>
          <w:lang w:val="en-US" w:eastAsia="zh-CN"/>
        </w:rPr>
        <w:t>1800000</w:t>
      </w:r>
    </w:p>
    <w:p w14:paraId="3C47A346">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采购需求：</w:t>
      </w:r>
    </w:p>
    <w:p w14:paraId="24B89921">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p>
    <w:p w14:paraId="37C91D08">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标项名称</w:t>
      </w:r>
      <w:r>
        <w:rPr>
          <w:rFonts w:hint="eastAsia" w:ascii="新宋体" w:hAnsi="新宋体" w:eastAsia="新宋体" w:cs="新宋体"/>
          <w:color w:val="auto"/>
          <w:sz w:val="22"/>
          <w:szCs w:val="22"/>
          <w:highlight w:val="none"/>
          <w:lang w:eastAsia="zh-CN"/>
        </w:rPr>
        <w:t>：流式细胞仪（含细胞计数仪、荧光定量PCR仪）</w:t>
      </w:r>
    </w:p>
    <w:p w14:paraId="37ECA82E">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数量</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1</w:t>
      </w:r>
    </w:p>
    <w:p w14:paraId="0F83657B">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预算金额（元）</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1800000</w:t>
      </w:r>
    </w:p>
    <w:p w14:paraId="775917AC">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简要规格描述或项目基本概况介绍、用途：具体详见</w:t>
      </w:r>
      <w:r>
        <w:rPr>
          <w:rFonts w:hint="eastAsia" w:ascii="新宋体" w:hAnsi="新宋体" w:eastAsia="新宋体" w:cs="新宋体"/>
          <w:color w:val="auto"/>
          <w:sz w:val="22"/>
          <w:szCs w:val="22"/>
          <w:highlight w:val="none"/>
          <w:lang w:val="en-US" w:eastAsia="zh-CN"/>
        </w:rPr>
        <w:t>采购</w:t>
      </w:r>
      <w:r>
        <w:rPr>
          <w:rFonts w:hint="eastAsia" w:ascii="新宋体" w:hAnsi="新宋体" w:eastAsia="新宋体" w:cs="新宋体"/>
          <w:color w:val="auto"/>
          <w:sz w:val="22"/>
          <w:szCs w:val="22"/>
          <w:highlight w:val="none"/>
        </w:rPr>
        <w:t>文件</w:t>
      </w:r>
    </w:p>
    <w:p w14:paraId="2F89C80A">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r>
        <w:rPr>
          <w:rFonts w:hint="eastAsia" w:ascii="新宋体" w:hAnsi="新宋体" w:eastAsia="新宋体" w:cs="新宋体"/>
          <w:b/>
          <w:bCs/>
          <w:color w:val="auto"/>
          <w:sz w:val="22"/>
          <w:szCs w:val="22"/>
          <w:highlight w:val="none"/>
        </w:rPr>
        <w:t>荧光定量PCR</w:t>
      </w:r>
      <w:r>
        <w:rPr>
          <w:rFonts w:hint="eastAsia" w:ascii="新宋体" w:hAnsi="新宋体" w:eastAsia="新宋体" w:cs="新宋体"/>
          <w:b/>
          <w:bCs/>
          <w:color w:val="auto"/>
          <w:sz w:val="22"/>
          <w:szCs w:val="22"/>
          <w:highlight w:val="none"/>
          <w:lang w:eastAsia="zh-CN"/>
        </w:rPr>
        <w:t>仪</w:t>
      </w:r>
      <w:r>
        <w:rPr>
          <w:rFonts w:hint="eastAsia" w:ascii="新宋体" w:hAnsi="新宋体" w:eastAsia="新宋体" w:cs="新宋体"/>
          <w:b/>
          <w:bCs/>
          <w:color w:val="auto"/>
          <w:sz w:val="22"/>
          <w:szCs w:val="22"/>
          <w:highlight w:val="none"/>
          <w:lang w:val="en-US" w:eastAsia="zh-CN"/>
        </w:rPr>
        <w:t>允许进口产品投标</w:t>
      </w:r>
    </w:p>
    <w:p w14:paraId="7B289DE4">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p>
    <w:p w14:paraId="346C81A2">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合同履约期限：标项 1，具体详见</w:t>
      </w:r>
      <w:r>
        <w:rPr>
          <w:rFonts w:hint="eastAsia" w:ascii="新宋体" w:hAnsi="新宋体" w:eastAsia="新宋体" w:cs="新宋体"/>
          <w:color w:val="auto"/>
          <w:sz w:val="22"/>
          <w:szCs w:val="22"/>
          <w:highlight w:val="none"/>
          <w:lang w:val="en-US" w:eastAsia="zh-CN"/>
        </w:rPr>
        <w:t>采购</w:t>
      </w:r>
      <w:r>
        <w:rPr>
          <w:rFonts w:hint="eastAsia" w:ascii="新宋体" w:hAnsi="新宋体" w:eastAsia="新宋体" w:cs="新宋体"/>
          <w:color w:val="auto"/>
          <w:sz w:val="22"/>
          <w:szCs w:val="22"/>
          <w:highlight w:val="none"/>
        </w:rPr>
        <w:t>文件</w:t>
      </w:r>
    </w:p>
    <w:p w14:paraId="614EFB1C">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本项目（</w:t>
      </w:r>
      <w:r>
        <w:rPr>
          <w:rFonts w:hint="eastAsia" w:ascii="新宋体" w:hAnsi="新宋体" w:eastAsia="新宋体" w:cs="新宋体"/>
          <w:color w:val="auto"/>
          <w:sz w:val="22"/>
          <w:szCs w:val="22"/>
          <w:highlight w:val="none"/>
          <w:lang w:val="en-US" w:eastAsia="zh-CN"/>
        </w:rPr>
        <w:t>是</w:t>
      </w:r>
      <w:r>
        <w:rPr>
          <w:rFonts w:hint="eastAsia" w:ascii="新宋体" w:hAnsi="新宋体" w:eastAsia="新宋体" w:cs="新宋体"/>
          <w:color w:val="auto"/>
          <w:sz w:val="22"/>
          <w:szCs w:val="22"/>
          <w:highlight w:val="none"/>
        </w:rPr>
        <w:t>）接受联合体投标。</w:t>
      </w:r>
    </w:p>
    <w:p w14:paraId="4574AB03">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二、申请人的资格要求：</w:t>
      </w:r>
    </w:p>
    <w:p w14:paraId="1C90D68D">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1.满足《中华人民共和国政府采购法》第二十二条规定；未被“信用中国”（www.creditchina.gov.cn</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、中国政府采购网（www.ccgp.gov.cn）列入失信被执行人、重大税收违法案件当事人名单、政府采购严重违法失信行为记录名单。</w:t>
      </w:r>
    </w:p>
    <w:p w14:paraId="14A868D3">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2.落实政府采购政策需满足的资格要求：</w:t>
      </w:r>
      <w:r>
        <w:rPr>
          <w:rFonts w:hint="eastAsia" w:ascii="新宋体" w:hAnsi="新宋体" w:eastAsia="新宋体" w:cs="新宋体"/>
          <w:color w:val="auto"/>
          <w:sz w:val="22"/>
          <w:szCs w:val="22"/>
          <w:highlight w:val="none"/>
          <w:u w:val="none"/>
          <w:lang w:val="en-US" w:eastAsia="zh-CN"/>
        </w:rPr>
        <w:t>标项1：无</w:t>
      </w:r>
    </w:p>
    <w:p w14:paraId="5035CEF3">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3.本项目的特定资格要求：</w:t>
      </w:r>
      <w:r>
        <w:rPr>
          <w:rFonts w:hint="eastAsia" w:ascii="新宋体" w:hAnsi="新宋体" w:eastAsia="新宋体" w:cs="新宋体"/>
          <w:color w:val="auto"/>
          <w:sz w:val="22"/>
          <w:szCs w:val="22"/>
          <w:highlight w:val="none"/>
          <w:u w:val="none"/>
          <w:lang w:val="en-US" w:eastAsia="zh-CN"/>
        </w:rPr>
        <w:t>无</w:t>
      </w:r>
    </w:p>
    <w:p w14:paraId="255DDDB6">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三、获取</w:t>
      </w:r>
      <w:r>
        <w:rPr>
          <w:rFonts w:hint="eastAsia" w:ascii="新宋体" w:hAnsi="新宋体" w:eastAsia="新宋体" w:cs="新宋体"/>
          <w:b/>
          <w:bCs/>
          <w:color w:val="auto"/>
          <w:sz w:val="22"/>
          <w:szCs w:val="22"/>
          <w:highlight w:val="none"/>
          <w:lang w:eastAsia="zh-CN"/>
        </w:rPr>
        <w:t>采购文件</w:t>
      </w:r>
    </w:p>
    <w:p w14:paraId="6393A093">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时间：</w:t>
      </w:r>
      <w:r>
        <w:rPr>
          <w:rFonts w:hint="eastAsia" w:ascii="新宋体" w:hAnsi="新宋体" w:eastAsia="新宋体" w:cs="新宋体"/>
          <w:color w:val="auto"/>
          <w:sz w:val="22"/>
          <w:szCs w:val="22"/>
          <w:highlight w:val="none"/>
          <w:lang w:val="en-US" w:eastAsia="zh-CN"/>
        </w:rPr>
        <w:t>/</w:t>
      </w:r>
      <w:r>
        <w:rPr>
          <w:rFonts w:hint="eastAsia" w:ascii="新宋体" w:hAnsi="新宋体" w:eastAsia="新宋体" w:cs="新宋体"/>
          <w:color w:val="auto"/>
          <w:sz w:val="22"/>
          <w:szCs w:val="22"/>
          <w:highlight w:val="none"/>
        </w:rPr>
        <w:t>至</w:t>
      </w:r>
      <w:r>
        <w:rPr>
          <w:rFonts w:hint="eastAsia" w:ascii="新宋体" w:hAnsi="新宋体" w:eastAsia="新宋体" w:cs="新宋体"/>
          <w:color w:val="auto"/>
          <w:sz w:val="22"/>
          <w:szCs w:val="22"/>
          <w:highlight w:val="none"/>
          <w:lang w:eastAsia="zh-CN"/>
        </w:rPr>
        <w:t>202</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eastAsia="zh-CN"/>
        </w:rPr>
        <w:t>年</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eastAsia="zh-CN"/>
        </w:rPr>
        <w:t>月</w:t>
      </w:r>
      <w:r>
        <w:rPr>
          <w:rFonts w:hint="eastAsia" w:ascii="新宋体" w:hAnsi="新宋体" w:eastAsia="新宋体" w:cs="新宋体"/>
          <w:color w:val="auto"/>
          <w:sz w:val="22"/>
          <w:szCs w:val="22"/>
          <w:highlight w:val="none"/>
          <w:lang w:val="en-US" w:eastAsia="zh-CN"/>
        </w:rPr>
        <w:t>14</w:t>
      </w:r>
      <w:bookmarkStart w:id="76" w:name="_GoBack"/>
      <w:bookmarkEnd w:id="76"/>
      <w:r>
        <w:rPr>
          <w:rFonts w:hint="eastAsia" w:ascii="新宋体" w:hAnsi="新宋体" w:eastAsia="新宋体" w:cs="新宋体"/>
          <w:color w:val="auto"/>
          <w:sz w:val="22"/>
          <w:szCs w:val="22"/>
          <w:highlight w:val="none"/>
          <w:lang w:eastAsia="zh-CN"/>
        </w:rPr>
        <w:t>日</w:t>
      </w:r>
      <w:r>
        <w:rPr>
          <w:rFonts w:hint="eastAsia" w:ascii="新宋体" w:hAnsi="新宋体" w:eastAsia="新宋体" w:cs="新宋体"/>
          <w:color w:val="auto"/>
          <w:sz w:val="22"/>
          <w:szCs w:val="22"/>
          <w:highlight w:val="none"/>
        </w:rPr>
        <w:t>，每天上午00</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00至12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00，下午12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00至23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59（北京时间，线上获取法定节假日均可，线下获取文件法定节假日除外）</w:t>
      </w:r>
    </w:p>
    <w:p w14:paraId="40C266C7">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地点（网址）：政采云平台（https://www.zcygov.cn/）线上获取</w:t>
      </w:r>
    </w:p>
    <w:p w14:paraId="7B1E3351">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方式：供应商登录政采云平台https</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//www.zcygov.cn/在线申请获取采购文件（进入“项目采购”应用，在获取采购文件菜单中选择项目，申请获取采购文件）</w:t>
      </w:r>
    </w:p>
    <w:p w14:paraId="7D52D5F3">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售价（元）：0</w:t>
      </w:r>
    </w:p>
    <w:p w14:paraId="43180931">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四、提交投标文件截止时间、开标时间和地点</w:t>
      </w:r>
    </w:p>
    <w:p w14:paraId="2D9EC094">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提交投标文件截止时间：</w:t>
      </w:r>
      <w:r>
        <w:rPr>
          <w:rFonts w:hint="eastAsia" w:ascii="新宋体" w:hAnsi="新宋体" w:eastAsia="新宋体" w:cs="新宋体"/>
          <w:color w:val="auto"/>
          <w:sz w:val="22"/>
          <w:szCs w:val="22"/>
          <w:highlight w:val="none"/>
          <w:lang w:eastAsia="zh-CN"/>
        </w:rPr>
        <w:t>2025年</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eastAsia="zh-CN"/>
        </w:rPr>
        <w:t>月</w:t>
      </w:r>
      <w:r>
        <w:rPr>
          <w:rFonts w:hint="eastAsia" w:ascii="新宋体" w:hAnsi="新宋体" w:eastAsia="新宋体" w:cs="新宋体"/>
          <w:color w:val="auto"/>
          <w:sz w:val="22"/>
          <w:szCs w:val="22"/>
          <w:highlight w:val="none"/>
          <w:lang w:val="en-US" w:eastAsia="zh-CN"/>
        </w:rPr>
        <w:t>14</w:t>
      </w:r>
      <w:r>
        <w:rPr>
          <w:rFonts w:hint="eastAsia" w:ascii="新宋体" w:hAnsi="新宋体" w:eastAsia="新宋体" w:cs="新宋体"/>
          <w:color w:val="auto"/>
          <w:sz w:val="22"/>
          <w:szCs w:val="22"/>
          <w:highlight w:val="none"/>
          <w:lang w:eastAsia="zh-CN"/>
        </w:rPr>
        <w:t>日09：30 </w:t>
      </w:r>
      <w:r>
        <w:rPr>
          <w:rFonts w:hint="eastAsia" w:ascii="新宋体" w:hAnsi="新宋体" w:eastAsia="新宋体" w:cs="新宋体"/>
          <w:color w:val="auto"/>
          <w:sz w:val="22"/>
          <w:szCs w:val="22"/>
          <w:highlight w:val="none"/>
        </w:rPr>
        <w:t>（北京时间）</w:t>
      </w:r>
    </w:p>
    <w:p w14:paraId="380202ED">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投标地点（网址）：请登录政采云投标客户端投标</w:t>
      </w:r>
    </w:p>
    <w:p w14:paraId="38A91305">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开标时间：</w:t>
      </w:r>
      <w:r>
        <w:rPr>
          <w:rFonts w:hint="eastAsia" w:ascii="新宋体" w:hAnsi="新宋体" w:eastAsia="新宋体" w:cs="新宋体"/>
          <w:color w:val="auto"/>
          <w:sz w:val="22"/>
          <w:szCs w:val="22"/>
          <w:highlight w:val="none"/>
          <w:lang w:eastAsia="zh-CN"/>
        </w:rPr>
        <w:t>2025年</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eastAsia="zh-CN"/>
        </w:rPr>
        <w:t>月</w:t>
      </w:r>
      <w:r>
        <w:rPr>
          <w:rFonts w:hint="eastAsia" w:ascii="新宋体" w:hAnsi="新宋体" w:eastAsia="新宋体" w:cs="新宋体"/>
          <w:color w:val="auto"/>
          <w:sz w:val="22"/>
          <w:szCs w:val="22"/>
          <w:highlight w:val="none"/>
          <w:lang w:val="en-US" w:eastAsia="zh-CN"/>
        </w:rPr>
        <w:t>14</w:t>
      </w:r>
      <w:r>
        <w:rPr>
          <w:rFonts w:hint="eastAsia" w:ascii="新宋体" w:hAnsi="新宋体" w:eastAsia="新宋体" w:cs="新宋体"/>
          <w:color w:val="auto"/>
          <w:sz w:val="22"/>
          <w:szCs w:val="22"/>
          <w:highlight w:val="none"/>
          <w:lang w:eastAsia="zh-CN"/>
        </w:rPr>
        <w:t>日09：30</w:t>
      </w:r>
    </w:p>
    <w:p w14:paraId="1A370054">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开标地点（网址）：政采云平台（https://www.zcygov.cn/）</w:t>
      </w:r>
    </w:p>
    <w:p w14:paraId="369CA2C8">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五、公告期限</w:t>
      </w:r>
      <w:r>
        <w:rPr>
          <w:rFonts w:hint="eastAsia" w:ascii="新宋体" w:hAnsi="新宋体" w:eastAsia="新宋体" w:cs="新宋体"/>
          <w:color w:val="auto"/>
          <w:sz w:val="22"/>
          <w:szCs w:val="22"/>
          <w:highlight w:val="none"/>
        </w:rPr>
        <w:t> </w:t>
      </w:r>
    </w:p>
    <w:p w14:paraId="4622903C">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自本公告发布之日起5个工作日。</w:t>
      </w:r>
    </w:p>
    <w:p w14:paraId="0FC5B68B">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六、其他补充事宜</w:t>
      </w:r>
    </w:p>
    <w:p w14:paraId="08ACDBB8">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32F50854">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15D5A412">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9C18B8A">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.其他事项：</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一</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的获取：使用账号登录或者使用CA登录政采云平台；进入“项目采购”应用，在获取采购文件菜单中选择项目，获取</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④投标文件的制作：在“政采云电子交易客户端”中完成“填写基本信息”、“导入投标文件”、“标书关联”、“标书检查”、“电子签名”、“生成电子标书”等操作；⑤投标文件的传输递交：投标人在投标截止时间前将加密的投标文件上传至政府采购云平台；⑥投标文件的解密：投标人按照平台提示和</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规定在半小时内完成在线解密；⑦具体操作指南：详见政采云平台“服务中心-帮助文档-项目采购-操作流程-电子招投标-政府采购项目电子交易管理操作指南-供应商”：浙江省政府采购项目政采云平台学习专题https://edu.zcygov.cn/luban/e-biding。（</w:t>
      </w:r>
      <w:r>
        <w:rPr>
          <w:rFonts w:hint="eastAsia" w:ascii="新宋体" w:hAnsi="新宋体" w:eastAsia="新宋体" w:cs="新宋体"/>
          <w:color w:val="auto"/>
          <w:sz w:val="22"/>
          <w:szCs w:val="22"/>
          <w:highlight w:val="none"/>
          <w:lang w:val="en-US" w:eastAsia="zh-CN"/>
        </w:rPr>
        <w:t>二</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公告附件的采购文件仅供阅览使用，未按照本公告规定的方式获取采购文件的潜在供应商提起的质疑采购组织机构将不予受理、答复。 </w:t>
      </w:r>
    </w:p>
    <w:p w14:paraId="72930F42">
      <w:pPr>
        <w:keepNext w:val="0"/>
        <w:keepLines w:val="0"/>
        <w:pageBreakBefore w:val="0"/>
        <w:tabs>
          <w:tab w:val="left" w:pos="360"/>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七、对本次</w:t>
      </w:r>
      <w:r>
        <w:rPr>
          <w:rFonts w:hint="eastAsia" w:ascii="新宋体" w:hAnsi="新宋体" w:eastAsia="新宋体" w:cs="新宋体"/>
          <w:b/>
          <w:bCs/>
          <w:color w:val="auto"/>
          <w:sz w:val="22"/>
          <w:szCs w:val="22"/>
          <w:highlight w:val="none"/>
          <w:lang w:eastAsia="zh-CN"/>
        </w:rPr>
        <w:t>采购</w:t>
      </w:r>
      <w:r>
        <w:rPr>
          <w:rFonts w:hint="eastAsia" w:ascii="新宋体" w:hAnsi="新宋体" w:eastAsia="新宋体" w:cs="新宋体"/>
          <w:b/>
          <w:bCs/>
          <w:color w:val="auto"/>
          <w:sz w:val="22"/>
          <w:szCs w:val="22"/>
          <w:highlight w:val="none"/>
        </w:rPr>
        <w:t>提出询问，请按以下方式联系</w:t>
      </w:r>
    </w:p>
    <w:p w14:paraId="253A03A2">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1.采购人信息</w:t>
      </w:r>
    </w:p>
    <w:p w14:paraId="3FF43986">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eastAsia="zh-CN"/>
        </w:rPr>
      </w:pPr>
      <w:r>
        <w:rPr>
          <w:rFonts w:hint="eastAsia" w:ascii="新宋体" w:hAnsi="新宋体" w:eastAsia="新宋体" w:cs="新宋体"/>
          <w:color w:val="auto"/>
          <w:sz w:val="22"/>
          <w:szCs w:val="22"/>
          <w:highlight w:val="none"/>
          <w:u w:val="none"/>
        </w:rPr>
        <w:t>名  称：</w:t>
      </w:r>
      <w:r>
        <w:rPr>
          <w:rFonts w:hint="eastAsia" w:ascii="新宋体" w:hAnsi="新宋体" w:eastAsia="新宋体" w:cs="新宋体"/>
          <w:color w:val="auto"/>
          <w:sz w:val="22"/>
          <w:szCs w:val="22"/>
          <w:highlight w:val="none"/>
          <w:u w:val="none"/>
          <w:lang w:eastAsia="zh-CN"/>
        </w:rPr>
        <w:t>温州市疾病预防控制中心（温州市卫生监督所）</w:t>
      </w:r>
    </w:p>
    <w:p w14:paraId="279221DB">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地  址：</w:t>
      </w:r>
      <w:r>
        <w:rPr>
          <w:rFonts w:hint="eastAsia" w:ascii="新宋体" w:hAnsi="新宋体" w:eastAsia="新宋体" w:cs="新宋体"/>
          <w:color w:val="auto"/>
          <w:sz w:val="22"/>
          <w:szCs w:val="22"/>
          <w:highlight w:val="none"/>
          <w:u w:val="none"/>
          <w:lang w:val="en-US" w:eastAsia="zh-CN"/>
        </w:rPr>
        <w:t>温州市鹿城区新城大道41号</w:t>
      </w:r>
    </w:p>
    <w:p w14:paraId="75B85AC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传  真：</w:t>
      </w:r>
      <w:r>
        <w:rPr>
          <w:rFonts w:hint="eastAsia" w:ascii="新宋体" w:hAnsi="新宋体" w:eastAsia="新宋体" w:cs="新宋体"/>
          <w:color w:val="auto"/>
          <w:sz w:val="22"/>
          <w:szCs w:val="22"/>
          <w:highlight w:val="none"/>
          <w:u w:val="none"/>
          <w:lang w:val="en-US" w:eastAsia="zh-CN"/>
        </w:rPr>
        <w:t>/</w:t>
      </w:r>
      <w:r>
        <w:rPr>
          <w:rFonts w:hint="eastAsia" w:ascii="新宋体" w:hAnsi="新宋体" w:eastAsia="新宋体" w:cs="新宋体"/>
          <w:color w:val="auto"/>
          <w:sz w:val="22"/>
          <w:szCs w:val="22"/>
          <w:highlight w:val="none"/>
          <w:u w:val="none"/>
        </w:rPr>
        <w:t xml:space="preserve">   </w:t>
      </w:r>
    </w:p>
    <w:p w14:paraId="674CDAC3">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项目联系人（询问）：</w:t>
      </w:r>
      <w:r>
        <w:rPr>
          <w:rFonts w:hint="eastAsia" w:ascii="新宋体" w:hAnsi="新宋体" w:eastAsia="新宋体" w:cs="新宋体"/>
          <w:color w:val="auto"/>
          <w:sz w:val="22"/>
          <w:szCs w:val="22"/>
          <w:highlight w:val="none"/>
          <w:u w:val="none"/>
          <w:lang w:val="en-US" w:eastAsia="zh-CN"/>
        </w:rPr>
        <w:t>陈先生</w:t>
      </w:r>
    </w:p>
    <w:p w14:paraId="77B57CFE">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eastAsia="zh-CN"/>
        </w:rPr>
      </w:pPr>
      <w:r>
        <w:rPr>
          <w:rFonts w:hint="eastAsia" w:ascii="新宋体" w:hAnsi="新宋体" w:eastAsia="新宋体" w:cs="新宋体"/>
          <w:color w:val="auto"/>
          <w:sz w:val="22"/>
          <w:szCs w:val="22"/>
          <w:highlight w:val="none"/>
          <w:u w:val="none"/>
        </w:rPr>
        <w:t>项目联系方式（询问）：0577-55597822</w:t>
      </w:r>
    </w:p>
    <w:p w14:paraId="59472C3E">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val="en-US" w:eastAsia="zh-CN"/>
        </w:rPr>
      </w:pPr>
      <w:r>
        <w:rPr>
          <w:rFonts w:hint="eastAsia" w:ascii="新宋体" w:hAnsi="新宋体" w:eastAsia="新宋体" w:cs="新宋体"/>
          <w:color w:val="auto"/>
          <w:sz w:val="22"/>
          <w:szCs w:val="22"/>
          <w:highlight w:val="none"/>
          <w:u w:val="none"/>
        </w:rPr>
        <w:t>质疑联系人：朱老师</w:t>
      </w:r>
    </w:p>
    <w:p w14:paraId="5ECB8D4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val="en-US"/>
        </w:rPr>
      </w:pPr>
      <w:r>
        <w:rPr>
          <w:rFonts w:hint="eastAsia" w:ascii="新宋体" w:hAnsi="新宋体" w:eastAsia="新宋体" w:cs="新宋体"/>
          <w:color w:val="auto"/>
          <w:sz w:val="22"/>
          <w:szCs w:val="22"/>
          <w:highlight w:val="none"/>
          <w:u w:val="none"/>
        </w:rPr>
        <w:t>质疑联系方式：0577-55597819</w:t>
      </w:r>
    </w:p>
    <w:p w14:paraId="3594B71D">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p>
    <w:p w14:paraId="34F3908A">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2.采购代理机构信息</w:t>
      </w:r>
    </w:p>
    <w:p w14:paraId="6839EA1A">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名  称：温州历程招标有限公司 </w:t>
      </w:r>
    </w:p>
    <w:p w14:paraId="4E400446">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地  址：</w:t>
      </w:r>
      <w:r>
        <w:rPr>
          <w:rFonts w:hint="eastAsia" w:ascii="新宋体" w:hAnsi="新宋体" w:eastAsia="新宋体" w:cs="新宋体"/>
          <w:color w:val="auto"/>
          <w:sz w:val="22"/>
          <w:szCs w:val="22"/>
          <w:highlight w:val="none"/>
          <w:u w:val="none"/>
          <w:lang w:eastAsia="zh-CN"/>
        </w:rPr>
        <w:t>温州市鹿城区南汇街道勤民路鹿城壹号18幢803室</w:t>
      </w:r>
    </w:p>
    <w:p w14:paraId="368730BE">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eastAsia="zh-CN"/>
        </w:rPr>
      </w:pPr>
      <w:r>
        <w:rPr>
          <w:rFonts w:hint="eastAsia" w:ascii="新宋体" w:hAnsi="新宋体" w:eastAsia="新宋体" w:cs="新宋体"/>
          <w:color w:val="auto"/>
          <w:sz w:val="22"/>
          <w:szCs w:val="22"/>
          <w:highlight w:val="none"/>
          <w:u w:val="none"/>
        </w:rPr>
        <w:t>传  真：</w:t>
      </w:r>
      <w:r>
        <w:rPr>
          <w:rFonts w:hint="eastAsia" w:ascii="新宋体" w:hAnsi="新宋体" w:eastAsia="新宋体" w:cs="新宋体"/>
          <w:color w:val="auto"/>
          <w:sz w:val="22"/>
          <w:szCs w:val="22"/>
          <w:highlight w:val="none"/>
          <w:u w:val="none"/>
          <w:lang w:val="en-US" w:eastAsia="zh-CN"/>
        </w:rPr>
        <w:t>/</w:t>
      </w:r>
    </w:p>
    <w:p w14:paraId="6006631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项目联系人（询问）： 郑永强 </w:t>
      </w:r>
    </w:p>
    <w:p w14:paraId="79248685">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项目联系方式（询问）：0577-89887322、13757727199</w:t>
      </w:r>
    </w:p>
    <w:p w14:paraId="52DAC9C0">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质疑联系人：肖忠文</w:t>
      </w:r>
    </w:p>
    <w:p w14:paraId="6105039E">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质疑联系方式：13757727199 </w:t>
      </w:r>
    </w:p>
    <w:p w14:paraId="62C88FA6">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p>
    <w:p w14:paraId="2091B76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3.同级政府采购监督管理部门</w:t>
      </w:r>
    </w:p>
    <w:p w14:paraId="5E32589F">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bookmarkStart w:id="2" w:name="_Toc5772"/>
      <w:r>
        <w:rPr>
          <w:rFonts w:hint="eastAsia" w:ascii="新宋体" w:hAnsi="新宋体" w:eastAsia="新宋体" w:cs="新宋体"/>
          <w:color w:val="auto"/>
          <w:sz w:val="22"/>
          <w:szCs w:val="22"/>
          <w:highlight w:val="none"/>
          <w:u w:val="none"/>
        </w:rPr>
        <w:t>名</w:t>
      </w:r>
      <w:r>
        <w:rPr>
          <w:rFonts w:hint="eastAsia" w:ascii="新宋体" w:hAnsi="新宋体" w:eastAsia="新宋体" w:cs="新宋体"/>
          <w:color w:val="auto"/>
          <w:sz w:val="22"/>
          <w:szCs w:val="22"/>
          <w:highlight w:val="none"/>
          <w:u w:val="none"/>
          <w:lang w:val="en-US" w:eastAsia="zh-CN"/>
        </w:rPr>
        <w:t xml:space="preserve">  </w:t>
      </w:r>
      <w:r>
        <w:rPr>
          <w:rFonts w:hint="eastAsia" w:ascii="新宋体" w:hAnsi="新宋体" w:eastAsia="新宋体" w:cs="新宋体"/>
          <w:color w:val="auto"/>
          <w:sz w:val="22"/>
          <w:szCs w:val="22"/>
          <w:highlight w:val="none"/>
          <w:u w:val="none"/>
        </w:rPr>
        <w:t>称：</w:t>
      </w:r>
      <w:r>
        <w:rPr>
          <w:rFonts w:hint="eastAsia" w:ascii="新宋体" w:hAnsi="新宋体" w:eastAsia="新宋体" w:cs="新宋体"/>
          <w:color w:val="auto"/>
          <w:sz w:val="22"/>
          <w:szCs w:val="22"/>
          <w:highlight w:val="none"/>
          <w:u w:val="none"/>
          <w:lang w:val="en-US" w:eastAsia="zh-CN"/>
        </w:rPr>
        <w:t>温州市</w:t>
      </w:r>
      <w:r>
        <w:rPr>
          <w:rFonts w:hint="eastAsia" w:ascii="新宋体" w:hAnsi="新宋体" w:eastAsia="新宋体" w:cs="新宋体"/>
          <w:color w:val="auto"/>
          <w:sz w:val="22"/>
          <w:szCs w:val="22"/>
          <w:highlight w:val="none"/>
          <w:u w:val="none"/>
        </w:rPr>
        <w:t>财政局（浙江省政府采购行政裁决服务中心（温州））</w:t>
      </w:r>
    </w:p>
    <w:p w14:paraId="696C0B60">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地</w:t>
      </w:r>
      <w:r>
        <w:rPr>
          <w:rFonts w:hint="eastAsia" w:ascii="新宋体" w:hAnsi="新宋体" w:eastAsia="新宋体" w:cs="新宋体"/>
          <w:color w:val="auto"/>
          <w:sz w:val="22"/>
          <w:szCs w:val="22"/>
          <w:highlight w:val="none"/>
          <w:u w:val="none"/>
          <w:lang w:val="en-US" w:eastAsia="zh-CN"/>
        </w:rPr>
        <w:t xml:space="preserve">  </w:t>
      </w:r>
      <w:r>
        <w:rPr>
          <w:rFonts w:hint="eastAsia" w:ascii="新宋体" w:hAnsi="新宋体" w:eastAsia="新宋体" w:cs="新宋体"/>
          <w:color w:val="auto"/>
          <w:sz w:val="22"/>
          <w:szCs w:val="22"/>
          <w:highlight w:val="none"/>
          <w:u w:val="none"/>
        </w:rPr>
        <w:t>址：温州市鹿城区滨江街道瓯江路展银大厦1606室</w:t>
      </w:r>
    </w:p>
    <w:p w14:paraId="5234814F">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传</w:t>
      </w:r>
      <w:r>
        <w:rPr>
          <w:rFonts w:hint="eastAsia" w:ascii="新宋体" w:hAnsi="新宋体" w:eastAsia="新宋体" w:cs="新宋体"/>
          <w:color w:val="auto"/>
          <w:sz w:val="22"/>
          <w:szCs w:val="22"/>
          <w:highlight w:val="none"/>
          <w:u w:val="none"/>
          <w:lang w:val="en-US" w:eastAsia="zh-CN"/>
        </w:rPr>
        <w:t xml:space="preserve">  </w:t>
      </w:r>
      <w:r>
        <w:rPr>
          <w:rFonts w:hint="eastAsia" w:ascii="新宋体" w:hAnsi="新宋体" w:eastAsia="新宋体" w:cs="新宋体"/>
          <w:color w:val="auto"/>
          <w:sz w:val="22"/>
          <w:szCs w:val="22"/>
          <w:highlight w:val="none"/>
          <w:u w:val="none"/>
        </w:rPr>
        <w:t>真：/</w:t>
      </w:r>
    </w:p>
    <w:p w14:paraId="1EB3F42B">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联系人：李老师、王老师</w:t>
      </w:r>
    </w:p>
    <w:p w14:paraId="06C19A35">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监督投诉电话：0577-88501561、0577-85501562</w:t>
      </w:r>
    </w:p>
    <w:p w14:paraId="3F3039D4">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p>
    <w:p w14:paraId="486D6367">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若对项目采购电子交易系统操作有疑问，可登录政采云（https://www.zcygov.cn/），点击右侧咨询小采，获取采小蜜智能服务管家帮助，或拨打政采云服务热线95763获取热线服务帮助。</w:t>
      </w:r>
    </w:p>
    <w:p w14:paraId="29C25783">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CA问题联系电话（人工）：汇信CA 400-888-4636；天谷CA 400-087-8198。</w:t>
      </w:r>
    </w:p>
    <w:p w14:paraId="3F87A47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p>
    <w:p w14:paraId="27EA1F6F">
      <w:pPr>
        <w:rPr>
          <w:rFonts w:hint="eastAsia" w:ascii="新宋体" w:hAnsi="新宋体" w:eastAsia="新宋体" w:cs="新宋体"/>
          <w:color w:val="auto"/>
          <w:highlight w:val="none"/>
        </w:rPr>
      </w:pPr>
      <w:r>
        <w:rPr>
          <w:rFonts w:hint="eastAsia" w:ascii="新宋体" w:hAnsi="新宋体" w:eastAsia="新宋体" w:cs="新宋体"/>
          <w:color w:val="auto"/>
          <w:highlight w:val="none"/>
        </w:rPr>
        <w:br w:type="page"/>
      </w:r>
    </w:p>
    <w:p w14:paraId="05C88006">
      <w:pPr>
        <w:pStyle w:val="3"/>
        <w:rPr>
          <w:rFonts w:hint="eastAsia" w:ascii="新宋体" w:hAnsi="新宋体" w:eastAsia="新宋体" w:cs="新宋体"/>
          <w:color w:val="auto"/>
          <w:highlight w:val="none"/>
        </w:rPr>
      </w:pPr>
      <w:bookmarkStart w:id="3" w:name="_Toc9474"/>
      <w:r>
        <w:rPr>
          <w:rFonts w:hint="eastAsia" w:ascii="新宋体" w:hAnsi="新宋体" w:eastAsia="新宋体" w:cs="新宋体"/>
          <w:color w:val="auto"/>
          <w:highlight w:val="none"/>
        </w:rPr>
        <w:t>第一部分</w:t>
      </w:r>
      <w:r>
        <w:rPr>
          <w:rFonts w:hint="eastAsia" w:ascii="新宋体" w:hAnsi="新宋体" w:eastAsia="新宋体" w:cs="新宋体"/>
          <w:color w:val="auto"/>
          <w:highlight w:val="none"/>
          <w:lang w:val="en-US" w:eastAsia="zh-CN"/>
        </w:rPr>
        <w:t xml:space="preserve">   </w:t>
      </w:r>
      <w:r>
        <w:rPr>
          <w:rFonts w:hint="eastAsia" w:ascii="新宋体" w:hAnsi="新宋体" w:eastAsia="新宋体" w:cs="新宋体"/>
          <w:color w:val="auto"/>
          <w:highlight w:val="none"/>
        </w:rPr>
        <w:t>投标人须知</w:t>
      </w:r>
      <w:bookmarkEnd w:id="2"/>
      <w:bookmarkEnd w:id="3"/>
    </w:p>
    <w:p w14:paraId="45B0DCC5">
      <w:pPr>
        <w:keepNext/>
        <w:keepLines/>
        <w:shd w:val="clear" w:color="auto" w:fill="FFFFFF"/>
        <w:tabs>
          <w:tab w:val="left" w:pos="706"/>
        </w:tabs>
        <w:snapToGrid w:val="0"/>
        <w:spacing w:line="360" w:lineRule="auto"/>
        <w:jc w:val="center"/>
        <w:outlineLvl w:val="1"/>
        <w:rPr>
          <w:rFonts w:hint="eastAsia" w:ascii="新宋体" w:hAnsi="新宋体" w:eastAsia="新宋体" w:cs="新宋体"/>
          <w:b/>
          <w:bCs/>
          <w:color w:val="auto"/>
          <w:sz w:val="24"/>
          <w:highlight w:val="none"/>
        </w:rPr>
      </w:pPr>
      <w:bookmarkStart w:id="4" w:name="_Toc1839"/>
      <w:bookmarkStart w:id="5" w:name="_Toc233618971"/>
      <w:bookmarkStart w:id="6" w:name="_Toc354996695"/>
      <w:bookmarkStart w:id="7" w:name="_Toc33194387"/>
      <w:bookmarkStart w:id="8" w:name="_Toc14189"/>
      <w:r>
        <w:rPr>
          <w:rFonts w:hint="eastAsia" w:ascii="新宋体" w:hAnsi="新宋体" w:eastAsia="新宋体" w:cs="新宋体"/>
          <w:b/>
          <w:bCs/>
          <w:color w:val="auto"/>
          <w:sz w:val="24"/>
          <w:highlight w:val="none"/>
        </w:rPr>
        <w:t>前 附 表</w:t>
      </w:r>
      <w:bookmarkEnd w:id="4"/>
      <w:bookmarkEnd w:id="5"/>
      <w:bookmarkEnd w:id="6"/>
      <w:bookmarkEnd w:id="7"/>
      <w:bookmarkEnd w:id="8"/>
    </w:p>
    <w:tbl>
      <w:tblPr>
        <w:tblStyle w:val="53"/>
        <w:tblW w:w="991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569"/>
        <w:gridCol w:w="9346"/>
      </w:tblGrid>
      <w:tr w14:paraId="02A8B2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8" w:space="0"/>
              <w:left w:val="single" w:color="000000" w:sz="8" w:space="0"/>
              <w:bottom w:val="single" w:color="000000" w:sz="2" w:space="0"/>
              <w:right w:val="single" w:color="000000" w:sz="2" w:space="0"/>
            </w:tcBorders>
            <w:vAlign w:val="center"/>
          </w:tcPr>
          <w:p w14:paraId="390E4CE1">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条款</w:t>
            </w:r>
          </w:p>
        </w:tc>
        <w:tc>
          <w:tcPr>
            <w:tcW w:w="9346" w:type="dxa"/>
            <w:tcBorders>
              <w:top w:val="single" w:color="000000" w:sz="8" w:space="0"/>
              <w:left w:val="single" w:color="000000" w:sz="2" w:space="0"/>
              <w:bottom w:val="single" w:color="000000" w:sz="2" w:space="0"/>
              <w:right w:val="single" w:color="000000" w:sz="8" w:space="0"/>
            </w:tcBorders>
            <w:vAlign w:val="center"/>
          </w:tcPr>
          <w:p w14:paraId="26921851">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内容规定</w:t>
            </w:r>
          </w:p>
        </w:tc>
      </w:tr>
      <w:tr w14:paraId="2643C5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721E93B3">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w:t>
            </w:r>
          </w:p>
        </w:tc>
        <w:tc>
          <w:tcPr>
            <w:tcW w:w="9346" w:type="dxa"/>
            <w:tcBorders>
              <w:top w:val="single" w:color="000000" w:sz="2" w:space="0"/>
              <w:left w:val="single" w:color="000000" w:sz="2" w:space="0"/>
              <w:bottom w:val="single" w:color="000000" w:sz="2" w:space="0"/>
              <w:right w:val="single" w:color="000000" w:sz="8" w:space="0"/>
            </w:tcBorders>
          </w:tcPr>
          <w:p w14:paraId="1767379D">
            <w:pPr>
              <w:keepNext w:val="0"/>
              <w:keepLines w:val="0"/>
              <w:pageBreakBefore w:val="0"/>
              <w:tabs>
                <w:tab w:val="left" w:pos="3780"/>
              </w:tabs>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一、项目名称</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eastAsia="zh-CN"/>
              </w:rPr>
              <w:t>流式细胞仪（含细胞计数仪、荧光定量PCR仪）</w:t>
            </w:r>
          </w:p>
          <w:p w14:paraId="249FFFAD">
            <w:pPr>
              <w:keepNext w:val="0"/>
              <w:keepLines w:val="0"/>
              <w:pageBreakBefore w:val="0"/>
              <w:kinsoku/>
              <w:wordWrap/>
              <w:overflowPunct/>
              <w:topLinePunct w:val="0"/>
              <w:autoSpaceDE/>
              <w:autoSpaceDN/>
              <w:bidi w:val="0"/>
              <w:spacing w:line="460" w:lineRule="exact"/>
              <w:rPr>
                <w:rFonts w:hint="eastAsia" w:ascii="新宋体" w:hAnsi="新宋体" w:eastAsia="新宋体" w:cs="新宋体"/>
                <w:b/>
                <w:bCs/>
                <w:color w:val="auto"/>
                <w:sz w:val="22"/>
                <w:szCs w:val="22"/>
                <w:highlight w:val="none"/>
              </w:rPr>
            </w:pPr>
            <w:bookmarkStart w:id="9" w:name="_Hlt75139851"/>
            <w:bookmarkEnd w:id="9"/>
            <w:r>
              <w:rPr>
                <w:rFonts w:hint="eastAsia" w:ascii="新宋体" w:hAnsi="新宋体" w:eastAsia="新宋体" w:cs="新宋体"/>
                <w:b/>
                <w:bCs/>
                <w:color w:val="auto"/>
                <w:sz w:val="22"/>
                <w:szCs w:val="22"/>
                <w:highlight w:val="none"/>
              </w:rPr>
              <w:t>二、采购内容：</w:t>
            </w:r>
          </w:p>
          <w:tbl>
            <w:tblPr>
              <w:tblStyle w:val="53"/>
              <w:tblW w:w="905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35"/>
              <w:gridCol w:w="915"/>
              <w:gridCol w:w="1875"/>
              <w:gridCol w:w="2145"/>
              <w:gridCol w:w="1585"/>
            </w:tblGrid>
            <w:tr w14:paraId="5FEC48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2535" w:type="dxa"/>
                  <w:tcBorders>
                    <w:top w:val="single" w:color="auto" w:sz="4" w:space="0"/>
                    <w:left w:val="single" w:color="auto" w:sz="4" w:space="0"/>
                    <w:bottom w:val="single" w:color="auto" w:sz="4" w:space="0"/>
                    <w:right w:val="single" w:color="auto" w:sz="4" w:space="0"/>
                  </w:tcBorders>
                  <w:vAlign w:val="center"/>
                </w:tcPr>
                <w:p w14:paraId="4A620163">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项目名称</w:t>
                  </w:r>
                </w:p>
              </w:tc>
              <w:tc>
                <w:tcPr>
                  <w:tcW w:w="915" w:type="dxa"/>
                  <w:tcBorders>
                    <w:top w:val="single" w:color="auto" w:sz="4" w:space="0"/>
                    <w:left w:val="single" w:color="auto" w:sz="4" w:space="0"/>
                    <w:bottom w:val="single" w:color="auto" w:sz="4" w:space="0"/>
                    <w:right w:val="single" w:color="auto" w:sz="4" w:space="0"/>
                  </w:tcBorders>
                  <w:vAlign w:val="center"/>
                </w:tcPr>
                <w:p w14:paraId="68F072FD">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shd w:val="clear" w:color="auto" w:fill="FFFFFF"/>
                      <w:lang w:eastAsia="zh-CN"/>
                    </w:rPr>
                  </w:pPr>
                  <w:r>
                    <w:rPr>
                      <w:rFonts w:hint="eastAsia" w:ascii="新宋体" w:hAnsi="新宋体" w:eastAsia="新宋体" w:cs="新宋体"/>
                      <w:color w:val="auto"/>
                      <w:sz w:val="22"/>
                      <w:szCs w:val="22"/>
                      <w:highlight w:val="none"/>
                      <w:lang w:val="en-US" w:eastAsia="zh-CN"/>
                    </w:rPr>
                    <w:t>数量</w:t>
                  </w:r>
                </w:p>
              </w:tc>
              <w:tc>
                <w:tcPr>
                  <w:tcW w:w="1875" w:type="dxa"/>
                  <w:tcBorders>
                    <w:top w:val="single" w:color="auto" w:sz="4" w:space="0"/>
                    <w:left w:val="single" w:color="auto" w:sz="4" w:space="0"/>
                    <w:bottom w:val="single" w:color="auto" w:sz="4" w:space="0"/>
                    <w:right w:val="single" w:color="auto" w:sz="4" w:space="0"/>
                  </w:tcBorders>
                  <w:shd w:val="clear" w:color="auto" w:fill="auto"/>
                  <w:vAlign w:val="center"/>
                </w:tcPr>
                <w:p w14:paraId="54F7619C">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预算金额（元）</w:t>
                  </w:r>
                </w:p>
              </w:tc>
              <w:tc>
                <w:tcPr>
                  <w:tcW w:w="2145" w:type="dxa"/>
                  <w:tcBorders>
                    <w:top w:val="single" w:color="auto" w:sz="4" w:space="0"/>
                    <w:left w:val="single" w:color="auto" w:sz="4" w:space="0"/>
                    <w:bottom w:val="single" w:color="auto" w:sz="4" w:space="0"/>
                    <w:right w:val="single" w:color="auto" w:sz="4" w:space="0"/>
                  </w:tcBorders>
                  <w:vAlign w:val="center"/>
                </w:tcPr>
                <w:p w14:paraId="58A1471A">
                  <w:pPr>
                    <w:keepNext w:val="0"/>
                    <w:keepLines w:val="0"/>
                    <w:pageBreakBefore w:val="0"/>
                    <w:widowControl/>
                    <w:kinsoku/>
                    <w:wordWrap/>
                    <w:overflowPunct/>
                    <w:topLinePunct w:val="0"/>
                    <w:autoSpaceDE/>
                    <w:autoSpaceDN/>
                    <w:bidi w:val="0"/>
                    <w:snapToGrid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简要技术要求、用途</w:t>
                  </w:r>
                </w:p>
              </w:tc>
              <w:tc>
                <w:tcPr>
                  <w:tcW w:w="1585" w:type="dxa"/>
                  <w:tcBorders>
                    <w:top w:val="single" w:color="auto" w:sz="4" w:space="0"/>
                    <w:left w:val="single" w:color="auto" w:sz="4" w:space="0"/>
                    <w:bottom w:val="single" w:color="auto" w:sz="4" w:space="0"/>
                    <w:right w:val="single" w:color="auto" w:sz="4" w:space="0"/>
                  </w:tcBorders>
                  <w:vAlign w:val="center"/>
                </w:tcPr>
                <w:p w14:paraId="09419D60">
                  <w:pPr>
                    <w:keepNext w:val="0"/>
                    <w:keepLines w:val="0"/>
                    <w:pageBreakBefore w:val="0"/>
                    <w:widowControl/>
                    <w:kinsoku/>
                    <w:wordWrap/>
                    <w:overflowPunct/>
                    <w:topLinePunct w:val="0"/>
                    <w:autoSpaceDE/>
                    <w:autoSpaceDN/>
                    <w:bidi w:val="0"/>
                    <w:snapToGrid w:val="0"/>
                    <w:spacing w:line="460" w:lineRule="exact"/>
                    <w:jc w:val="center"/>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备注</w:t>
                  </w:r>
                </w:p>
              </w:tc>
            </w:tr>
            <w:tr w14:paraId="213268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2535" w:type="dxa"/>
                  <w:tcBorders>
                    <w:top w:val="single" w:color="auto" w:sz="4" w:space="0"/>
                    <w:left w:val="single" w:color="auto" w:sz="4" w:space="0"/>
                    <w:right w:val="single" w:color="auto" w:sz="4" w:space="0"/>
                  </w:tcBorders>
                  <w:vAlign w:val="center"/>
                </w:tcPr>
                <w:p w14:paraId="3AA015B4">
                  <w:pPr>
                    <w:keepNext w:val="0"/>
                    <w:keepLines w:val="0"/>
                    <w:pageBreakBefore w:val="0"/>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流式细胞仪（含细胞计数仪、荧光定量PCR仪）</w:t>
                  </w:r>
                </w:p>
              </w:tc>
              <w:tc>
                <w:tcPr>
                  <w:tcW w:w="915" w:type="dxa"/>
                  <w:tcBorders>
                    <w:top w:val="single" w:color="auto" w:sz="4" w:space="0"/>
                    <w:left w:val="single" w:color="auto" w:sz="4" w:space="0"/>
                    <w:bottom w:val="single" w:color="auto" w:sz="4" w:space="0"/>
                    <w:right w:val="single" w:color="auto" w:sz="4" w:space="0"/>
                  </w:tcBorders>
                  <w:vAlign w:val="center"/>
                </w:tcPr>
                <w:p w14:paraId="23C9A38D">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shd w:val="clear" w:color="auto" w:fill="FFFFFF"/>
                      <w:lang w:val="en-US" w:eastAsia="zh-CN"/>
                    </w:rPr>
                  </w:pPr>
                  <w:r>
                    <w:rPr>
                      <w:rFonts w:hint="eastAsia" w:ascii="新宋体" w:hAnsi="新宋体" w:eastAsia="新宋体" w:cs="新宋体"/>
                      <w:color w:val="auto"/>
                      <w:sz w:val="22"/>
                      <w:szCs w:val="22"/>
                      <w:highlight w:val="none"/>
                      <w:shd w:val="clear" w:color="auto" w:fill="FFFFFF"/>
                      <w:lang w:val="en-US" w:eastAsia="zh-CN"/>
                    </w:rPr>
                    <w:t>1套</w:t>
                  </w:r>
                </w:p>
              </w:tc>
              <w:tc>
                <w:tcPr>
                  <w:tcW w:w="1875" w:type="dxa"/>
                  <w:tcBorders>
                    <w:top w:val="single" w:color="auto" w:sz="4" w:space="0"/>
                    <w:left w:val="single" w:color="auto" w:sz="4" w:space="0"/>
                    <w:right w:val="single" w:color="auto" w:sz="4" w:space="0"/>
                  </w:tcBorders>
                  <w:shd w:val="clear" w:color="auto" w:fill="auto"/>
                  <w:vAlign w:val="center"/>
                </w:tcPr>
                <w:p w14:paraId="20FF1A62">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shd w:val="clear" w:color="auto" w:fill="FFFFFF"/>
                    </w:rPr>
                  </w:pPr>
                  <w:r>
                    <w:rPr>
                      <w:rFonts w:hint="eastAsia" w:ascii="新宋体" w:hAnsi="新宋体" w:eastAsia="新宋体" w:cs="新宋体"/>
                      <w:color w:val="auto"/>
                      <w:sz w:val="22"/>
                      <w:szCs w:val="22"/>
                      <w:highlight w:val="none"/>
                      <w:lang w:val="en-US" w:eastAsia="zh-CN"/>
                    </w:rPr>
                    <w:t>1800000</w:t>
                  </w:r>
                </w:p>
              </w:tc>
              <w:tc>
                <w:tcPr>
                  <w:tcW w:w="2145" w:type="dxa"/>
                  <w:tcBorders>
                    <w:top w:val="single" w:color="auto" w:sz="4" w:space="0"/>
                    <w:left w:val="single" w:color="auto" w:sz="4" w:space="0"/>
                    <w:right w:val="single" w:color="auto" w:sz="4" w:space="0"/>
                  </w:tcBorders>
                  <w:vAlign w:val="center"/>
                </w:tcPr>
                <w:p w14:paraId="1872B44A">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详见“项目技术规范和服务要求”</w:t>
                  </w:r>
                </w:p>
              </w:tc>
              <w:tc>
                <w:tcPr>
                  <w:tcW w:w="1585" w:type="dxa"/>
                  <w:tcBorders>
                    <w:top w:val="single" w:color="auto" w:sz="4" w:space="0"/>
                    <w:left w:val="single" w:color="auto" w:sz="4" w:space="0"/>
                    <w:right w:val="single" w:color="auto" w:sz="4" w:space="0"/>
                  </w:tcBorders>
                  <w:vAlign w:val="center"/>
                </w:tcPr>
                <w:p w14:paraId="0B2BD811">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本项目允许进口产品投标</w:t>
                  </w:r>
                </w:p>
              </w:tc>
            </w:tr>
          </w:tbl>
          <w:p w14:paraId="4CBA9B1F">
            <w:pPr>
              <w:keepNext w:val="0"/>
              <w:keepLines w:val="0"/>
              <w:pageBreakBefore w:val="0"/>
              <w:tabs>
                <w:tab w:val="left" w:pos="360"/>
              </w:tabs>
              <w:kinsoku/>
              <w:wordWrap/>
              <w:overflowPunct/>
              <w:topLinePunct w:val="0"/>
              <w:autoSpaceDE/>
              <w:autoSpaceDN/>
              <w:bidi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▲如投标人报价超过预算金额按无效标处理。</w:t>
            </w:r>
          </w:p>
          <w:p w14:paraId="69230821">
            <w:pPr>
              <w:keepNext w:val="0"/>
              <w:keepLines w:val="0"/>
              <w:pageBreakBefore w:val="0"/>
              <w:tabs>
                <w:tab w:val="left" w:pos="360"/>
              </w:tabs>
              <w:kinsoku/>
              <w:wordWrap/>
              <w:overflowPunct/>
              <w:topLinePunct w:val="0"/>
              <w:autoSpaceDE/>
              <w:autoSpaceDN/>
              <w:bidi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lang w:val="en-US" w:eastAsia="zh-CN"/>
              </w:rPr>
              <w:t>三、</w:t>
            </w:r>
            <w:r>
              <w:rPr>
                <w:rFonts w:hint="eastAsia" w:ascii="新宋体" w:hAnsi="新宋体" w:eastAsia="新宋体" w:cs="新宋体"/>
                <w:b/>
                <w:bCs/>
                <w:color w:val="auto"/>
                <w:sz w:val="22"/>
                <w:szCs w:val="22"/>
                <w:highlight w:val="none"/>
              </w:rPr>
              <w:t>本项目</w:t>
            </w:r>
            <w:r>
              <w:rPr>
                <w:rFonts w:hint="eastAsia" w:ascii="新宋体" w:hAnsi="新宋体" w:eastAsia="新宋体" w:cs="新宋体"/>
                <w:b/>
                <w:bCs/>
                <w:color w:val="auto"/>
                <w:sz w:val="22"/>
                <w:szCs w:val="22"/>
                <w:highlight w:val="none"/>
                <w:lang w:val="en-US" w:eastAsia="zh-CN"/>
              </w:rPr>
              <w:t>（是）</w:t>
            </w:r>
            <w:r>
              <w:rPr>
                <w:rFonts w:hint="eastAsia" w:ascii="新宋体" w:hAnsi="新宋体" w:eastAsia="新宋体" w:cs="新宋体"/>
                <w:b/>
                <w:bCs/>
                <w:color w:val="auto"/>
                <w:sz w:val="22"/>
                <w:szCs w:val="22"/>
                <w:highlight w:val="none"/>
              </w:rPr>
              <w:t>接受联合体投标</w:t>
            </w:r>
            <w:r>
              <w:rPr>
                <w:rFonts w:hint="eastAsia" w:ascii="新宋体" w:hAnsi="新宋体" w:eastAsia="新宋体" w:cs="新宋体"/>
                <w:b/>
                <w:bCs/>
                <w:color w:val="auto"/>
                <w:sz w:val="22"/>
                <w:szCs w:val="22"/>
                <w:highlight w:val="none"/>
                <w:lang w:eastAsia="zh-CN"/>
              </w:rPr>
              <w:t>，</w:t>
            </w:r>
            <w:r>
              <w:rPr>
                <w:rFonts w:hint="eastAsia" w:ascii="新宋体" w:hAnsi="新宋体" w:eastAsia="新宋体" w:cs="新宋体"/>
                <w:b/>
                <w:bCs/>
                <w:color w:val="auto"/>
                <w:sz w:val="22"/>
                <w:szCs w:val="22"/>
                <w:highlight w:val="none"/>
              </w:rPr>
              <w:t>组成的联合体须满足：①出具联合体共同投标协议书（须明确牵头人）；②以联合体形式参加采购活动的，联合体各方不得再单独参加或者与其他供应商另外组成联合体参加同一合同项下的采购活动</w:t>
            </w:r>
            <w:r>
              <w:rPr>
                <w:rFonts w:hint="eastAsia" w:ascii="新宋体" w:hAnsi="新宋体" w:eastAsia="新宋体" w:cs="新宋体"/>
                <w:b/>
                <w:bCs/>
                <w:color w:val="auto"/>
                <w:sz w:val="22"/>
                <w:szCs w:val="22"/>
                <w:highlight w:val="none"/>
                <w:lang w:eastAsia="zh-CN"/>
              </w:rPr>
              <w:t>；③</w:t>
            </w:r>
            <w:r>
              <w:rPr>
                <w:rFonts w:hint="eastAsia" w:ascii="新宋体" w:hAnsi="新宋体" w:eastAsia="新宋体" w:cs="新宋体"/>
                <w:b/>
                <w:bCs/>
                <w:color w:val="auto"/>
                <w:sz w:val="22"/>
                <w:szCs w:val="22"/>
                <w:highlight w:val="none"/>
                <w:lang w:val="en-US" w:eastAsia="zh-CN"/>
              </w:rPr>
              <w:t>联合体组成成员（含牵头人）不得超过2家。</w:t>
            </w:r>
          </w:p>
        </w:tc>
      </w:tr>
      <w:tr w14:paraId="2B0829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5E7388CA">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w:t>
            </w:r>
          </w:p>
        </w:tc>
        <w:tc>
          <w:tcPr>
            <w:tcW w:w="9346" w:type="dxa"/>
            <w:tcBorders>
              <w:top w:val="single" w:color="000000" w:sz="2" w:space="0"/>
              <w:left w:val="single" w:color="000000" w:sz="2" w:space="0"/>
              <w:bottom w:val="single" w:color="000000" w:sz="2" w:space="0"/>
              <w:right w:val="single" w:color="000000" w:sz="8" w:space="0"/>
            </w:tcBorders>
            <w:vAlign w:val="center"/>
          </w:tcPr>
          <w:p w14:paraId="6CB09E5F">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val="zh-CN"/>
              </w:rPr>
              <w:t>投标</w:t>
            </w:r>
            <w:r>
              <w:rPr>
                <w:rFonts w:hint="eastAsia" w:ascii="新宋体" w:hAnsi="新宋体" w:eastAsia="新宋体" w:cs="新宋体"/>
                <w:b/>
                <w:bCs/>
                <w:color w:val="auto"/>
                <w:sz w:val="22"/>
                <w:szCs w:val="22"/>
                <w:highlight w:val="none"/>
              </w:rPr>
              <w:t>有效期：</w:t>
            </w:r>
            <w:r>
              <w:rPr>
                <w:rFonts w:hint="eastAsia" w:ascii="新宋体" w:hAnsi="新宋体" w:eastAsia="新宋体" w:cs="新宋体"/>
                <w:color w:val="auto"/>
                <w:sz w:val="22"/>
                <w:szCs w:val="22"/>
                <w:highlight w:val="none"/>
              </w:rPr>
              <w:t>自投标截止日起</w:t>
            </w:r>
            <w:r>
              <w:rPr>
                <w:rFonts w:hint="eastAsia" w:ascii="新宋体" w:hAnsi="新宋体" w:eastAsia="新宋体" w:cs="新宋体"/>
                <w:color w:val="auto"/>
                <w:sz w:val="22"/>
                <w:szCs w:val="22"/>
                <w:highlight w:val="none"/>
                <w:lang w:eastAsia="zh-CN"/>
              </w:rPr>
              <w:t>90天</w:t>
            </w:r>
            <w:r>
              <w:rPr>
                <w:rFonts w:hint="eastAsia" w:ascii="新宋体" w:hAnsi="新宋体" w:eastAsia="新宋体" w:cs="新宋体"/>
                <w:color w:val="auto"/>
                <w:sz w:val="22"/>
                <w:szCs w:val="22"/>
                <w:highlight w:val="none"/>
              </w:rPr>
              <w:t>。</w:t>
            </w:r>
          </w:p>
        </w:tc>
      </w:tr>
      <w:tr w14:paraId="36E78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336649DE">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w:t>
            </w:r>
          </w:p>
        </w:tc>
        <w:tc>
          <w:tcPr>
            <w:tcW w:w="9346" w:type="dxa"/>
            <w:tcBorders>
              <w:top w:val="single" w:color="000000" w:sz="2" w:space="0"/>
              <w:left w:val="single" w:color="000000" w:sz="2" w:space="0"/>
              <w:bottom w:val="single" w:color="000000" w:sz="2" w:space="0"/>
              <w:right w:val="single" w:color="000000" w:sz="8" w:space="0"/>
            </w:tcBorders>
            <w:vAlign w:val="center"/>
          </w:tcPr>
          <w:p w14:paraId="0C93AC45">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投标保证金数额：无</w:t>
            </w:r>
            <w:r>
              <w:rPr>
                <w:rFonts w:hint="eastAsia" w:ascii="新宋体" w:hAnsi="新宋体" w:eastAsia="新宋体" w:cs="新宋体"/>
                <w:color w:val="auto"/>
                <w:sz w:val="22"/>
                <w:szCs w:val="22"/>
                <w:highlight w:val="none"/>
              </w:rPr>
              <w:t>。</w:t>
            </w:r>
          </w:p>
        </w:tc>
      </w:tr>
      <w:tr w14:paraId="0840B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17B0A840">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w:t>
            </w:r>
          </w:p>
        </w:tc>
        <w:tc>
          <w:tcPr>
            <w:tcW w:w="9346" w:type="dxa"/>
            <w:tcBorders>
              <w:top w:val="single" w:color="000000" w:sz="2" w:space="0"/>
              <w:left w:val="single" w:color="000000" w:sz="2" w:space="0"/>
              <w:bottom w:val="single" w:color="000000" w:sz="2" w:space="0"/>
              <w:right w:val="single" w:color="000000" w:sz="8" w:space="0"/>
            </w:tcBorders>
            <w:vAlign w:val="center"/>
          </w:tcPr>
          <w:p w14:paraId="43C49850">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eastAsia="zh-CN"/>
              </w:rPr>
              <w:t>采购</w:t>
            </w:r>
            <w:r>
              <w:rPr>
                <w:rFonts w:hint="eastAsia" w:ascii="新宋体" w:hAnsi="新宋体" w:eastAsia="新宋体" w:cs="新宋体"/>
                <w:b/>
                <w:bCs/>
                <w:color w:val="auto"/>
                <w:sz w:val="22"/>
                <w:szCs w:val="22"/>
                <w:highlight w:val="none"/>
                <w:lang w:val="en-US" w:eastAsia="zh-CN"/>
              </w:rPr>
              <w:t>代理</w:t>
            </w:r>
            <w:r>
              <w:rPr>
                <w:rFonts w:hint="eastAsia" w:ascii="新宋体" w:hAnsi="新宋体" w:eastAsia="新宋体" w:cs="新宋体"/>
                <w:b/>
                <w:bCs/>
                <w:color w:val="auto"/>
                <w:sz w:val="22"/>
                <w:szCs w:val="22"/>
                <w:highlight w:val="none"/>
              </w:rPr>
              <w:t>服务费：根据国家计委计价格【2002】1980号《招标代理服务收费管理暂行办法》规定</w:t>
            </w:r>
            <w:r>
              <w:rPr>
                <w:rFonts w:hint="eastAsia" w:ascii="新宋体" w:hAnsi="新宋体" w:eastAsia="新宋体" w:cs="新宋体"/>
                <w:b/>
                <w:bCs/>
                <w:color w:val="auto"/>
                <w:sz w:val="22"/>
                <w:szCs w:val="22"/>
                <w:highlight w:val="none"/>
                <w:lang w:val="en-US" w:eastAsia="zh-CN"/>
              </w:rPr>
              <w:t>标准</w:t>
            </w:r>
            <w:r>
              <w:rPr>
                <w:rFonts w:hint="eastAsia" w:ascii="新宋体" w:hAnsi="新宋体" w:eastAsia="新宋体" w:cs="新宋体"/>
                <w:b/>
                <w:bCs/>
                <w:color w:val="auto"/>
                <w:sz w:val="22"/>
                <w:szCs w:val="22"/>
                <w:highlight w:val="none"/>
              </w:rPr>
              <w:t>收取</w:t>
            </w:r>
            <w:r>
              <w:rPr>
                <w:rFonts w:hint="eastAsia" w:ascii="新宋体" w:hAnsi="新宋体" w:eastAsia="新宋体" w:cs="新宋体"/>
                <w:b/>
                <w:bCs/>
                <w:color w:val="auto"/>
                <w:sz w:val="22"/>
                <w:szCs w:val="22"/>
                <w:highlight w:val="none"/>
                <w:lang w:eastAsia="zh-CN"/>
              </w:rPr>
              <w:t>，</w:t>
            </w:r>
            <w:r>
              <w:rPr>
                <w:rFonts w:hint="eastAsia" w:ascii="新宋体" w:hAnsi="新宋体" w:eastAsia="新宋体" w:cs="新宋体"/>
                <w:b/>
                <w:bCs/>
                <w:color w:val="auto"/>
                <w:sz w:val="22"/>
                <w:szCs w:val="22"/>
                <w:highlight w:val="none"/>
              </w:rPr>
              <w:t>由</w:t>
            </w:r>
            <w:r>
              <w:rPr>
                <w:rFonts w:hint="eastAsia" w:ascii="新宋体" w:hAnsi="新宋体" w:eastAsia="新宋体" w:cs="新宋体"/>
                <w:b/>
                <w:bCs/>
                <w:color w:val="auto"/>
                <w:sz w:val="22"/>
                <w:szCs w:val="22"/>
                <w:highlight w:val="none"/>
                <w:lang w:val="en-US" w:eastAsia="zh-CN"/>
              </w:rPr>
              <w:t>中标人</w:t>
            </w:r>
            <w:r>
              <w:rPr>
                <w:rFonts w:hint="eastAsia" w:ascii="新宋体" w:hAnsi="新宋体" w:eastAsia="新宋体" w:cs="新宋体"/>
                <w:b/>
                <w:bCs/>
                <w:color w:val="auto"/>
                <w:sz w:val="22"/>
                <w:szCs w:val="22"/>
                <w:highlight w:val="none"/>
              </w:rPr>
              <w:t>在领取</w:t>
            </w:r>
            <w:r>
              <w:rPr>
                <w:rFonts w:hint="eastAsia" w:ascii="新宋体" w:hAnsi="新宋体" w:eastAsia="新宋体" w:cs="新宋体"/>
                <w:b/>
                <w:bCs/>
                <w:color w:val="auto"/>
                <w:sz w:val="22"/>
                <w:szCs w:val="22"/>
                <w:highlight w:val="none"/>
                <w:lang w:val="en-US" w:eastAsia="zh-CN"/>
              </w:rPr>
              <w:t>中标</w:t>
            </w:r>
            <w:r>
              <w:rPr>
                <w:rFonts w:hint="eastAsia" w:ascii="新宋体" w:hAnsi="新宋体" w:eastAsia="新宋体" w:cs="新宋体"/>
                <w:b/>
                <w:bCs/>
                <w:color w:val="auto"/>
                <w:sz w:val="22"/>
                <w:szCs w:val="22"/>
                <w:highlight w:val="none"/>
              </w:rPr>
              <w:t>通知书时支付。</w:t>
            </w:r>
          </w:p>
          <w:p w14:paraId="3F70F665">
            <w:pPr>
              <w:keepNext w:val="0"/>
              <w:keepLines w:val="0"/>
              <w:pageBreakBefore w:val="0"/>
              <w:kinsoku/>
              <w:wordWrap/>
              <w:overflowPunct/>
              <w:topLinePunct w:val="0"/>
              <w:autoSpaceDE/>
              <w:autoSpaceDN/>
              <w:bidi w:val="0"/>
              <w:spacing w:line="460" w:lineRule="exact"/>
              <w:ind w:firstLine="539" w:firstLineChars="245"/>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户  名：温州历程招标有限公司</w:t>
            </w:r>
          </w:p>
          <w:p w14:paraId="3D99632D">
            <w:pPr>
              <w:keepNext w:val="0"/>
              <w:keepLines w:val="0"/>
              <w:pageBreakBefore w:val="0"/>
              <w:kinsoku/>
              <w:wordWrap/>
              <w:overflowPunct/>
              <w:topLinePunct w:val="0"/>
              <w:autoSpaceDE/>
              <w:autoSpaceDN/>
              <w:bidi w:val="0"/>
              <w:spacing w:line="460" w:lineRule="exact"/>
              <w:ind w:firstLine="539" w:firstLineChars="245"/>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账  号：33050162870409101001</w:t>
            </w:r>
          </w:p>
          <w:p w14:paraId="3CA005A3">
            <w:pPr>
              <w:keepNext w:val="0"/>
              <w:keepLines w:val="0"/>
              <w:pageBreakBefore w:val="0"/>
              <w:kinsoku/>
              <w:wordWrap/>
              <w:overflowPunct/>
              <w:topLinePunct w:val="0"/>
              <w:autoSpaceDE/>
              <w:autoSpaceDN/>
              <w:bidi w:val="0"/>
              <w:spacing w:line="460" w:lineRule="exact"/>
              <w:ind w:firstLine="539" w:firstLineChars="245"/>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开户行：中国建设银行股份有限公司温州新城支行</w:t>
            </w:r>
          </w:p>
          <w:p w14:paraId="0B2294D3">
            <w:pPr>
              <w:keepNext w:val="0"/>
              <w:keepLines w:val="0"/>
              <w:pageBreakBefore w:val="0"/>
              <w:kinsoku/>
              <w:wordWrap/>
              <w:overflowPunct/>
              <w:topLinePunct w:val="0"/>
              <w:autoSpaceDE/>
              <w:autoSpaceDN/>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行  号：105333000038</w:t>
            </w:r>
          </w:p>
        </w:tc>
      </w:tr>
      <w:tr w14:paraId="37D26F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6C7FA404">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w:t>
            </w:r>
          </w:p>
        </w:tc>
        <w:tc>
          <w:tcPr>
            <w:tcW w:w="9346" w:type="dxa"/>
            <w:tcBorders>
              <w:top w:val="single" w:color="000000" w:sz="2" w:space="0"/>
              <w:left w:val="single" w:color="000000" w:sz="2" w:space="0"/>
              <w:bottom w:val="single" w:color="000000" w:sz="2" w:space="0"/>
              <w:right w:val="single" w:color="000000" w:sz="8" w:space="0"/>
            </w:tcBorders>
            <w:vAlign w:val="center"/>
          </w:tcPr>
          <w:p w14:paraId="5B44F2C8">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投标文件的组成：</w:t>
            </w:r>
            <w:r>
              <w:rPr>
                <w:rFonts w:hint="eastAsia" w:ascii="新宋体" w:hAnsi="新宋体" w:eastAsia="新宋体" w:cs="新宋体"/>
                <w:color w:val="auto"/>
                <w:sz w:val="22"/>
                <w:szCs w:val="22"/>
                <w:highlight w:val="none"/>
              </w:rPr>
              <w:t>完整的《投标文件》由“资格文件”、“报价文件”和“商务技术文件”三个部分组成。</w:t>
            </w:r>
          </w:p>
        </w:tc>
      </w:tr>
      <w:tr w14:paraId="12BCA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741EDEEB">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6</w:t>
            </w:r>
          </w:p>
        </w:tc>
        <w:tc>
          <w:tcPr>
            <w:tcW w:w="9346" w:type="dxa"/>
            <w:tcBorders>
              <w:top w:val="single" w:color="000000" w:sz="2" w:space="0"/>
              <w:left w:val="single" w:color="000000" w:sz="2" w:space="0"/>
              <w:bottom w:val="single" w:color="000000" w:sz="2" w:space="0"/>
              <w:right w:val="single" w:color="000000" w:sz="8" w:space="0"/>
            </w:tcBorders>
            <w:vAlign w:val="center"/>
          </w:tcPr>
          <w:p w14:paraId="72BF726B">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投标文件的编制：</w:t>
            </w:r>
            <w:r>
              <w:rPr>
                <w:rFonts w:hint="eastAsia" w:ascii="新宋体" w:hAnsi="新宋体" w:eastAsia="新宋体" w:cs="新宋体"/>
                <w:color w:val="auto"/>
                <w:sz w:val="22"/>
                <w:szCs w:val="22"/>
                <w:highlight w:val="none"/>
              </w:rPr>
              <w:t>供应商应先安装“政采云电子交易客户端”，并按照本</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和“政府采购云平台”的要求，通过“政采云电子交易客户端”编制并加密投标文件。</w:t>
            </w:r>
          </w:p>
        </w:tc>
      </w:tr>
      <w:tr w14:paraId="0C657E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73126C0E">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7</w:t>
            </w:r>
          </w:p>
        </w:tc>
        <w:tc>
          <w:tcPr>
            <w:tcW w:w="9346" w:type="dxa"/>
            <w:tcBorders>
              <w:top w:val="single" w:color="000000" w:sz="2" w:space="0"/>
              <w:left w:val="single" w:color="000000" w:sz="2" w:space="0"/>
              <w:bottom w:val="single" w:color="000000" w:sz="2" w:space="0"/>
              <w:right w:val="single" w:color="000000" w:sz="8" w:space="0"/>
            </w:tcBorders>
            <w:vAlign w:val="center"/>
          </w:tcPr>
          <w:p w14:paraId="00FABF4D">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投标文件的签章：</w:t>
            </w:r>
            <w:r>
              <w:rPr>
                <w:rFonts w:hint="eastAsia" w:ascii="新宋体" w:hAnsi="新宋体" w:eastAsia="新宋体" w:cs="新宋体"/>
                <w:color w:val="auto"/>
                <w:sz w:val="22"/>
                <w:szCs w:val="22"/>
                <w:highlight w:val="none"/>
              </w:rPr>
              <w:t>电子签章。</w:t>
            </w:r>
            <w:r>
              <w:rPr>
                <w:rFonts w:hint="eastAsia" w:ascii="新宋体" w:hAnsi="新宋体" w:eastAsia="新宋体" w:cs="新宋体"/>
                <w:b/>
                <w:color w:val="auto"/>
                <w:sz w:val="22"/>
                <w:szCs w:val="22"/>
                <w:highlight w:val="none"/>
                <w:lang w:val="en-US" w:eastAsia="zh-CN"/>
              </w:rPr>
              <w:t>如为联合体投标的，招标文件中需联合体所有成员分别填写的格式，联合体成员（除牵头人外）按招标文件格式分别进行编制（格式中要求提供相关证明材料的还需后附相关证明材料），并按格式要求在指定位置根据要求进行签字（或盖章）后将扫描件提交给牵头人（联合体共同投标协议书须签字或盖章的地方须由联合体双方均签字或盖章）。牵头人在完成投标文件编制后扫描上传加密电子投标文件，电子投标文件中所须加盖公章的地方均加盖牵头人的电子签章。</w:t>
            </w:r>
          </w:p>
        </w:tc>
      </w:tr>
      <w:tr w14:paraId="031CC7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5F14F59A">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w:t>
            </w:r>
          </w:p>
        </w:tc>
        <w:tc>
          <w:tcPr>
            <w:tcW w:w="9346" w:type="dxa"/>
            <w:tcBorders>
              <w:top w:val="single" w:color="000000" w:sz="2" w:space="0"/>
              <w:left w:val="single" w:color="000000" w:sz="2" w:space="0"/>
              <w:bottom w:val="single" w:color="000000" w:sz="2" w:space="0"/>
              <w:right w:val="single" w:color="000000" w:sz="8" w:space="0"/>
            </w:tcBorders>
            <w:vAlign w:val="center"/>
          </w:tcPr>
          <w:p w14:paraId="38D93E01">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投标文件的形式：</w:t>
            </w:r>
            <w:r>
              <w:rPr>
                <w:rFonts w:hint="default" w:ascii="Times New Roman" w:hAnsi="Times New Roman" w:eastAsia="新宋体" w:cs="Times New Roman"/>
                <w:color w:val="auto"/>
                <w:sz w:val="22"/>
                <w:szCs w:val="22"/>
                <w:highlight w:val="none"/>
              </w:rPr>
              <w:t>☑</w:t>
            </w:r>
            <w:r>
              <w:rPr>
                <w:rFonts w:hint="eastAsia" w:ascii="新宋体" w:hAnsi="新宋体" w:eastAsia="新宋体" w:cs="新宋体"/>
                <w:color w:val="auto"/>
                <w:sz w:val="22"/>
                <w:szCs w:val="22"/>
                <w:highlight w:val="none"/>
              </w:rPr>
              <w:t>电子投标文件（包括“电子加密投标文件”和“备份投标文件”，在投标文件编制完成后同时生成）；</w:t>
            </w:r>
          </w:p>
          <w:p w14:paraId="124345DD">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（1）“电子加密投标文件”是指通过“政采云电子交易客户端”完成投标文件编制后生成并加密的数据电文形式的投标文件。</w:t>
            </w:r>
          </w:p>
          <w:p w14:paraId="6E4255BB">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（2）“备份投标文件”是指与“电子加密投标文件”同时生成的数据电文形式的电子文件（备份标书），其他方式编制的备份投标文件视为无效备份投标文件。</w:t>
            </w:r>
          </w:p>
        </w:tc>
      </w:tr>
      <w:tr w14:paraId="271AE5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1D85E5C9">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w:t>
            </w:r>
          </w:p>
        </w:tc>
        <w:tc>
          <w:tcPr>
            <w:tcW w:w="9346" w:type="dxa"/>
            <w:tcBorders>
              <w:top w:val="single" w:color="000000" w:sz="2" w:space="0"/>
              <w:left w:val="single" w:color="000000" w:sz="2" w:space="0"/>
              <w:bottom w:val="single" w:color="000000" w:sz="2" w:space="0"/>
              <w:right w:val="single" w:color="000000" w:sz="8" w:space="0"/>
            </w:tcBorders>
            <w:vAlign w:val="center"/>
          </w:tcPr>
          <w:p w14:paraId="53E39B63">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投标文件份数：</w:t>
            </w:r>
          </w:p>
          <w:p w14:paraId="228055F4">
            <w:pPr>
              <w:keepNext w:val="0"/>
              <w:keepLines w:val="0"/>
              <w:pageBreakBefore w:val="0"/>
              <w:numPr>
                <w:ilvl w:val="0"/>
                <w:numId w:val="1"/>
              </w:numPr>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“电子加密投标文件”：在线上传递交、一份。</w:t>
            </w:r>
          </w:p>
          <w:p w14:paraId="5D485A95">
            <w:pPr>
              <w:keepNext w:val="0"/>
              <w:keepLines w:val="0"/>
              <w:pageBreakBefore w:val="0"/>
              <w:numPr>
                <w:ilvl w:val="0"/>
                <w:numId w:val="1"/>
              </w:numPr>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“备份投标文件”：密封包装后投标截止时间前递交、一份</w:t>
            </w:r>
          </w:p>
          <w:p w14:paraId="45FB5C0B">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（若不提供备份投标文件，开标当天电子加密投标文件解密失败，投标人自行负责。）</w:t>
            </w:r>
          </w:p>
          <w:p w14:paraId="554FA9CA">
            <w:pPr>
              <w:keepNext w:val="0"/>
              <w:keepLines w:val="0"/>
              <w:pageBreakBefore w:val="0"/>
              <w:tabs>
                <w:tab w:val="left" w:pos="360"/>
              </w:tabs>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可以（邮寄形式，建议顺丰）在投标截止时间前递交，并需采购代理机构确认是否收到，</w:t>
            </w:r>
          </w:p>
          <w:p w14:paraId="4AC4DDA1">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邮寄地址：</w:t>
            </w:r>
            <w:r>
              <w:rPr>
                <w:rFonts w:hint="eastAsia" w:ascii="新宋体" w:hAnsi="新宋体" w:eastAsia="新宋体" w:cs="新宋体"/>
                <w:color w:val="auto"/>
                <w:sz w:val="22"/>
                <w:szCs w:val="22"/>
                <w:highlight w:val="none"/>
                <w:lang w:eastAsia="zh-CN"/>
              </w:rPr>
              <w:t>温州市鹿城区南汇街道勤民路鹿城壹号18幢803室</w:t>
            </w:r>
          </w:p>
          <w:p w14:paraId="6B1C17BD">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联系人：肖忠文，联系方式：13757727199</w:t>
            </w:r>
          </w:p>
        </w:tc>
      </w:tr>
      <w:tr w14:paraId="4B63BF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6EDA3152">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10</w:t>
            </w:r>
          </w:p>
        </w:tc>
        <w:tc>
          <w:tcPr>
            <w:tcW w:w="9346" w:type="dxa"/>
            <w:tcBorders>
              <w:top w:val="single" w:color="000000" w:sz="2" w:space="0"/>
              <w:left w:val="single" w:color="000000" w:sz="2" w:space="0"/>
              <w:bottom w:val="single" w:color="000000" w:sz="2" w:space="0"/>
              <w:right w:val="single" w:color="000000" w:sz="8" w:space="0"/>
            </w:tcBorders>
            <w:vAlign w:val="center"/>
          </w:tcPr>
          <w:p w14:paraId="66A1F54C">
            <w:pPr>
              <w:keepNext w:val="0"/>
              <w:keepLines w:val="0"/>
              <w:pageBreakBefore w:val="0"/>
              <w:kinsoku/>
              <w:wordWrap/>
              <w:overflowPunct/>
              <w:topLinePunct w:val="0"/>
              <w:autoSpaceDE/>
              <w:autoSpaceDN/>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投标文件的上传和递交：</w:t>
            </w:r>
          </w:p>
          <w:p w14:paraId="7AEA319B">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（1）“电子加密投标文件”的上传、递交：</w:t>
            </w:r>
          </w:p>
          <w:p w14:paraId="0AA8FADC">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a.投标人应在投标截止时间前将“电子加密投标文件”成功上传递交至“政府采购云平台”，否则投标无效。</w:t>
            </w:r>
          </w:p>
          <w:p w14:paraId="1255AE4D">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b.“电子加密投标文件”成功上传递交后，供应商可自行打印投标文件接收回执。</w:t>
            </w:r>
          </w:p>
          <w:p w14:paraId="3F23F4ED">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（2）“备份投标文件”的密封包装、递交：</w:t>
            </w:r>
          </w:p>
          <w:p w14:paraId="5DA1F320">
            <w:pPr>
              <w:keepNext w:val="0"/>
              <w:keepLines w:val="0"/>
              <w:pageBreakBefore w:val="0"/>
              <w:tabs>
                <w:tab w:val="left" w:pos="360"/>
              </w:tabs>
              <w:kinsoku/>
              <w:wordWrap/>
              <w:overflowPunct/>
              <w:topLinePunct w:val="0"/>
              <w:autoSpaceDE/>
              <w:autoSpaceDN/>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a.投标人在“政府采购云平台”完成“电子加密投标文件”的上传递交后，</w:t>
            </w:r>
            <w:r>
              <w:rPr>
                <w:rFonts w:hint="eastAsia" w:ascii="新宋体" w:hAnsi="新宋体" w:eastAsia="新宋体" w:cs="新宋体"/>
                <w:b/>
                <w:bCs/>
                <w:color w:val="auto"/>
                <w:sz w:val="22"/>
                <w:szCs w:val="22"/>
                <w:highlight w:val="none"/>
              </w:rPr>
              <w:t>还可以在投标截止时间前递交以介质（U盘）存储的数据电文形式的“备份投标文件”，（可以</w:t>
            </w:r>
            <w:r>
              <w:rPr>
                <w:rFonts w:hint="eastAsia" w:ascii="新宋体" w:hAnsi="新宋体" w:eastAsia="新宋体" w:cs="新宋体"/>
                <w:b/>
                <w:color w:val="auto"/>
                <w:sz w:val="22"/>
                <w:szCs w:val="22"/>
                <w:highlight w:val="none"/>
                <w:u w:val="single"/>
              </w:rPr>
              <w:t>（邮寄形式，建议顺丰）在投标截止时间前递交，并需采购代理机构确认是否收到</w:t>
            </w:r>
            <w:r>
              <w:rPr>
                <w:rFonts w:hint="eastAsia" w:ascii="新宋体" w:hAnsi="新宋体" w:eastAsia="新宋体" w:cs="新宋体"/>
                <w:b/>
                <w:bCs/>
                <w:color w:val="auto"/>
                <w:sz w:val="22"/>
                <w:szCs w:val="22"/>
                <w:highlight w:val="none"/>
              </w:rPr>
              <w:t>）</w:t>
            </w:r>
          </w:p>
          <w:p w14:paraId="737B0777">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b.“备份投标文件”应当密封包装，并在包装上标注投标项目名称、投标人名称并加盖公章。没有密封包装或者逾期（邮寄）送达至投标地点的“备份投标文件”将不予接收；</w:t>
            </w:r>
          </w:p>
          <w:p w14:paraId="702ADF8D">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p w14:paraId="2B35DE49">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lang w:val="en-US" w:eastAsia="zh-CN"/>
              </w:rPr>
              <w:t>d.供应商（联合体投标的，须由牵头人制作并递交电子加密投标文件）通过“乐采云电子投标客户端”完成投标文</w:t>
            </w:r>
            <w:r>
              <w:rPr>
                <w:rFonts w:hint="eastAsia" w:ascii="新宋体" w:hAnsi="新宋体" w:eastAsia="新宋体" w:cs="新宋体"/>
                <w:color w:val="auto"/>
                <w:sz w:val="22"/>
                <w:szCs w:val="22"/>
                <w:highlight w:val="none"/>
              </w:rPr>
              <w:t>件编制</w:t>
            </w:r>
            <w:r>
              <w:rPr>
                <w:rFonts w:hint="eastAsia" w:ascii="新宋体" w:hAnsi="新宋体" w:eastAsia="新宋体" w:cs="新宋体"/>
                <w:color w:val="auto"/>
                <w:sz w:val="22"/>
                <w:szCs w:val="22"/>
                <w:highlight w:val="none"/>
                <w:lang w:val="en-US" w:eastAsia="zh-CN"/>
              </w:rPr>
              <w:t>。</w:t>
            </w:r>
          </w:p>
        </w:tc>
      </w:tr>
      <w:tr w14:paraId="168146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69C4CA4F">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11</w:t>
            </w:r>
          </w:p>
        </w:tc>
        <w:tc>
          <w:tcPr>
            <w:tcW w:w="9346" w:type="dxa"/>
            <w:tcBorders>
              <w:top w:val="single" w:color="000000" w:sz="2" w:space="0"/>
              <w:left w:val="single" w:color="000000" w:sz="2" w:space="0"/>
              <w:bottom w:val="single" w:color="000000" w:sz="2" w:space="0"/>
              <w:right w:val="single" w:color="000000" w:sz="8" w:space="0"/>
            </w:tcBorders>
            <w:vAlign w:val="center"/>
          </w:tcPr>
          <w:p w14:paraId="4472A2A4">
            <w:pPr>
              <w:keepNext w:val="0"/>
              <w:keepLines w:val="0"/>
              <w:pageBreakBefore w:val="0"/>
              <w:kinsoku/>
              <w:wordWrap/>
              <w:overflowPunct/>
              <w:topLinePunct w:val="0"/>
              <w:autoSpaceDE/>
              <w:autoSpaceDN/>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电子加密投标文件的解密和异常情况处理：</w:t>
            </w:r>
          </w:p>
          <w:p w14:paraId="0F1F399F">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（1）开标后，采购组织机构将向各投标人发出“电子加密投标文件”的解密通知，各投标人代表应当在接到解密通知后在系统规定的时间自行完成“电子加密投标文件”的在线解密。</w:t>
            </w:r>
          </w:p>
          <w:p w14:paraId="4ADE57AA">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1419454C">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（3）投标截止时间前，投标人仅递交了“备份投标文件”而未将电子加密投标文件上传至“政府采购云平台”的，投标无效。</w:t>
            </w:r>
          </w:p>
        </w:tc>
      </w:tr>
      <w:tr w14:paraId="52ECF2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452BA364">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12</w:t>
            </w:r>
          </w:p>
        </w:tc>
        <w:tc>
          <w:tcPr>
            <w:tcW w:w="9346" w:type="dxa"/>
            <w:tcBorders>
              <w:top w:val="single" w:color="000000" w:sz="2" w:space="0"/>
              <w:left w:val="single" w:color="000000" w:sz="2" w:space="0"/>
              <w:bottom w:val="single" w:color="000000" w:sz="2" w:space="0"/>
              <w:right w:val="single" w:color="000000" w:sz="8" w:space="0"/>
            </w:tcBorders>
            <w:vAlign w:val="center"/>
          </w:tcPr>
          <w:p w14:paraId="32DD2A87">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提交投标文件截止时间：</w:t>
            </w:r>
            <w:r>
              <w:rPr>
                <w:rFonts w:hint="eastAsia" w:ascii="新宋体" w:hAnsi="新宋体" w:eastAsia="新宋体" w:cs="新宋体"/>
                <w:b w:val="0"/>
                <w:bCs w:val="0"/>
                <w:color w:val="auto"/>
                <w:sz w:val="22"/>
                <w:szCs w:val="22"/>
                <w:highlight w:val="none"/>
                <w:lang w:val="en-US" w:eastAsia="zh-CN"/>
              </w:rPr>
              <w:t>详见公告</w:t>
            </w:r>
            <w:r>
              <w:rPr>
                <w:rFonts w:hint="eastAsia" w:ascii="新宋体" w:hAnsi="新宋体" w:eastAsia="新宋体" w:cs="新宋体"/>
                <w:color w:val="auto"/>
                <w:sz w:val="22"/>
                <w:szCs w:val="22"/>
                <w:highlight w:val="none"/>
                <w:lang w:eastAsia="zh-CN"/>
              </w:rPr>
              <w:t> </w:t>
            </w:r>
          </w:p>
          <w:p w14:paraId="0217E179">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投标地点（网址）：</w:t>
            </w:r>
            <w:r>
              <w:rPr>
                <w:rFonts w:hint="eastAsia" w:ascii="新宋体" w:hAnsi="新宋体" w:eastAsia="新宋体" w:cs="新宋体"/>
                <w:b w:val="0"/>
                <w:bCs w:val="0"/>
                <w:color w:val="auto"/>
                <w:sz w:val="22"/>
                <w:szCs w:val="22"/>
                <w:highlight w:val="none"/>
                <w:lang w:val="en-US" w:eastAsia="zh-CN"/>
              </w:rPr>
              <w:t>详见公告</w:t>
            </w:r>
          </w:p>
        </w:tc>
      </w:tr>
      <w:tr w14:paraId="05AA80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auto" w:sz="4" w:space="0"/>
              <w:right w:val="single" w:color="000000" w:sz="2" w:space="0"/>
            </w:tcBorders>
            <w:vAlign w:val="center"/>
          </w:tcPr>
          <w:p w14:paraId="7BD993BB">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13</w:t>
            </w:r>
          </w:p>
        </w:tc>
        <w:tc>
          <w:tcPr>
            <w:tcW w:w="9346" w:type="dxa"/>
            <w:tcBorders>
              <w:top w:val="single" w:color="000000" w:sz="2" w:space="0"/>
              <w:left w:val="single" w:color="000000" w:sz="2" w:space="0"/>
              <w:bottom w:val="single" w:color="auto" w:sz="4" w:space="0"/>
              <w:right w:val="single" w:color="000000" w:sz="8" w:space="0"/>
            </w:tcBorders>
            <w:vAlign w:val="center"/>
          </w:tcPr>
          <w:p w14:paraId="18F439C6">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开标时间：</w:t>
            </w:r>
            <w:r>
              <w:rPr>
                <w:rFonts w:hint="eastAsia" w:ascii="新宋体" w:hAnsi="新宋体" w:eastAsia="新宋体" w:cs="新宋体"/>
                <w:b w:val="0"/>
                <w:bCs w:val="0"/>
                <w:color w:val="auto"/>
                <w:sz w:val="22"/>
                <w:szCs w:val="22"/>
                <w:highlight w:val="none"/>
                <w:lang w:val="en-US" w:eastAsia="zh-CN"/>
              </w:rPr>
              <w:t>详见公告</w:t>
            </w:r>
          </w:p>
          <w:p w14:paraId="4B5032E4">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开标地点（网址）：</w:t>
            </w:r>
            <w:r>
              <w:rPr>
                <w:rFonts w:hint="eastAsia" w:ascii="新宋体" w:hAnsi="新宋体" w:eastAsia="新宋体" w:cs="新宋体"/>
                <w:b w:val="0"/>
                <w:bCs w:val="0"/>
                <w:color w:val="auto"/>
                <w:sz w:val="22"/>
                <w:szCs w:val="22"/>
                <w:highlight w:val="none"/>
                <w:lang w:val="en-US" w:eastAsia="zh-CN"/>
              </w:rPr>
              <w:t>详见公告</w:t>
            </w:r>
          </w:p>
        </w:tc>
      </w:tr>
      <w:tr w14:paraId="788FE6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auto" w:sz="4" w:space="0"/>
              <w:right w:val="single" w:color="000000" w:sz="2" w:space="0"/>
            </w:tcBorders>
            <w:vAlign w:val="center"/>
          </w:tcPr>
          <w:p w14:paraId="668A0634">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14</w:t>
            </w:r>
          </w:p>
        </w:tc>
        <w:tc>
          <w:tcPr>
            <w:tcW w:w="9346" w:type="dxa"/>
            <w:tcBorders>
              <w:top w:val="single" w:color="000000" w:sz="2" w:space="0"/>
              <w:left w:val="single" w:color="000000" w:sz="2" w:space="0"/>
              <w:bottom w:val="single" w:color="auto" w:sz="4" w:space="0"/>
              <w:right w:val="single" w:color="000000" w:sz="8" w:space="0"/>
            </w:tcBorders>
            <w:vAlign w:val="center"/>
          </w:tcPr>
          <w:p w14:paraId="786E1ED5">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评审地点：</w:t>
            </w:r>
            <w:r>
              <w:rPr>
                <w:rFonts w:hint="eastAsia" w:ascii="新宋体" w:hAnsi="新宋体" w:eastAsia="新宋体" w:cs="新宋体"/>
                <w:color w:val="auto"/>
                <w:sz w:val="22"/>
                <w:szCs w:val="22"/>
                <w:highlight w:val="none"/>
                <w:u w:val="none"/>
                <w:lang w:eastAsia="zh-CN"/>
              </w:rPr>
              <w:t>温州市鹿城区南汇街道勤民路鹿城壹号18幢803室</w:t>
            </w:r>
            <w:r>
              <w:rPr>
                <w:rFonts w:hint="eastAsia" w:ascii="新宋体" w:hAnsi="新宋体" w:eastAsia="新宋体" w:cs="新宋体"/>
                <w:color w:val="auto"/>
                <w:sz w:val="22"/>
                <w:szCs w:val="22"/>
                <w:highlight w:val="none"/>
              </w:rPr>
              <w:t>（政采云平台：http</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//zfcg.czt.zj.gov.cn）</w:t>
            </w:r>
          </w:p>
        </w:tc>
      </w:tr>
      <w:tr w14:paraId="4CA430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auto" w:sz="4" w:space="0"/>
              <w:left w:val="single" w:color="000000" w:sz="8" w:space="0"/>
              <w:bottom w:val="single" w:color="auto" w:sz="4" w:space="0"/>
              <w:right w:val="single" w:color="000000" w:sz="2" w:space="0"/>
            </w:tcBorders>
            <w:vAlign w:val="center"/>
          </w:tcPr>
          <w:p w14:paraId="1B892813">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val="en-US" w:eastAsia="zh-CN"/>
              </w:rPr>
              <w:t>5</w:t>
            </w:r>
          </w:p>
        </w:tc>
        <w:tc>
          <w:tcPr>
            <w:tcW w:w="9346" w:type="dxa"/>
            <w:tcBorders>
              <w:top w:val="single" w:color="auto" w:sz="4" w:space="0"/>
              <w:left w:val="single" w:color="000000" w:sz="2" w:space="0"/>
              <w:bottom w:val="single" w:color="auto" w:sz="4" w:space="0"/>
              <w:right w:val="single" w:color="000000" w:sz="8" w:space="0"/>
            </w:tcBorders>
            <w:vAlign w:val="center"/>
          </w:tcPr>
          <w:p w14:paraId="23195E34">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带“▲”条款系指实质性要求条款。“★”是关键技术参数及要求。</w:t>
            </w:r>
          </w:p>
        </w:tc>
      </w:tr>
      <w:tr w14:paraId="6350CB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auto" w:sz="4" w:space="0"/>
              <w:left w:val="single" w:color="000000" w:sz="8" w:space="0"/>
              <w:bottom w:val="single" w:color="auto" w:sz="4" w:space="0"/>
              <w:right w:val="single" w:color="000000" w:sz="2" w:space="0"/>
            </w:tcBorders>
            <w:vAlign w:val="center"/>
          </w:tcPr>
          <w:p w14:paraId="221F778F">
            <w:pPr>
              <w:keepNext w:val="0"/>
              <w:keepLines w:val="0"/>
              <w:pageBreakBefore w:val="0"/>
              <w:widowControl/>
              <w:kinsoku/>
              <w:wordWrap/>
              <w:overflowPunct/>
              <w:topLinePunct w:val="0"/>
              <w:autoSpaceDE/>
              <w:autoSpaceDN/>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rPr>
              <w:t>1</w:t>
            </w:r>
            <w:r>
              <w:rPr>
                <w:rFonts w:hint="eastAsia" w:ascii="新宋体" w:hAnsi="新宋体" w:eastAsia="新宋体" w:cs="新宋体"/>
                <w:b/>
                <w:bCs/>
                <w:color w:val="auto"/>
                <w:kern w:val="0"/>
                <w:sz w:val="22"/>
                <w:szCs w:val="22"/>
                <w:highlight w:val="none"/>
                <w:lang w:val="en-US" w:eastAsia="zh-CN"/>
              </w:rPr>
              <w:t>6</w:t>
            </w:r>
          </w:p>
        </w:tc>
        <w:tc>
          <w:tcPr>
            <w:tcW w:w="9346" w:type="dxa"/>
            <w:tcBorders>
              <w:top w:val="single" w:color="auto" w:sz="4" w:space="0"/>
              <w:left w:val="single" w:color="000000" w:sz="2" w:space="0"/>
              <w:bottom w:val="single" w:color="auto" w:sz="4" w:space="0"/>
              <w:right w:val="single" w:color="000000" w:sz="8" w:space="0"/>
            </w:tcBorders>
            <w:vAlign w:val="center"/>
          </w:tcPr>
          <w:p w14:paraId="058468E3">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//jinrong.zcygov.cn，查看信用融资政策文件及各相关银行服务方案，也可直接向各银行咨询相关业务。</w:t>
            </w:r>
          </w:p>
        </w:tc>
      </w:tr>
      <w:tr w14:paraId="200B35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61E38159">
            <w:pPr>
              <w:keepNext w:val="0"/>
              <w:keepLines w:val="0"/>
              <w:pageBreakBefore w:val="0"/>
              <w:widowControl/>
              <w:kinsoku/>
              <w:wordWrap/>
              <w:overflowPunct/>
              <w:topLinePunct w:val="0"/>
              <w:autoSpaceDE/>
              <w:autoSpaceDN/>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rPr>
              <w:t>1</w:t>
            </w:r>
            <w:r>
              <w:rPr>
                <w:rFonts w:hint="eastAsia" w:ascii="新宋体" w:hAnsi="新宋体" w:eastAsia="新宋体" w:cs="新宋体"/>
                <w:b/>
                <w:bCs/>
                <w:color w:val="auto"/>
                <w:kern w:val="0"/>
                <w:sz w:val="22"/>
                <w:szCs w:val="22"/>
                <w:highlight w:val="none"/>
                <w:lang w:val="en-US" w:eastAsia="zh-CN"/>
              </w:rPr>
              <w:t>7</w:t>
            </w:r>
          </w:p>
        </w:tc>
        <w:tc>
          <w:tcPr>
            <w:tcW w:w="9346" w:type="dxa"/>
            <w:tcBorders>
              <w:top w:val="single" w:color="000000" w:sz="2" w:space="0"/>
              <w:left w:val="single" w:color="000000" w:sz="2" w:space="0"/>
              <w:bottom w:val="single" w:color="000000" w:sz="2" w:space="0"/>
              <w:right w:val="single" w:color="000000" w:sz="8" w:space="0"/>
            </w:tcBorders>
            <w:vAlign w:val="center"/>
          </w:tcPr>
          <w:p w14:paraId="12AF641B">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color w:val="auto"/>
                <w:kern w:val="10"/>
                <w:sz w:val="22"/>
                <w:szCs w:val="22"/>
                <w:highlight w:val="none"/>
              </w:rPr>
              <w:t>潜在供应商需在浙江政府采购网http</w:t>
            </w:r>
            <w:r>
              <w:rPr>
                <w:rFonts w:hint="eastAsia" w:ascii="新宋体" w:hAnsi="新宋体" w:eastAsia="新宋体" w:cs="新宋体"/>
                <w:b/>
                <w:color w:val="auto"/>
                <w:kern w:val="10"/>
                <w:sz w:val="22"/>
                <w:szCs w:val="22"/>
                <w:highlight w:val="none"/>
                <w:lang w:eastAsia="zh-CN"/>
              </w:rPr>
              <w:t>：</w:t>
            </w:r>
            <w:r>
              <w:rPr>
                <w:rFonts w:hint="eastAsia" w:ascii="新宋体" w:hAnsi="新宋体" w:eastAsia="新宋体" w:cs="新宋体"/>
                <w:b/>
                <w:color w:val="auto"/>
                <w:kern w:val="10"/>
                <w:sz w:val="22"/>
                <w:szCs w:val="22"/>
                <w:highlight w:val="none"/>
              </w:rPr>
              <w:t>//zfcg.czt.zj.gov.cn/进行免费注册，具体详见浙江政府采购网供应商注册要求。</w:t>
            </w:r>
          </w:p>
        </w:tc>
      </w:tr>
      <w:tr w14:paraId="47103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038F7D22">
            <w:pPr>
              <w:keepNext w:val="0"/>
              <w:keepLines w:val="0"/>
              <w:pageBreakBefore w:val="0"/>
              <w:widowControl/>
              <w:kinsoku/>
              <w:wordWrap/>
              <w:overflowPunct/>
              <w:topLinePunct w:val="0"/>
              <w:autoSpaceDE/>
              <w:autoSpaceDN/>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rPr>
              <w:t>1</w:t>
            </w:r>
            <w:r>
              <w:rPr>
                <w:rFonts w:hint="eastAsia" w:ascii="新宋体" w:hAnsi="新宋体" w:eastAsia="新宋体" w:cs="新宋体"/>
                <w:b/>
                <w:bCs/>
                <w:color w:val="auto"/>
                <w:kern w:val="0"/>
                <w:sz w:val="22"/>
                <w:szCs w:val="22"/>
                <w:highlight w:val="none"/>
                <w:lang w:val="en-US" w:eastAsia="zh-CN"/>
              </w:rPr>
              <w:t>8</w:t>
            </w:r>
          </w:p>
        </w:tc>
        <w:tc>
          <w:tcPr>
            <w:tcW w:w="9346" w:type="dxa"/>
            <w:tcBorders>
              <w:top w:val="single" w:color="000000" w:sz="2" w:space="0"/>
              <w:left w:val="single" w:color="000000" w:sz="2" w:space="0"/>
              <w:bottom w:val="single" w:color="000000" w:sz="2" w:space="0"/>
              <w:right w:val="single" w:color="000000" w:sz="8" w:space="0"/>
            </w:tcBorders>
            <w:vAlign w:val="center"/>
          </w:tcPr>
          <w:p w14:paraId="0F0FA414">
            <w:pPr>
              <w:keepNext w:val="0"/>
              <w:keepLines w:val="0"/>
              <w:pageBreakBefore w:val="0"/>
              <w:kinsoku/>
              <w:wordWrap/>
              <w:overflowPunct/>
              <w:topLinePunct w:val="0"/>
              <w:autoSpaceDE/>
              <w:autoSpaceDN/>
              <w:bidi w:val="0"/>
              <w:adjustRightInd w:val="0"/>
              <w:snapToGrid w:val="0"/>
              <w:spacing w:line="460" w:lineRule="exact"/>
              <w:ind w:firstLine="442" w:firstLineChars="2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1、扶持中小企业（监狱企业、残疾人福利性单位）：</w:t>
            </w:r>
          </w:p>
          <w:p w14:paraId="00E2DE72">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2D168157">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（1）项目预算：</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 xml:space="preserve">1800000 </w:t>
            </w:r>
            <w:r>
              <w:rPr>
                <w:rFonts w:hint="eastAsia" w:ascii="新宋体" w:hAnsi="新宋体" w:eastAsia="新宋体" w:cs="新宋体"/>
                <w:color w:val="auto"/>
                <w:sz w:val="22"/>
                <w:szCs w:val="22"/>
                <w:highlight w:val="none"/>
              </w:rPr>
              <w:t>元</w:t>
            </w:r>
          </w:p>
          <w:p w14:paraId="3144C4A9">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（2）项目属性：</w:t>
            </w:r>
            <w:r>
              <w:rPr>
                <w:rFonts w:hint="eastAsia" w:ascii="新宋体" w:hAnsi="新宋体" w:eastAsia="新宋体" w:cs="新宋体"/>
                <w:color w:val="auto"/>
                <w:sz w:val="22"/>
                <w:szCs w:val="22"/>
                <w:highlight w:val="none"/>
                <w:u w:val="single"/>
              </w:rPr>
              <w:t xml:space="preserve"> ①货物类 </w:t>
            </w:r>
            <w:r>
              <w:rPr>
                <w:rFonts w:hint="eastAsia" w:ascii="新宋体" w:hAnsi="新宋体" w:eastAsia="新宋体" w:cs="新宋体"/>
                <w:color w:val="auto"/>
                <w:sz w:val="22"/>
                <w:szCs w:val="22"/>
                <w:highlight w:val="none"/>
              </w:rPr>
              <w:t xml:space="preserve"> （①货物类/②服务类/③工程类）</w:t>
            </w:r>
          </w:p>
          <w:p w14:paraId="3524EE36">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（3）项目对应的中小企业划分标准所属行业：</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 xml:space="preserve"> 工业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（具体根据《中小企业划型标准规定》执行）</w:t>
            </w:r>
          </w:p>
          <w:p w14:paraId="6E6A3D95">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14:paraId="2E03DAB8">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（4）本项目</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 xml:space="preserve"> 否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属于预留份额专门面向中小企业采购的项目。</w:t>
            </w:r>
          </w:p>
          <w:p w14:paraId="6DFCBF69">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（5）上述第4项中确定为“是”的采购项目，预留份额通过（①）措施进行：</w:t>
            </w:r>
          </w:p>
          <w:p w14:paraId="24C8CE19">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①将采购项目整体或者设置采购包专门面向中小企业采购； </w:t>
            </w:r>
          </w:p>
          <w:p w14:paraId="6BAA4A60">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②要求供应商以联合体形式参加采购活动，且联合体中中小企业承担的部分达到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比例</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 xml:space="preserve">； </w:t>
            </w:r>
          </w:p>
          <w:p w14:paraId="3BD87E8D">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③要求获得采购合同的供应商将采购项目中的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比例</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分包给一家或者多家中小企业。</w:t>
            </w:r>
          </w:p>
          <w:p w14:paraId="123B7173">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（6）对于经主管预算单位统筹后未预留份额专门面向中小企业采购的采购项目，以及预留份额项目中的非预留部分采购包，请贵单位明确对符合本办法规定的小微企业报价给予</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10%</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kern w:val="0"/>
                <w:sz w:val="22"/>
                <w:szCs w:val="22"/>
                <w:highlight w:val="none"/>
              </w:rPr>
              <w:t>（10%—20%）（工程项目为 3%—5%）</w:t>
            </w:r>
            <w:r>
              <w:rPr>
                <w:rFonts w:hint="eastAsia" w:ascii="新宋体" w:hAnsi="新宋体" w:eastAsia="新宋体" w:cs="新宋体"/>
                <w:color w:val="auto"/>
                <w:sz w:val="22"/>
                <w:szCs w:val="22"/>
                <w:highlight w:val="none"/>
              </w:rPr>
              <w:t xml:space="preserve">的扣除，用扣除后的价格参加评审。 </w:t>
            </w:r>
          </w:p>
          <w:p w14:paraId="5102937A">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u w:val="single"/>
                <w:lang w:val="en-US" w:eastAsia="zh-CN"/>
              </w:rPr>
              <w:t xml:space="preserve"> /</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（4%-6%）</w:t>
            </w:r>
            <w:r>
              <w:rPr>
                <w:rFonts w:hint="eastAsia" w:ascii="新宋体" w:hAnsi="新宋体" w:eastAsia="新宋体" w:cs="新宋体"/>
                <w:color w:val="auto"/>
                <w:sz w:val="22"/>
                <w:szCs w:val="22"/>
                <w:highlight w:val="none"/>
              </w:rPr>
              <w:t>（工程项目为2%）的扣除，用扣除后的价格参加评审。</w:t>
            </w:r>
          </w:p>
          <w:p w14:paraId="113DCDF6">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b w:val="0"/>
                <w:bCs w:val="0"/>
                <w:color w:val="auto"/>
                <w:sz w:val="22"/>
                <w:szCs w:val="22"/>
                <w:highlight w:val="none"/>
              </w:rPr>
              <w:t>专门面向中小企业采购的项目或者标项，不再执行价格评审优惠的扶持政策。</w:t>
            </w:r>
          </w:p>
          <w:p w14:paraId="1A73929C">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2、节能产品、环境标志产品的强制采购政策</w:t>
            </w:r>
          </w:p>
          <w:p w14:paraId="72BDA889">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w:t>
            </w:r>
            <w:r>
              <w:rPr>
                <w:rFonts w:hint="eastAsia" w:ascii="新宋体" w:hAnsi="新宋体" w:eastAsia="新宋体" w:cs="新宋体"/>
                <w:color w:val="auto"/>
                <w:kern w:val="0"/>
                <w:sz w:val="22"/>
                <w:szCs w:val="22"/>
                <w:highlight w:val="none"/>
                <w:lang w:eastAsia="zh-CN"/>
              </w:rPr>
              <w:t>采购人</w:t>
            </w:r>
            <w:r>
              <w:rPr>
                <w:rFonts w:hint="eastAsia" w:ascii="新宋体" w:hAnsi="新宋体" w:eastAsia="新宋体" w:cs="新宋体"/>
                <w:color w:val="auto"/>
                <w:kern w:val="0"/>
                <w:sz w:val="22"/>
                <w:szCs w:val="22"/>
                <w:highlight w:val="none"/>
              </w:rPr>
              <w:t>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p w14:paraId="0B9C5519">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3、节能产品、环境标志产品的优先采购政策</w:t>
            </w:r>
          </w:p>
          <w:p w14:paraId="79741E3E">
            <w:pPr>
              <w:keepNext w:val="0"/>
              <w:keepLines w:val="0"/>
              <w:pageBreakBefore w:val="0"/>
              <w:widowControl/>
              <w:kinsoku/>
              <w:wordWrap/>
              <w:overflowPunct/>
              <w:topLinePunct w:val="0"/>
              <w:autoSpaceDE/>
              <w:autoSpaceDN/>
              <w:bidi w:val="0"/>
              <w:snapToGrid w:val="0"/>
              <w:spacing w:line="460" w:lineRule="exact"/>
              <w:ind w:firstLine="440" w:firstLineChars="200"/>
              <w:jc w:val="left"/>
              <w:rPr>
                <w:rFonts w:hint="eastAsia" w:ascii="新宋体" w:hAnsi="新宋体" w:eastAsia="新宋体" w:cs="新宋体"/>
                <w:b/>
                <w:color w:val="auto"/>
                <w:kern w:val="10"/>
                <w:sz w:val="22"/>
                <w:szCs w:val="22"/>
                <w:highlight w:val="none"/>
              </w:rPr>
            </w:pPr>
            <w:r>
              <w:rPr>
                <w:rFonts w:hint="eastAsia" w:ascii="新宋体" w:hAnsi="新宋体" w:eastAsia="新宋体" w:cs="新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w:t>
            </w:r>
            <w:r>
              <w:rPr>
                <w:rFonts w:hint="eastAsia" w:ascii="新宋体" w:hAnsi="新宋体" w:eastAsia="新宋体" w:cs="新宋体"/>
                <w:color w:val="auto"/>
                <w:kern w:val="0"/>
                <w:sz w:val="22"/>
                <w:szCs w:val="22"/>
                <w:highlight w:val="none"/>
                <w:lang w:eastAsia="zh-CN"/>
              </w:rPr>
              <w:t>采购人</w:t>
            </w:r>
            <w:r>
              <w:rPr>
                <w:rFonts w:hint="eastAsia" w:ascii="新宋体" w:hAnsi="新宋体" w:eastAsia="新宋体" w:cs="新宋体"/>
                <w:color w:val="auto"/>
                <w:kern w:val="0"/>
                <w:sz w:val="22"/>
                <w:szCs w:val="22"/>
                <w:highlight w:val="none"/>
              </w:rPr>
              <w:t>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tc>
      </w:tr>
      <w:tr w14:paraId="7F9BF4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7CE53FB3">
            <w:pPr>
              <w:keepNext w:val="0"/>
              <w:keepLines w:val="0"/>
              <w:pageBreakBefore w:val="0"/>
              <w:widowControl/>
              <w:kinsoku/>
              <w:wordWrap/>
              <w:overflowPunct/>
              <w:topLinePunct w:val="0"/>
              <w:autoSpaceDE/>
              <w:autoSpaceDN/>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rPr>
              <w:t>1</w:t>
            </w:r>
            <w:r>
              <w:rPr>
                <w:rFonts w:hint="eastAsia" w:ascii="新宋体" w:hAnsi="新宋体" w:eastAsia="新宋体" w:cs="新宋体"/>
                <w:b/>
                <w:bCs/>
                <w:color w:val="auto"/>
                <w:kern w:val="0"/>
                <w:sz w:val="22"/>
                <w:szCs w:val="22"/>
                <w:highlight w:val="none"/>
                <w:lang w:val="en-US" w:eastAsia="zh-CN"/>
              </w:rPr>
              <w:t>9</w:t>
            </w:r>
          </w:p>
        </w:tc>
        <w:tc>
          <w:tcPr>
            <w:tcW w:w="9346" w:type="dxa"/>
            <w:tcBorders>
              <w:top w:val="single" w:color="000000" w:sz="2" w:space="0"/>
              <w:left w:val="single" w:color="000000" w:sz="2" w:space="0"/>
              <w:bottom w:val="single" w:color="000000" w:sz="2" w:space="0"/>
              <w:right w:val="single" w:color="000000" w:sz="8" w:space="0"/>
            </w:tcBorders>
            <w:vAlign w:val="center"/>
          </w:tcPr>
          <w:p w14:paraId="10471A43">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根据《关于在政府采购活动中查询及使用信用记录有关问题的通知》财库[2016]125号的规定：</w:t>
            </w:r>
          </w:p>
          <w:p w14:paraId="0E7F98A3">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或采购代理机构将对本项目供应商的信用记录进行查询。查询渠道为信用中国网站（www.creditchina.gov.cn）、中国政府采购网（www.ccgp.gov.cn）；</w:t>
            </w:r>
          </w:p>
          <w:p w14:paraId="36AD1FC2">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（2）截止时点：提交投标文件（响应文件）截止时间前3年内；</w:t>
            </w:r>
          </w:p>
          <w:p w14:paraId="5474909D">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（3）查询记录和证据的留存：信用信息查询记录和证据以网页截图等方式留存。</w:t>
            </w:r>
          </w:p>
          <w:p w14:paraId="20AD47A1">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0718B89A">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u w:val="single"/>
              </w:rPr>
              <w:t>（5）联合体投标时，对所有联合体成员进行信用记录查询，联合体成员任意一方存在不良信用记录的，视同联合体存在不良信用记录。</w:t>
            </w:r>
          </w:p>
        </w:tc>
      </w:tr>
    </w:tbl>
    <w:p w14:paraId="5381DB43">
      <w:pPr>
        <w:rPr>
          <w:rFonts w:hint="eastAsia" w:ascii="新宋体" w:hAnsi="新宋体" w:eastAsia="新宋体" w:cs="新宋体"/>
          <w:b/>
          <w:bCs/>
          <w:color w:val="auto"/>
          <w:sz w:val="26"/>
          <w:szCs w:val="26"/>
          <w:highlight w:val="none"/>
        </w:rPr>
      </w:pPr>
      <w:r>
        <w:rPr>
          <w:rFonts w:hint="eastAsia" w:ascii="新宋体" w:hAnsi="新宋体" w:eastAsia="新宋体" w:cs="新宋体"/>
          <w:b/>
          <w:bCs/>
          <w:color w:val="auto"/>
          <w:sz w:val="26"/>
          <w:szCs w:val="26"/>
          <w:highlight w:val="none"/>
        </w:rPr>
        <w:br w:type="page"/>
      </w:r>
    </w:p>
    <w:p w14:paraId="3BC40B03">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10" w:name="_Toc14378"/>
      <w:bookmarkStart w:id="11" w:name="_Toc20846"/>
      <w:r>
        <w:rPr>
          <w:rFonts w:hint="eastAsia" w:ascii="新宋体" w:hAnsi="新宋体" w:eastAsia="新宋体" w:cs="新宋体"/>
          <w:b/>
          <w:bCs/>
          <w:color w:val="auto"/>
          <w:sz w:val="26"/>
          <w:szCs w:val="26"/>
          <w:highlight w:val="none"/>
        </w:rPr>
        <w:t>一、 说   明</w:t>
      </w:r>
      <w:bookmarkEnd w:id="10"/>
      <w:bookmarkEnd w:id="11"/>
    </w:p>
    <w:p w14:paraId="5D172FA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1、本次</w:t>
      </w:r>
      <w:r>
        <w:rPr>
          <w:rFonts w:hint="eastAsia" w:ascii="新宋体" w:hAnsi="新宋体" w:eastAsia="新宋体" w:cs="新宋体"/>
          <w:color w:val="auto"/>
          <w:sz w:val="22"/>
          <w:szCs w:val="22"/>
          <w:highlight w:val="none"/>
          <w:lang w:val="en-US" w:eastAsia="zh-CN"/>
        </w:rPr>
        <w:t>采购</w:t>
      </w:r>
      <w:r>
        <w:rPr>
          <w:rFonts w:hint="eastAsia" w:ascii="新宋体" w:hAnsi="新宋体" w:eastAsia="新宋体" w:cs="新宋体"/>
          <w:color w:val="auto"/>
          <w:sz w:val="22"/>
          <w:szCs w:val="22"/>
          <w:highlight w:val="none"/>
        </w:rPr>
        <w:t>是按照《中华人民共和国政府采购法》、《政府采购货物和服务招标投标管理办法》、《中华人民共和国政府采购法实施条例》和《关于进一步规范政府采购活动的若干意见》等法律及有关法规组织和实施的。</w:t>
      </w:r>
    </w:p>
    <w:p w14:paraId="4C58EAC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2、定义</w:t>
      </w:r>
    </w:p>
    <w:p w14:paraId="2DB1A87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lang w:eastAsia="zh-CN"/>
        </w:rPr>
      </w:pP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：是指依法进行政府采购的国家机关、事业单位、团体组织</w:t>
      </w:r>
      <w:r>
        <w:rPr>
          <w:rFonts w:hint="eastAsia" w:ascii="新宋体" w:hAnsi="新宋体" w:eastAsia="新宋体" w:cs="新宋体"/>
          <w:color w:val="auto"/>
          <w:sz w:val="22"/>
          <w:highlight w:val="none"/>
          <w:lang w:eastAsia="zh-CN"/>
        </w:rPr>
        <w:t>；</w:t>
      </w:r>
    </w:p>
    <w:p w14:paraId="7457F44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：受</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委托，在委托的范围内办理政府采购事宜的机构；</w:t>
      </w:r>
    </w:p>
    <w:p w14:paraId="2C48C8A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投标人：是指参加本政府采购项目投标的供应商；</w:t>
      </w:r>
    </w:p>
    <w:p w14:paraId="78F766D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投标人代表：是指参加本项目投标活动的供应商法定代表人或法定代表人授权代表；</w:t>
      </w:r>
    </w:p>
    <w:p w14:paraId="4BF01EE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投标联合体：是指两个以上供应商组成联合体，以一个供应商的身份参加投标；</w:t>
      </w:r>
    </w:p>
    <w:p w14:paraId="482E0FF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甲方：是指合同签订的一方，一般与</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、用户相同；</w:t>
      </w:r>
    </w:p>
    <w:p w14:paraId="2313A1B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乙方：是指合同签订的另一方，与中标人相同；</w:t>
      </w:r>
    </w:p>
    <w:p w14:paraId="357B5EC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制造商：是指拥有投标产品自主知识产权的单位；</w:t>
      </w:r>
    </w:p>
    <w:p w14:paraId="7BF9924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原件备查：要求携带原件备查的，供应商应按要求携带备查，如评标委员会发现投标文件资料复印件存有瑕疵，致使内容模糊、关键信息难以辨认、材料真实性存疑等情形的，有权核对原件或评标委员会认为有必有核对原件，若供应商未能提交原件，将会导致评标委员会作出对其不利的评定，一切后果由供应商自行承担。</w:t>
      </w:r>
    </w:p>
    <w:p w14:paraId="0E20394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带“▲”条款系指实质性要求条款。“★”是关键技术参数及要求。</w:t>
      </w:r>
    </w:p>
    <w:p w14:paraId="7B4CEFC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3、投标人代表</w:t>
      </w:r>
    </w:p>
    <w:p w14:paraId="51F8836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szCs w:val="22"/>
          <w:highlight w:val="none"/>
        </w:rPr>
        <w:t>3.1</w:t>
      </w:r>
      <w:r>
        <w:rPr>
          <w:rFonts w:hint="eastAsia" w:ascii="新宋体" w:hAnsi="新宋体" w:eastAsia="新宋体" w:cs="新宋体"/>
          <w:b/>
          <w:color w:val="auto"/>
          <w:sz w:val="22"/>
          <w:highlight w:val="none"/>
        </w:rPr>
        <w:t>指全权代表投标人参加投标活动并签署投标文件的人。如果投标人代表不是法定代表人，须持有《法定代表人授权书》（见附件）</w:t>
      </w:r>
    </w:p>
    <w:p w14:paraId="0B52E4D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rPr>
        <w:t>根据政府采购相关法律、法规、规章、文件规定并满足</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规定资格条件的区域性分支机构、个体工商户、个人独资企业、合伙企业参加本项目投标并由单位负责人签署的相关投标资料与本</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规定由法定代表人签署的的文件材料具有同等效力</w:t>
      </w:r>
      <w:r>
        <w:rPr>
          <w:rFonts w:hint="eastAsia" w:ascii="新宋体" w:hAnsi="新宋体" w:eastAsia="新宋体" w:cs="新宋体"/>
          <w:b/>
          <w:color w:val="auto"/>
          <w:sz w:val="22"/>
          <w:szCs w:val="22"/>
          <w:highlight w:val="none"/>
        </w:rPr>
        <w:t>。</w:t>
      </w:r>
    </w:p>
    <w:p w14:paraId="55FD993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4、投标费用</w:t>
      </w:r>
    </w:p>
    <w:p w14:paraId="4713462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4.1</w:t>
      </w:r>
      <w:r>
        <w:rPr>
          <w:rFonts w:hint="eastAsia" w:ascii="新宋体" w:hAnsi="新宋体" w:eastAsia="新宋体" w:cs="新宋体"/>
          <w:color w:val="auto"/>
          <w:sz w:val="22"/>
          <w:szCs w:val="22"/>
          <w:highlight w:val="none"/>
        </w:rPr>
        <w:t>投标人应承担所有与准备和参加投标有关费用，不论投标的结果如何，</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或</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均无义务和责任承担这些费用。</w:t>
      </w:r>
    </w:p>
    <w:p w14:paraId="0614D2C7">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lang w:eastAsia="zh-CN"/>
        </w:rPr>
      </w:pPr>
      <w:bookmarkStart w:id="12" w:name="_Toc9899"/>
      <w:bookmarkStart w:id="13" w:name="_Toc11560"/>
      <w:r>
        <w:rPr>
          <w:rFonts w:hint="eastAsia" w:ascii="新宋体" w:hAnsi="新宋体" w:eastAsia="新宋体" w:cs="新宋体"/>
          <w:b/>
          <w:bCs/>
          <w:color w:val="auto"/>
          <w:sz w:val="26"/>
          <w:szCs w:val="26"/>
          <w:highlight w:val="none"/>
        </w:rPr>
        <w:t xml:space="preserve">二、 </w:t>
      </w:r>
      <w:bookmarkEnd w:id="12"/>
      <w:r>
        <w:rPr>
          <w:rFonts w:hint="eastAsia" w:ascii="新宋体" w:hAnsi="新宋体" w:eastAsia="新宋体" w:cs="新宋体"/>
          <w:b/>
          <w:bCs/>
          <w:color w:val="auto"/>
          <w:sz w:val="26"/>
          <w:szCs w:val="26"/>
          <w:highlight w:val="none"/>
          <w:lang w:eastAsia="zh-CN"/>
        </w:rPr>
        <w:t>采购文件</w:t>
      </w:r>
      <w:bookmarkEnd w:id="13"/>
    </w:p>
    <w:p w14:paraId="2619287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由</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目录所列内容及相关资料组成。</w:t>
      </w:r>
    </w:p>
    <w:p w14:paraId="1792B99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2、</w:t>
      </w:r>
      <w:r>
        <w:rPr>
          <w:rFonts w:hint="eastAsia" w:ascii="新宋体" w:hAnsi="新宋体" w:eastAsia="新宋体" w:cs="新宋体"/>
          <w:b/>
          <w:color w:val="auto"/>
          <w:sz w:val="22"/>
          <w:highlight w:val="none"/>
          <w:lang w:eastAsia="zh-CN"/>
        </w:rPr>
        <w:t>采购文件</w:t>
      </w:r>
      <w:r>
        <w:rPr>
          <w:rFonts w:hint="eastAsia" w:ascii="新宋体" w:hAnsi="新宋体" w:eastAsia="新宋体" w:cs="新宋体"/>
          <w:b/>
          <w:color w:val="auto"/>
          <w:sz w:val="22"/>
          <w:highlight w:val="none"/>
        </w:rPr>
        <w:t>的澄清</w:t>
      </w:r>
    </w:p>
    <w:p w14:paraId="3B93969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2.1任何要求对</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进行澄清的投标人，均应以书面形式（信函、传真，下同）通知，但该通知在知道或应知道其权益受到损害之日起七个工作日内以使</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收到，</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将以书面形式予以答复。如果</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澄清期内未收到有关澄清要求，视为投标人完全同意</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所有条款，且对于</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有关表述以及未尽事宜如有异议，以</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解释为准。</w:t>
      </w:r>
    </w:p>
    <w:p w14:paraId="29BAC30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3、</w:t>
      </w:r>
      <w:r>
        <w:rPr>
          <w:rFonts w:hint="eastAsia" w:ascii="新宋体" w:hAnsi="新宋体" w:eastAsia="新宋体" w:cs="新宋体"/>
          <w:b/>
          <w:color w:val="auto"/>
          <w:sz w:val="22"/>
          <w:highlight w:val="none"/>
          <w:lang w:eastAsia="zh-CN"/>
        </w:rPr>
        <w:t>采购文件</w:t>
      </w:r>
      <w:r>
        <w:rPr>
          <w:rFonts w:hint="eastAsia" w:ascii="新宋体" w:hAnsi="新宋体" w:eastAsia="新宋体" w:cs="新宋体"/>
          <w:b/>
          <w:color w:val="auto"/>
          <w:sz w:val="22"/>
          <w:highlight w:val="none"/>
        </w:rPr>
        <w:t>的修改</w:t>
      </w:r>
    </w:p>
    <w:p w14:paraId="122E865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3.1</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对已发出的</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进行必要的澄清或者修改的，应当在</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要求递交投标文件截止时间十五日前，在财政部门指定的政府采购信息发布媒体上发布更正公告，该澄清或修改内容为</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的组成部分。</w:t>
      </w:r>
    </w:p>
    <w:p w14:paraId="3476804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rPr>
        <w:t>3.2</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可以视采购的具体情况决定是否延长投标截止时间和开标时间，并在</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要求递交投标文件的截止时间前，在财政部门指定的政府采购信息发布媒体上发布变更公告。</w:t>
      </w:r>
    </w:p>
    <w:p w14:paraId="0ACBBAC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lang w:val="en-US" w:eastAsia="zh-CN"/>
        </w:rPr>
        <w:t>注：</w:t>
      </w:r>
      <w:r>
        <w:rPr>
          <w:rFonts w:hint="eastAsia" w:ascii="新宋体" w:hAnsi="新宋体" w:eastAsia="新宋体" w:cs="新宋体"/>
          <w:color w:val="auto"/>
          <w:sz w:val="22"/>
          <w:highlight w:val="none"/>
        </w:rPr>
        <w:t>潜在投标人应自行关注网站公告，</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不再一一通知。投标人因自身贻误行为导致投标失败的，责任自负。</w:t>
      </w:r>
    </w:p>
    <w:p w14:paraId="12F3E98E">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14" w:name="_Toc12726"/>
      <w:bookmarkStart w:id="15" w:name="_Toc19196"/>
      <w:r>
        <w:rPr>
          <w:rFonts w:hint="eastAsia" w:ascii="新宋体" w:hAnsi="新宋体" w:eastAsia="新宋体" w:cs="新宋体"/>
          <w:b/>
          <w:bCs/>
          <w:color w:val="auto"/>
          <w:sz w:val="26"/>
          <w:szCs w:val="26"/>
          <w:highlight w:val="none"/>
        </w:rPr>
        <w:t>三、 投标文件的编制</w:t>
      </w:r>
      <w:bookmarkEnd w:id="14"/>
      <w:bookmarkEnd w:id="15"/>
    </w:p>
    <w:p w14:paraId="37BF1EC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1、投标人应认真阅读</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中所有事项、格式、条款和技术规范等。</w:t>
      </w:r>
      <w:r>
        <w:rPr>
          <w:rFonts w:hint="eastAsia" w:ascii="新宋体" w:hAnsi="新宋体" w:eastAsia="新宋体" w:cs="新宋体"/>
          <w:b/>
          <w:color w:val="auto"/>
          <w:sz w:val="22"/>
          <w:highlight w:val="none"/>
        </w:rPr>
        <w:t>投标人没有按照</w:t>
      </w:r>
      <w:r>
        <w:rPr>
          <w:rFonts w:hint="eastAsia" w:ascii="新宋体" w:hAnsi="新宋体" w:eastAsia="新宋体" w:cs="新宋体"/>
          <w:b/>
          <w:color w:val="auto"/>
          <w:sz w:val="22"/>
          <w:highlight w:val="none"/>
          <w:lang w:eastAsia="zh-CN"/>
        </w:rPr>
        <w:t>采购文件</w:t>
      </w:r>
      <w:r>
        <w:rPr>
          <w:rFonts w:hint="eastAsia" w:ascii="新宋体" w:hAnsi="新宋体" w:eastAsia="新宋体" w:cs="新宋体"/>
          <w:b/>
          <w:color w:val="auto"/>
          <w:sz w:val="22"/>
          <w:highlight w:val="none"/>
        </w:rPr>
        <w:t>要求提交全部资料，或者没有对</w:t>
      </w:r>
      <w:r>
        <w:rPr>
          <w:rFonts w:hint="eastAsia" w:ascii="新宋体" w:hAnsi="新宋体" w:eastAsia="新宋体" w:cs="新宋体"/>
          <w:b/>
          <w:color w:val="auto"/>
          <w:sz w:val="22"/>
          <w:highlight w:val="none"/>
          <w:lang w:eastAsia="zh-CN"/>
        </w:rPr>
        <w:t>采购文件</w:t>
      </w:r>
      <w:r>
        <w:rPr>
          <w:rFonts w:hint="eastAsia" w:ascii="新宋体" w:hAnsi="新宋体" w:eastAsia="新宋体" w:cs="新宋体"/>
          <w:b/>
          <w:color w:val="auto"/>
          <w:sz w:val="22"/>
          <w:highlight w:val="none"/>
        </w:rPr>
        <w:t>各个方面做出实质性响应，导致投标被否决的风险由投标人自行承担。</w:t>
      </w:r>
    </w:p>
    <w:p w14:paraId="7DC5B1D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highlight w:val="none"/>
        </w:rPr>
        <w:t>2、投标人应保证所提供文件资料的真实性，所有文件资料必须是针对本次投标的。如发现投标人提供了虚假文件资料，其投标将被否决，并自行承担相应的法律责任。</w:t>
      </w:r>
    </w:p>
    <w:p w14:paraId="1E3920D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3、</w:t>
      </w:r>
      <w:r>
        <w:rPr>
          <w:rFonts w:hint="eastAsia" w:ascii="新宋体" w:hAnsi="新宋体" w:eastAsia="新宋体" w:cs="新宋体"/>
          <w:b/>
          <w:bCs/>
          <w:color w:val="auto"/>
          <w:sz w:val="22"/>
          <w:szCs w:val="22"/>
          <w:highlight w:val="none"/>
        </w:rPr>
        <w:t>投标文件的构成：</w:t>
      </w:r>
    </w:p>
    <w:p w14:paraId="355B1FD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rPr>
        <w:t>投标</w:t>
      </w:r>
      <w:r>
        <w:rPr>
          <w:rFonts w:hint="eastAsia" w:ascii="新宋体" w:hAnsi="新宋体" w:eastAsia="新宋体" w:cs="新宋体"/>
          <w:b/>
          <w:bCs/>
          <w:color w:val="auto"/>
          <w:kern w:val="0"/>
          <w:sz w:val="22"/>
          <w:szCs w:val="22"/>
          <w:highlight w:val="none"/>
          <w:lang w:val="zh-CN"/>
        </w:rPr>
        <w:t>文件应当包括以下主要内容：资格文件、报价文件、商务技术文件。</w:t>
      </w:r>
    </w:p>
    <w:p w14:paraId="6D8D0B0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rPr>
        <w:t>3.1</w:t>
      </w:r>
      <w:r>
        <w:rPr>
          <w:rFonts w:hint="eastAsia" w:ascii="新宋体" w:hAnsi="新宋体" w:eastAsia="新宋体" w:cs="新宋体"/>
          <w:b/>
          <w:bCs/>
          <w:color w:val="auto"/>
          <w:kern w:val="0"/>
          <w:sz w:val="22"/>
          <w:szCs w:val="22"/>
          <w:highlight w:val="none"/>
          <w:lang w:val="zh-CN"/>
        </w:rPr>
        <w:t xml:space="preserve">投标人的资格文件至少应包括以下内容： </w:t>
      </w:r>
    </w:p>
    <w:p w14:paraId="02E63B3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kern w:val="0"/>
          <w:sz w:val="22"/>
          <w:szCs w:val="22"/>
          <w:highlight w:val="none"/>
          <w:u w:val="single"/>
          <w:lang w:val="zh-CN"/>
        </w:rPr>
        <w:t>基本资格条件审查材料：即证明供应商参加本次采购活动前3年内满足《中华人民共和国政府采购法》的有关资格证明文件。</w:t>
      </w:r>
      <w:r>
        <w:rPr>
          <w:rFonts w:hint="eastAsia" w:ascii="新宋体" w:hAnsi="新宋体" w:eastAsia="新宋体" w:cs="新宋体"/>
          <w:color w:val="auto"/>
          <w:sz w:val="22"/>
          <w:szCs w:val="22"/>
          <w:highlight w:val="none"/>
          <w:u w:val="single"/>
        </w:rPr>
        <w:t>包括：</w:t>
      </w:r>
    </w:p>
    <w:p w14:paraId="3036804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eastAsia="zh-CN"/>
        </w:rPr>
      </w:pPr>
      <w:r>
        <w:rPr>
          <w:rFonts w:hint="eastAsia" w:ascii="新宋体" w:hAnsi="新宋体" w:eastAsia="新宋体" w:cs="新宋体"/>
          <w:color w:val="auto"/>
          <w:kern w:val="0"/>
          <w:sz w:val="22"/>
          <w:szCs w:val="22"/>
          <w:highlight w:val="none"/>
          <w:u w:val="single"/>
          <w:lang w:val="zh-CN"/>
        </w:rPr>
        <w:t>（</w:t>
      </w:r>
      <w:r>
        <w:rPr>
          <w:rFonts w:hint="eastAsia" w:ascii="新宋体" w:hAnsi="新宋体" w:eastAsia="新宋体" w:cs="新宋体"/>
          <w:color w:val="auto"/>
          <w:kern w:val="0"/>
          <w:sz w:val="22"/>
          <w:szCs w:val="22"/>
          <w:highlight w:val="none"/>
          <w:u w:val="single"/>
        </w:rPr>
        <w:t>1</w:t>
      </w:r>
      <w:r>
        <w:rPr>
          <w:rFonts w:hint="eastAsia" w:ascii="新宋体" w:hAnsi="新宋体" w:eastAsia="新宋体" w:cs="新宋体"/>
          <w:color w:val="auto"/>
          <w:kern w:val="0"/>
          <w:sz w:val="22"/>
          <w:szCs w:val="22"/>
          <w:highlight w:val="none"/>
          <w:u w:val="single"/>
          <w:lang w:val="zh-CN"/>
        </w:rPr>
        <w:t>）资格条件承诺函；</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7756CEC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eastAsia="zh-CN"/>
        </w:rPr>
      </w:pPr>
      <w:r>
        <w:rPr>
          <w:rFonts w:hint="eastAsia" w:ascii="新宋体" w:hAnsi="新宋体" w:eastAsia="新宋体" w:cs="新宋体"/>
          <w:color w:val="auto"/>
          <w:kern w:val="0"/>
          <w:sz w:val="22"/>
          <w:szCs w:val="22"/>
          <w:highlight w:val="none"/>
          <w:u w:val="single"/>
          <w:lang w:val="zh-CN"/>
        </w:rPr>
        <w:t>（</w:t>
      </w:r>
      <w:r>
        <w:rPr>
          <w:rFonts w:hint="eastAsia" w:ascii="新宋体" w:hAnsi="新宋体" w:eastAsia="新宋体" w:cs="新宋体"/>
          <w:color w:val="auto"/>
          <w:kern w:val="0"/>
          <w:sz w:val="22"/>
          <w:szCs w:val="22"/>
          <w:highlight w:val="none"/>
          <w:u w:val="single"/>
        </w:rPr>
        <w:t>2</w:t>
      </w:r>
      <w:r>
        <w:rPr>
          <w:rFonts w:hint="eastAsia" w:ascii="新宋体" w:hAnsi="新宋体" w:eastAsia="新宋体" w:cs="新宋体"/>
          <w:color w:val="auto"/>
          <w:kern w:val="0"/>
          <w:sz w:val="22"/>
          <w:szCs w:val="22"/>
          <w:highlight w:val="none"/>
          <w:u w:val="single"/>
          <w:lang w:val="zh-CN"/>
        </w:rPr>
        <w:t xml:space="preserve">）营业执照（或事业法人登记证书或其它工商等登记证明材料；自然人参与政府采购，提供身份证）复印件； </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26BA59C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rPr>
      </w:pPr>
      <w:r>
        <w:rPr>
          <w:rFonts w:hint="eastAsia" w:ascii="新宋体" w:hAnsi="新宋体" w:eastAsia="新宋体" w:cs="新宋体"/>
          <w:color w:val="auto"/>
          <w:kern w:val="0"/>
          <w:sz w:val="22"/>
          <w:szCs w:val="22"/>
          <w:highlight w:val="none"/>
          <w:u w:val="single"/>
          <w:lang w:val="zh-CN"/>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15DBB06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eastAsia="zh-CN"/>
        </w:rPr>
      </w:pPr>
      <w:r>
        <w:rPr>
          <w:rFonts w:hint="eastAsia" w:ascii="新宋体" w:hAnsi="新宋体" w:eastAsia="新宋体" w:cs="新宋体"/>
          <w:color w:val="auto"/>
          <w:kern w:val="0"/>
          <w:sz w:val="22"/>
          <w:szCs w:val="22"/>
          <w:highlight w:val="none"/>
          <w:u w:val="single"/>
        </w:rPr>
        <w:t>（3）投标人信用查询；</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6B0897D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rPr>
      </w:pPr>
      <w:r>
        <w:rPr>
          <w:rFonts w:hint="eastAsia" w:ascii="新宋体" w:hAnsi="新宋体" w:eastAsia="新宋体" w:cs="新宋体"/>
          <w:color w:val="auto"/>
          <w:kern w:val="0"/>
          <w:sz w:val="22"/>
          <w:szCs w:val="22"/>
          <w:highlight w:val="none"/>
          <w:u w:val="single"/>
          <w:lang w:val="zh-CN"/>
        </w:rPr>
        <w:t>（</w:t>
      </w:r>
      <w:r>
        <w:rPr>
          <w:rFonts w:hint="eastAsia" w:ascii="新宋体" w:hAnsi="新宋体" w:eastAsia="新宋体" w:cs="新宋体"/>
          <w:color w:val="auto"/>
          <w:kern w:val="0"/>
          <w:sz w:val="22"/>
          <w:szCs w:val="22"/>
          <w:highlight w:val="none"/>
          <w:u w:val="single"/>
          <w:lang w:val="en-US" w:eastAsia="zh-CN"/>
        </w:rPr>
        <w:t>4</w:t>
      </w:r>
      <w:r>
        <w:rPr>
          <w:rFonts w:hint="eastAsia" w:ascii="新宋体" w:hAnsi="新宋体" w:eastAsia="新宋体" w:cs="新宋体"/>
          <w:color w:val="auto"/>
          <w:kern w:val="0"/>
          <w:sz w:val="22"/>
          <w:szCs w:val="22"/>
          <w:highlight w:val="none"/>
          <w:u w:val="single"/>
          <w:lang w:val="zh-CN"/>
        </w:rPr>
        <w:t>）政府采购活动现场确认声明书</w:t>
      </w:r>
      <w:r>
        <w:rPr>
          <w:rFonts w:hint="eastAsia" w:ascii="新宋体" w:hAnsi="新宋体" w:eastAsia="新宋体" w:cs="新宋体"/>
          <w:color w:val="auto"/>
          <w:kern w:val="0"/>
          <w:sz w:val="22"/>
          <w:szCs w:val="22"/>
          <w:highlight w:val="none"/>
          <w:u w:val="single"/>
          <w:lang w:val="zh-CN" w:eastAsia="zh-CN"/>
        </w:rPr>
        <w:t>；</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1D1F714E">
      <w:pPr>
        <w:keepNext w:val="0"/>
        <w:keepLines w:val="0"/>
        <w:pageBreakBefore w:val="0"/>
        <w:kinsoku/>
        <w:wordWrap/>
        <w:topLinePunct w:val="0"/>
        <w:bidi w:val="0"/>
        <w:spacing w:line="460" w:lineRule="exact"/>
        <w:ind w:firstLine="440" w:firstLineChars="200"/>
        <w:jc w:val="left"/>
        <w:rPr>
          <w:rFonts w:hint="eastAsia" w:ascii="新宋体" w:hAnsi="新宋体" w:eastAsia="新宋体" w:cs="新宋体"/>
          <w:color w:val="auto"/>
          <w:sz w:val="22"/>
          <w:szCs w:val="22"/>
          <w:highlight w:val="none"/>
          <w:u w:val="single"/>
          <w:lang w:eastAsia="zh-CN"/>
        </w:rPr>
      </w:pPr>
      <w:r>
        <w:rPr>
          <w:rFonts w:hint="eastAsia" w:ascii="新宋体" w:hAnsi="新宋体" w:eastAsia="新宋体" w:cs="新宋体"/>
          <w:color w:val="auto"/>
          <w:sz w:val="22"/>
          <w:szCs w:val="22"/>
          <w:highlight w:val="none"/>
          <w:u w:val="single"/>
          <w:lang w:eastAsia="zh-CN"/>
        </w:rPr>
        <w:t>（</w:t>
      </w:r>
      <w:r>
        <w:rPr>
          <w:rFonts w:hint="eastAsia" w:ascii="新宋体" w:hAnsi="新宋体" w:eastAsia="新宋体" w:cs="新宋体"/>
          <w:color w:val="auto"/>
          <w:sz w:val="22"/>
          <w:szCs w:val="22"/>
          <w:highlight w:val="none"/>
          <w:u w:val="single"/>
          <w:lang w:val="en-US" w:eastAsia="zh-CN"/>
        </w:rPr>
        <w:t>5</w:t>
      </w:r>
      <w:r>
        <w:rPr>
          <w:rFonts w:hint="eastAsia" w:ascii="新宋体" w:hAnsi="新宋体" w:eastAsia="新宋体" w:cs="新宋体"/>
          <w:color w:val="auto"/>
          <w:sz w:val="22"/>
          <w:szCs w:val="22"/>
          <w:highlight w:val="none"/>
          <w:u w:val="single"/>
          <w:lang w:eastAsia="zh-CN"/>
        </w:rPr>
        <w:t>）</w:t>
      </w:r>
      <w:r>
        <w:rPr>
          <w:rFonts w:hint="eastAsia" w:ascii="新宋体" w:hAnsi="新宋体" w:eastAsia="新宋体" w:cs="新宋体"/>
          <w:color w:val="auto"/>
          <w:sz w:val="22"/>
          <w:szCs w:val="22"/>
          <w:highlight w:val="none"/>
          <w:u w:val="single"/>
          <w:lang w:val="en-US" w:eastAsia="zh-CN"/>
        </w:rPr>
        <w:t>联合体协议书（如有）</w:t>
      </w:r>
    </w:p>
    <w:p w14:paraId="1128D46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上述资格条件审查材料有一项不提供的，视为资格审查不通过。</w:t>
      </w:r>
    </w:p>
    <w:p w14:paraId="09C96BF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u w:val="single"/>
          <w:lang w:val="zh-CN"/>
        </w:rPr>
      </w:pPr>
      <w:r>
        <w:rPr>
          <w:rFonts w:hint="eastAsia" w:ascii="新宋体" w:hAnsi="新宋体" w:eastAsia="新宋体" w:cs="新宋体"/>
          <w:b/>
          <w:bCs/>
          <w:color w:val="auto"/>
          <w:sz w:val="22"/>
          <w:szCs w:val="22"/>
          <w:highlight w:val="none"/>
        </w:rPr>
        <w:t>3.2投标人的报价文件至少应包括以下内容：</w:t>
      </w:r>
    </w:p>
    <w:p w14:paraId="5EE794C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）投标报价一览表；</w:t>
      </w:r>
    </w:p>
    <w:p w14:paraId="4666BF0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）投标分项报价表</w:t>
      </w:r>
      <w:r>
        <w:rPr>
          <w:rFonts w:hint="eastAsia" w:ascii="新宋体" w:hAnsi="新宋体" w:eastAsia="新宋体" w:cs="新宋体"/>
          <w:color w:val="auto"/>
          <w:sz w:val="22"/>
          <w:szCs w:val="22"/>
          <w:highlight w:val="none"/>
          <w:lang w:eastAsia="zh-CN"/>
        </w:rPr>
        <w:t>；</w:t>
      </w:r>
    </w:p>
    <w:p w14:paraId="205DC1E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u w:val="none"/>
          <w:lang w:val="zh-CN" w:eastAsia="zh-CN"/>
        </w:rPr>
        <w:t>（</w:t>
      </w:r>
      <w:r>
        <w:rPr>
          <w:rFonts w:hint="eastAsia" w:ascii="新宋体" w:hAnsi="新宋体" w:eastAsia="新宋体" w:cs="新宋体"/>
          <w:color w:val="auto"/>
          <w:kern w:val="0"/>
          <w:sz w:val="22"/>
          <w:szCs w:val="22"/>
          <w:highlight w:val="none"/>
          <w:u w:val="none"/>
          <w:lang w:val="en-US" w:eastAsia="zh-CN"/>
        </w:rPr>
        <w:t>3</w:t>
      </w:r>
      <w:r>
        <w:rPr>
          <w:rFonts w:hint="eastAsia" w:ascii="新宋体" w:hAnsi="新宋体" w:eastAsia="新宋体" w:cs="新宋体"/>
          <w:color w:val="auto"/>
          <w:kern w:val="0"/>
          <w:sz w:val="22"/>
          <w:szCs w:val="22"/>
          <w:highlight w:val="none"/>
          <w:u w:val="none"/>
          <w:lang w:val="zh-CN" w:eastAsia="zh-CN"/>
        </w:rPr>
        <w:t>）符合财政扶持价格优惠政策的证明材料：中小企业声明函、监狱企业、残疾人福利性单位及其他相关的充分的证明材料；（</w:t>
      </w:r>
      <w:r>
        <w:rPr>
          <w:rFonts w:hint="eastAsia" w:ascii="新宋体" w:hAnsi="新宋体" w:eastAsia="新宋体" w:cs="新宋体"/>
          <w:color w:val="auto"/>
          <w:kern w:val="0"/>
          <w:sz w:val="22"/>
          <w:szCs w:val="22"/>
          <w:highlight w:val="none"/>
          <w:u w:val="none"/>
          <w:lang w:val="en-US" w:eastAsia="zh-CN"/>
        </w:rPr>
        <w:t>如有</w:t>
      </w:r>
      <w:r>
        <w:rPr>
          <w:rFonts w:hint="eastAsia" w:ascii="新宋体" w:hAnsi="新宋体" w:eastAsia="新宋体" w:cs="新宋体"/>
          <w:color w:val="auto"/>
          <w:kern w:val="0"/>
          <w:sz w:val="22"/>
          <w:szCs w:val="22"/>
          <w:highlight w:val="none"/>
          <w:u w:val="none"/>
          <w:lang w:val="zh-CN" w:eastAsia="zh-CN"/>
        </w:rPr>
        <w:t>）</w:t>
      </w:r>
    </w:p>
    <w:p w14:paraId="2F76FC1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3.3</w:t>
      </w:r>
      <w:r>
        <w:rPr>
          <w:rFonts w:hint="eastAsia" w:ascii="新宋体" w:hAnsi="新宋体" w:eastAsia="新宋体" w:cs="新宋体"/>
          <w:color w:val="auto"/>
          <w:kern w:val="0"/>
          <w:sz w:val="22"/>
          <w:szCs w:val="22"/>
          <w:highlight w:val="none"/>
          <w:lang w:val="zh-CN"/>
        </w:rPr>
        <w:t>投标人的</w:t>
      </w:r>
      <w:r>
        <w:rPr>
          <w:rFonts w:hint="eastAsia" w:ascii="新宋体" w:hAnsi="新宋体" w:eastAsia="新宋体" w:cs="新宋体"/>
          <w:b/>
          <w:bCs/>
          <w:color w:val="auto"/>
          <w:kern w:val="0"/>
          <w:sz w:val="22"/>
          <w:szCs w:val="22"/>
          <w:highlight w:val="none"/>
          <w:lang w:val="zh-CN"/>
        </w:rPr>
        <w:t>商务技术文件</w:t>
      </w:r>
      <w:r>
        <w:rPr>
          <w:rFonts w:hint="eastAsia" w:ascii="新宋体" w:hAnsi="新宋体" w:eastAsia="新宋体" w:cs="新宋体"/>
          <w:color w:val="auto"/>
          <w:kern w:val="0"/>
          <w:sz w:val="22"/>
          <w:szCs w:val="22"/>
          <w:highlight w:val="none"/>
          <w:lang w:val="zh-CN"/>
        </w:rPr>
        <w:t>应包括以下内容：</w:t>
      </w:r>
    </w:p>
    <w:p w14:paraId="3B05323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（1）投标响应函；</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762BAB4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）法定代表人授权委托书（需提供法定代表人及授权委托人的身份证复印件加盖公章）；</w:t>
      </w:r>
    </w:p>
    <w:p w14:paraId="5BC3B462">
      <w:pPr>
        <w:snapToGrid w:val="0"/>
        <w:spacing w:line="460" w:lineRule="exact"/>
        <w:ind w:firstLine="440" w:firstLineChars="200"/>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）廉政承诺书</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09F0D87A">
      <w:pPr>
        <w:tabs>
          <w:tab w:val="left" w:pos="360"/>
        </w:tabs>
        <w:spacing w:line="460" w:lineRule="exact"/>
        <w:ind w:firstLine="442" w:firstLineChars="200"/>
        <w:rPr>
          <w:rFonts w:ascii="新宋体" w:hAnsi="新宋体" w:eastAsia="新宋体" w:cs="新宋体"/>
          <w:color w:val="auto"/>
          <w:kern w:val="0"/>
          <w:sz w:val="22"/>
          <w:szCs w:val="22"/>
          <w:highlight w:val="none"/>
          <w:u w:val="single"/>
          <w:lang w:val="zh-CN"/>
        </w:rPr>
      </w:pPr>
      <w:r>
        <w:rPr>
          <w:rFonts w:hint="eastAsia" w:ascii="新宋体" w:hAnsi="新宋体" w:eastAsia="新宋体" w:cs="新宋体"/>
          <w:b/>
          <w:bCs/>
          <w:color w:val="auto"/>
          <w:sz w:val="22"/>
          <w:szCs w:val="22"/>
          <w:highlight w:val="none"/>
          <w:u w:val="single"/>
        </w:rPr>
        <w:t>（4）</w:t>
      </w:r>
      <w:r>
        <w:rPr>
          <w:rFonts w:hint="eastAsia" w:ascii="新宋体" w:hAnsi="新宋体" w:eastAsia="新宋体" w:cs="新宋体"/>
          <w:b/>
          <w:bCs/>
          <w:color w:val="auto"/>
          <w:kern w:val="0"/>
          <w:sz w:val="22"/>
          <w:szCs w:val="22"/>
          <w:highlight w:val="none"/>
          <w:u w:val="single"/>
          <w:lang w:val="zh-CN"/>
        </w:rPr>
        <w:t>投标人为医疗器械生产企业的：第二类、第三类医疗器械生产企业提供《医疗器械生产许可证》、第一类医疗器械生产企业提供第一类医疗器械生产备案凭证</w:t>
      </w:r>
      <w:r>
        <w:rPr>
          <w:rFonts w:hint="eastAsia" w:ascii="新宋体" w:hAnsi="新宋体" w:eastAsia="新宋体" w:cs="新宋体"/>
          <w:b/>
          <w:bCs/>
          <w:color w:val="auto"/>
          <w:kern w:val="0"/>
          <w:sz w:val="22"/>
          <w:szCs w:val="22"/>
          <w:highlight w:val="none"/>
          <w:u w:val="single"/>
          <w:lang w:val="en-US" w:eastAsia="zh-CN"/>
        </w:rPr>
        <w:t>等</w:t>
      </w:r>
      <w:r>
        <w:rPr>
          <w:rFonts w:hint="eastAsia" w:ascii="新宋体" w:hAnsi="新宋体" w:eastAsia="新宋体" w:cs="新宋体"/>
          <w:b/>
          <w:bCs/>
          <w:color w:val="auto"/>
          <w:kern w:val="0"/>
          <w:sz w:val="22"/>
          <w:szCs w:val="22"/>
          <w:highlight w:val="none"/>
          <w:u w:val="single"/>
          <w:lang w:val="zh-CN"/>
        </w:rPr>
        <w:t>销售许可文件；投标人为医疗器械经营企业的：第三类医疗器械经营企业提供《医疗器械经营许可证》、第二类医疗器械经营企业提供第二类医疗器械经营备案凭证</w:t>
      </w:r>
      <w:r>
        <w:rPr>
          <w:rFonts w:hint="eastAsia" w:ascii="新宋体" w:hAnsi="新宋体" w:eastAsia="新宋体" w:cs="新宋体"/>
          <w:b/>
          <w:bCs/>
          <w:color w:val="auto"/>
          <w:kern w:val="0"/>
          <w:sz w:val="22"/>
          <w:szCs w:val="22"/>
          <w:highlight w:val="none"/>
          <w:u w:val="single"/>
          <w:lang w:val="en-US" w:eastAsia="zh-CN"/>
        </w:rPr>
        <w:t>等</w:t>
      </w:r>
      <w:r>
        <w:rPr>
          <w:rFonts w:hint="eastAsia" w:ascii="新宋体" w:hAnsi="新宋体" w:eastAsia="新宋体" w:cs="新宋体"/>
          <w:b/>
          <w:bCs/>
          <w:color w:val="auto"/>
          <w:kern w:val="0"/>
          <w:sz w:val="22"/>
          <w:szCs w:val="22"/>
          <w:highlight w:val="none"/>
          <w:u w:val="single"/>
          <w:lang w:val="zh-CN"/>
        </w:rPr>
        <w:t>销售许可文件（适用于按医疗器械管理的货物）；</w:t>
      </w:r>
    </w:p>
    <w:p w14:paraId="69C348C6">
      <w:pPr>
        <w:tabs>
          <w:tab w:val="left" w:pos="360"/>
        </w:tabs>
        <w:spacing w:line="460" w:lineRule="exact"/>
        <w:ind w:firstLine="442" w:firstLineChars="200"/>
        <w:rPr>
          <w:rFonts w:ascii="新宋体" w:hAnsi="新宋体" w:eastAsia="新宋体" w:cs="新宋体"/>
          <w:b/>
          <w:bCs/>
          <w:color w:val="auto"/>
          <w:kern w:val="0"/>
          <w:sz w:val="22"/>
          <w:szCs w:val="22"/>
          <w:highlight w:val="none"/>
          <w:u w:val="single"/>
          <w:lang w:val="zh-CN"/>
        </w:rPr>
      </w:pPr>
      <w:r>
        <w:rPr>
          <w:rFonts w:hint="eastAsia" w:ascii="新宋体" w:hAnsi="新宋体" w:eastAsia="新宋体" w:cs="新宋体"/>
          <w:b/>
          <w:bCs/>
          <w:color w:val="auto"/>
          <w:kern w:val="0"/>
          <w:sz w:val="22"/>
          <w:szCs w:val="22"/>
          <w:highlight w:val="none"/>
          <w:u w:val="single"/>
          <w:lang w:val="zh-CN"/>
        </w:rPr>
        <w:t>（</w:t>
      </w:r>
      <w:r>
        <w:rPr>
          <w:rFonts w:hint="eastAsia" w:ascii="新宋体" w:hAnsi="新宋体" w:eastAsia="新宋体" w:cs="新宋体"/>
          <w:b/>
          <w:bCs/>
          <w:color w:val="auto"/>
          <w:kern w:val="0"/>
          <w:sz w:val="22"/>
          <w:szCs w:val="22"/>
          <w:highlight w:val="none"/>
          <w:u w:val="single"/>
        </w:rPr>
        <w:t>5</w:t>
      </w:r>
      <w:r>
        <w:rPr>
          <w:rFonts w:hint="eastAsia" w:ascii="新宋体" w:hAnsi="新宋体" w:eastAsia="新宋体" w:cs="新宋体"/>
          <w:b/>
          <w:bCs/>
          <w:color w:val="auto"/>
          <w:kern w:val="0"/>
          <w:sz w:val="22"/>
          <w:szCs w:val="22"/>
          <w:highlight w:val="none"/>
          <w:u w:val="single"/>
          <w:lang w:val="zh-CN"/>
        </w:rPr>
        <w:t>）货物制造商或其它有销售资格（提供证明材料）的供应商出具的授权书</w:t>
      </w:r>
      <w:r>
        <w:rPr>
          <w:rFonts w:hint="eastAsia" w:ascii="新宋体" w:hAnsi="新宋体" w:eastAsia="新宋体" w:cs="新宋体"/>
          <w:b/>
          <w:bCs/>
          <w:color w:val="auto"/>
          <w:kern w:val="0"/>
          <w:sz w:val="22"/>
          <w:szCs w:val="22"/>
          <w:highlight w:val="none"/>
          <w:u w:val="single"/>
          <w:lang w:val="en-US" w:eastAsia="zh-CN"/>
        </w:rPr>
        <w:t>等</w:t>
      </w:r>
      <w:r>
        <w:rPr>
          <w:rFonts w:hint="eastAsia" w:ascii="新宋体" w:hAnsi="新宋体" w:eastAsia="新宋体" w:cs="新宋体"/>
          <w:b/>
          <w:bCs/>
          <w:color w:val="auto"/>
          <w:kern w:val="0"/>
          <w:sz w:val="22"/>
          <w:szCs w:val="22"/>
          <w:highlight w:val="none"/>
          <w:u w:val="single"/>
          <w:lang w:val="zh-CN"/>
        </w:rPr>
        <w:t>销售许可文件（适用于投标人是进口货物代理商的情形）；</w:t>
      </w:r>
    </w:p>
    <w:p w14:paraId="1E1E7EEA">
      <w:pPr>
        <w:snapToGrid w:val="0"/>
        <w:spacing w:line="460" w:lineRule="exact"/>
        <w:ind w:firstLine="440" w:firstLineChars="200"/>
        <w:rPr>
          <w:rFonts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w:t>
      </w:r>
      <w:r>
        <w:rPr>
          <w:rFonts w:hint="eastAsia" w:ascii="新宋体" w:hAnsi="新宋体" w:eastAsia="新宋体" w:cs="新宋体"/>
          <w:color w:val="auto"/>
          <w:sz w:val="22"/>
          <w:szCs w:val="22"/>
          <w:highlight w:val="none"/>
        </w:rPr>
        <w:t>6</w:t>
      </w:r>
      <w:r>
        <w:rPr>
          <w:rFonts w:hint="eastAsia" w:ascii="新宋体" w:hAnsi="新宋体" w:eastAsia="新宋体" w:cs="新宋体"/>
          <w:color w:val="auto"/>
          <w:sz w:val="22"/>
          <w:szCs w:val="22"/>
          <w:highlight w:val="none"/>
          <w:lang w:val="zh-CN"/>
        </w:rPr>
        <w:t>）详细供货清单说明一览表；</w:t>
      </w:r>
    </w:p>
    <w:p w14:paraId="2B42E415">
      <w:pPr>
        <w:tabs>
          <w:tab w:val="left" w:pos="360"/>
        </w:tabs>
        <w:spacing w:line="460" w:lineRule="exact"/>
        <w:ind w:firstLine="442" w:firstLineChars="200"/>
        <w:rPr>
          <w:rFonts w:ascii="新宋体" w:hAnsi="新宋体" w:eastAsia="新宋体" w:cs="新宋体"/>
          <w:color w:val="auto"/>
          <w:kern w:val="0"/>
          <w:sz w:val="22"/>
          <w:szCs w:val="22"/>
          <w:highlight w:val="none"/>
          <w:lang w:val="zh-CN"/>
        </w:rPr>
      </w:pPr>
      <w:r>
        <w:rPr>
          <w:rFonts w:hint="eastAsia" w:ascii="新宋体" w:hAnsi="新宋体" w:eastAsia="新宋体" w:cs="新宋体"/>
          <w:b/>
          <w:bCs/>
          <w:color w:val="auto"/>
          <w:kern w:val="0"/>
          <w:sz w:val="22"/>
          <w:szCs w:val="22"/>
          <w:highlight w:val="none"/>
          <w:u w:val="single"/>
          <w:lang w:val="zh-CN"/>
        </w:rPr>
        <w:t>（</w:t>
      </w:r>
      <w:r>
        <w:rPr>
          <w:rFonts w:hint="eastAsia" w:ascii="新宋体" w:hAnsi="新宋体" w:eastAsia="新宋体" w:cs="新宋体"/>
          <w:b/>
          <w:bCs/>
          <w:color w:val="auto"/>
          <w:kern w:val="0"/>
          <w:sz w:val="22"/>
          <w:szCs w:val="22"/>
          <w:highlight w:val="none"/>
          <w:u w:val="single"/>
          <w:lang w:val="en-US" w:eastAsia="zh-CN"/>
        </w:rPr>
        <w:t>7</w:t>
      </w:r>
      <w:r>
        <w:rPr>
          <w:rFonts w:hint="eastAsia" w:ascii="新宋体" w:hAnsi="新宋体" w:eastAsia="新宋体" w:cs="新宋体"/>
          <w:b/>
          <w:bCs/>
          <w:color w:val="auto"/>
          <w:kern w:val="0"/>
          <w:sz w:val="22"/>
          <w:szCs w:val="22"/>
          <w:highlight w:val="none"/>
          <w:u w:val="single"/>
          <w:lang w:val="zh-CN"/>
        </w:rPr>
        <w:t>）提供食品药品监督管理部门核发的完整有效的医疗器械注册或备案证明</w:t>
      </w:r>
      <w:r>
        <w:rPr>
          <w:rFonts w:hint="eastAsia" w:ascii="新宋体" w:hAnsi="新宋体" w:eastAsia="新宋体" w:cs="新宋体"/>
          <w:b/>
          <w:bCs/>
          <w:color w:val="auto"/>
          <w:kern w:val="0"/>
          <w:sz w:val="22"/>
          <w:szCs w:val="22"/>
          <w:highlight w:val="none"/>
          <w:u w:val="single"/>
          <w:lang w:val="en-US" w:eastAsia="zh-CN"/>
        </w:rPr>
        <w:t>等</w:t>
      </w:r>
      <w:r>
        <w:rPr>
          <w:rFonts w:hint="eastAsia" w:ascii="新宋体" w:hAnsi="新宋体" w:eastAsia="新宋体" w:cs="新宋体"/>
          <w:b/>
          <w:bCs/>
          <w:color w:val="auto"/>
          <w:kern w:val="0"/>
          <w:sz w:val="22"/>
          <w:szCs w:val="22"/>
          <w:highlight w:val="none"/>
          <w:u w:val="single"/>
          <w:lang w:val="zh-CN"/>
        </w:rPr>
        <w:t>销售许可文件（适用于按医疗器械管理的设备）；</w:t>
      </w:r>
    </w:p>
    <w:p w14:paraId="4425BFA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8</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rPr>
        <w:t>偏离表（</w:t>
      </w:r>
      <w:r>
        <w:rPr>
          <w:rFonts w:hint="eastAsia" w:ascii="新宋体" w:hAnsi="新宋体" w:eastAsia="新宋体" w:cs="新宋体"/>
          <w:color w:val="auto"/>
          <w:sz w:val="22"/>
          <w:szCs w:val="22"/>
          <w:highlight w:val="none"/>
        </w:rPr>
        <w:t>商务、技术偏离</w:t>
      </w:r>
      <w:r>
        <w:rPr>
          <w:rFonts w:hint="eastAsia" w:ascii="新宋体" w:hAnsi="新宋体" w:eastAsia="新宋体" w:cs="新宋体"/>
          <w:color w:val="auto"/>
          <w:sz w:val="22"/>
          <w:szCs w:val="22"/>
          <w:highlight w:val="none"/>
          <w:lang w:val="zh-CN"/>
        </w:rPr>
        <w:t>）；</w:t>
      </w:r>
    </w:p>
    <w:p w14:paraId="1E4BD8D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9</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rPr>
        <w:t>备品、易损件、备件、专用工具清单；</w:t>
      </w:r>
    </w:p>
    <w:p w14:paraId="128A6A0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10</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其他必要提供的资料。</w:t>
      </w:r>
    </w:p>
    <w:p w14:paraId="55321A0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lang w:val="zh-CN"/>
        </w:rPr>
      </w:pPr>
      <w:r>
        <w:rPr>
          <w:rFonts w:hint="eastAsia" w:ascii="新宋体" w:hAnsi="新宋体" w:eastAsia="新宋体" w:cs="新宋体"/>
          <w:b/>
          <w:color w:val="auto"/>
          <w:sz w:val="22"/>
          <w:szCs w:val="22"/>
          <w:highlight w:val="none"/>
          <w:lang w:val="zh-CN"/>
        </w:rPr>
        <w:t>投标文件中所需的各种证书、证件、证明资料如是复印件，须在复印件上加盖有效公章。</w:t>
      </w:r>
    </w:p>
    <w:p w14:paraId="6ADA6D4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lang w:val="zh-CN"/>
        </w:rPr>
        <w:t>投标人的</w:t>
      </w:r>
      <w:r>
        <w:rPr>
          <w:rFonts w:hint="eastAsia" w:ascii="新宋体" w:hAnsi="新宋体" w:eastAsia="新宋体" w:cs="新宋体"/>
          <w:b w:val="0"/>
          <w:bCs/>
          <w:color w:val="auto"/>
          <w:sz w:val="22"/>
          <w:szCs w:val="22"/>
          <w:highlight w:val="none"/>
        </w:rPr>
        <w:t>投标文件必须按照</w:t>
      </w:r>
      <w:r>
        <w:rPr>
          <w:rFonts w:hint="eastAsia" w:ascii="新宋体" w:hAnsi="新宋体" w:eastAsia="新宋体" w:cs="新宋体"/>
          <w:b w:val="0"/>
          <w:bCs/>
          <w:color w:val="auto"/>
          <w:sz w:val="22"/>
          <w:szCs w:val="22"/>
          <w:highlight w:val="none"/>
          <w:lang w:eastAsia="zh-CN"/>
        </w:rPr>
        <w:t>采购文件</w:t>
      </w:r>
      <w:r>
        <w:rPr>
          <w:rFonts w:hint="eastAsia" w:ascii="新宋体" w:hAnsi="新宋体" w:eastAsia="新宋体" w:cs="新宋体"/>
          <w:b w:val="0"/>
          <w:bCs/>
          <w:color w:val="auto"/>
          <w:sz w:val="22"/>
          <w:szCs w:val="22"/>
          <w:highlight w:val="none"/>
        </w:rPr>
        <w:t>要求制作。</w:t>
      </w:r>
    </w:p>
    <w:p w14:paraId="2C24E0D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投标人可在</w:t>
      </w:r>
      <w:r>
        <w:rPr>
          <w:rFonts w:hint="eastAsia" w:ascii="新宋体" w:hAnsi="新宋体" w:eastAsia="新宋体" w:cs="新宋体"/>
          <w:b w:val="0"/>
          <w:bCs/>
          <w:color w:val="auto"/>
          <w:sz w:val="22"/>
          <w:szCs w:val="22"/>
          <w:highlight w:val="none"/>
          <w:lang w:eastAsia="zh-CN"/>
        </w:rPr>
        <w:t>采购文件</w:t>
      </w:r>
      <w:r>
        <w:rPr>
          <w:rFonts w:hint="eastAsia" w:ascii="新宋体" w:hAnsi="新宋体" w:eastAsia="新宋体" w:cs="新宋体"/>
          <w:b w:val="0"/>
          <w:bCs/>
          <w:color w:val="auto"/>
          <w:sz w:val="22"/>
          <w:szCs w:val="22"/>
          <w:highlight w:val="none"/>
        </w:rPr>
        <w:t>中对</w:t>
      </w:r>
      <w:r>
        <w:rPr>
          <w:rFonts w:hint="eastAsia" w:ascii="新宋体" w:hAnsi="新宋体" w:eastAsia="新宋体" w:cs="新宋体"/>
          <w:b w:val="0"/>
          <w:bCs/>
          <w:color w:val="auto"/>
          <w:sz w:val="22"/>
          <w:szCs w:val="22"/>
          <w:highlight w:val="none"/>
          <w:lang w:eastAsia="zh-CN"/>
        </w:rPr>
        <w:t>采购</w:t>
      </w:r>
      <w:r>
        <w:rPr>
          <w:rFonts w:hint="eastAsia" w:ascii="新宋体" w:hAnsi="新宋体" w:eastAsia="新宋体" w:cs="新宋体"/>
          <w:b w:val="0"/>
          <w:bCs/>
          <w:color w:val="auto"/>
          <w:sz w:val="22"/>
          <w:szCs w:val="22"/>
          <w:highlight w:val="none"/>
        </w:rPr>
        <w:t>货物的技术规格和要求选用替代标准，但这些替代标准必须相当于或优于</w:t>
      </w:r>
      <w:r>
        <w:rPr>
          <w:rFonts w:hint="eastAsia" w:ascii="新宋体" w:hAnsi="新宋体" w:eastAsia="新宋体" w:cs="新宋体"/>
          <w:b w:val="0"/>
          <w:bCs/>
          <w:color w:val="auto"/>
          <w:sz w:val="22"/>
          <w:szCs w:val="22"/>
          <w:highlight w:val="none"/>
          <w:lang w:eastAsia="zh-CN"/>
        </w:rPr>
        <w:t>采购文件</w:t>
      </w:r>
      <w:r>
        <w:rPr>
          <w:rFonts w:hint="eastAsia" w:ascii="新宋体" w:hAnsi="新宋体" w:eastAsia="新宋体" w:cs="新宋体"/>
          <w:b w:val="0"/>
          <w:bCs/>
          <w:color w:val="auto"/>
          <w:sz w:val="22"/>
          <w:szCs w:val="22"/>
          <w:highlight w:val="none"/>
        </w:rPr>
        <w:t>中提出的相应要求，并使</w:t>
      </w:r>
      <w:r>
        <w:rPr>
          <w:rFonts w:hint="eastAsia" w:ascii="新宋体" w:hAnsi="新宋体" w:eastAsia="新宋体" w:cs="新宋体"/>
          <w:b w:val="0"/>
          <w:bCs/>
          <w:color w:val="auto"/>
          <w:sz w:val="22"/>
          <w:szCs w:val="22"/>
          <w:highlight w:val="none"/>
          <w:lang w:eastAsia="zh-CN"/>
        </w:rPr>
        <w:t>采购人</w:t>
      </w:r>
      <w:r>
        <w:rPr>
          <w:rFonts w:hint="eastAsia" w:ascii="新宋体" w:hAnsi="新宋体" w:eastAsia="新宋体" w:cs="新宋体"/>
          <w:b w:val="0"/>
          <w:bCs/>
          <w:color w:val="auto"/>
          <w:sz w:val="22"/>
          <w:szCs w:val="22"/>
          <w:highlight w:val="none"/>
        </w:rPr>
        <w:t>满意，同时在技术偏离表中作出详细说明。</w:t>
      </w:r>
    </w:p>
    <w:p w14:paraId="3FB0B23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4、投标报价</w:t>
      </w:r>
    </w:p>
    <w:p w14:paraId="1CDA2B9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highlight w:val="none"/>
        </w:rPr>
        <w:t>4.1投标</w:t>
      </w:r>
      <w:r>
        <w:rPr>
          <w:rFonts w:hint="eastAsia" w:ascii="新宋体" w:hAnsi="新宋体" w:eastAsia="新宋体" w:cs="新宋体"/>
          <w:b/>
          <w:bCs/>
          <w:color w:val="auto"/>
          <w:sz w:val="22"/>
          <w:szCs w:val="22"/>
          <w:highlight w:val="none"/>
        </w:rPr>
        <w:t>报价是指设备供货、税金、包装、运输、保险、装卸、检验、安装、调试、验收（含第三方验收）、技术服务、售后服务、质保期保障、材料等直至达到使用要求及质量标准、政策性文件规定及合同包含的所有风险、责任等各项应有费用</w:t>
      </w:r>
      <w:r>
        <w:rPr>
          <w:rFonts w:hint="eastAsia" w:ascii="新宋体" w:hAnsi="新宋体" w:eastAsia="新宋体" w:cs="新宋体"/>
          <w:b/>
          <w:color w:val="auto"/>
          <w:sz w:val="22"/>
          <w:highlight w:val="none"/>
        </w:rPr>
        <w:t>（包括</w:t>
      </w:r>
      <w:r>
        <w:rPr>
          <w:rFonts w:hint="eastAsia" w:ascii="新宋体" w:hAnsi="新宋体" w:eastAsia="新宋体" w:cs="新宋体"/>
          <w:b/>
          <w:color w:val="auto"/>
          <w:sz w:val="22"/>
          <w:highlight w:val="none"/>
          <w:lang w:eastAsia="zh-CN"/>
        </w:rPr>
        <w:t>采购</w:t>
      </w:r>
      <w:r>
        <w:rPr>
          <w:rFonts w:hint="eastAsia" w:ascii="新宋体" w:hAnsi="新宋体" w:eastAsia="新宋体" w:cs="新宋体"/>
          <w:b/>
          <w:color w:val="auto"/>
          <w:sz w:val="22"/>
          <w:highlight w:val="none"/>
        </w:rPr>
        <w:t>代理服务费）</w:t>
      </w:r>
      <w:r>
        <w:rPr>
          <w:rFonts w:hint="eastAsia" w:ascii="新宋体" w:hAnsi="新宋体" w:eastAsia="新宋体" w:cs="新宋体"/>
          <w:b/>
          <w:bCs/>
          <w:color w:val="auto"/>
          <w:sz w:val="22"/>
          <w:szCs w:val="22"/>
          <w:highlight w:val="none"/>
        </w:rPr>
        <w:t>，实行固定费用总包干，</w:t>
      </w:r>
      <w:r>
        <w:rPr>
          <w:rFonts w:hint="eastAsia" w:ascii="新宋体" w:hAnsi="新宋体" w:eastAsia="新宋体" w:cs="新宋体"/>
          <w:b/>
          <w:color w:val="auto"/>
          <w:sz w:val="22"/>
          <w:highlight w:val="none"/>
        </w:rPr>
        <w:t>实行固定费用总包干，投标</w:t>
      </w:r>
      <w:r>
        <w:rPr>
          <w:rFonts w:hint="eastAsia" w:ascii="新宋体" w:hAnsi="新宋体" w:eastAsia="新宋体" w:cs="新宋体"/>
          <w:b/>
          <w:color w:val="auto"/>
          <w:sz w:val="22"/>
          <w:highlight w:val="none"/>
          <w:lang w:eastAsia="zh-CN"/>
        </w:rPr>
        <w:t>人</w:t>
      </w:r>
      <w:r>
        <w:rPr>
          <w:rFonts w:hint="eastAsia" w:ascii="新宋体" w:hAnsi="新宋体" w:eastAsia="新宋体" w:cs="新宋体"/>
          <w:b/>
          <w:color w:val="auto"/>
          <w:sz w:val="22"/>
          <w:highlight w:val="none"/>
        </w:rPr>
        <w:t>应根据上述因素自行考虑含入总报价。</w:t>
      </w:r>
    </w:p>
    <w:p w14:paraId="30004BF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4.2投标人必须按附件中的投标报价一览表、投标分项报价表内容填写价格，并由投标人代表签署。</w:t>
      </w:r>
    </w:p>
    <w:p w14:paraId="2E72956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4.3</w:t>
      </w:r>
      <w:r>
        <w:rPr>
          <w:rFonts w:hint="eastAsia" w:ascii="新宋体" w:hAnsi="新宋体" w:eastAsia="新宋体" w:cs="新宋体"/>
          <w:b/>
          <w:color w:val="auto"/>
          <w:sz w:val="22"/>
          <w:highlight w:val="none"/>
        </w:rPr>
        <w:t>投标货币以人民币进行投标</w:t>
      </w:r>
      <w:r>
        <w:rPr>
          <w:rFonts w:hint="eastAsia" w:ascii="新宋体" w:hAnsi="新宋体" w:eastAsia="新宋体" w:cs="新宋体"/>
          <w:b/>
          <w:color w:val="auto"/>
          <w:sz w:val="22"/>
          <w:szCs w:val="22"/>
          <w:highlight w:val="none"/>
        </w:rPr>
        <w:t>。</w:t>
      </w:r>
    </w:p>
    <w:p w14:paraId="479FA77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4.4</w:t>
      </w:r>
      <w:r>
        <w:rPr>
          <w:rFonts w:hint="eastAsia" w:ascii="新宋体" w:hAnsi="新宋体" w:eastAsia="新宋体" w:cs="新宋体"/>
          <w:b/>
          <w:color w:val="auto"/>
          <w:sz w:val="22"/>
          <w:highlight w:val="none"/>
          <w:lang w:eastAsia="zh-CN"/>
        </w:rPr>
        <w:t>采购人</w:t>
      </w:r>
      <w:r>
        <w:rPr>
          <w:rFonts w:hint="eastAsia" w:ascii="新宋体" w:hAnsi="新宋体" w:eastAsia="新宋体" w:cs="新宋体"/>
          <w:b/>
          <w:color w:val="auto"/>
          <w:sz w:val="22"/>
          <w:highlight w:val="none"/>
        </w:rPr>
        <w:t>和</w:t>
      </w:r>
      <w:r>
        <w:rPr>
          <w:rFonts w:hint="eastAsia" w:ascii="新宋体" w:hAnsi="新宋体" w:eastAsia="新宋体" w:cs="新宋体"/>
          <w:b/>
          <w:color w:val="auto"/>
          <w:sz w:val="22"/>
          <w:highlight w:val="none"/>
          <w:lang w:eastAsia="zh-CN"/>
        </w:rPr>
        <w:t>采购代理机构</w:t>
      </w:r>
      <w:r>
        <w:rPr>
          <w:rFonts w:hint="eastAsia" w:ascii="新宋体" w:hAnsi="新宋体" w:eastAsia="新宋体" w:cs="新宋体"/>
          <w:b/>
          <w:color w:val="auto"/>
          <w:sz w:val="22"/>
          <w:highlight w:val="none"/>
        </w:rPr>
        <w:t>不接受任何选择投标，对任何</w:t>
      </w:r>
      <w:r>
        <w:rPr>
          <w:rFonts w:hint="eastAsia" w:ascii="新宋体" w:hAnsi="新宋体" w:eastAsia="新宋体" w:cs="新宋体"/>
          <w:b/>
          <w:color w:val="auto"/>
          <w:sz w:val="22"/>
          <w:highlight w:val="none"/>
          <w:lang w:val="en-US" w:eastAsia="zh-CN"/>
        </w:rPr>
        <w:t>货物或</w:t>
      </w:r>
      <w:r>
        <w:rPr>
          <w:rFonts w:hint="eastAsia" w:ascii="新宋体" w:hAnsi="新宋体" w:eastAsia="新宋体" w:cs="新宋体"/>
          <w:b/>
          <w:color w:val="auto"/>
          <w:sz w:val="22"/>
          <w:highlight w:val="none"/>
        </w:rPr>
        <w:t>服务只允许一个价格。</w:t>
      </w:r>
    </w:p>
    <w:p w14:paraId="6C8EC24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4.5</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和</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szCs w:val="22"/>
          <w:highlight w:val="none"/>
        </w:rPr>
        <w:t>要求分类报价是为了方便评标，但在任何情况下不限制</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以其认为最合适的条款、条件签订合同的权利。</w:t>
      </w:r>
    </w:p>
    <w:p w14:paraId="4CD62C3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4.6投标报价报出后，投标人不得以任何理由予以变更。任何包含价格调整的要求，将被认为是非实质性响应投标而予以否决。</w:t>
      </w:r>
    </w:p>
    <w:p w14:paraId="61858D7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4.7最低报价不能作为中标的保证。</w:t>
      </w:r>
    </w:p>
    <w:p w14:paraId="4617E82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5、投标有效期</w:t>
      </w:r>
    </w:p>
    <w:p w14:paraId="229B2DD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5.1自开标之日起</w:t>
      </w:r>
      <w:r>
        <w:rPr>
          <w:rFonts w:hint="eastAsia" w:ascii="新宋体" w:hAnsi="新宋体" w:eastAsia="新宋体" w:cs="新宋体"/>
          <w:b/>
          <w:bCs/>
          <w:color w:val="auto"/>
          <w:sz w:val="22"/>
          <w:szCs w:val="22"/>
          <w:highlight w:val="none"/>
          <w:lang w:eastAsia="zh-CN"/>
        </w:rPr>
        <w:t>90天</w:t>
      </w:r>
      <w:r>
        <w:rPr>
          <w:rFonts w:hint="eastAsia" w:ascii="新宋体" w:hAnsi="新宋体" w:eastAsia="新宋体" w:cs="新宋体"/>
          <w:b/>
          <w:color w:val="auto"/>
          <w:sz w:val="22"/>
          <w:szCs w:val="22"/>
          <w:highlight w:val="none"/>
        </w:rPr>
        <w:t>内投标应保持有效。</w:t>
      </w:r>
    </w:p>
    <w:p w14:paraId="6D58703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5.2特殊情况下，在原投标有效期截止前，</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可与投标人协商延长投标有效期，这种要求和答复均以书面形式进行。投标人可拒绝接受延期要求。同意延长投标有效期的投标人不得修改投标文件。</w:t>
      </w:r>
    </w:p>
    <w:p w14:paraId="0595871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6、投标保证金</w:t>
      </w:r>
    </w:p>
    <w:p w14:paraId="3D9AF54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无。</w:t>
      </w:r>
    </w:p>
    <w:p w14:paraId="68039FF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7、投标文件编制</w:t>
      </w:r>
    </w:p>
    <w:p w14:paraId="4DC12A6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7.1本项目通过“政府采购云平台（http</w:t>
      </w:r>
      <w:r>
        <w:rPr>
          <w:rFonts w:hint="eastAsia" w:ascii="新宋体" w:hAnsi="新宋体" w:eastAsia="新宋体" w:cs="新宋体"/>
          <w:b/>
          <w:bCs/>
          <w:color w:val="auto"/>
          <w:sz w:val="22"/>
          <w:szCs w:val="22"/>
          <w:highlight w:val="none"/>
          <w:u w:val="single"/>
          <w:lang w:eastAsia="zh-CN"/>
        </w:rPr>
        <w:t>：</w:t>
      </w:r>
      <w:r>
        <w:rPr>
          <w:rFonts w:hint="eastAsia" w:ascii="新宋体" w:hAnsi="新宋体" w:eastAsia="新宋体" w:cs="新宋体"/>
          <w:b/>
          <w:bCs/>
          <w:color w:val="auto"/>
          <w:sz w:val="22"/>
          <w:szCs w:val="22"/>
          <w:highlight w:val="none"/>
          <w:u w:val="single"/>
        </w:rPr>
        <w:t>//zfcg.czt.zj.gov.cn）”实行在线投标响应（电子投标）。供应商应通过“政采云电子交易客户端”，并按照本</w:t>
      </w:r>
      <w:r>
        <w:rPr>
          <w:rFonts w:hint="eastAsia" w:ascii="新宋体" w:hAnsi="新宋体" w:eastAsia="新宋体" w:cs="新宋体"/>
          <w:b/>
          <w:bCs/>
          <w:color w:val="auto"/>
          <w:sz w:val="22"/>
          <w:szCs w:val="22"/>
          <w:highlight w:val="none"/>
          <w:u w:val="single"/>
          <w:lang w:eastAsia="zh-CN"/>
        </w:rPr>
        <w:t>采购文件</w:t>
      </w:r>
      <w:r>
        <w:rPr>
          <w:rFonts w:hint="eastAsia" w:ascii="新宋体" w:hAnsi="新宋体" w:eastAsia="新宋体" w:cs="新宋体"/>
          <w:b/>
          <w:bCs/>
          <w:color w:val="auto"/>
          <w:sz w:val="22"/>
          <w:szCs w:val="22"/>
          <w:highlight w:val="none"/>
          <w:u w:val="single"/>
        </w:rPr>
        <w:t>和“政府采购云平台”的要求编制并加密投标文件。</w:t>
      </w:r>
    </w:p>
    <w:p w14:paraId="4E6E5C6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7.2投标人应当按照本章节 “投标文件的构成”规定的内容及顺序在“政采云电子交易客户端”编制投标文件。其中《资格文件》和《商务技术文件》中不得出现本项目投标报价。</w:t>
      </w:r>
    </w:p>
    <w:p w14:paraId="5B0CF0A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7.3本文件《附件》中有提供格式的，投标人须参照格式进行编制（格式中要求提供相关证明材料的还需后附相关证明材料），并按格式要求在指定位置根据要求进行签章，否则视为未提供；本文件《附件》未提供格式的，请各投标人自行拟定格式，并加盖单位公章并由法定代表人或其授权代表签署（签字或盖章），否则视为未提供。</w:t>
      </w:r>
    </w:p>
    <w:p w14:paraId="499BACE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7.4《投标文件》内容不完整、编排混乱导致《投标文件》被误读、漏读或者查找不到相关内容的，投标人自行负责。</w:t>
      </w:r>
    </w:p>
    <w:p w14:paraId="566585B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7.5《投标文件》因字迹潦草或表达不清所引起的后果由投标人负责。</w:t>
      </w:r>
    </w:p>
    <w:p w14:paraId="201E585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7.6投标人没有按照本章节 “投标文件的构成”要求提供全部资料，或者没有仔细阅读</w:t>
      </w:r>
      <w:r>
        <w:rPr>
          <w:rFonts w:hint="eastAsia" w:ascii="新宋体" w:hAnsi="新宋体" w:eastAsia="新宋体" w:cs="新宋体"/>
          <w:b/>
          <w:bCs/>
          <w:color w:val="auto"/>
          <w:sz w:val="22"/>
          <w:szCs w:val="22"/>
          <w:highlight w:val="none"/>
          <w:u w:val="single"/>
          <w:lang w:eastAsia="zh-CN"/>
        </w:rPr>
        <w:t>采购文件</w:t>
      </w:r>
      <w:r>
        <w:rPr>
          <w:rFonts w:hint="eastAsia" w:ascii="新宋体" w:hAnsi="新宋体" w:eastAsia="新宋体" w:cs="新宋体"/>
          <w:b/>
          <w:bCs/>
          <w:color w:val="auto"/>
          <w:sz w:val="22"/>
          <w:szCs w:val="22"/>
          <w:highlight w:val="none"/>
          <w:u w:val="single"/>
        </w:rPr>
        <w:t>，或者没有对</w:t>
      </w:r>
      <w:r>
        <w:rPr>
          <w:rFonts w:hint="eastAsia" w:ascii="新宋体" w:hAnsi="新宋体" w:eastAsia="新宋体" w:cs="新宋体"/>
          <w:b/>
          <w:bCs/>
          <w:color w:val="auto"/>
          <w:sz w:val="22"/>
          <w:szCs w:val="22"/>
          <w:highlight w:val="none"/>
          <w:u w:val="single"/>
          <w:lang w:eastAsia="zh-CN"/>
        </w:rPr>
        <w:t>采购文件</w:t>
      </w:r>
      <w:r>
        <w:rPr>
          <w:rFonts w:hint="eastAsia" w:ascii="新宋体" w:hAnsi="新宋体" w:eastAsia="新宋体" w:cs="新宋体"/>
          <w:b/>
          <w:bCs/>
          <w:color w:val="auto"/>
          <w:sz w:val="22"/>
          <w:szCs w:val="22"/>
          <w:highlight w:val="none"/>
          <w:u w:val="single"/>
        </w:rPr>
        <w:t>在各方面的要求作出实质性响应是投标人的风险，由此造成的一切后果由投标人自行承担。</w:t>
      </w:r>
    </w:p>
    <w:p w14:paraId="74DF87F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8、投标文件的签章</w:t>
      </w:r>
    </w:p>
    <w:p w14:paraId="3DC4EFA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8.1《投标文件》的签章：见《前附表》；</w:t>
      </w:r>
    </w:p>
    <w:p w14:paraId="39FE9F1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8.2《投标文件》应由投标人法定代表人或其授权代表签字（或盖章），并时加盖投标人公章。</w:t>
      </w:r>
    </w:p>
    <w:p w14:paraId="3DAE57C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8.3电子签章操作指南详见采购公告附件《供应商项目采购-电子招投标操作指南》。</w:t>
      </w:r>
    </w:p>
    <w:p w14:paraId="56E6E3D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9、投标文件的形式</w:t>
      </w:r>
    </w:p>
    <w:p w14:paraId="2ED6701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9.1投标文件的形式：见《前附表》；</w:t>
      </w:r>
    </w:p>
    <w:p w14:paraId="22CED17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9.2“电子加密投标文件”：“电子加密投标文件”是指通过“政采云电子交易客户端”完成投标文件编制后生成并加密的数据电文形式的投标文件。</w:t>
      </w:r>
    </w:p>
    <w:p w14:paraId="52D3F5B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9.3“备份投标文件”：“备份投标文件”是指与“电子加密投标文件”同时生成的数据电文形式的电子文件（备份标书），其他方式编制的“备份投标文件”视为无效的“备份投标文件”。</w:t>
      </w:r>
    </w:p>
    <w:p w14:paraId="7D71758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10、投标文件的份数</w:t>
      </w:r>
    </w:p>
    <w:p w14:paraId="3454904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10.1投标文件的份数：见《前附表》。</w:t>
      </w:r>
    </w:p>
    <w:p w14:paraId="5B5692C3">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16" w:name="_Toc5061"/>
      <w:bookmarkStart w:id="17" w:name="_Toc15422"/>
      <w:r>
        <w:rPr>
          <w:rFonts w:hint="eastAsia" w:ascii="新宋体" w:hAnsi="新宋体" w:eastAsia="新宋体" w:cs="新宋体"/>
          <w:b/>
          <w:bCs/>
          <w:color w:val="auto"/>
          <w:sz w:val="26"/>
          <w:szCs w:val="26"/>
          <w:highlight w:val="none"/>
        </w:rPr>
        <w:t>四、 投标文件的递交</w:t>
      </w:r>
      <w:bookmarkEnd w:id="16"/>
      <w:bookmarkEnd w:id="17"/>
    </w:p>
    <w:p w14:paraId="426D7BF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1、投标文件的上传和递交</w:t>
      </w:r>
    </w:p>
    <w:p w14:paraId="21B7F45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1.1“投标文件”的上传、递交：见《前附表》。</w:t>
      </w:r>
    </w:p>
    <w:p w14:paraId="3F58195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2、“电子加密投标文件”解密和异常情况处理</w:t>
      </w:r>
    </w:p>
    <w:p w14:paraId="706A19A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2.1“电子加密投标文件”解密：见《前附表》。</w:t>
      </w:r>
    </w:p>
    <w:p w14:paraId="0B959EB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3、投标文件的补充、修改或撤回</w:t>
      </w:r>
    </w:p>
    <w:p w14:paraId="45A8B44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1824C05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3.2投标截止时间后，投标人不得撤回、修改《投标文件》。</w:t>
      </w:r>
    </w:p>
    <w:p w14:paraId="3C7FF21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4、投标文件的备选方案</w:t>
      </w:r>
    </w:p>
    <w:p w14:paraId="6545CB8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4.1投标人不得递交任何的投标备选（替代）方案，否则其投标文件将作无效标处理。与“电子加密投标文件”同时生成的“备份投标文件”不是投标备选（替代）方案。</w:t>
      </w:r>
    </w:p>
    <w:p w14:paraId="386855DD">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18" w:name="_Toc18572"/>
      <w:bookmarkStart w:id="19" w:name="_Toc30172"/>
      <w:r>
        <w:rPr>
          <w:rFonts w:hint="eastAsia" w:ascii="新宋体" w:hAnsi="新宋体" w:eastAsia="新宋体" w:cs="新宋体"/>
          <w:b/>
          <w:bCs/>
          <w:color w:val="auto"/>
          <w:sz w:val="26"/>
          <w:szCs w:val="26"/>
          <w:highlight w:val="none"/>
        </w:rPr>
        <w:t>五、 开标和评标</w:t>
      </w:r>
      <w:bookmarkEnd w:id="18"/>
      <w:bookmarkEnd w:id="19"/>
    </w:p>
    <w:p w14:paraId="5B896F0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1、评标委员会</w:t>
      </w:r>
    </w:p>
    <w:p w14:paraId="429EF18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和</w:t>
      </w:r>
      <w:r>
        <w:rPr>
          <w:rFonts w:hint="eastAsia" w:ascii="新宋体" w:hAnsi="新宋体" w:eastAsia="新宋体" w:cs="新宋体"/>
          <w:bCs/>
          <w:color w:val="auto"/>
          <w:sz w:val="22"/>
          <w:szCs w:val="22"/>
          <w:highlight w:val="none"/>
          <w:lang w:eastAsia="zh-CN"/>
        </w:rPr>
        <w:t>采购代理机构</w:t>
      </w:r>
      <w:r>
        <w:rPr>
          <w:rFonts w:hint="eastAsia" w:ascii="新宋体" w:hAnsi="新宋体" w:eastAsia="新宋体" w:cs="新宋体"/>
          <w:bCs/>
          <w:color w:val="auto"/>
          <w:sz w:val="22"/>
          <w:szCs w:val="22"/>
          <w:highlight w:val="none"/>
        </w:rPr>
        <w:t>组建评标委员会。评标委员会的成员在评标过程中必须严格遵守《政府采购法》等有关法律、法规的规定。</w:t>
      </w:r>
    </w:p>
    <w:p w14:paraId="4B24BDC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2、评标过程的保密性</w:t>
      </w:r>
    </w:p>
    <w:p w14:paraId="0F282D8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Cs/>
          <w:color w:val="auto"/>
          <w:sz w:val="22"/>
          <w:szCs w:val="22"/>
          <w:highlight w:val="none"/>
        </w:rPr>
        <w:t>开标后直至向中标人授予合同时止，凡与评审有关的资料均不得向投标人及与评标无关人员透露。如果投标人在评标过程中试图向</w:t>
      </w: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和</w:t>
      </w:r>
      <w:r>
        <w:rPr>
          <w:rFonts w:hint="eastAsia" w:ascii="新宋体" w:hAnsi="新宋体" w:eastAsia="新宋体" w:cs="新宋体"/>
          <w:bCs/>
          <w:color w:val="auto"/>
          <w:sz w:val="22"/>
          <w:szCs w:val="22"/>
          <w:highlight w:val="none"/>
          <w:lang w:eastAsia="zh-CN"/>
        </w:rPr>
        <w:t>采购代理机构</w:t>
      </w:r>
      <w:r>
        <w:rPr>
          <w:rFonts w:hint="eastAsia" w:ascii="新宋体" w:hAnsi="新宋体" w:eastAsia="新宋体" w:cs="新宋体"/>
          <w:bCs/>
          <w:color w:val="auto"/>
          <w:sz w:val="22"/>
          <w:szCs w:val="22"/>
          <w:highlight w:val="none"/>
        </w:rPr>
        <w:t>施加影响，其投标将被拒绝。</w:t>
      </w:r>
    </w:p>
    <w:p w14:paraId="2713F60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3、开标形式</w:t>
      </w:r>
    </w:p>
    <w:p w14:paraId="7001054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采购组织机构将按照</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规定的时间通过“政府采购云平台”组织开标、开启投标文件，所有供应商均应当准时</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rPr>
        <w:t>在线</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rPr>
        <w:t>参加。</w:t>
      </w:r>
    </w:p>
    <w:p w14:paraId="2686FCD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4、开标准备</w:t>
      </w:r>
    </w:p>
    <w:p w14:paraId="01236F7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4.1开标的准备工作由采购组织机构负责落实；</w:t>
      </w:r>
    </w:p>
    <w:p w14:paraId="2A0E71C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4.2</w:t>
      </w:r>
      <w:r>
        <w:rPr>
          <w:rFonts w:hint="eastAsia" w:ascii="新宋体" w:hAnsi="新宋体" w:eastAsia="新宋体" w:cs="新宋体"/>
          <w:b/>
          <w:color w:val="auto"/>
          <w:sz w:val="22"/>
          <w:szCs w:val="22"/>
          <w:highlight w:val="none"/>
        </w:rPr>
        <w:t>采购组织机构将按照</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规定的时间通过“政府采购云平台”组织开标、开启投标文件，所有供应商均应当准时</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rPr>
        <w:t>在线</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rPr>
        <w:t>参加。</w:t>
      </w:r>
      <w:r>
        <w:rPr>
          <w:rFonts w:hint="eastAsia" w:ascii="新宋体" w:hAnsi="新宋体" w:eastAsia="新宋体" w:cs="新宋体"/>
          <w:b/>
          <w:color w:val="auto"/>
          <w:kern w:val="0"/>
          <w:sz w:val="22"/>
          <w:szCs w:val="22"/>
          <w:highlight w:val="none"/>
        </w:rPr>
        <w:t>投标人如不参加开标大会的，视同认可开标结果，事后不得对采购相关人员、开标过程和开标结果提出异议，同时投标人因未在线参加开标而导致投标文件无法按时解密等一切后果由供应商自己承担。</w:t>
      </w:r>
    </w:p>
    <w:p w14:paraId="2BB5C5A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5、开标流程</w:t>
      </w:r>
    </w:p>
    <w:p w14:paraId="38EC43F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5.1开标、评标</w:t>
      </w:r>
    </w:p>
    <w:p w14:paraId="284F923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（1）向各投标人发出电子加密投标文件【开始解密】通知，由供应商按</w:t>
      </w:r>
      <w:r>
        <w:rPr>
          <w:rFonts w:hint="eastAsia" w:ascii="新宋体" w:hAnsi="新宋体" w:eastAsia="新宋体" w:cs="新宋体"/>
          <w:color w:val="auto"/>
          <w:kern w:val="0"/>
          <w:sz w:val="22"/>
          <w:szCs w:val="22"/>
          <w:highlight w:val="none"/>
          <w:lang w:eastAsia="zh-CN"/>
        </w:rPr>
        <w:t>采购文件</w:t>
      </w:r>
      <w:r>
        <w:rPr>
          <w:rFonts w:hint="eastAsia" w:ascii="新宋体" w:hAnsi="新宋体" w:eastAsia="新宋体" w:cs="新宋体"/>
          <w:color w:val="auto"/>
          <w:kern w:val="0"/>
          <w:sz w:val="22"/>
          <w:szCs w:val="22"/>
          <w:highlight w:val="none"/>
        </w:rPr>
        <w:t>规定的时间内自行进行投标文件解密。投标人在规定的时间内无法完成已递交的“电子加密投标文件”解密的，如已按规 定递交了备份投标文件的，将由采购组织机构按“政府采购云平台”操作规范将备份投标文件上传至“政府采购云平台”，上传成功后，“电子加密投标文件”自动失效；</w:t>
      </w:r>
    </w:p>
    <w:p w14:paraId="4EFBFAD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投标人不足3家的，不得开标。</w:t>
      </w:r>
    </w:p>
    <w:p w14:paraId="065EF62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（2）解密成功后，开启投标人的《报价文件》，由供应商对自己报价文件相关内容进行签字确认，（不予确认的应说明理由，否则视为无异议）。</w:t>
      </w:r>
    </w:p>
    <w:p w14:paraId="233C7CA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（3）开启《投标文件》，进入资格审查；</w:t>
      </w:r>
      <w:r>
        <w:rPr>
          <w:rFonts w:hint="eastAsia" w:ascii="新宋体" w:hAnsi="新宋体" w:eastAsia="新宋体" w:cs="新宋体"/>
          <w:bCs/>
          <w:color w:val="auto"/>
          <w:sz w:val="22"/>
          <w:szCs w:val="22"/>
          <w:highlight w:val="none"/>
        </w:rPr>
        <w:t>合格投标人不足3家的，不得评标。</w:t>
      </w:r>
    </w:p>
    <w:p w14:paraId="4D74BCF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b/>
          <w:color w:val="auto"/>
          <w:kern w:val="0"/>
          <w:sz w:val="22"/>
          <w:szCs w:val="22"/>
          <w:highlight w:val="none"/>
        </w:rPr>
        <w:t>备注：开标大会的结束后，</w:t>
      </w:r>
      <w:r>
        <w:rPr>
          <w:rFonts w:hint="eastAsia" w:ascii="新宋体" w:hAnsi="新宋体" w:eastAsia="新宋体" w:cs="新宋体"/>
          <w:b/>
          <w:color w:val="auto"/>
          <w:kern w:val="0"/>
          <w:sz w:val="22"/>
          <w:szCs w:val="22"/>
          <w:highlight w:val="none"/>
          <w:lang w:eastAsia="zh-CN"/>
        </w:rPr>
        <w:t>采购人</w:t>
      </w:r>
      <w:r>
        <w:rPr>
          <w:rFonts w:hint="eastAsia" w:ascii="新宋体" w:hAnsi="新宋体" w:eastAsia="新宋体" w:cs="新宋体"/>
          <w:b/>
          <w:color w:val="auto"/>
          <w:kern w:val="0"/>
          <w:sz w:val="22"/>
          <w:szCs w:val="22"/>
          <w:highlight w:val="none"/>
        </w:rPr>
        <w:t>或采购代理机构将对依法对投标人的资格进行审查，资格审查结束后进入符合性审查和商务技术的评审工作，具体见本章节“投标人资格审查”相关规定。</w:t>
      </w:r>
    </w:p>
    <w:p w14:paraId="1A4507A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color w:val="auto"/>
          <w:kern w:val="0"/>
          <w:sz w:val="22"/>
          <w:szCs w:val="22"/>
          <w:highlight w:val="none"/>
        </w:rPr>
        <w:t>（4）开启资格审查通过的投标人的商务技术文件进入符合性审查，</w:t>
      </w:r>
      <w:r>
        <w:rPr>
          <w:rFonts w:hint="eastAsia" w:ascii="新宋体" w:hAnsi="新宋体" w:eastAsia="新宋体" w:cs="新宋体"/>
          <w:bCs/>
          <w:color w:val="auto"/>
          <w:sz w:val="22"/>
          <w:szCs w:val="22"/>
          <w:highlight w:val="none"/>
        </w:rPr>
        <w:t>以确定其是否满足</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的实质性要求，合格投标人不足3家的，不得评标。</w:t>
      </w:r>
    </w:p>
    <w:p w14:paraId="775D223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没有满足</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的实质性要求的投标作无效标处理。评标委员会决定投标的实质性要求只根据投标文件本身的内容，而不寻求外部的证据。投标人不得通过修正或撤消不合要求的偏离或保留从而使其投标成为实质上响应的投标。</w:t>
      </w:r>
    </w:p>
    <w:p w14:paraId="011A51A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（5）对通过资格审查、符合性审查的合格供应商进行商务技术部分的评审。</w:t>
      </w:r>
    </w:p>
    <w:p w14:paraId="563020B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（6）评标委员会对报价的合理性、准确性等进行审查核实。</w:t>
      </w:r>
    </w:p>
    <w:p w14:paraId="34AB0DB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（7）评审结束后，公布中标（成交）候选供应商名单及</w:t>
      </w:r>
      <w:r>
        <w:rPr>
          <w:rFonts w:hint="eastAsia" w:ascii="新宋体" w:hAnsi="新宋体" w:eastAsia="新宋体" w:cs="新宋体"/>
          <w:color w:val="auto"/>
          <w:kern w:val="0"/>
          <w:sz w:val="22"/>
          <w:szCs w:val="22"/>
          <w:highlight w:val="none"/>
          <w:lang w:eastAsia="zh-CN"/>
        </w:rPr>
        <w:t>采购人</w:t>
      </w:r>
      <w:r>
        <w:rPr>
          <w:rFonts w:hint="eastAsia" w:ascii="新宋体" w:hAnsi="新宋体" w:eastAsia="新宋体" w:cs="新宋体"/>
          <w:color w:val="auto"/>
          <w:kern w:val="0"/>
          <w:sz w:val="22"/>
          <w:szCs w:val="22"/>
          <w:highlight w:val="none"/>
        </w:rPr>
        <w:t>最终确定中标或成交供应商名单的时间和公告方式等，未在场的投标人通过发送邮件形式通知。</w:t>
      </w:r>
    </w:p>
    <w:p w14:paraId="6F11AA4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特别说明：如遇“政府采购云平台”电子化开标或评审程序调整的，按调整后程序执行。</w:t>
      </w:r>
    </w:p>
    <w:p w14:paraId="304585E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bookmarkStart w:id="20" w:name="_Toc33194393"/>
      <w:bookmarkStart w:id="21" w:name="_Toc24550037"/>
      <w:r>
        <w:rPr>
          <w:rFonts w:hint="eastAsia" w:ascii="新宋体" w:hAnsi="新宋体" w:eastAsia="新宋体" w:cs="新宋体"/>
          <w:color w:val="auto"/>
          <w:sz w:val="22"/>
          <w:szCs w:val="22"/>
          <w:highlight w:val="none"/>
        </w:rPr>
        <w:t>6、投标人资格审查</w:t>
      </w:r>
      <w:bookmarkEnd w:id="20"/>
      <w:bookmarkEnd w:id="21"/>
    </w:p>
    <w:p w14:paraId="7035C1C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6.1开标大会结束后，</w:t>
      </w:r>
      <w:r>
        <w:rPr>
          <w:rFonts w:hint="eastAsia" w:ascii="新宋体" w:hAnsi="新宋体" w:eastAsia="新宋体" w:cs="新宋体"/>
          <w:b/>
          <w:color w:val="auto"/>
          <w:sz w:val="22"/>
          <w:szCs w:val="22"/>
          <w:highlight w:val="none"/>
          <w:lang w:eastAsia="zh-CN"/>
        </w:rPr>
        <w:t>采购人</w:t>
      </w:r>
      <w:r>
        <w:rPr>
          <w:rFonts w:hint="eastAsia" w:ascii="新宋体" w:hAnsi="新宋体" w:eastAsia="新宋体" w:cs="新宋体"/>
          <w:b/>
          <w:color w:val="auto"/>
          <w:sz w:val="22"/>
          <w:szCs w:val="22"/>
          <w:highlight w:val="none"/>
        </w:rPr>
        <w:t>或采购代理机构首先依法对各投标人的资格进行审查，审查各投标人的资格是否满足</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的要求。</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或采购代理机构对投标人所提交的资格证明材料仅负审核的责任。如发现投标人所提交的资格证明材料不合法或与事实不符，</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可取消其中标资格并追究投标人的法律责任。</w:t>
      </w:r>
    </w:p>
    <w:p w14:paraId="58AA883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sz w:val="22"/>
          <w:szCs w:val="22"/>
          <w:highlight w:val="none"/>
        </w:rPr>
        <w:t>6.2投标人提交的资格证明材料无法证明其符合</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规定的“投标人资格要求”的，</w:t>
      </w:r>
      <w:r>
        <w:rPr>
          <w:rFonts w:hint="eastAsia" w:ascii="新宋体" w:hAnsi="新宋体" w:eastAsia="新宋体" w:cs="新宋体"/>
          <w:b/>
          <w:color w:val="auto"/>
          <w:sz w:val="22"/>
          <w:szCs w:val="22"/>
          <w:highlight w:val="none"/>
          <w:lang w:eastAsia="zh-CN"/>
        </w:rPr>
        <w:t>采购人</w:t>
      </w:r>
      <w:r>
        <w:rPr>
          <w:rFonts w:hint="eastAsia" w:ascii="新宋体" w:hAnsi="新宋体" w:eastAsia="新宋体" w:cs="新宋体"/>
          <w:b/>
          <w:color w:val="auto"/>
          <w:sz w:val="22"/>
          <w:szCs w:val="22"/>
          <w:highlight w:val="none"/>
        </w:rPr>
        <w:t>或采购代理机构</w:t>
      </w:r>
      <w:r>
        <w:rPr>
          <w:rFonts w:hint="eastAsia" w:ascii="新宋体" w:hAnsi="新宋体" w:eastAsia="新宋体" w:cs="新宋体"/>
          <w:b/>
          <w:color w:val="auto"/>
          <w:kern w:val="0"/>
          <w:sz w:val="22"/>
          <w:szCs w:val="22"/>
          <w:highlight w:val="none"/>
        </w:rPr>
        <w:t>将对其作资格审查不通过处理（无效投标），并不再将其投标提交评标委员会进行后续评审。</w:t>
      </w:r>
    </w:p>
    <w:p w14:paraId="7AE6E43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rPr>
        <w:t>6</w:t>
      </w:r>
      <w:r>
        <w:rPr>
          <w:rFonts w:hint="eastAsia" w:ascii="新宋体" w:hAnsi="新宋体" w:eastAsia="新宋体" w:cs="新宋体"/>
          <w:b/>
          <w:color w:val="auto"/>
          <w:kern w:val="0"/>
          <w:sz w:val="22"/>
          <w:szCs w:val="22"/>
          <w:highlight w:val="none"/>
        </w:rPr>
        <w:t>.3单位负责人为同一人或者存在直接控股、管理关系的不同供应商参加同一合同项下的政府采购活动的，相关投标人均作资格无效处理。</w:t>
      </w:r>
    </w:p>
    <w:p w14:paraId="3DADAF9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7、评标委员按照</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中规定的评标方法和标准，对投标文件进行商务和技术评估，综合比较与评价。</w:t>
      </w:r>
    </w:p>
    <w:p w14:paraId="14C7223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u w:val="single"/>
        </w:rPr>
      </w:pPr>
      <w:r>
        <w:rPr>
          <w:rFonts w:hint="eastAsia" w:ascii="新宋体" w:hAnsi="新宋体" w:eastAsia="新宋体" w:cs="新宋体"/>
          <w:b/>
          <w:color w:val="auto"/>
          <w:sz w:val="22"/>
          <w:szCs w:val="22"/>
          <w:highlight w:val="none"/>
          <w:u w:val="single"/>
        </w:rPr>
        <w:t>8、投标人存在下列情况之一的，投标无效：</w:t>
      </w:r>
    </w:p>
    <w:p w14:paraId="64089CD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（1）投标文件未按</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要求签署、盖章的；</w:t>
      </w:r>
    </w:p>
    <w:p w14:paraId="72110EF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（2）不具备</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 xml:space="preserve">中规定的资格要求的； </w:t>
      </w:r>
    </w:p>
    <w:p w14:paraId="1E2F6D8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（3）明显不符合</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中主要技术规格、技术标准的；</w:t>
      </w:r>
    </w:p>
    <w:p w14:paraId="312A2DF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（4）“▲”标记条款负偏离或不响应的；</w:t>
      </w:r>
    </w:p>
    <w:p w14:paraId="0A14C03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5</w:t>
      </w:r>
      <w:r>
        <w:rPr>
          <w:rFonts w:hint="eastAsia" w:ascii="新宋体" w:hAnsi="新宋体" w:eastAsia="新宋体" w:cs="新宋体"/>
          <w:bCs/>
          <w:color w:val="auto"/>
          <w:sz w:val="22"/>
          <w:szCs w:val="22"/>
          <w:highlight w:val="none"/>
        </w:rPr>
        <w:t>）投标文件内容不全或关键字迹模糊无法辨认的；</w:t>
      </w:r>
    </w:p>
    <w:p w14:paraId="04AE16A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6</w:t>
      </w:r>
      <w:r>
        <w:rPr>
          <w:rFonts w:hint="eastAsia" w:ascii="新宋体" w:hAnsi="新宋体" w:eastAsia="新宋体" w:cs="新宋体"/>
          <w:bCs/>
          <w:color w:val="auto"/>
          <w:sz w:val="22"/>
          <w:szCs w:val="22"/>
          <w:highlight w:val="none"/>
        </w:rPr>
        <w:t>）报价超过</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中规定的预算金额的；</w:t>
      </w:r>
    </w:p>
    <w:p w14:paraId="4A191F8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7</w:t>
      </w:r>
      <w:r>
        <w:rPr>
          <w:rFonts w:hint="eastAsia" w:ascii="新宋体" w:hAnsi="新宋体" w:eastAsia="新宋体" w:cs="新宋体"/>
          <w:bCs/>
          <w:color w:val="auto"/>
          <w:sz w:val="22"/>
          <w:szCs w:val="22"/>
          <w:highlight w:val="none"/>
        </w:rPr>
        <w:t>）投标人代表没有法定代表人合法、有效委托的；</w:t>
      </w:r>
    </w:p>
    <w:p w14:paraId="7BC8DA1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8</w:t>
      </w:r>
      <w:r>
        <w:rPr>
          <w:rFonts w:hint="eastAsia" w:ascii="新宋体" w:hAnsi="新宋体" w:eastAsia="新宋体" w:cs="新宋体"/>
          <w:bCs/>
          <w:color w:val="auto"/>
          <w:sz w:val="22"/>
          <w:szCs w:val="22"/>
          <w:highlight w:val="none"/>
        </w:rPr>
        <w:t>）投标文件存在一个或一个以上备选（替代）投标方案的；</w:t>
      </w:r>
    </w:p>
    <w:p w14:paraId="775B405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9</w:t>
      </w:r>
      <w:r>
        <w:rPr>
          <w:rFonts w:hint="eastAsia" w:ascii="新宋体" w:hAnsi="新宋体" w:eastAsia="新宋体" w:cs="新宋体"/>
          <w:bCs/>
          <w:color w:val="auto"/>
          <w:sz w:val="22"/>
          <w:szCs w:val="22"/>
          <w:highlight w:val="none"/>
        </w:rPr>
        <w:t>）仅提交“备份投标文件”的；</w:t>
      </w:r>
    </w:p>
    <w:p w14:paraId="64B20470">
      <w:pPr>
        <w:spacing w:line="460" w:lineRule="exact"/>
        <w:ind w:firstLine="442" w:firstLineChars="200"/>
        <w:rPr>
          <w:rFonts w:ascii="新宋体" w:hAnsi="新宋体" w:eastAsia="新宋体" w:cs="新宋体"/>
          <w:bCs/>
          <w:color w:val="auto"/>
          <w:sz w:val="22"/>
          <w:szCs w:val="22"/>
          <w:highlight w:val="none"/>
        </w:rPr>
      </w:pPr>
      <w:r>
        <w:rPr>
          <w:rFonts w:hint="eastAsia" w:ascii="新宋体" w:hAnsi="新宋体" w:eastAsia="新宋体" w:cs="新宋体"/>
          <w:b/>
          <w:color w:val="auto"/>
          <w:sz w:val="22"/>
          <w:szCs w:val="22"/>
          <w:highlight w:val="none"/>
          <w:u w:val="single"/>
        </w:rPr>
        <w:t>（10）未提供食品药品监督管理部门核发的完整有效的医疗器械注册或备案证明，或提供的医疗器械注册或备案证明不足以证明所投设备可合法销售（适用于医疗器械）；</w:t>
      </w:r>
    </w:p>
    <w:p w14:paraId="44D2788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11</w:t>
      </w:r>
      <w:r>
        <w:rPr>
          <w:rFonts w:hint="eastAsia" w:ascii="新宋体" w:hAnsi="新宋体" w:eastAsia="新宋体" w:cs="新宋体"/>
          <w:bCs/>
          <w:color w:val="auto"/>
          <w:sz w:val="22"/>
          <w:szCs w:val="22"/>
          <w:highlight w:val="none"/>
        </w:rPr>
        <w:t>）投标文件含有</w:t>
      </w: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不能接受的附加条件的；</w:t>
      </w:r>
    </w:p>
    <w:p w14:paraId="7BA62AC6">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lang w:eastAsia="zh-CN"/>
        </w:rPr>
      </w:pPr>
      <w:r>
        <w:rPr>
          <w:rFonts w:hint="eastAsia" w:ascii="新宋体" w:hAnsi="新宋体" w:eastAsia="新宋体" w:cs="新宋体"/>
          <w:bCs/>
          <w:color w:val="auto"/>
          <w:sz w:val="22"/>
          <w:szCs w:val="22"/>
          <w:highlight w:val="none"/>
          <w:lang w:eastAsia="zh-CN"/>
        </w:rPr>
        <w:t>（</w:t>
      </w:r>
      <w:r>
        <w:rPr>
          <w:rFonts w:hint="eastAsia" w:ascii="新宋体" w:hAnsi="新宋体" w:eastAsia="新宋体" w:cs="新宋体"/>
          <w:bCs/>
          <w:color w:val="auto"/>
          <w:sz w:val="22"/>
          <w:szCs w:val="22"/>
          <w:highlight w:val="none"/>
          <w:lang w:val="en-US" w:eastAsia="zh-CN"/>
        </w:rPr>
        <w:t>12</w:t>
      </w:r>
      <w:r>
        <w:rPr>
          <w:rFonts w:hint="eastAsia" w:ascii="新宋体" w:hAnsi="新宋体" w:eastAsia="新宋体" w:cs="新宋体"/>
          <w:bCs/>
          <w:color w:val="auto"/>
          <w:sz w:val="22"/>
          <w:szCs w:val="22"/>
          <w:highlight w:val="none"/>
          <w:lang w:eastAsia="zh-CN"/>
        </w:rPr>
        <w:t>）</w:t>
      </w:r>
      <w:r>
        <w:rPr>
          <w:rFonts w:hint="eastAsia" w:ascii="新宋体" w:hAnsi="新宋体" w:eastAsia="新宋体" w:cs="新宋体"/>
          <w:b/>
          <w:bCs w:val="0"/>
          <w:color w:val="auto"/>
          <w:sz w:val="22"/>
          <w:szCs w:val="22"/>
          <w:highlight w:val="none"/>
          <w:lang w:eastAsia="zh-CN"/>
        </w:rPr>
        <w:t>如为联合体投标，未提供有效的联合体共同投标协议书的</w:t>
      </w:r>
      <w:r>
        <w:rPr>
          <w:rFonts w:hint="eastAsia" w:ascii="新宋体" w:hAnsi="新宋体" w:eastAsia="新宋体" w:cs="新宋体"/>
          <w:bCs/>
          <w:color w:val="auto"/>
          <w:sz w:val="22"/>
          <w:szCs w:val="22"/>
          <w:highlight w:val="none"/>
        </w:rPr>
        <w:t>；</w:t>
      </w:r>
    </w:p>
    <w:p w14:paraId="4088D54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w:t>
      </w:r>
      <w:r>
        <w:rPr>
          <w:rFonts w:hint="eastAsia" w:ascii="新宋体" w:hAnsi="新宋体" w:eastAsia="新宋体" w:cs="新宋体"/>
          <w:bCs/>
          <w:color w:val="auto"/>
          <w:sz w:val="22"/>
          <w:szCs w:val="22"/>
          <w:highlight w:val="none"/>
          <w:lang w:val="en-US" w:eastAsia="zh-CN"/>
        </w:rPr>
        <w:t>3</w:t>
      </w:r>
      <w:r>
        <w:rPr>
          <w:rFonts w:hint="eastAsia" w:ascii="新宋体" w:hAnsi="新宋体" w:eastAsia="新宋体" w:cs="新宋体"/>
          <w:bCs/>
          <w:color w:val="auto"/>
          <w:sz w:val="22"/>
          <w:szCs w:val="22"/>
          <w:highlight w:val="none"/>
        </w:rPr>
        <w:t>）法律、法规和</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规定的其他无效情形。</w:t>
      </w:r>
    </w:p>
    <w:p w14:paraId="43B16A1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9、有下列情形之一的，视为投标人串通投标，其投标无效</w:t>
      </w:r>
    </w:p>
    <w:p w14:paraId="72E1802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（1）不同投标人的投标文件由同一单位或者个人编制；</w:t>
      </w:r>
    </w:p>
    <w:p w14:paraId="5CFA9D0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（2）不同投标人委托同一单位或者个人办理投标事宜；</w:t>
      </w:r>
    </w:p>
    <w:p w14:paraId="612CB7A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（3）不同投标人的投标文件载明的项目管理成员或者联系人员为同一人；</w:t>
      </w:r>
    </w:p>
    <w:p w14:paraId="2C9E7BD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（4）不同投标人的投标文件异常一致或者投标报价呈规律性差异；</w:t>
      </w:r>
    </w:p>
    <w:p w14:paraId="3C603D8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（5）不同投标人的投标文件相互混装</w:t>
      </w:r>
      <w:r>
        <w:rPr>
          <w:rFonts w:hint="eastAsia" w:ascii="新宋体" w:hAnsi="新宋体" w:eastAsia="新宋体" w:cs="新宋体"/>
          <w:color w:val="auto"/>
          <w:sz w:val="22"/>
          <w:szCs w:val="22"/>
          <w:highlight w:val="none"/>
          <w:lang w:eastAsia="zh-CN"/>
        </w:rPr>
        <w:t>；</w:t>
      </w:r>
    </w:p>
    <w:p w14:paraId="0D65687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74D79DA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10、投标文件报价出现前后不一致的，按照下列规定修正：</w:t>
      </w:r>
    </w:p>
    <w:p w14:paraId="1AA9FBC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（1）系统上传的投标文件中开标一览表（报价表）（加盖公章）内容与投标文件中相应内容不一致的，以系统上传的投标文件中开标一览表（报价表）（加盖公章）为准；</w:t>
      </w:r>
    </w:p>
    <w:p w14:paraId="33CEC0E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（2）大写金额和小写金额不一致的，以大写金额为准；</w:t>
      </w:r>
    </w:p>
    <w:p w14:paraId="0304F59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（3）单价金额小数点或者百分比有明显错位的，以开标一览表的总价为准，并修改单价；</w:t>
      </w:r>
    </w:p>
    <w:p w14:paraId="2A0A00E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（4）总价金额与按单价汇总金额不一致的，以单价金额计算结果为准。</w:t>
      </w:r>
    </w:p>
    <w:p w14:paraId="116B041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同时出现两种以上不一致的，按照前款规定的顺序修正。修正后的报价按照本小节第12条第12.2款的规定经投标人确认后产生约束力，投标人不确认的，其投标无效。</w:t>
      </w:r>
    </w:p>
    <w:p w14:paraId="5B131B6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11、</w:t>
      </w:r>
      <w:r>
        <w:rPr>
          <w:rFonts w:hint="eastAsia" w:ascii="新宋体" w:hAnsi="新宋体" w:eastAsia="新宋体" w:cs="新宋体"/>
          <w:bCs/>
          <w:color w:val="auto"/>
          <w:sz w:val="22"/>
          <w:szCs w:val="22"/>
          <w:highlight w:val="none"/>
          <w:lang w:val="en-US" w:eastAsia="zh-CN"/>
        </w:rPr>
        <w:t>评</w:t>
      </w:r>
      <w:r>
        <w:rPr>
          <w:rFonts w:hint="eastAsia" w:ascii="新宋体" w:hAnsi="新宋体" w:eastAsia="新宋体" w:cs="新宋体"/>
          <w:bCs/>
          <w:color w:val="auto"/>
          <w:sz w:val="22"/>
          <w:szCs w:val="22"/>
          <w:highlight w:val="none"/>
        </w:rPr>
        <w:t>标委员会成员对需要共同认定的事项存在争议的，应当按照少数服从多数的原则作出结论。持不同意见的评标委员会成员应当在评标报告上签署不同意见及理由，否则视为同意评标报告。</w:t>
      </w:r>
    </w:p>
    <w:p w14:paraId="1921E54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12、投标文件的澄清</w:t>
      </w:r>
    </w:p>
    <w:p w14:paraId="4DFCF40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12.1在评标期间，评标委员会可要求投标人对于投标文件中含义不明确、同类问题表述不一致或者有明显文字和计算错误的内容，评标委员会应当以书面形式（或通过“政府采购云平台”在线询标）要求投标人在规定的时间内作出必要的澄清、说明或者补正。投标人澄清、说明或补正时间为30分钟。</w:t>
      </w:r>
    </w:p>
    <w:p w14:paraId="78B5775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12.2投标人的澄清、说明或者补正应当采用书面形式（或通过“政府采购云平台”在线答复），并加盖公章，或者由法定代表人或其授权的代表签字。投标人的澄清、说明或者补正不得超出投标文件的范围或者改变投标文件的实质性内容。</w:t>
      </w:r>
    </w:p>
    <w:p w14:paraId="4B65A8F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拒不按要求对其投标文件进行澄清，说明或补正的投标人，评标委员会可以否决其投标。</w:t>
      </w:r>
    </w:p>
    <w:p w14:paraId="0B2A74D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12.2</w:t>
      </w:r>
      <w:r>
        <w:rPr>
          <w:rFonts w:hint="eastAsia" w:ascii="新宋体" w:hAnsi="新宋体" w:eastAsia="新宋体" w:cs="新宋体"/>
          <w:b/>
          <w:color w:val="auto"/>
          <w:sz w:val="22"/>
          <w:szCs w:val="22"/>
          <w:highlight w:val="none"/>
        </w:rPr>
        <w:t>经澄清后，若偏差仍存在，且不可接受，投标人则被认为是“没有实质性响应</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要求”，其投标将被拒绝。</w:t>
      </w:r>
    </w:p>
    <w:p w14:paraId="532D9EE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13、评审结果的修改</w:t>
      </w:r>
    </w:p>
    <w:p w14:paraId="03FB37B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13.1评标结果汇总完成后，除下列情形外，任何人不得修改评标结果：</w:t>
      </w:r>
    </w:p>
    <w:p w14:paraId="2590A15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（1）分值汇总计算错误的；</w:t>
      </w:r>
    </w:p>
    <w:p w14:paraId="25099A3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（2）分项评分超出评分标准范围的；</w:t>
      </w:r>
    </w:p>
    <w:p w14:paraId="5664271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（3）评标委员会成员对客观评审因素评分不一致的；</w:t>
      </w:r>
    </w:p>
    <w:p w14:paraId="3EC04BC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（4）经评标委员会认定评分畸高、畸低的。</w:t>
      </w:r>
    </w:p>
    <w:p w14:paraId="7B328F0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13.2书面评标报告签署前，经复核发现存在以上情形之一的，评标委员会将当场修改评标结果，并在</w:t>
      </w:r>
      <w:r>
        <w:rPr>
          <w:rFonts w:hint="eastAsia" w:ascii="新宋体" w:hAnsi="新宋体" w:eastAsia="新宋体" w:cs="新宋体"/>
          <w:b/>
          <w:color w:val="auto"/>
          <w:sz w:val="22"/>
          <w:szCs w:val="22"/>
          <w:highlight w:val="none"/>
        </w:rPr>
        <w:t>评标报告中记载。</w:t>
      </w:r>
    </w:p>
    <w:p w14:paraId="57173BE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14</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确定中标候选人</w:t>
      </w:r>
    </w:p>
    <w:p w14:paraId="4DD60C2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14.1由评标委员会确定中标候选人。</w:t>
      </w:r>
    </w:p>
    <w:p w14:paraId="650F2D5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14.2评标委员会依据法律、法规及</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有关规定按评审后得分（即商务技术分与报价得分之和）由高到低顺序排序，得分前二名的投标人确定为该项目的第一和第二中标候选人（得分相同的，按投标报价由低到高顺序排列。得分且投标报价相同的并列。）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推荐。</w:t>
      </w:r>
    </w:p>
    <w:p w14:paraId="0EEF210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
          <w:bCs/>
          <w:color w:val="auto"/>
          <w:sz w:val="22"/>
          <w:szCs w:val="22"/>
          <w:highlight w:val="none"/>
        </w:rPr>
        <w:t>15、确定中标人</w:t>
      </w:r>
    </w:p>
    <w:p w14:paraId="4FD9ED3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rPr>
        <w:t>15</w:t>
      </w: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eastAsia="zh-CN"/>
        </w:rPr>
        <w:t>采购人</w:t>
      </w:r>
      <w:r>
        <w:rPr>
          <w:rFonts w:hint="eastAsia" w:ascii="新宋体" w:hAnsi="新宋体" w:eastAsia="新宋体" w:cs="新宋体"/>
          <w:b/>
          <w:bCs/>
          <w:color w:val="auto"/>
          <w:sz w:val="22"/>
          <w:szCs w:val="22"/>
          <w:highlight w:val="none"/>
        </w:rPr>
        <w:t>按照书面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14:paraId="273198F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15.2如中标人放弃中标；或未能在规定时间内与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签订合同的；或者经质疑，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审查后，确因排名第一的候选人在本次采购活动中存在违法违规行为或其他原因使质疑成立的，</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可以视情况直接确定排名第二的候选人为中标人或重新组织招标。</w:t>
      </w:r>
    </w:p>
    <w:p w14:paraId="261171A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16、起草、签署评审报告</w:t>
      </w:r>
    </w:p>
    <w:p w14:paraId="2A8F243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6AEFA2E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中标人确定后，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将在政府指定媒体公告中标结果，</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向中标人发出中标通知书。</w:t>
      </w:r>
    </w:p>
    <w:p w14:paraId="3364890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18、</w:t>
      </w:r>
      <w:r>
        <w:rPr>
          <w:rFonts w:hint="eastAsia" w:ascii="新宋体" w:hAnsi="新宋体" w:eastAsia="新宋体" w:cs="新宋体"/>
          <w:b/>
          <w:color w:val="auto"/>
          <w:sz w:val="22"/>
          <w:szCs w:val="22"/>
          <w:highlight w:val="none"/>
          <w:lang w:eastAsia="zh-CN"/>
        </w:rPr>
        <w:t>采购人</w:t>
      </w:r>
      <w:r>
        <w:rPr>
          <w:rFonts w:hint="eastAsia" w:ascii="新宋体" w:hAnsi="新宋体" w:eastAsia="新宋体" w:cs="新宋体"/>
          <w:b/>
          <w:color w:val="auto"/>
          <w:sz w:val="22"/>
          <w:szCs w:val="22"/>
          <w:highlight w:val="none"/>
        </w:rPr>
        <w:t>对决标结果不做任何解释，也不保证最低价中标。</w:t>
      </w:r>
    </w:p>
    <w:p w14:paraId="7DA6D5A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19、评标细则详见“评标原则及方法”。</w:t>
      </w:r>
    </w:p>
    <w:p w14:paraId="6CE30AFF">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22" w:name="_Toc26836"/>
      <w:bookmarkStart w:id="23" w:name="_Toc23297"/>
      <w:r>
        <w:rPr>
          <w:rFonts w:hint="eastAsia" w:ascii="新宋体" w:hAnsi="新宋体" w:eastAsia="新宋体" w:cs="新宋体"/>
          <w:b/>
          <w:bCs/>
          <w:color w:val="auto"/>
          <w:sz w:val="26"/>
          <w:szCs w:val="26"/>
          <w:highlight w:val="none"/>
        </w:rPr>
        <w:t>六、 授予合同</w:t>
      </w:r>
      <w:bookmarkEnd w:id="22"/>
      <w:bookmarkEnd w:id="23"/>
    </w:p>
    <w:p w14:paraId="388C851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highlight w:val="none"/>
        </w:rPr>
        <w:t>1、中标通知书</w:t>
      </w:r>
    </w:p>
    <w:p w14:paraId="6362EA3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1.1</w:t>
      </w:r>
      <w:r>
        <w:rPr>
          <w:rFonts w:hint="eastAsia" w:ascii="新宋体" w:hAnsi="新宋体" w:eastAsia="新宋体" w:cs="新宋体"/>
          <w:color w:val="auto"/>
          <w:sz w:val="22"/>
          <w:szCs w:val="22"/>
          <w:highlight w:val="none"/>
        </w:rPr>
        <w:t>中标人确定后，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 xml:space="preserve">将向中标人发出中标通知书。 </w:t>
      </w:r>
    </w:p>
    <w:p w14:paraId="21E4CC9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1.2</w:t>
      </w:r>
      <w:r>
        <w:rPr>
          <w:rFonts w:hint="eastAsia" w:ascii="新宋体" w:hAnsi="新宋体" w:eastAsia="新宋体" w:cs="新宋体"/>
          <w:color w:val="auto"/>
          <w:sz w:val="22"/>
          <w:szCs w:val="22"/>
          <w:highlight w:val="none"/>
        </w:rPr>
        <w:t>中标通知书是合同的一个组成部分,对</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和中标人均具有同等法律效力。</w:t>
      </w:r>
    </w:p>
    <w:p w14:paraId="2BB5B18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rPr>
        <w:t>2、授标时更改采购货物数量的权力</w:t>
      </w:r>
    </w:p>
    <w:p w14:paraId="30CC0A0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2.1</w:t>
      </w: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在授予合同时有权对采购货物的数量和服务在一定幅度范围内予以增加或减少,但不得对单价和其他的条款和条件作任何改变。</w:t>
      </w:r>
    </w:p>
    <w:p w14:paraId="4194C4C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rPr>
        <w:t>3、签订合同</w:t>
      </w:r>
    </w:p>
    <w:p w14:paraId="3804C58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Cs/>
          <w:color w:val="auto"/>
          <w:sz w:val="22"/>
          <w:szCs w:val="22"/>
          <w:highlight w:val="none"/>
        </w:rPr>
        <w:t>3.1中标人应按中标通知书规定的时间、地点与</w:t>
      </w: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签订合同。</w:t>
      </w:r>
    </w:p>
    <w:p w14:paraId="4838CD0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3.2</w:t>
      </w:r>
      <w:r>
        <w:rPr>
          <w:rFonts w:hint="eastAsia" w:ascii="新宋体" w:hAnsi="新宋体" w:eastAsia="新宋体" w:cs="新宋体"/>
          <w:b/>
          <w:color w:val="auto"/>
          <w:spacing w:val="6"/>
          <w:sz w:val="22"/>
          <w:szCs w:val="22"/>
          <w:highlight w:val="none"/>
        </w:rPr>
        <w:t>在签订合同前，</w:t>
      </w:r>
      <w:r>
        <w:rPr>
          <w:rFonts w:hint="eastAsia" w:ascii="新宋体" w:hAnsi="新宋体" w:eastAsia="新宋体" w:cs="新宋体"/>
          <w:b/>
          <w:color w:val="auto"/>
          <w:spacing w:val="6"/>
          <w:sz w:val="22"/>
          <w:szCs w:val="22"/>
          <w:highlight w:val="none"/>
          <w:lang w:eastAsia="zh-CN"/>
        </w:rPr>
        <w:t>采购人</w:t>
      </w:r>
      <w:r>
        <w:rPr>
          <w:rFonts w:hint="eastAsia" w:ascii="新宋体" w:hAnsi="新宋体" w:eastAsia="新宋体" w:cs="新宋体"/>
          <w:b/>
          <w:color w:val="auto"/>
          <w:spacing w:val="6"/>
          <w:sz w:val="22"/>
          <w:szCs w:val="22"/>
          <w:highlight w:val="none"/>
        </w:rPr>
        <w:t>有权在中标总价不变的前提下要求中标人对商务报价中的不平衡报价和缺漏项进行调整，如果中标人无合理理由拒绝调整，其中投标资格将被取消，保证金将不予退还，且将导致其它进一步的赔偿和处罚。</w:t>
      </w:r>
    </w:p>
    <w:p w14:paraId="21E7B3A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3.3</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、中标人的投标文件、投标修改文件、评标过程中有关澄清文件及经投标人和评委双方签字的询标纪要和中标通知书均作为合同附件。</w:t>
      </w:r>
    </w:p>
    <w:p w14:paraId="551BF34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3.4拒签合同的违约责任</w:t>
      </w:r>
    </w:p>
    <w:p w14:paraId="2D11123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66" w:firstLineChars="200"/>
        <w:textAlignment w:val="auto"/>
        <w:rPr>
          <w:rFonts w:hint="eastAsia" w:ascii="新宋体" w:hAnsi="新宋体" w:eastAsia="新宋体" w:cs="新宋体"/>
          <w:b/>
          <w:color w:val="auto"/>
          <w:spacing w:val="6"/>
          <w:sz w:val="22"/>
          <w:szCs w:val="22"/>
          <w:highlight w:val="none"/>
        </w:rPr>
      </w:pPr>
      <w:r>
        <w:rPr>
          <w:rFonts w:hint="eastAsia" w:ascii="新宋体" w:hAnsi="新宋体" w:eastAsia="新宋体" w:cs="新宋体"/>
          <w:b/>
          <w:color w:val="auto"/>
          <w:spacing w:val="6"/>
          <w:sz w:val="22"/>
          <w:szCs w:val="22"/>
          <w:highlight w:val="none"/>
        </w:rPr>
        <w:t>中标人接到中标通知书后，在规定时间内借故否认已经承诺的条件而拒签合同的，以违约处理。</w:t>
      </w:r>
    </w:p>
    <w:p w14:paraId="23DE386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highlight w:val="none"/>
          <w:lang w:val="en-US" w:eastAsia="zh-CN"/>
        </w:rPr>
        <w:t>4</w:t>
      </w:r>
      <w:r>
        <w:rPr>
          <w:rFonts w:hint="eastAsia" w:ascii="新宋体" w:hAnsi="新宋体" w:eastAsia="新宋体" w:cs="新宋体"/>
          <w:b/>
          <w:color w:val="auto"/>
          <w:sz w:val="22"/>
          <w:highlight w:val="none"/>
        </w:rPr>
        <w:t>、质疑与投诉</w:t>
      </w:r>
    </w:p>
    <w:p w14:paraId="74960E65">
      <w:pPr>
        <w:tabs>
          <w:tab w:val="left" w:pos="360"/>
        </w:tabs>
        <w:spacing w:line="460" w:lineRule="exact"/>
        <w:ind w:firstLine="464" w:firstLineChars="200"/>
        <w:rPr>
          <w:rFonts w:hint="eastAsia" w:ascii="新宋体" w:hAnsi="新宋体" w:eastAsia="新宋体" w:cs="新宋体"/>
          <w:b/>
          <w:bCs w:val="0"/>
          <w:color w:val="auto"/>
          <w:sz w:val="22"/>
          <w:highlight w:val="none"/>
          <w:lang w:val="en-US" w:eastAsia="zh-CN"/>
        </w:rPr>
      </w:pPr>
      <w:r>
        <w:rPr>
          <w:rFonts w:hint="eastAsia" w:ascii="新宋体" w:hAnsi="新宋体" w:eastAsia="新宋体" w:cs="新宋体"/>
          <w:b w:val="0"/>
          <w:bCs/>
          <w:color w:val="auto"/>
          <w:spacing w:val="6"/>
          <w:sz w:val="22"/>
          <w:szCs w:val="22"/>
          <w:highlight w:val="none"/>
          <w:lang w:val="en-US" w:eastAsia="zh-CN"/>
        </w:rPr>
        <w:t>4</w:t>
      </w:r>
      <w:r>
        <w:rPr>
          <w:rFonts w:hint="eastAsia" w:ascii="新宋体" w:hAnsi="新宋体" w:eastAsia="新宋体" w:cs="新宋体"/>
          <w:b w:val="0"/>
          <w:bCs/>
          <w:color w:val="auto"/>
          <w:spacing w:val="6"/>
          <w:sz w:val="22"/>
          <w:szCs w:val="22"/>
          <w:highlight w:val="none"/>
        </w:rPr>
        <w:t>.1</w:t>
      </w:r>
      <w:r>
        <w:rPr>
          <w:rFonts w:hint="eastAsia" w:ascii="新宋体" w:hAnsi="新宋体" w:eastAsia="新宋体" w:cs="新宋体"/>
          <w:b/>
          <w:bCs w:val="0"/>
          <w:color w:val="auto"/>
          <w:sz w:val="22"/>
          <w:highlight w:val="none"/>
          <w:lang w:val="en-US" w:eastAsia="zh-CN"/>
        </w:rPr>
        <w:t>特别提醒：</w:t>
      </w:r>
      <w:r>
        <w:rPr>
          <w:rFonts w:hint="eastAsia" w:ascii="新宋体" w:hAnsi="新宋体" w:eastAsia="新宋体" w:cs="新宋体"/>
          <w:color w:val="auto"/>
          <w:sz w:val="22"/>
          <w:highlight w:val="none"/>
          <w:lang w:val="en-US" w:eastAsia="zh-CN"/>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w:t>
      </w:r>
      <w:r>
        <w:rPr>
          <w:rFonts w:hint="eastAsia" w:ascii="新宋体" w:hAnsi="新宋体" w:eastAsia="新宋体" w:cs="新宋体"/>
          <w:bCs/>
          <w:color w:val="auto"/>
          <w:sz w:val="22"/>
          <w:highlight w:val="none"/>
          <w:lang w:eastAsia="zh-CN"/>
        </w:rPr>
        <w:t>，</w:t>
      </w:r>
      <w:r>
        <w:rPr>
          <w:rFonts w:hint="eastAsia" w:ascii="新宋体" w:hAnsi="新宋体" w:eastAsia="新宋体" w:cs="新宋体"/>
          <w:b/>
          <w:bCs w:val="0"/>
          <w:color w:val="auto"/>
          <w:sz w:val="22"/>
          <w:highlight w:val="none"/>
          <w:lang w:val="en-US" w:eastAsia="zh-CN"/>
        </w:rPr>
        <w:t>供应商在法定质疑期内应一次性提出针对同一采购程序环节的质疑，否则</w:t>
      </w:r>
      <w:r>
        <w:rPr>
          <w:rFonts w:hint="eastAsia" w:ascii="新宋体" w:hAnsi="新宋体" w:eastAsia="新宋体" w:cs="新宋体"/>
          <w:b/>
          <w:bCs w:val="0"/>
          <w:color w:val="auto"/>
          <w:sz w:val="22"/>
          <w:szCs w:val="22"/>
          <w:highlight w:val="none"/>
        </w:rPr>
        <w:t>不予受理、答复</w:t>
      </w:r>
      <w:r>
        <w:rPr>
          <w:rFonts w:hint="eastAsia" w:ascii="新宋体" w:hAnsi="新宋体" w:eastAsia="新宋体" w:cs="新宋体"/>
          <w:b/>
          <w:bCs w:val="0"/>
          <w:color w:val="auto"/>
          <w:sz w:val="22"/>
          <w:highlight w:val="none"/>
          <w:lang w:val="en-US" w:eastAsia="zh-CN"/>
        </w:rPr>
        <w:t>。</w:t>
      </w:r>
    </w:p>
    <w:p w14:paraId="3912F8F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lang w:val="en-US" w:eastAsia="zh-CN"/>
        </w:rPr>
        <w:t>4</w:t>
      </w:r>
      <w:r>
        <w:rPr>
          <w:rFonts w:hint="eastAsia" w:ascii="新宋体" w:hAnsi="新宋体" w:eastAsia="新宋体" w:cs="新宋体"/>
          <w:color w:val="auto"/>
          <w:sz w:val="22"/>
          <w:highlight w:val="none"/>
        </w:rPr>
        <w:t>.2</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在收到投标人的书面质疑后七个工作日内作出答复，但答复的内容不得涉及商业秘密。质疑投标人对</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的答复不满意，可以在答复期满后十五个工作日内向同级政府采购监督管理部门投诉。</w:t>
      </w:r>
    </w:p>
    <w:p w14:paraId="7897818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lang w:val="en-US" w:eastAsia="zh-CN"/>
        </w:rPr>
        <w:t>4</w:t>
      </w:r>
      <w:r>
        <w:rPr>
          <w:rFonts w:hint="eastAsia" w:ascii="新宋体" w:hAnsi="新宋体" w:eastAsia="新宋体" w:cs="新宋体"/>
          <w:color w:val="auto"/>
          <w:sz w:val="22"/>
          <w:highlight w:val="none"/>
        </w:rPr>
        <w:t>.3投诉人投诉时，应提交投诉书，投诉书应当由本人并由法定代表人签字盖公章，投诉书应说明具体的投诉事项及事实依据。投诉人对投诉书的真实性负责，恶意投诉将承当相应的法律和民事责任。</w:t>
      </w:r>
    </w:p>
    <w:p w14:paraId="44BB8768">
      <w:pPr>
        <w:rPr>
          <w:rFonts w:hint="eastAsia" w:ascii="新宋体" w:hAnsi="新宋体" w:eastAsia="新宋体" w:cs="新宋体"/>
          <w:color w:val="auto"/>
          <w:highlight w:val="none"/>
        </w:rPr>
      </w:pPr>
      <w:bookmarkStart w:id="24" w:name="_Toc28194"/>
      <w:r>
        <w:rPr>
          <w:rFonts w:hint="eastAsia" w:ascii="新宋体" w:hAnsi="新宋体" w:eastAsia="新宋体" w:cs="新宋体"/>
          <w:color w:val="auto"/>
          <w:highlight w:val="none"/>
        </w:rPr>
        <w:br w:type="page"/>
      </w:r>
    </w:p>
    <w:p w14:paraId="2296002D">
      <w:pPr>
        <w:pStyle w:val="3"/>
        <w:numPr>
          <w:ilvl w:val="0"/>
          <w:numId w:val="0"/>
        </w:numPr>
        <w:tabs>
          <w:tab w:val="left" w:pos="840"/>
        </w:tabs>
        <w:jc w:val="center"/>
        <w:rPr>
          <w:rFonts w:hAnsi="宋体"/>
          <w:color w:val="auto"/>
          <w:sz w:val="36"/>
          <w:szCs w:val="36"/>
          <w:highlight w:val="none"/>
        </w:rPr>
      </w:pPr>
      <w:bookmarkStart w:id="25" w:name="_Toc14002"/>
      <w:r>
        <w:rPr>
          <w:rFonts w:hint="eastAsia" w:ascii="新宋体" w:hAnsi="新宋体" w:eastAsia="新宋体" w:cs="新宋体"/>
          <w:b/>
          <w:color w:val="auto"/>
          <w:kern w:val="2"/>
          <w:sz w:val="32"/>
          <w:szCs w:val="20"/>
          <w:highlight w:val="none"/>
          <w:lang w:val="en-US" w:eastAsia="zh-CN" w:bidi="ar-SA"/>
        </w:rPr>
        <w:t>第二部分</w:t>
      </w:r>
      <w:r>
        <w:rPr>
          <w:rFonts w:hint="eastAsia" w:ascii="新宋体" w:hAnsi="新宋体" w:eastAsia="新宋体" w:cs="新宋体"/>
          <w:color w:val="auto"/>
          <w:highlight w:val="none"/>
          <w:lang w:val="en-US" w:eastAsia="zh-CN"/>
        </w:rPr>
        <w:t xml:space="preserve"> </w:t>
      </w:r>
      <w:bookmarkStart w:id="26" w:name="_Toc31376"/>
      <w:r>
        <w:rPr>
          <w:rFonts w:hint="eastAsia" w:ascii="新宋体" w:hAnsi="新宋体" w:eastAsia="新宋体" w:cs="新宋体"/>
          <w:color w:val="auto"/>
          <w:highlight w:val="none"/>
          <w:lang w:val="en-US" w:eastAsia="zh-CN"/>
        </w:rPr>
        <w:t xml:space="preserve">  </w:t>
      </w:r>
      <w:r>
        <w:rPr>
          <w:rFonts w:hint="eastAsia" w:ascii="新宋体" w:hAnsi="新宋体" w:eastAsia="新宋体" w:cs="新宋体"/>
          <w:b/>
          <w:color w:val="auto"/>
          <w:kern w:val="2"/>
          <w:sz w:val="32"/>
          <w:szCs w:val="20"/>
          <w:highlight w:val="none"/>
          <w:lang w:val="en-US" w:eastAsia="zh-CN" w:bidi="ar-SA"/>
        </w:rPr>
        <w:t>合同条款</w:t>
      </w:r>
      <w:bookmarkEnd w:id="25"/>
      <w:bookmarkEnd w:id="26"/>
    </w:p>
    <w:p w14:paraId="79975D20">
      <w:pPr>
        <w:rPr>
          <w:rFonts w:ascii="宋体" w:hAnsi="宋体"/>
          <w:color w:val="auto"/>
          <w:highlight w:val="none"/>
        </w:rPr>
      </w:pPr>
    </w:p>
    <w:p w14:paraId="4EACE843">
      <w:pPr>
        <w:spacing w:line="44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说明：如甲、乙双方同意，合同格式也可以按照其他形式。但合同条款的基本内容应与《中标合同》要求的内容相一致。</w:t>
      </w:r>
    </w:p>
    <w:p w14:paraId="478C9846">
      <w:pPr>
        <w:spacing w:line="440" w:lineRule="exact"/>
        <w:rPr>
          <w:rFonts w:ascii="宋体" w:hAnsi="宋体"/>
          <w:color w:val="auto"/>
          <w:sz w:val="22"/>
          <w:szCs w:val="22"/>
          <w:highlight w:val="none"/>
        </w:rPr>
      </w:pPr>
    </w:p>
    <w:p w14:paraId="7B966E5C">
      <w:pPr>
        <w:autoSpaceDE w:val="0"/>
        <w:autoSpaceDN w:val="0"/>
        <w:spacing w:line="440" w:lineRule="exact"/>
        <w:jc w:val="center"/>
        <w:textAlignment w:val="bottom"/>
        <w:rPr>
          <w:rFonts w:ascii="宋体" w:hAnsi="宋体" w:cs="Arial"/>
          <w:color w:val="auto"/>
          <w:sz w:val="22"/>
          <w:szCs w:val="22"/>
          <w:highlight w:val="none"/>
        </w:rPr>
      </w:pPr>
    </w:p>
    <w:p w14:paraId="32EBEBFB">
      <w:pPr>
        <w:autoSpaceDE w:val="0"/>
        <w:autoSpaceDN w:val="0"/>
        <w:spacing w:line="440" w:lineRule="exact"/>
        <w:jc w:val="center"/>
        <w:textAlignment w:val="bottom"/>
        <w:rPr>
          <w:rFonts w:ascii="宋体" w:hAnsi="宋体" w:cs="Arial"/>
          <w:b/>
          <w:color w:val="auto"/>
          <w:sz w:val="28"/>
          <w:szCs w:val="28"/>
          <w:highlight w:val="none"/>
        </w:rPr>
      </w:pPr>
      <w:r>
        <w:rPr>
          <w:rFonts w:hint="eastAsia" w:ascii="宋体" w:hAnsi="宋体" w:cs="Arial"/>
          <w:b/>
          <w:color w:val="auto"/>
          <w:sz w:val="28"/>
          <w:szCs w:val="28"/>
          <w:highlight w:val="none"/>
        </w:rPr>
        <w:t>中标合同</w:t>
      </w:r>
    </w:p>
    <w:p w14:paraId="3F278520">
      <w:pPr>
        <w:autoSpaceDE w:val="0"/>
        <w:autoSpaceDN w:val="0"/>
        <w:spacing w:line="440" w:lineRule="exact"/>
        <w:jc w:val="center"/>
        <w:textAlignment w:val="bottom"/>
        <w:rPr>
          <w:rFonts w:ascii="宋体" w:hAnsi="宋体" w:cs="Arial"/>
          <w:color w:val="auto"/>
          <w:sz w:val="22"/>
          <w:szCs w:val="22"/>
          <w:highlight w:val="none"/>
        </w:rPr>
      </w:pPr>
    </w:p>
    <w:p w14:paraId="25EE5AFB">
      <w:pPr>
        <w:autoSpaceDE w:val="0"/>
        <w:autoSpaceDN w:val="0"/>
        <w:spacing w:line="440" w:lineRule="exact"/>
        <w:jc w:val="center"/>
        <w:textAlignment w:val="bottom"/>
        <w:rPr>
          <w:rFonts w:ascii="宋体" w:hAnsi="宋体" w:cs="Arial"/>
          <w:color w:val="auto"/>
          <w:sz w:val="22"/>
          <w:szCs w:val="22"/>
          <w:highlight w:val="none"/>
        </w:rPr>
      </w:pPr>
    </w:p>
    <w:p w14:paraId="54B4DEAF">
      <w:pPr>
        <w:autoSpaceDE w:val="0"/>
        <w:autoSpaceDN w:val="0"/>
        <w:spacing w:line="440" w:lineRule="exact"/>
        <w:jc w:val="center"/>
        <w:textAlignment w:val="bottom"/>
        <w:rPr>
          <w:rFonts w:ascii="宋体" w:hAnsi="宋体" w:cs="Arial"/>
          <w:color w:val="auto"/>
          <w:sz w:val="22"/>
          <w:szCs w:val="22"/>
          <w:highlight w:val="none"/>
        </w:rPr>
      </w:pPr>
    </w:p>
    <w:p w14:paraId="11952C97">
      <w:pPr>
        <w:autoSpaceDE w:val="0"/>
        <w:autoSpaceDN w:val="0"/>
        <w:spacing w:line="440" w:lineRule="exact"/>
        <w:textAlignment w:val="bottom"/>
        <w:rPr>
          <w:rFonts w:ascii="宋体" w:hAnsi="宋体" w:cs="Arial"/>
          <w:color w:val="auto"/>
          <w:sz w:val="22"/>
          <w:szCs w:val="22"/>
          <w:highlight w:val="non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项目名称：</w:t>
      </w:r>
      <w:r>
        <w:rPr>
          <w:rFonts w:hint="eastAsia" w:ascii="宋体" w:hAnsi="宋体" w:cs="Arial"/>
          <w:color w:val="auto"/>
          <w:sz w:val="22"/>
          <w:szCs w:val="22"/>
          <w:highlight w:val="none"/>
          <w:u w:val="single"/>
        </w:rPr>
        <w:t xml:space="preserve">                      </w:t>
      </w:r>
    </w:p>
    <w:p w14:paraId="54ACD0BA">
      <w:pPr>
        <w:autoSpaceDE w:val="0"/>
        <w:autoSpaceDN w:val="0"/>
        <w:spacing w:line="440" w:lineRule="exact"/>
        <w:jc w:val="center"/>
        <w:textAlignment w:val="bottom"/>
        <w:rPr>
          <w:rFonts w:ascii="宋体" w:hAnsi="宋体" w:cs="Arial"/>
          <w:color w:val="auto"/>
          <w:sz w:val="22"/>
          <w:szCs w:val="22"/>
          <w:highlight w:val="none"/>
        </w:rPr>
      </w:pPr>
    </w:p>
    <w:p w14:paraId="559A6BF2">
      <w:pPr>
        <w:autoSpaceDE w:val="0"/>
        <w:autoSpaceDN w:val="0"/>
        <w:spacing w:line="440" w:lineRule="exact"/>
        <w:textAlignment w:val="bottom"/>
        <w:rPr>
          <w:rFonts w:ascii="宋体" w:hAnsi="宋体" w:cs="Arial"/>
          <w:color w:val="auto"/>
          <w:sz w:val="22"/>
          <w:szCs w:val="22"/>
          <w:highlight w:val="non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合同编号：</w:t>
      </w:r>
      <w:r>
        <w:rPr>
          <w:rFonts w:hint="eastAsia" w:ascii="宋体" w:hAnsi="宋体" w:cs="Arial"/>
          <w:color w:val="auto"/>
          <w:sz w:val="22"/>
          <w:szCs w:val="22"/>
          <w:highlight w:val="none"/>
          <w:u w:val="single"/>
        </w:rPr>
        <w:t xml:space="preserve">                      </w:t>
      </w:r>
    </w:p>
    <w:p w14:paraId="734D8E9C">
      <w:pPr>
        <w:autoSpaceDE w:val="0"/>
        <w:autoSpaceDN w:val="0"/>
        <w:spacing w:line="440" w:lineRule="exact"/>
        <w:textAlignment w:val="bottom"/>
        <w:rPr>
          <w:rFonts w:ascii="宋体" w:hAnsi="宋体" w:cs="Arial"/>
          <w:color w:val="auto"/>
          <w:sz w:val="22"/>
          <w:szCs w:val="22"/>
          <w:highlight w:val="none"/>
        </w:rPr>
      </w:pPr>
    </w:p>
    <w:p w14:paraId="103C053C">
      <w:pPr>
        <w:autoSpaceDE w:val="0"/>
        <w:autoSpaceDN w:val="0"/>
        <w:spacing w:line="440" w:lineRule="exact"/>
        <w:textAlignment w:val="bottom"/>
        <w:rPr>
          <w:rFonts w:ascii="宋体" w:hAnsi="宋体" w:cs="Arial"/>
          <w:color w:val="auto"/>
          <w:sz w:val="22"/>
          <w:szCs w:val="22"/>
          <w:highlight w:val="none"/>
        </w:rPr>
      </w:pPr>
    </w:p>
    <w:p w14:paraId="0EDF4DF9">
      <w:pPr>
        <w:autoSpaceDE w:val="0"/>
        <w:autoSpaceDN w:val="0"/>
        <w:spacing w:line="440" w:lineRule="exact"/>
        <w:textAlignment w:val="bottom"/>
        <w:rPr>
          <w:rFonts w:ascii="宋体" w:hAnsi="宋体" w:cs="Arial"/>
          <w:color w:val="auto"/>
          <w:sz w:val="22"/>
          <w:szCs w:val="22"/>
          <w:highlight w:val="none"/>
        </w:rPr>
      </w:pPr>
    </w:p>
    <w:p w14:paraId="78C66534">
      <w:pPr>
        <w:autoSpaceDE w:val="0"/>
        <w:autoSpaceDN w:val="0"/>
        <w:spacing w:line="440" w:lineRule="exact"/>
        <w:textAlignment w:val="bottom"/>
        <w:rPr>
          <w:rFonts w:ascii="宋体" w:hAnsi="宋体" w:cs="Arial"/>
          <w:color w:val="auto"/>
          <w:sz w:val="22"/>
          <w:szCs w:val="22"/>
          <w:highlight w:val="none"/>
        </w:rPr>
      </w:pPr>
    </w:p>
    <w:p w14:paraId="4D74CE6A">
      <w:pPr>
        <w:autoSpaceDE w:val="0"/>
        <w:autoSpaceDN w:val="0"/>
        <w:spacing w:line="440" w:lineRule="exact"/>
        <w:textAlignment w:val="bottom"/>
        <w:rPr>
          <w:rFonts w:ascii="宋体" w:hAnsi="宋体" w:cs="Arial"/>
          <w:color w:val="auto"/>
          <w:sz w:val="22"/>
          <w:szCs w:val="22"/>
          <w:highlight w:val="none"/>
          <w:u w:val="singl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甲    方：</w:t>
      </w:r>
      <w:r>
        <w:rPr>
          <w:rFonts w:hint="eastAsia" w:ascii="宋体" w:hAnsi="宋体" w:cs="Arial"/>
          <w:color w:val="auto"/>
          <w:sz w:val="22"/>
          <w:szCs w:val="22"/>
          <w:highlight w:val="none"/>
          <w:u w:val="single"/>
        </w:rPr>
        <w:t xml:space="preserve">                      </w:t>
      </w:r>
    </w:p>
    <w:p w14:paraId="370E21B9">
      <w:pPr>
        <w:autoSpaceDE w:val="0"/>
        <w:autoSpaceDN w:val="0"/>
        <w:spacing w:line="440" w:lineRule="exact"/>
        <w:textAlignment w:val="bottom"/>
        <w:rPr>
          <w:rFonts w:ascii="宋体" w:hAnsi="宋体" w:cs="Arial"/>
          <w:color w:val="auto"/>
          <w:sz w:val="22"/>
          <w:szCs w:val="22"/>
          <w:highlight w:val="non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乙    方：</w:t>
      </w:r>
      <w:r>
        <w:rPr>
          <w:rFonts w:hint="eastAsia" w:ascii="宋体" w:hAnsi="宋体" w:cs="Arial"/>
          <w:color w:val="auto"/>
          <w:sz w:val="22"/>
          <w:szCs w:val="22"/>
          <w:highlight w:val="none"/>
          <w:u w:val="single"/>
        </w:rPr>
        <w:t xml:space="preserve">                      </w:t>
      </w:r>
    </w:p>
    <w:p w14:paraId="7ED10D43">
      <w:pPr>
        <w:spacing w:line="440" w:lineRule="exact"/>
        <w:rPr>
          <w:rFonts w:ascii="宋体" w:hAnsi="宋体" w:cs="Arial"/>
          <w:color w:val="auto"/>
          <w:sz w:val="22"/>
          <w:szCs w:val="22"/>
          <w:highlight w:val="none"/>
          <w:u w:val="singl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签署日期：</w:t>
      </w:r>
      <w:r>
        <w:rPr>
          <w:rFonts w:hint="eastAsia" w:ascii="宋体" w:hAnsi="宋体" w:cs="Arial"/>
          <w:color w:val="auto"/>
          <w:sz w:val="22"/>
          <w:szCs w:val="22"/>
          <w:highlight w:val="none"/>
          <w:u w:val="single"/>
        </w:rPr>
        <w:t xml:space="preserve">                      </w:t>
      </w:r>
    </w:p>
    <w:p w14:paraId="5ACBFB40">
      <w:pPr>
        <w:spacing w:line="440" w:lineRule="exact"/>
        <w:rPr>
          <w:rFonts w:ascii="宋体" w:hAnsi="宋体"/>
          <w:color w:val="auto"/>
          <w:sz w:val="22"/>
          <w:szCs w:val="22"/>
          <w:highlight w:val="none"/>
        </w:rPr>
      </w:pPr>
    </w:p>
    <w:bookmarkEnd w:id="24"/>
    <w:p w14:paraId="1E60ADC6">
      <w:pPr>
        <w:rPr>
          <w:rFonts w:hint="eastAsia" w:ascii="宋体" w:hAnsi="宋体" w:cs="宋体"/>
          <w:b/>
          <w:color w:val="auto"/>
          <w:sz w:val="30"/>
          <w:szCs w:val="30"/>
          <w:highlight w:val="none"/>
        </w:rPr>
      </w:pPr>
      <w:r>
        <w:rPr>
          <w:rFonts w:hint="eastAsia" w:ascii="宋体" w:hAnsi="宋体" w:cs="宋体"/>
          <w:b/>
          <w:color w:val="auto"/>
          <w:sz w:val="30"/>
          <w:szCs w:val="30"/>
          <w:highlight w:val="none"/>
        </w:rPr>
        <w:br w:type="page"/>
      </w:r>
    </w:p>
    <w:p w14:paraId="60465698">
      <w:pPr>
        <w:snapToGrid w:val="0"/>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（具体条款以甲方为主协商确定）</w:t>
      </w:r>
    </w:p>
    <w:p w14:paraId="276A5FF9">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发包人（甲方）：                  </w:t>
      </w:r>
    </w:p>
    <w:p w14:paraId="2A2CAC48">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承包人（乙方）：                                  </w:t>
      </w:r>
    </w:p>
    <w:p w14:paraId="44481521">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鉴于甲方于</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年</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月</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日接受乙方对</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的投标，双方根据《中华人民共和国民法典》、本项目的</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文件、投标文件及其他有关规定，经双方协商一致，签订本合同，共同遵守。</w:t>
      </w:r>
    </w:p>
    <w:p w14:paraId="75B19823">
      <w:pPr>
        <w:keepNext w:val="0"/>
        <w:keepLines w:val="0"/>
        <w:pageBreakBefore w:val="0"/>
        <w:kinsoku/>
        <w:wordWrap/>
        <w:topLinePunct w:val="0"/>
        <w:bidi w:val="0"/>
        <w:spacing w:line="460" w:lineRule="exact"/>
        <w:ind w:firstLine="541" w:firstLineChars="245"/>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一、</w:t>
      </w:r>
      <w:r>
        <w:rPr>
          <w:rFonts w:hint="eastAsia" w:ascii="新宋体" w:hAnsi="新宋体" w:eastAsia="新宋体" w:cs="新宋体"/>
          <w:b/>
          <w:color w:val="auto"/>
          <w:sz w:val="22"/>
          <w:szCs w:val="22"/>
          <w:highlight w:val="none"/>
        </w:rPr>
        <w:t>合同的组成部分</w:t>
      </w:r>
    </w:p>
    <w:p w14:paraId="7EC0B68E">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(1) 合同主要条款                </w:t>
      </w:r>
    </w:p>
    <w:p w14:paraId="2CCC7B5A">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 中标通知书</w:t>
      </w:r>
    </w:p>
    <w:p w14:paraId="4C49CF99">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(3) 投标分项报价表               </w:t>
      </w:r>
    </w:p>
    <w:p w14:paraId="6915B430">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(4) 技术规格、商务条款偏离表           </w:t>
      </w:r>
    </w:p>
    <w:p w14:paraId="3302C716">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(5) </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内容及要求</w:t>
      </w:r>
    </w:p>
    <w:p w14:paraId="14A31442">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(6) 合同补充条款或说明（如有的话）     </w:t>
      </w:r>
    </w:p>
    <w:p w14:paraId="0B2649C1">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(7) 承诺书      （含询标记录和优惠条件）       </w:t>
      </w:r>
    </w:p>
    <w:p w14:paraId="42F79DDA">
      <w:pPr>
        <w:keepNext w:val="0"/>
        <w:keepLines w:val="0"/>
        <w:pageBreakBefore w:val="0"/>
        <w:kinsoku/>
        <w:wordWrap/>
        <w:topLinePunct w:val="0"/>
        <w:bidi w:val="0"/>
        <w:spacing w:line="460" w:lineRule="exact"/>
        <w:ind w:firstLine="541" w:firstLineChars="245"/>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二、合同价格</w:t>
      </w:r>
    </w:p>
    <w:p w14:paraId="250217BD">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本合同总价为人民币</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万元（大写：</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元整）</w:t>
      </w:r>
    </w:p>
    <w:p w14:paraId="0CDAF176">
      <w:pPr>
        <w:pStyle w:val="334"/>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设备清单：</w:t>
      </w:r>
    </w:p>
    <w:tbl>
      <w:tblPr>
        <w:tblStyle w:val="53"/>
        <w:tblpPr w:leftFromText="180" w:rightFromText="180" w:vertAnchor="text" w:horzAnchor="page" w:tblpX="1417" w:tblpY="331"/>
        <w:tblOverlap w:val="never"/>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1980"/>
        <w:gridCol w:w="720"/>
        <w:gridCol w:w="900"/>
        <w:gridCol w:w="1440"/>
        <w:gridCol w:w="1440"/>
        <w:gridCol w:w="1080"/>
      </w:tblGrid>
      <w:tr w14:paraId="3FBA9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shd w:val="clear" w:color="auto" w:fill="D9D9D9"/>
            <w:vAlign w:val="center"/>
          </w:tcPr>
          <w:p w14:paraId="239914B6">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260" w:type="dxa"/>
            <w:shd w:val="clear" w:color="auto" w:fill="D9D9D9"/>
            <w:vAlign w:val="center"/>
          </w:tcPr>
          <w:p w14:paraId="2418B078">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980" w:type="dxa"/>
            <w:shd w:val="clear" w:color="auto" w:fill="D9D9D9"/>
            <w:vAlign w:val="center"/>
          </w:tcPr>
          <w:p w14:paraId="4C7AF4EB">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品牌、规格型号</w:t>
            </w:r>
          </w:p>
        </w:tc>
        <w:tc>
          <w:tcPr>
            <w:tcW w:w="720" w:type="dxa"/>
            <w:shd w:val="clear" w:color="auto" w:fill="D9D9D9"/>
            <w:vAlign w:val="center"/>
          </w:tcPr>
          <w:p w14:paraId="2EEA450C">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单位</w:t>
            </w:r>
          </w:p>
        </w:tc>
        <w:tc>
          <w:tcPr>
            <w:tcW w:w="900" w:type="dxa"/>
            <w:shd w:val="clear" w:color="auto" w:fill="D9D9D9"/>
            <w:vAlign w:val="center"/>
          </w:tcPr>
          <w:p w14:paraId="7C878AD0">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1440" w:type="dxa"/>
            <w:shd w:val="clear" w:color="auto" w:fill="D9D9D9"/>
            <w:vAlign w:val="center"/>
          </w:tcPr>
          <w:p w14:paraId="015A22FC">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原产地</w:t>
            </w:r>
          </w:p>
        </w:tc>
        <w:tc>
          <w:tcPr>
            <w:tcW w:w="1440" w:type="dxa"/>
            <w:shd w:val="clear" w:color="auto" w:fill="D9D9D9"/>
            <w:vAlign w:val="center"/>
          </w:tcPr>
          <w:p w14:paraId="34A9463C">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制造商</w:t>
            </w:r>
          </w:p>
        </w:tc>
        <w:tc>
          <w:tcPr>
            <w:tcW w:w="1080" w:type="dxa"/>
            <w:shd w:val="clear" w:color="auto" w:fill="D9D9D9"/>
            <w:vAlign w:val="center"/>
          </w:tcPr>
          <w:p w14:paraId="77B04656">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价格（元）</w:t>
            </w:r>
          </w:p>
        </w:tc>
      </w:tr>
      <w:tr w14:paraId="54E14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vAlign w:val="center"/>
          </w:tcPr>
          <w:p w14:paraId="016C386B">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260" w:type="dxa"/>
            <w:vAlign w:val="center"/>
          </w:tcPr>
          <w:p w14:paraId="4FA05154">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980" w:type="dxa"/>
            <w:vAlign w:val="center"/>
          </w:tcPr>
          <w:p w14:paraId="63BEDF85">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720" w:type="dxa"/>
            <w:vAlign w:val="center"/>
          </w:tcPr>
          <w:p w14:paraId="0EE5EF0F">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900" w:type="dxa"/>
            <w:vAlign w:val="center"/>
          </w:tcPr>
          <w:p w14:paraId="425EB3C2">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7A05D76B">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5C105009">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080" w:type="dxa"/>
            <w:vAlign w:val="center"/>
          </w:tcPr>
          <w:p w14:paraId="5D8502EA">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r>
      <w:tr w14:paraId="42807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vAlign w:val="center"/>
          </w:tcPr>
          <w:p w14:paraId="6AB950F7">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260" w:type="dxa"/>
            <w:vAlign w:val="center"/>
          </w:tcPr>
          <w:p w14:paraId="075DC651">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980" w:type="dxa"/>
            <w:vAlign w:val="center"/>
          </w:tcPr>
          <w:p w14:paraId="241689F9">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720" w:type="dxa"/>
            <w:vAlign w:val="center"/>
          </w:tcPr>
          <w:p w14:paraId="008C9A82">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900" w:type="dxa"/>
            <w:vAlign w:val="center"/>
          </w:tcPr>
          <w:p w14:paraId="45960C6E">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0E2C23E4">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0F31607D">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080" w:type="dxa"/>
            <w:vAlign w:val="center"/>
          </w:tcPr>
          <w:p w14:paraId="65CF48EF">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r>
      <w:tr w14:paraId="18AF4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vAlign w:val="center"/>
          </w:tcPr>
          <w:p w14:paraId="3AE02450">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260" w:type="dxa"/>
            <w:vAlign w:val="center"/>
          </w:tcPr>
          <w:p w14:paraId="0D188DC6">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980" w:type="dxa"/>
            <w:vAlign w:val="center"/>
          </w:tcPr>
          <w:p w14:paraId="7B0F420A">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720" w:type="dxa"/>
            <w:vAlign w:val="center"/>
          </w:tcPr>
          <w:p w14:paraId="09727C3F">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900" w:type="dxa"/>
            <w:vAlign w:val="center"/>
          </w:tcPr>
          <w:p w14:paraId="037CA8E9">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1AC9C978">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72088109">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080" w:type="dxa"/>
            <w:vAlign w:val="center"/>
          </w:tcPr>
          <w:p w14:paraId="7367E122">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r>
    </w:tbl>
    <w:p w14:paraId="0135BFDD">
      <w:pPr>
        <w:pStyle w:val="21"/>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所提供机型为2024年1月以后生产的最新机型</w:t>
      </w:r>
    </w:p>
    <w:p w14:paraId="063CD8B1">
      <w:pPr>
        <w:pStyle w:val="21"/>
        <w:keepNext w:val="0"/>
        <w:keepLines w:val="0"/>
        <w:pageBreakBefore w:val="0"/>
        <w:kinsoku/>
        <w:wordWrap/>
        <w:topLinePunct w:val="0"/>
        <w:bidi w:val="0"/>
        <w:adjustRightInd w:val="0"/>
        <w:snapToGrid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三． 交货时间和地点</w:t>
      </w:r>
    </w:p>
    <w:p w14:paraId="74B1805C">
      <w:pPr>
        <w:keepNext w:val="0"/>
        <w:keepLines w:val="0"/>
        <w:pageBreakBefore w:val="0"/>
        <w:kinsoku/>
        <w:wordWrap/>
        <w:topLinePunct w:val="0"/>
        <w:bidi w:val="0"/>
        <w:spacing w:line="460" w:lineRule="exact"/>
        <w:ind w:left="2750" w:hanging="2750" w:hangingChars="1250"/>
        <w:rPr>
          <w:rFonts w:hint="eastAsia" w:ascii="新宋体" w:hAnsi="新宋体" w:eastAsia="新宋体" w:cs="新宋体"/>
          <w:b/>
          <w:bCs/>
          <w:color w:val="auto"/>
          <w:kern w:val="0"/>
          <w:sz w:val="22"/>
          <w:szCs w:val="22"/>
          <w:highlight w:val="none"/>
        </w:rPr>
      </w:pPr>
      <w:r>
        <w:rPr>
          <w:rFonts w:hint="eastAsia" w:ascii="新宋体" w:hAnsi="新宋体" w:eastAsia="新宋体" w:cs="新宋体"/>
          <w:bCs/>
          <w:color w:val="auto"/>
          <w:kern w:val="0"/>
          <w:sz w:val="22"/>
          <w:szCs w:val="22"/>
          <w:highlight w:val="none"/>
        </w:rPr>
        <w:t xml:space="preserve">1.   </w:t>
      </w:r>
      <w:r>
        <w:rPr>
          <w:rFonts w:hint="eastAsia" w:ascii="新宋体" w:hAnsi="新宋体" w:eastAsia="新宋体" w:cs="新宋体"/>
          <w:b/>
          <w:bCs/>
          <w:color w:val="auto"/>
          <w:kern w:val="0"/>
          <w:sz w:val="22"/>
          <w:szCs w:val="22"/>
          <w:highlight w:val="none"/>
        </w:rPr>
        <w:t>安装、交付使用时间：</w:t>
      </w:r>
      <w:r>
        <w:rPr>
          <w:rFonts w:hint="eastAsia" w:ascii="新宋体" w:hAnsi="新宋体" w:eastAsia="新宋体" w:cs="新宋体"/>
          <w:b/>
          <w:bCs/>
          <w:color w:val="auto"/>
          <w:kern w:val="0"/>
          <w:sz w:val="22"/>
          <w:szCs w:val="22"/>
          <w:highlight w:val="none"/>
          <w:u w:val="single"/>
        </w:rPr>
        <w:t>签订合同后30天内完成设备安装调试。</w:t>
      </w:r>
    </w:p>
    <w:p w14:paraId="2CBC7F2B">
      <w:pPr>
        <w:keepNext w:val="0"/>
        <w:keepLines w:val="0"/>
        <w:pageBreakBefore w:val="0"/>
        <w:kinsoku/>
        <w:wordWrap/>
        <w:topLinePunct w:val="0"/>
        <w:bidi w:val="0"/>
        <w:spacing w:line="460" w:lineRule="exact"/>
        <w:rPr>
          <w:rFonts w:hint="eastAsia" w:ascii="新宋体" w:hAnsi="新宋体" w:eastAsia="新宋体" w:cs="新宋体"/>
          <w:bCs/>
          <w:color w:val="auto"/>
          <w:kern w:val="0"/>
          <w:sz w:val="22"/>
          <w:szCs w:val="22"/>
          <w:highlight w:val="none"/>
          <w:u w:val="single"/>
        </w:rPr>
      </w:pPr>
      <w:r>
        <w:rPr>
          <w:rFonts w:hint="eastAsia" w:ascii="新宋体" w:hAnsi="新宋体" w:eastAsia="新宋体" w:cs="新宋体"/>
          <w:bCs/>
          <w:color w:val="auto"/>
          <w:kern w:val="0"/>
          <w:sz w:val="22"/>
          <w:szCs w:val="22"/>
          <w:highlight w:val="none"/>
        </w:rPr>
        <w:t xml:space="preserve">2．  </w:t>
      </w:r>
      <w:r>
        <w:rPr>
          <w:rFonts w:hint="eastAsia" w:ascii="新宋体" w:hAnsi="新宋体" w:eastAsia="新宋体" w:cs="新宋体"/>
          <w:b/>
          <w:bCs/>
          <w:color w:val="auto"/>
          <w:kern w:val="0"/>
          <w:sz w:val="22"/>
          <w:szCs w:val="22"/>
          <w:highlight w:val="none"/>
        </w:rPr>
        <w:t>安装、交付使用地点：</w:t>
      </w:r>
      <w:r>
        <w:rPr>
          <w:rFonts w:hint="eastAsia" w:ascii="新宋体" w:hAnsi="新宋体" w:eastAsia="新宋体" w:cs="新宋体"/>
          <w:b/>
          <w:bCs/>
          <w:color w:val="auto"/>
          <w:kern w:val="0"/>
          <w:sz w:val="22"/>
          <w:szCs w:val="22"/>
          <w:highlight w:val="none"/>
          <w:u w:val="single"/>
        </w:rPr>
        <w:t>甲方指定地点。</w:t>
      </w:r>
    </w:p>
    <w:p w14:paraId="4F0E39C9">
      <w:pPr>
        <w:pStyle w:val="21"/>
        <w:keepNext w:val="0"/>
        <w:keepLines w:val="0"/>
        <w:pageBreakBefore w:val="0"/>
        <w:kinsoku/>
        <w:wordWrap/>
        <w:topLinePunct w:val="0"/>
        <w:bidi w:val="0"/>
        <w:adjustRightInd w:val="0"/>
        <w:snapToGrid w:val="0"/>
        <w:spacing w:line="460" w:lineRule="exact"/>
        <w:rPr>
          <w:rFonts w:hint="eastAsia" w:ascii="新宋体" w:hAnsi="新宋体" w:eastAsia="新宋体" w:cs="新宋体"/>
          <w:b/>
          <w:color w:val="auto"/>
          <w:sz w:val="22"/>
          <w:szCs w:val="22"/>
          <w:highlight w:val="none"/>
        </w:rPr>
      </w:pPr>
      <w:bookmarkStart w:id="27" w:name="_Toc188355457"/>
      <w:bookmarkStart w:id="28" w:name="_Toc175826932"/>
      <w:bookmarkStart w:id="29" w:name="_Toc171189368"/>
      <w:r>
        <w:rPr>
          <w:rFonts w:hint="eastAsia" w:ascii="新宋体" w:hAnsi="新宋体" w:eastAsia="新宋体" w:cs="新宋体"/>
          <w:b/>
          <w:color w:val="auto"/>
          <w:sz w:val="22"/>
          <w:szCs w:val="22"/>
          <w:highlight w:val="none"/>
        </w:rPr>
        <w:t>四． 到货、安装、调试和验收</w:t>
      </w:r>
      <w:bookmarkEnd w:id="27"/>
      <w:bookmarkEnd w:id="28"/>
      <w:bookmarkEnd w:id="29"/>
    </w:p>
    <w:p w14:paraId="0D639A29">
      <w:pPr>
        <w:keepNext w:val="0"/>
        <w:keepLines w:val="0"/>
        <w:pageBreakBefore w:val="0"/>
        <w:kinsoku/>
        <w:wordWrap/>
        <w:topLinePunct w:val="0"/>
        <w:bidi w:val="0"/>
        <w:spacing w:line="460" w:lineRule="exact"/>
        <w:rPr>
          <w:rFonts w:hint="eastAsia" w:ascii="新宋体" w:hAnsi="新宋体" w:eastAsia="新宋体" w:cs="新宋体"/>
          <w:b/>
          <w:color w:val="auto"/>
          <w:spacing w:val="20"/>
          <w:sz w:val="22"/>
          <w:szCs w:val="22"/>
          <w:highlight w:val="none"/>
        </w:rPr>
      </w:pPr>
      <w:r>
        <w:rPr>
          <w:rFonts w:hint="eastAsia" w:ascii="新宋体" w:hAnsi="新宋体" w:eastAsia="新宋体" w:cs="新宋体"/>
          <w:color w:val="auto"/>
          <w:sz w:val="22"/>
          <w:szCs w:val="22"/>
          <w:highlight w:val="none"/>
        </w:rPr>
        <w:t xml:space="preserve">1.   </w:t>
      </w:r>
      <w:r>
        <w:rPr>
          <w:rFonts w:hint="eastAsia" w:ascii="新宋体" w:hAnsi="新宋体" w:eastAsia="新宋体" w:cs="新宋体"/>
          <w:b/>
          <w:color w:val="auto"/>
          <w:sz w:val="22"/>
          <w:szCs w:val="22"/>
          <w:highlight w:val="none"/>
        </w:rPr>
        <w:t>到货</w:t>
      </w:r>
      <w:r>
        <w:rPr>
          <w:rFonts w:hint="eastAsia" w:ascii="新宋体" w:hAnsi="新宋体" w:eastAsia="新宋体" w:cs="新宋体"/>
          <w:b/>
          <w:color w:val="auto"/>
          <w:spacing w:val="20"/>
          <w:sz w:val="22"/>
          <w:szCs w:val="22"/>
          <w:highlight w:val="none"/>
        </w:rPr>
        <w:t xml:space="preserve"> </w:t>
      </w:r>
    </w:p>
    <w:p w14:paraId="71F9F884">
      <w:pPr>
        <w:keepNext w:val="0"/>
        <w:keepLines w:val="0"/>
        <w:pageBreakBefore w:val="0"/>
        <w:kinsoku/>
        <w:wordWrap/>
        <w:topLinePunct w:val="0"/>
        <w:bidi w:val="0"/>
        <w:spacing w:line="460" w:lineRule="exact"/>
        <w:ind w:left="527" w:leftChars="251"/>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乙方必须在合同规定的时间内完成货物的供货。货物到达现场后，乙方必须派员到现场与甲方一起开箱并按供货清单验收,若有缺少或损坏，乙方应立即补足或更换全新同规格产品，直至甲方满意为止。</w:t>
      </w:r>
    </w:p>
    <w:p w14:paraId="23A0DA8B">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2.   </w:t>
      </w:r>
      <w:r>
        <w:rPr>
          <w:rFonts w:hint="eastAsia" w:ascii="新宋体" w:hAnsi="新宋体" w:eastAsia="新宋体" w:cs="新宋体"/>
          <w:b/>
          <w:color w:val="auto"/>
          <w:sz w:val="22"/>
          <w:szCs w:val="22"/>
          <w:highlight w:val="none"/>
        </w:rPr>
        <w:t>安装</w:t>
      </w:r>
    </w:p>
    <w:p w14:paraId="032A6E91">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color w:val="auto"/>
          <w:sz w:val="22"/>
          <w:szCs w:val="22"/>
          <w:highlight w:val="none"/>
        </w:rPr>
      </w:pPr>
      <w:r>
        <w:rPr>
          <w:rFonts w:hint="eastAsia" w:ascii="新宋体" w:hAnsi="新宋体" w:eastAsia="新宋体" w:cs="新宋体"/>
          <w:bCs/>
          <w:color w:val="auto"/>
          <w:kern w:val="0"/>
          <w:sz w:val="22"/>
          <w:szCs w:val="22"/>
          <w:highlight w:val="none"/>
        </w:rPr>
        <w:t xml:space="preserve">2.1  </w:t>
      </w:r>
      <w:r>
        <w:rPr>
          <w:rFonts w:hint="eastAsia" w:ascii="新宋体" w:hAnsi="新宋体" w:eastAsia="新宋体" w:cs="新宋体"/>
          <w:color w:val="auto"/>
          <w:sz w:val="22"/>
          <w:szCs w:val="22"/>
          <w:highlight w:val="none"/>
        </w:rPr>
        <w:t>货物到达甲方指定地点后，乙方应按甲方规定的日期指派工程技术人员对货物进行安装调试，直至通过验收。货物的安装调试及现场培训应在合同规定的期限内完成。</w:t>
      </w:r>
    </w:p>
    <w:p w14:paraId="5FB9C8FA">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Cs/>
          <w:color w:val="auto"/>
          <w:kern w:val="0"/>
          <w:sz w:val="22"/>
          <w:szCs w:val="22"/>
          <w:highlight w:val="none"/>
        </w:rPr>
        <w:t xml:space="preserve">2.2  </w:t>
      </w:r>
      <w:r>
        <w:rPr>
          <w:rFonts w:hint="eastAsia" w:ascii="新宋体" w:hAnsi="新宋体" w:eastAsia="新宋体" w:cs="新宋体"/>
          <w:color w:val="auto"/>
          <w:sz w:val="22"/>
          <w:szCs w:val="22"/>
          <w:highlight w:val="none"/>
        </w:rPr>
        <w:t>设备的安装必须符合有关标准和规范。安装过程中甲方将对货物的安装质量进行监督。</w:t>
      </w:r>
    </w:p>
    <w:p w14:paraId="5BECF5D8">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3.   </w:t>
      </w:r>
      <w:r>
        <w:rPr>
          <w:rFonts w:hint="eastAsia" w:ascii="新宋体" w:hAnsi="新宋体" w:eastAsia="新宋体" w:cs="新宋体"/>
          <w:b/>
          <w:color w:val="auto"/>
          <w:sz w:val="22"/>
          <w:szCs w:val="22"/>
          <w:highlight w:val="none"/>
        </w:rPr>
        <w:t>调试</w:t>
      </w:r>
    </w:p>
    <w:p w14:paraId="299697E4">
      <w:pPr>
        <w:keepNext w:val="0"/>
        <w:keepLines w:val="0"/>
        <w:pageBreakBefore w:val="0"/>
        <w:kinsoku/>
        <w:wordWrap/>
        <w:topLinePunct w:val="0"/>
        <w:bidi w:val="0"/>
        <w:spacing w:line="460" w:lineRule="exact"/>
        <w:ind w:left="548" w:leftChars="261"/>
        <w:rPr>
          <w:rFonts w:hint="eastAsia" w:ascii="新宋体" w:hAnsi="新宋体" w:eastAsia="新宋体" w:cs="新宋体"/>
          <w:color w:val="auto"/>
          <w:sz w:val="22"/>
          <w:szCs w:val="22"/>
          <w:highlight w:val="none"/>
        </w:rPr>
      </w:pPr>
      <w:r>
        <w:rPr>
          <w:rFonts w:hint="eastAsia" w:ascii="新宋体" w:hAnsi="新宋体" w:eastAsia="新宋体" w:cs="新宋体"/>
          <w:bCs/>
          <w:color w:val="auto"/>
          <w:kern w:val="0"/>
          <w:sz w:val="22"/>
          <w:szCs w:val="22"/>
          <w:highlight w:val="none"/>
        </w:rPr>
        <w:t>货物安装就位、校准后，乙方应按事先被甲方认可的调试验收计划对货物进行调试，并对货物所标注的各项技术参数进行测试，测试报告将在货物验收完毕后提交给甲方，但乙方应对测试的各种数据的真实性负责。</w:t>
      </w:r>
      <w:r>
        <w:rPr>
          <w:rFonts w:hint="eastAsia" w:ascii="新宋体" w:hAnsi="新宋体" w:eastAsia="新宋体" w:cs="新宋体"/>
          <w:color w:val="auto"/>
          <w:sz w:val="22"/>
          <w:szCs w:val="22"/>
          <w:highlight w:val="none"/>
        </w:rPr>
        <w:t>甲方也可以要求具有检测资质的第三方用专用仪器对货物进行功能 、性能测试，乙方负责所需的一切费用。</w:t>
      </w:r>
    </w:p>
    <w:p w14:paraId="60E9B9CC">
      <w:pPr>
        <w:keepNext w:val="0"/>
        <w:keepLines w:val="0"/>
        <w:pageBreakBefore w:val="0"/>
        <w:numPr>
          <w:ilvl w:val="0"/>
          <w:numId w:val="2"/>
        </w:numPr>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验收</w:t>
      </w:r>
    </w:p>
    <w:p w14:paraId="0FB1AA7F">
      <w:pPr>
        <w:keepNext w:val="0"/>
        <w:keepLines w:val="0"/>
        <w:pageBreakBefore w:val="0"/>
        <w:kinsoku/>
        <w:wordWrap/>
        <w:topLinePunct w:val="0"/>
        <w:bidi w:val="0"/>
        <w:spacing w:line="460" w:lineRule="exact"/>
        <w:ind w:left="548" w:leftChars="261"/>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货物经过试运行考核无故障（或存在的故障和隐患均已全部排除），并经相关部门检验合格，所有的技术资料和图纸已向甲方提交并被接受，验收视为合格，买卖双方签署验收合格证书。 若因乙方产品质量或安装技术问题导致验收不合格，乙方应及时予以处理，直至验收合格，期间发生的一切相关费用由乙方承担，甲方保留向乙方索赔的权利。</w:t>
      </w:r>
    </w:p>
    <w:p w14:paraId="72BF696C">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   若因乙方产品质量或安装技术问题导致货物二次验收都不合格，甲方有权选择退货，并保留向乙方索赔的权利。</w:t>
      </w:r>
    </w:p>
    <w:p w14:paraId="04031681">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6.   </w:t>
      </w:r>
      <w:r>
        <w:rPr>
          <w:rFonts w:hint="eastAsia" w:ascii="新宋体" w:hAnsi="新宋体" w:eastAsia="新宋体" w:cs="新宋体"/>
          <w:bCs/>
          <w:color w:val="auto"/>
          <w:kern w:val="0"/>
          <w:sz w:val="22"/>
          <w:szCs w:val="22"/>
          <w:highlight w:val="none"/>
        </w:rPr>
        <w:t>乙方在货物到货、安装、调试和验收期间应接受甲方的协调和管理，乙方应采取严格的防范措施，承担由于自身原因所造成的事故责任及其发生的一切费用。</w:t>
      </w:r>
    </w:p>
    <w:p w14:paraId="0F54D093">
      <w:pPr>
        <w:keepNext w:val="0"/>
        <w:keepLines w:val="0"/>
        <w:pageBreakBefore w:val="0"/>
        <w:kinsoku/>
        <w:wordWrap/>
        <w:topLinePunct w:val="0"/>
        <w:bidi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五． 技术文件资料的交付</w:t>
      </w:r>
    </w:p>
    <w:p w14:paraId="51763073">
      <w:pPr>
        <w:keepNext w:val="0"/>
        <w:keepLines w:val="0"/>
        <w:pageBreakBefore w:val="0"/>
        <w:kinsoku/>
        <w:wordWrap/>
        <w:topLinePunct w:val="0"/>
        <w:bidi w:val="0"/>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  货物交货的同时应提供下列资料：</w:t>
      </w:r>
    </w:p>
    <w:p w14:paraId="78E445B6">
      <w:pPr>
        <w:keepNext w:val="0"/>
        <w:keepLines w:val="0"/>
        <w:pageBreakBefore w:val="0"/>
        <w:kinsoku/>
        <w:wordWrap/>
        <w:topLinePunct w:val="0"/>
        <w:bidi w:val="0"/>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1.1  随机的易损件、备品备件及特殊专用工具清单（如有）</w:t>
      </w:r>
    </w:p>
    <w:p w14:paraId="67FAA90D">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1.2  相关的检验检测报告、合格证书、产品说明书、技术资料、操作手册、检修保养手册等技术资料。</w:t>
      </w:r>
    </w:p>
    <w:p w14:paraId="016BF6C1">
      <w:pPr>
        <w:keepNext w:val="0"/>
        <w:keepLines w:val="0"/>
        <w:pageBreakBefore w:val="0"/>
        <w:kinsoku/>
        <w:wordWrap/>
        <w:topLinePunct w:val="0"/>
        <w:bidi w:val="0"/>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1.3  电气原理图，各系统功能及设备制作、安装说明。</w:t>
      </w:r>
    </w:p>
    <w:p w14:paraId="70AC017F">
      <w:pPr>
        <w:pStyle w:val="21"/>
        <w:keepNext w:val="0"/>
        <w:keepLines w:val="0"/>
        <w:pageBreakBefore w:val="0"/>
        <w:kinsoku/>
        <w:wordWrap/>
        <w:topLinePunct w:val="0"/>
        <w:bidi w:val="0"/>
        <w:adjustRightInd w:val="0"/>
        <w:snapToGrid w:val="0"/>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六． 货物质量保证和标准</w:t>
      </w:r>
    </w:p>
    <w:p w14:paraId="679B13D7">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 xml:space="preserve">1.   </w:t>
      </w:r>
      <w:r>
        <w:rPr>
          <w:rFonts w:hint="eastAsia" w:ascii="新宋体" w:hAnsi="新宋体" w:eastAsia="新宋体" w:cs="新宋体"/>
          <w:b/>
          <w:color w:val="auto"/>
          <w:sz w:val="22"/>
          <w:szCs w:val="22"/>
          <w:highlight w:val="none"/>
        </w:rPr>
        <w:t>本项目所有产品应提供自货物验收合格并交付使用后至少</w:t>
      </w:r>
      <w:r>
        <w:rPr>
          <w:rFonts w:hint="eastAsia" w:ascii="新宋体" w:hAnsi="新宋体" w:eastAsia="新宋体" w:cs="新宋体"/>
          <w:b/>
          <w:color w:val="auto"/>
          <w:sz w:val="22"/>
          <w:szCs w:val="22"/>
          <w:highlight w:val="none"/>
          <w:u w:val="single"/>
          <w:lang w:val="en-US" w:eastAsia="zh-CN"/>
        </w:rPr>
        <w:t xml:space="preserve">     </w:t>
      </w:r>
      <w:r>
        <w:rPr>
          <w:rFonts w:hint="eastAsia" w:ascii="新宋体" w:hAnsi="新宋体" w:eastAsia="新宋体" w:cs="新宋体"/>
          <w:b/>
          <w:color w:val="auto"/>
          <w:sz w:val="22"/>
          <w:szCs w:val="22"/>
          <w:highlight w:val="none"/>
        </w:rPr>
        <w:t>年</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b/>
          <w:color w:val="auto"/>
          <w:sz w:val="22"/>
          <w:szCs w:val="22"/>
          <w:highlight w:val="none"/>
          <w:u w:val="single"/>
          <w:lang w:val="en-US" w:eastAsia="zh-CN"/>
        </w:rPr>
        <w:t xml:space="preserve">      </w:t>
      </w:r>
      <w:r>
        <w:rPr>
          <w:rFonts w:hint="eastAsia" w:ascii="新宋体" w:hAnsi="新宋体" w:eastAsia="新宋体" w:cs="新宋体"/>
          <w:b/>
          <w:color w:val="auto"/>
          <w:sz w:val="22"/>
          <w:szCs w:val="22"/>
          <w:highlight w:val="none"/>
        </w:rPr>
        <w:t>个月）的现场免费质保期，如厂商本身承诺的产品质保期高于此要求的则按照厂商承诺执行在质量保证期内，乙方对由于产品设计、工艺、材料、配套件的缺陷而造成的任何产品质量问题或故障负责。</w:t>
      </w:r>
    </w:p>
    <w:p w14:paraId="444D14E6">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  货物的设计、制造、质量验收标准应符合国家（或国际）最新颁布的有关标准/规范要求或相应的国际标准。</w:t>
      </w:r>
    </w:p>
    <w:p w14:paraId="69AE30FB">
      <w:pPr>
        <w:keepNext w:val="0"/>
        <w:keepLines w:val="0"/>
        <w:pageBreakBefore w:val="0"/>
        <w:kinsoku/>
        <w:wordWrap/>
        <w:topLinePunct w:val="0"/>
        <w:bidi w:val="0"/>
        <w:spacing w:line="460" w:lineRule="exact"/>
        <w:ind w:left="537" w:hanging="536" w:hangingChars="244"/>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3．  凡需国家强制性认证或节能环保认证的产品、需提供国家权威部门出具的证书和认证标志。</w:t>
      </w:r>
    </w:p>
    <w:p w14:paraId="0216FF44">
      <w:pPr>
        <w:pStyle w:val="334"/>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Cs/>
          <w:color w:val="auto"/>
          <w:kern w:val="0"/>
          <w:sz w:val="22"/>
          <w:szCs w:val="22"/>
          <w:highlight w:val="none"/>
        </w:rPr>
        <w:t xml:space="preserve">4.   </w:t>
      </w:r>
      <w:r>
        <w:rPr>
          <w:rFonts w:hint="eastAsia" w:ascii="新宋体" w:hAnsi="新宋体" w:eastAsia="新宋体" w:cs="新宋体"/>
          <w:color w:val="auto"/>
          <w:sz w:val="22"/>
          <w:szCs w:val="22"/>
          <w:highlight w:val="none"/>
        </w:rPr>
        <w:t>操作及分析软件终身免费升级。</w:t>
      </w:r>
    </w:p>
    <w:p w14:paraId="2D1491A8">
      <w:pPr>
        <w:keepNext w:val="0"/>
        <w:keepLines w:val="0"/>
        <w:pageBreakBefore w:val="0"/>
        <w:kinsoku/>
        <w:wordWrap/>
        <w:topLinePunct w:val="0"/>
        <w:bidi w:val="0"/>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七． 技术服务和人员培训</w:t>
      </w:r>
    </w:p>
    <w:p w14:paraId="433A0D9B">
      <w:pPr>
        <w:keepNext w:val="0"/>
        <w:keepLines w:val="0"/>
        <w:pageBreakBefore w:val="0"/>
        <w:kinsoku/>
        <w:wordWrap/>
        <w:topLinePunct w:val="0"/>
        <w:bidi w:val="0"/>
        <w:spacing w:line="460" w:lineRule="exact"/>
        <w:ind w:left="537" w:hanging="536" w:hangingChars="244"/>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   维修技术服务。出现质量问题而甲方无法自行解决的，乙方在接到甲方的维修电话或传真通知后</w:t>
      </w:r>
      <w:r>
        <w:rPr>
          <w:rFonts w:hint="eastAsia" w:ascii="新宋体" w:hAnsi="新宋体" w:eastAsia="新宋体" w:cs="新宋体"/>
          <w:bCs/>
          <w:color w:val="auto"/>
          <w:kern w:val="0"/>
          <w:sz w:val="22"/>
          <w:szCs w:val="22"/>
          <w:highlight w:val="none"/>
          <w:u w:val="single"/>
          <w:lang w:val="en-US" w:eastAsia="zh-CN"/>
        </w:rPr>
        <w:t xml:space="preserve">    </w:t>
      </w:r>
      <w:r>
        <w:rPr>
          <w:rFonts w:hint="eastAsia" w:ascii="新宋体" w:hAnsi="新宋体" w:eastAsia="新宋体" w:cs="新宋体"/>
          <w:bCs/>
          <w:color w:val="auto"/>
          <w:kern w:val="0"/>
          <w:sz w:val="22"/>
          <w:szCs w:val="22"/>
          <w:highlight w:val="none"/>
        </w:rPr>
        <w:t>小时内作出响应，电话沟通无法解决的，乙方维修人员应在</w:t>
      </w:r>
      <w:r>
        <w:rPr>
          <w:rFonts w:hint="eastAsia" w:ascii="新宋体" w:hAnsi="新宋体" w:eastAsia="新宋体" w:cs="新宋体"/>
          <w:bCs/>
          <w:color w:val="auto"/>
          <w:kern w:val="0"/>
          <w:sz w:val="22"/>
          <w:szCs w:val="22"/>
          <w:highlight w:val="none"/>
          <w:u w:val="single"/>
          <w:lang w:val="en-US" w:eastAsia="zh-CN"/>
        </w:rPr>
        <w:t xml:space="preserve">    </w:t>
      </w:r>
      <w:r>
        <w:rPr>
          <w:rFonts w:hint="eastAsia" w:ascii="新宋体" w:hAnsi="新宋体" w:eastAsia="新宋体" w:cs="新宋体"/>
          <w:bCs/>
          <w:color w:val="auto"/>
          <w:kern w:val="0"/>
          <w:sz w:val="22"/>
          <w:szCs w:val="22"/>
          <w:highlight w:val="none"/>
        </w:rPr>
        <w:t>小时内到达现场进行维修（包括更换零部件），排除故障，重大质量问题一时无法解决的，乙方应提出解决问题的应急处理预案。提供7×24小时电话咨询服务。</w:t>
      </w:r>
    </w:p>
    <w:p w14:paraId="43CB68D0">
      <w:pPr>
        <w:keepNext w:val="0"/>
        <w:keepLines w:val="0"/>
        <w:pageBreakBefore w:val="0"/>
        <w:kinsoku/>
        <w:wordWrap/>
        <w:topLinePunct w:val="0"/>
        <w:bidi w:val="0"/>
        <w:spacing w:line="460" w:lineRule="exact"/>
        <w:ind w:left="537" w:hanging="536" w:hangingChars="244"/>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  合同规定的期限内，乙方应派遣有经验的工程技术人员在安装调试现场对甲方指派人员进行操作和保养培训，使其能独立操作、维护、包养。培训计划方案（培训人数、时间、地点、教材、费用）应在投标文件中详细说明。其费用可单独报价，计入投标总价，如免费培训需在投标文件中作出说明。</w:t>
      </w:r>
    </w:p>
    <w:p w14:paraId="411CC06A">
      <w:pPr>
        <w:keepNext w:val="0"/>
        <w:keepLines w:val="0"/>
        <w:pageBreakBefore w:val="0"/>
        <w:kinsoku/>
        <w:wordWrap/>
        <w:topLinePunct w:val="0"/>
        <w:bidi w:val="0"/>
        <w:spacing w:line="460" w:lineRule="exact"/>
        <w:ind w:left="537" w:hanging="536" w:hangingChars="244"/>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3．  质保期内，乙方需免费提供每年不少于1次的回访维护保养。</w:t>
      </w:r>
    </w:p>
    <w:p w14:paraId="49527B10">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4．  质保期满后，乙方工程技术、维修人员也须不定期的进行回访，并为甲方提供优质、优价的终身维修和产品维护保养。</w:t>
      </w:r>
    </w:p>
    <w:p w14:paraId="3004D097">
      <w:pPr>
        <w:pStyle w:val="21"/>
        <w:keepNext w:val="0"/>
        <w:keepLines w:val="0"/>
        <w:pageBreakBefore w:val="0"/>
        <w:kinsoku/>
        <w:wordWrap/>
        <w:topLinePunct w:val="0"/>
        <w:bidi w:val="0"/>
        <w:adjustRightInd w:val="0"/>
        <w:snapToGrid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八． 付款方式与结算</w:t>
      </w:r>
    </w:p>
    <w:p w14:paraId="3CE72DE1">
      <w:pPr>
        <w:keepNext w:val="0"/>
        <w:keepLines w:val="0"/>
        <w:pageBreakBefore w:val="0"/>
        <w:kinsoku/>
        <w:wordWrap/>
        <w:topLinePunct w:val="0"/>
        <w:bidi w:val="0"/>
        <w:spacing w:line="460" w:lineRule="exact"/>
        <w:ind w:left="638" w:leftChars="304" w:firstLine="0" w:firstLineChars="0"/>
        <w:rPr>
          <w:rFonts w:hint="eastAsia" w:ascii="新宋体" w:hAnsi="新宋体" w:eastAsia="新宋体" w:cs="新宋体"/>
          <w:bCs/>
          <w:color w:val="auto"/>
          <w:kern w:val="0"/>
          <w:sz w:val="22"/>
          <w:szCs w:val="22"/>
          <w:highlight w:val="none"/>
        </w:rPr>
      </w:pPr>
      <w:r>
        <w:rPr>
          <w:rFonts w:hint="eastAsia" w:ascii="新宋体" w:hAnsi="新宋体" w:eastAsia="新宋体" w:cs="新宋体"/>
          <w:b/>
          <w:bCs w:val="0"/>
          <w:color w:val="auto"/>
          <w:sz w:val="22"/>
          <w:szCs w:val="22"/>
          <w:highlight w:val="none"/>
        </w:rPr>
        <w:t>付款方式：合同签订后7个工作日，甲方支付全部货款的40%作为预付款（乙方应先开具同等金额的国家税务发票，否则因此造成的责任由供应商自行承担，如乙方能提供全部货款剩余60%金额的银行、保险机构或其他金融机构（包括融资担保公司）保函并开具同等金额的国家税务发票，甲方将支付该款项，待验收合格后无息退还该保函），无保函待全部货物验收合格后7个工作日内甲方支付全部货款</w:t>
      </w:r>
      <w:r>
        <w:rPr>
          <w:rFonts w:hint="eastAsia" w:ascii="新宋体" w:hAnsi="新宋体" w:eastAsia="新宋体" w:cs="新宋体"/>
          <w:b/>
          <w:bCs w:val="0"/>
          <w:color w:val="auto"/>
          <w:kern w:val="0"/>
          <w:sz w:val="22"/>
          <w:szCs w:val="22"/>
          <w:highlight w:val="none"/>
        </w:rPr>
        <w:t>剩余的60%（乙方应先开具同等金额的发票，否则因此造成的责任由乙方自行承担）。</w:t>
      </w:r>
    </w:p>
    <w:p w14:paraId="2A4CBAF3">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九、履约延误</w:t>
      </w:r>
    </w:p>
    <w:p w14:paraId="4B178359">
      <w:pPr>
        <w:keepNext w:val="0"/>
        <w:keepLines w:val="0"/>
        <w:pageBreakBefore w:val="0"/>
        <w:kinsoku/>
        <w:wordWrap/>
        <w:topLinePunct w:val="0"/>
        <w:bidi w:val="0"/>
        <w:spacing w:line="460" w:lineRule="exact"/>
        <w:ind w:left="440" w:hanging="440" w:hanging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9.1 </w:t>
      </w:r>
      <w:r>
        <w:rPr>
          <w:rFonts w:hint="eastAsia" w:ascii="新宋体" w:hAnsi="新宋体" w:eastAsia="新宋体" w:cs="新宋体"/>
          <w:bCs/>
          <w:color w:val="auto"/>
          <w:sz w:val="22"/>
          <w:szCs w:val="22"/>
          <w:highlight w:val="none"/>
        </w:rPr>
        <w:t>除不可抗力外（买、卖双方明确当前新型冠状病毒肺炎的疫情情况不构成本合同所称的不可抗力），</w:t>
      </w:r>
      <w:r>
        <w:rPr>
          <w:rFonts w:hint="eastAsia" w:ascii="新宋体" w:hAnsi="新宋体" w:eastAsia="新宋体" w:cs="新宋体"/>
          <w:color w:val="auto"/>
          <w:sz w:val="22"/>
          <w:szCs w:val="22"/>
          <w:highlight w:val="none"/>
        </w:rPr>
        <w:t>乙方应按照合同规定的时间交货和提供服务。在履行合同过程中，如果乙方遇到妨碍按时交货和提供服务的情况时，应及时以书面形式将延误的事实、可能拖延的时间和原因通知甲方。甲方在收到乙方通知后，应尽快对情况进行分析评价，并确定是否同意延长交货时间以及是否收取误期赔偿费。延期应通过修改合同的方式由双方认可。</w:t>
      </w:r>
    </w:p>
    <w:p w14:paraId="4606AE94">
      <w:pPr>
        <w:keepNext w:val="0"/>
        <w:keepLines w:val="0"/>
        <w:pageBreakBefore w:val="0"/>
        <w:kinsoku/>
        <w:wordWrap/>
        <w:topLinePunct w:val="0"/>
        <w:bidi w:val="0"/>
        <w:spacing w:line="460" w:lineRule="exact"/>
        <w:ind w:left="425" w:hanging="424" w:hangingChars="19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9.2 除了合同条款中不可抗力原因或甲方同意延误并不收取赔偿费外，乙方延误交货或提供服务将按合同条款第10条规定被收取误期赔偿费。</w:t>
      </w:r>
    </w:p>
    <w:p w14:paraId="5EB839E5">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 违约终止合同</w:t>
      </w:r>
    </w:p>
    <w:p w14:paraId="47E96B36">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10.1 甲方在乙方违约的情况下，如果发生下列情况之一，可考虑终止部分或全部合同：</w:t>
      </w:r>
    </w:p>
    <w:p w14:paraId="4D0E18E0">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（1）乙方未能在合同规定的期限内或甲方同意延长的期限内提供全部或部分的货物和服务；</w:t>
      </w:r>
    </w:p>
    <w:p w14:paraId="7D64DF5D">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乙方未能履行合同规定的任何其他义务或其投标承诺。乙方在收到甲方发出的违约通知后3天内，或经甲方书面认可延长的时间内未能纠正其过失。甲方可向乙方发出书面通知，终止部分或全部合同，通知到达乙方时合同即行解除。在这种情况下，并不影响甲方向乙方提出的索赔。</w:t>
      </w:r>
    </w:p>
    <w:p w14:paraId="1ED40DA1">
      <w:pPr>
        <w:keepNext w:val="0"/>
        <w:keepLines w:val="0"/>
        <w:pageBreakBefore w:val="0"/>
        <w:kinsoku/>
        <w:wordWrap/>
        <w:topLinePunct w:val="0"/>
        <w:bidi w:val="0"/>
        <w:spacing w:line="460" w:lineRule="exact"/>
        <w:ind w:left="549" w:leftChars="52" w:hanging="440" w:hanging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10.2如果甲方根据上述第10.1条的规定，终止了部分合同，甲方可以依其认为适当的条件和方法购买与未交产品类似的货物或服务，乙方应承担甲方因购买类似货物或服务而产生的额外支出。但是，乙方应继续执行合同中未终止的部分。</w:t>
      </w:r>
    </w:p>
    <w:p w14:paraId="2463D717">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十一. 违约赔偿费</w:t>
      </w:r>
    </w:p>
    <w:p w14:paraId="522816BD">
      <w:pPr>
        <w:keepNext w:val="0"/>
        <w:keepLines w:val="0"/>
        <w:pageBreakBefore w:val="0"/>
        <w:kinsoku/>
        <w:wordWrap/>
        <w:topLinePunct w:val="0"/>
        <w:bidi w:val="0"/>
        <w:spacing w:line="460" w:lineRule="exact"/>
        <w:ind w:left="325" w:leftChars="1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除不可抗力及甲方原因外，如乙方发生不能按时履约等情况，应及时以书面形式通知甲方。双方应本着友好的态度进行协商，妥善解决。如协商无效，按下列办法处以罚金：</w:t>
      </w:r>
    </w:p>
    <w:p w14:paraId="6982ABDE">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如果乙方未按照合同规定的时间完成交货，每延误一天的赔偿费按合同价的百分之零点二（0.2%）计收，直至最终通过验收并交付甲方使用为止。误期赔偿费最高限额为合同价的百分之五（5%）。一旦延到误期赔偿费的最高限额，甲方可考虑终止合同，并保留向乙方进一步索赔的权利。</w:t>
      </w:r>
    </w:p>
    <w:p w14:paraId="7E6108B6">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（2）乙方因自身原因不能履行合同或擅自中途单方面取消履行合同义务，应向甲方偿付违约赔偿金，违约赔偿金按合同费的20％计算。</w:t>
      </w:r>
    </w:p>
    <w:p w14:paraId="75249077">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（3）如出现以上本条前二款违约情形或因乙方违反本合同其他条款约定导致合同终止的，乙方应全额退还甲方预付款。</w:t>
      </w:r>
    </w:p>
    <w:p w14:paraId="125CECAE">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（4）经双方友好协商同意延期交货或经双方友好协商同意退货无须罚款则不在此例。</w:t>
      </w:r>
    </w:p>
    <w:p w14:paraId="605C7A0A">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十二. 知识产权</w:t>
      </w:r>
    </w:p>
    <w:p w14:paraId="47DC73BE">
      <w:pPr>
        <w:keepNext w:val="0"/>
        <w:keepLines w:val="0"/>
        <w:pageBreakBefore w:val="0"/>
        <w:kinsoku/>
        <w:wordWrap/>
        <w:topLinePunct w:val="0"/>
        <w:bidi w:val="0"/>
        <w:spacing w:line="460" w:lineRule="exact"/>
        <w:ind w:left="393" w:leftChars="187"/>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乙方应保证，甲方在使用其提供货物或货物的任何一部分时，免受第三方提出的侵犯其专利权、商标权、版权和工业设计权的指控。任何涉及的知识产权纠纷，均由乙方承担全部经济、法律等责任。</w:t>
      </w:r>
    </w:p>
    <w:p w14:paraId="270C5FC2">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十三. 不可抗力</w:t>
      </w:r>
    </w:p>
    <w:p w14:paraId="6F6842F6">
      <w:pPr>
        <w:keepNext w:val="0"/>
        <w:keepLines w:val="0"/>
        <w:pageBreakBefore w:val="0"/>
        <w:kinsoku/>
        <w:wordWrap/>
        <w:topLinePunct w:val="0"/>
        <w:bidi w:val="0"/>
        <w:spacing w:line="460" w:lineRule="exact"/>
        <w:ind w:left="439" w:leftChars="209"/>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如果双方中任何一方由于战争、严重火灾、水灾、破坏性台风和地震以及其它经双方同意属不可抗力的事故，致使合同履行受阻时，履行合同期限应予延长，延长时限应相当于事故所影响的时间，或双方协商解决。</w:t>
      </w:r>
    </w:p>
    <w:p w14:paraId="6F884CA7">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十四.  转让和分包及产品不可替代</w:t>
      </w:r>
    </w:p>
    <w:p w14:paraId="21F1F821">
      <w:pPr>
        <w:keepNext w:val="0"/>
        <w:keepLines w:val="0"/>
        <w:pageBreakBefore w:val="0"/>
        <w:kinsoku/>
        <w:wordWrap/>
        <w:topLinePunct w:val="0"/>
        <w:bidi w:val="0"/>
        <w:spacing w:line="460" w:lineRule="exact"/>
        <w:ind w:left="715" w:hanging="715" w:hangingChars="32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14.1 未经甲方事先书面同意，乙方不得转让和分包其履行合同的义务。</w:t>
      </w:r>
    </w:p>
    <w:p w14:paraId="04EC5AB8">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14.2 产品不可替代，乙方在没有取得甲方的书面授权的情况下，不得将合同货物的生产制造转交其他生产厂商代工或以其他厂商的产品替代。</w:t>
      </w:r>
    </w:p>
    <w:p w14:paraId="6E647190">
      <w:pPr>
        <w:keepNext w:val="0"/>
        <w:keepLines w:val="0"/>
        <w:pageBreakBefore w:val="0"/>
        <w:kinsoku/>
        <w:wordWrap/>
        <w:topLinePunct w:val="0"/>
        <w:bidi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十五．争端的解决</w:t>
      </w:r>
    </w:p>
    <w:p w14:paraId="0EF50BDD">
      <w:pPr>
        <w:keepNext w:val="0"/>
        <w:keepLines w:val="0"/>
        <w:pageBreakBefore w:val="0"/>
        <w:kinsoku/>
        <w:wordWrap/>
        <w:topLinePunct w:val="0"/>
        <w:bidi w:val="0"/>
        <w:spacing w:line="460" w:lineRule="exact"/>
        <w:ind w:left="635" w:leftChars="-15" w:hanging="666" w:hangingChars="30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15.1 凡有关本合同实施或与执行本合同中发生的一切争端，双方应通过友好协商，妥善解决。如通过协商还不能解决，可向甲方所在地人民法院提起诉讼。</w:t>
      </w:r>
      <w:bookmarkStart w:id="30" w:name="_Toc84779282"/>
    </w:p>
    <w:p w14:paraId="4F59F621">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15.2诉讼费用除人民法院另有裁决外，由败诉方承担。</w:t>
      </w:r>
    </w:p>
    <w:p w14:paraId="5B5CB03C">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15.3在诉讼期间，除正在进行裁定的部分外，本合同其他部分应继续执行。</w:t>
      </w:r>
    </w:p>
    <w:bookmarkEnd w:id="30"/>
    <w:p w14:paraId="645E0BF3">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16. 合同生效及其他</w:t>
      </w:r>
    </w:p>
    <w:p w14:paraId="5AA39092">
      <w:pPr>
        <w:keepNext w:val="0"/>
        <w:keepLines w:val="0"/>
        <w:pageBreakBefore w:val="0"/>
        <w:kinsoku/>
        <w:wordWrap/>
        <w:overflowPunct w:val="0"/>
        <w:topLinePunct w:val="0"/>
        <w:bidi w:val="0"/>
        <w:spacing w:line="4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16.1合同生效：本合同自甲乙双方法定代表人签字、盖章之日起生效；</w:t>
      </w:r>
    </w:p>
    <w:p w14:paraId="1C2A3057">
      <w:pPr>
        <w:keepNext w:val="0"/>
        <w:keepLines w:val="0"/>
        <w:pageBreakBefore w:val="0"/>
        <w:kinsoku/>
        <w:wordWrap/>
        <w:overflowPunct w:val="0"/>
        <w:topLinePunct w:val="0"/>
        <w:bidi w:val="0"/>
        <w:spacing w:line="4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16.2合同终止：本合同出现以下情况时终止。</w:t>
      </w:r>
    </w:p>
    <w:p w14:paraId="7DAEE5DC">
      <w:pPr>
        <w:keepNext w:val="0"/>
        <w:keepLines w:val="0"/>
        <w:pageBreakBefore w:val="0"/>
        <w:kinsoku/>
        <w:wordWrap/>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1、期限届满时自行终止。</w:t>
      </w:r>
    </w:p>
    <w:p w14:paraId="53967052">
      <w:pPr>
        <w:keepNext w:val="0"/>
        <w:keepLines w:val="0"/>
        <w:pageBreakBefore w:val="0"/>
        <w:kinsoku/>
        <w:wordWrap/>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2、乙方未能在合同规定的期限内或甲方同意延长的期限内提供全部或部分的货物和服务；</w:t>
      </w:r>
    </w:p>
    <w:p w14:paraId="6F70C038">
      <w:pPr>
        <w:keepNext w:val="0"/>
        <w:keepLines w:val="0"/>
        <w:pageBreakBefore w:val="0"/>
        <w:kinsoku/>
        <w:wordWrap/>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乙方未能履行合同规定义务，在收到甲方发出的违约整改通知后5个日历日内，或经甲方书面认可延长的时间内未能纠正其过失，甲方有权单方终止合同；甲方向乙方发出的终止合同书面通知函送达乙方，合同即时解除。</w:t>
      </w:r>
    </w:p>
    <w:p w14:paraId="70090831">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rPr>
        <w:t xml:space="preserve">十七. </w:t>
      </w:r>
      <w:r>
        <w:rPr>
          <w:rFonts w:hint="eastAsia" w:ascii="新宋体" w:hAnsi="新宋体" w:eastAsia="新宋体" w:cs="新宋体"/>
          <w:b/>
          <w:bCs/>
          <w:color w:val="auto"/>
          <w:sz w:val="22"/>
          <w:szCs w:val="22"/>
          <w:highlight w:val="none"/>
        </w:rPr>
        <w:t>合同份数及其他</w:t>
      </w:r>
    </w:p>
    <w:p w14:paraId="2ED4ED97">
      <w:pPr>
        <w:keepNext w:val="0"/>
        <w:keepLines w:val="0"/>
        <w:pageBreakBefore w:val="0"/>
        <w:kinsoku/>
        <w:wordWrap/>
        <w:topLinePunct w:val="0"/>
        <w:bidi w:val="0"/>
        <w:spacing w:line="460" w:lineRule="exact"/>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17.1  本合同一式伍份，甲方执贰份，乙方执贰份，</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代理机构壹份，具有同等效力。</w:t>
      </w:r>
    </w:p>
    <w:p w14:paraId="5B05E43F">
      <w:pPr>
        <w:keepNext w:val="0"/>
        <w:keepLines w:val="0"/>
        <w:pageBreakBefore w:val="0"/>
        <w:kinsoku/>
        <w:wordWrap/>
        <w:topLinePunct w:val="0"/>
        <w:bidi w:val="0"/>
        <w:spacing w:line="460" w:lineRule="exact"/>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17.2  如需修改或补充合同内容，经协商，双方应签署书面修改或补充协议，该协议将作为本合同的一个组成部分。</w:t>
      </w:r>
    </w:p>
    <w:p w14:paraId="49890D8C">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甲    方：（印章）                    乙    方：（印章）</w:t>
      </w:r>
    </w:p>
    <w:p w14:paraId="0B16169C">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全权代表：（签字）                    全权代表：（签字）</w:t>
      </w:r>
    </w:p>
    <w:p w14:paraId="6233C11F">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地    址：                           地    址：</w:t>
      </w:r>
    </w:p>
    <w:p w14:paraId="1CA504DF">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邮政编码：                           邮政编码：</w:t>
      </w:r>
    </w:p>
    <w:p w14:paraId="5756E468">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电    话：                           电    话：</w:t>
      </w:r>
    </w:p>
    <w:p w14:paraId="7F970674">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传    真：                           传    真：</w:t>
      </w:r>
    </w:p>
    <w:p w14:paraId="06112E9B">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开户银行：                           开户银行：</w:t>
      </w:r>
    </w:p>
    <w:p w14:paraId="7E9FD99D">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账    号：                           账    号：</w:t>
      </w:r>
    </w:p>
    <w:p w14:paraId="70A2C06D">
      <w:pPr>
        <w:pStyle w:val="28"/>
        <w:keepNext w:val="0"/>
        <w:keepLines w:val="0"/>
        <w:pageBreakBefore w:val="0"/>
        <w:kinsoku/>
        <w:wordWrap/>
        <w:topLinePunct w:val="0"/>
        <w:bidi w:val="0"/>
        <w:snapToGrid w:val="0"/>
        <w:spacing w:line="460" w:lineRule="exact"/>
        <w:ind w:firstLine="442"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签订日期：                           签订日期：</w:t>
      </w:r>
    </w:p>
    <w:p w14:paraId="0B113037">
      <w:pPr>
        <w:pStyle w:val="28"/>
        <w:keepNext w:val="0"/>
        <w:keepLines w:val="0"/>
        <w:pageBreakBefore w:val="0"/>
        <w:kinsoku/>
        <w:wordWrap/>
        <w:topLinePunct w:val="0"/>
        <w:bidi w:val="0"/>
        <w:snapToGrid w:val="0"/>
        <w:spacing w:line="460" w:lineRule="exact"/>
        <w:rPr>
          <w:rFonts w:hint="eastAsia" w:ascii="新宋体" w:hAnsi="新宋体" w:eastAsia="新宋体" w:cs="新宋体"/>
          <w:bCs/>
          <w:color w:val="auto"/>
          <w:sz w:val="22"/>
          <w:szCs w:val="22"/>
          <w:highlight w:val="none"/>
        </w:rPr>
      </w:pPr>
    </w:p>
    <w:p w14:paraId="7ABB8A0A">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注：以上合同条款供采购人及成交供应商作为商务参考，具体签订时，采购人可根据自身项目情况与中标供应商协商另行修改拟定相关合同具体条款。</w:t>
      </w:r>
    </w:p>
    <w:p w14:paraId="2D04E199">
      <w:pPr>
        <w:spacing w:line="460" w:lineRule="exact"/>
        <w:ind w:firstLine="541" w:firstLineChars="245"/>
        <w:rPr>
          <w:rFonts w:hint="eastAsia" w:ascii="新宋体" w:hAnsi="新宋体" w:eastAsia="新宋体" w:cs="新宋体"/>
          <w:b/>
          <w:bCs/>
          <w:color w:val="auto"/>
          <w:sz w:val="22"/>
          <w:szCs w:val="22"/>
          <w:highlight w:val="none"/>
        </w:rPr>
      </w:pPr>
    </w:p>
    <w:p w14:paraId="18952C1D">
      <w:pPr>
        <w:pStyle w:val="3"/>
        <w:tabs>
          <w:tab w:val="left" w:pos="840"/>
        </w:tabs>
        <w:jc w:val="center"/>
        <w:rPr>
          <w:rFonts w:hAnsi="宋体"/>
          <w:color w:val="auto"/>
          <w:highlight w:val="none"/>
        </w:rPr>
      </w:pPr>
      <w:bookmarkStart w:id="31" w:name="_Toc14880"/>
      <w:bookmarkStart w:id="32" w:name="_Toc10848"/>
      <w:bookmarkStart w:id="33" w:name="_Toc19081"/>
      <w:r>
        <w:rPr>
          <w:rFonts w:hAnsi="宋体"/>
          <w:color w:val="auto"/>
          <w:highlight w:val="none"/>
        </w:rPr>
        <w:t>廉洁协议书</w:t>
      </w:r>
      <w:bookmarkEnd w:id="31"/>
      <w:bookmarkEnd w:id="32"/>
    </w:p>
    <w:p w14:paraId="238021C0">
      <w:pPr>
        <w:keepNext w:val="0"/>
        <w:keepLines w:val="0"/>
        <w:pageBreakBefore w:val="0"/>
        <w:widowControl w:val="0"/>
        <w:kinsoku/>
        <w:wordWrap/>
        <w:overflowPunct/>
        <w:topLinePunct w:val="0"/>
        <w:autoSpaceDE/>
        <w:autoSpaceDN/>
        <w:bidi w:val="0"/>
        <w:adjustRightInd/>
        <w:snapToGrid/>
        <w:spacing w:line="420" w:lineRule="exact"/>
        <w:ind w:left="660" w:hanging="660" w:hangingChars="300"/>
        <w:textAlignment w:val="auto"/>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甲方：</w:t>
      </w:r>
    </w:p>
    <w:p w14:paraId="7DED9E7D">
      <w:pPr>
        <w:keepNext w:val="0"/>
        <w:keepLines w:val="0"/>
        <w:pageBreakBefore w:val="0"/>
        <w:widowControl w:val="0"/>
        <w:kinsoku/>
        <w:wordWrap/>
        <w:overflowPunct/>
        <w:topLinePunct w:val="0"/>
        <w:autoSpaceDE/>
        <w:autoSpaceDN/>
        <w:bidi w:val="0"/>
        <w:adjustRightInd/>
        <w:snapToGrid/>
        <w:spacing w:line="420" w:lineRule="exact"/>
        <w:ind w:left="660" w:hanging="660" w:hangingChars="300"/>
        <w:textAlignment w:val="auto"/>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乙方：</w:t>
      </w:r>
    </w:p>
    <w:p w14:paraId="1317EC97">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为了增强甲乙双方依法经营、廉洁从业意识，完善自我约束、自我监督机制，营造守法诚信、廉洁高效的工作环境，防止发生违法违纪行为，保护国家、集体和当事人的合法权益，根据国家有关法律法规和廉洁自律规定，特订立本廉洁协议书：</w:t>
      </w:r>
    </w:p>
    <w:p w14:paraId="5FC118D2">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第一条 甲、乙双方的共同责任</w:t>
      </w:r>
    </w:p>
    <w:p w14:paraId="4360B864">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（一）严格遵守国家有关工程建设、物资采购、招标投标等市场经济活动的法律法规、政策以及廉政建设规定。</w:t>
      </w:r>
    </w:p>
    <w:p w14:paraId="6834CB76">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（二）严格履行合同约定，自觉承担合同义务。</w:t>
      </w:r>
    </w:p>
    <w:p w14:paraId="5F2FFA66">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（三）业务活动必须坚持公平、公正、公开和诚实守信的原则（除法律法规另有规定者外），不得为获取不正当利益损害国家、集体和对方利益，不违反工程建设管理、物资采购、招标投标等方面的规章制度。</w:t>
      </w:r>
    </w:p>
    <w:p w14:paraId="5167E489">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（四）建立健全自我制约制度，开展廉洁教育，公布举报电话，监督并认真查处违法违纪行为。</w:t>
      </w:r>
    </w:p>
    <w:p w14:paraId="40D853FA">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（五）发现对方在业务活动中有违规、违纪、违法行为的，应及时提醒对方，情节严重的，应向有关纪检监察部门举报。</w:t>
      </w:r>
    </w:p>
    <w:p w14:paraId="2E699D74">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第二条 甲方的责任：</w:t>
      </w:r>
    </w:p>
    <w:p w14:paraId="0369DB02">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甲方相关工作人员，在业务活动的事前、事中、事后，应遵守以下规定：</w:t>
      </w:r>
    </w:p>
    <w:p w14:paraId="1B817511">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（一）贯彻落实xx有关党风廉政建设责任制及廉洁从业的规定，建立企业诚信档案；</w:t>
      </w:r>
    </w:p>
    <w:p w14:paraId="010B4395">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（二）按照公平、公正、公开和诚实守信的原则开展各项业务活动，为乙方提供公平的竞争环境与平台；</w:t>
      </w:r>
    </w:p>
    <w:p w14:paraId="7C8CC5BA">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（三）不向乙方泄漏涉及有关业务活动的秘密；</w:t>
      </w:r>
    </w:p>
    <w:p w14:paraId="7A69BC8D">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（四）不参与影响相关工作正常和公正开展的其他活动；</w:t>
      </w:r>
    </w:p>
    <w:p w14:paraId="6F8CEC9A">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（五）不在乙方和相关单位报销任何应由甲方或个人支付的费用；</w:t>
      </w:r>
    </w:p>
    <w:p w14:paraId="2E3173EF">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（六）不要求、暗示及接受乙方和相关单位为个人装修住房、婚丧嫁娶、配偶子女的工作安排以及境内外旅游等提供方便；</w:t>
      </w:r>
    </w:p>
    <w:p w14:paraId="5F7936C5">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（七）不收受或索取红包、礼金、购物卡、有价证券、贵重物品、感谢费和好处费等非正当利益；</w:t>
      </w:r>
    </w:p>
    <w:p w14:paraId="6C6CBB8E">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（八）不向乙方介绍配偶、子女、亲属参与与甲方有关的经济活动，不得以任何理由向乙方和相关单位推荐第三方单位；</w:t>
      </w:r>
    </w:p>
    <w:p w14:paraId="76E69A8E">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（九）不违反《中共中央纪委关于严格禁止利用职务上的便利谋取不正当利益的若干规定》的内容。</w:t>
      </w:r>
    </w:p>
    <w:p w14:paraId="19692095">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第三条 乙方的责任：</w:t>
      </w:r>
    </w:p>
    <w:p w14:paraId="56378CDE">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在与甲方业务交往过程中，按照有关法律法规和程序开展工作，严格执行国家的有关方针、政策，并遵守以下规定：</w:t>
      </w:r>
    </w:p>
    <w:p w14:paraId="384CBDF6">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（一）不以任何理由为甲方和相关单位报销应由对方或个人支付的费用；</w:t>
      </w:r>
    </w:p>
    <w:p w14:paraId="10E826A7">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（二）不以任何理由向甲方负责人及其工作人员赠送红包、礼金、购物卡、有价证券、贵重物品、感谢费和好处费等非正当利益；</w:t>
      </w:r>
    </w:p>
    <w:p w14:paraId="601F703A">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（三）不准为甲方、与甲方相关的单位或个人装修住房、婚丧嫁取、配偶子女的工作安排以及境内外旅游等提供方便；</w:t>
      </w:r>
    </w:p>
    <w:p w14:paraId="1764CA39">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（四）不得以谋取非正当利益为目的，擅自与甲方工作人员就业务问题进行私下商谈或者达成利益默契；</w:t>
      </w:r>
    </w:p>
    <w:p w14:paraId="0C8580DB">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（五）发现甲方工作人员有违反本廉洁协议书规定的，应向甲方单位举报。 受理部门：纪委、监察部；</w:t>
      </w:r>
    </w:p>
    <w:p w14:paraId="27883F31">
      <w:pPr>
        <w:keepNext w:val="0"/>
        <w:keepLines w:val="0"/>
        <w:pageBreakBefore w:val="0"/>
        <w:widowControl w:val="0"/>
        <w:kinsoku/>
        <w:wordWrap/>
        <w:overflowPunct/>
        <w:topLinePunct w:val="0"/>
        <w:autoSpaceDE/>
        <w:autoSpaceDN/>
        <w:bidi w:val="0"/>
        <w:adjustRightInd/>
        <w:snapToGrid/>
        <w:spacing w:line="420" w:lineRule="exact"/>
        <w:ind w:left="660" w:hanging="660" w:hangingChars="300"/>
        <w:textAlignment w:val="auto"/>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举报电话：</w:t>
      </w:r>
      <w:r>
        <w:rPr>
          <w:rFonts w:hint="eastAsia" w:ascii="新宋体" w:hAnsi="新宋体" w:eastAsia="新宋体"/>
          <w:color w:val="auto"/>
          <w:sz w:val="22"/>
          <w:szCs w:val="22"/>
          <w:highlight w:val="none"/>
          <w:u w:val="single"/>
          <w:lang w:val="en-US" w:eastAsia="zh-CN"/>
        </w:rPr>
        <w:t xml:space="preserve">            </w:t>
      </w:r>
      <w:r>
        <w:rPr>
          <w:rFonts w:hint="eastAsia" w:ascii="新宋体" w:hAnsi="新宋体" w:eastAsia="新宋体"/>
          <w:color w:val="auto"/>
          <w:sz w:val="22"/>
          <w:szCs w:val="22"/>
          <w:highlight w:val="none"/>
          <w:u w:val="single"/>
        </w:rPr>
        <w:t xml:space="preserve"> </w:t>
      </w:r>
      <w:r>
        <w:rPr>
          <w:rFonts w:hint="eastAsia" w:ascii="新宋体" w:hAnsi="新宋体" w:eastAsia="新宋体"/>
          <w:color w:val="auto"/>
          <w:sz w:val="22"/>
          <w:szCs w:val="22"/>
          <w:highlight w:val="none"/>
        </w:rPr>
        <w:t>；举报邮箱：</w:t>
      </w:r>
      <w:r>
        <w:rPr>
          <w:rFonts w:hint="eastAsia" w:ascii="新宋体" w:hAnsi="新宋体" w:eastAsia="新宋体"/>
          <w:color w:val="auto"/>
          <w:sz w:val="22"/>
          <w:szCs w:val="22"/>
          <w:highlight w:val="none"/>
          <w:u w:val="single"/>
        </w:rPr>
        <w:t xml:space="preserve"> </w:t>
      </w:r>
      <w:r>
        <w:rPr>
          <w:rFonts w:hint="eastAsia" w:ascii="新宋体" w:hAnsi="新宋体" w:eastAsia="新宋体"/>
          <w:color w:val="auto"/>
          <w:sz w:val="22"/>
          <w:szCs w:val="22"/>
          <w:highlight w:val="none"/>
          <w:u w:val="single"/>
          <w:lang w:val="en-US" w:eastAsia="zh-CN"/>
        </w:rPr>
        <w:t xml:space="preserve">         </w:t>
      </w:r>
      <w:r>
        <w:rPr>
          <w:rFonts w:hint="eastAsia" w:ascii="新宋体" w:hAnsi="新宋体" w:eastAsia="新宋体"/>
          <w:color w:val="auto"/>
          <w:sz w:val="22"/>
          <w:szCs w:val="22"/>
          <w:highlight w:val="none"/>
        </w:rPr>
        <w:t>。</w:t>
      </w:r>
    </w:p>
    <w:p w14:paraId="46408CE5">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第四条 相关责任</w:t>
      </w:r>
    </w:p>
    <w:p w14:paraId="51BE83F7">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（一）甲方违反本廉洁协议书第一、二条规定的，一经查实，严格按照管理权限，依据有关党纪、法律法规、规章制度给予纪律处分或组织处理；涉嫌犯罪的，移送司法机关依法追究刑事责任。</w:t>
      </w:r>
    </w:p>
    <w:p w14:paraId="198A9E82">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（二）乙方违反本廉洁协议书第一、三条规定的，一经查实，根据《关于在xx公司内部公布行贿单位名单的实施意见（试行）》和其他有关规定，对乙方进行处理。涉嫌犯罪的，移送司法机关依法追究刑事责任。</w:t>
      </w:r>
    </w:p>
    <w:p w14:paraId="1FDC6F91">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（三）乙方违反本廉洁协议书第一、三条规定，给甲方单位造成经济损失的，应依法予以赔偿。</w:t>
      </w:r>
    </w:p>
    <w:p w14:paraId="253F981C">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第五条 协议书生效及法律效力</w:t>
      </w:r>
    </w:p>
    <w:p w14:paraId="0139CED6">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（一）本廉洁协议书经双方签字盖章后生效。</w:t>
      </w:r>
    </w:p>
    <w:p w14:paraId="4B837FF1">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（二）除非甲乙双方另行签订新的廉洁协议书，否则本廉洁协议书在甲方与乙方存在业务关系期间均对双方产生约束力。</w:t>
      </w:r>
    </w:p>
    <w:p w14:paraId="4790FD88">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第六条 协议书份数</w:t>
      </w:r>
    </w:p>
    <w:p w14:paraId="3F1558C6">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本廉洁协议书一式四份，甲、乙双方各执两份。</w:t>
      </w:r>
    </w:p>
    <w:p w14:paraId="3CCE73A0">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甲乙双方确认在签订本廉洁协议书前已仔细阅读条款内容，</w:t>
      </w:r>
    </w:p>
    <w:p w14:paraId="4EBC92A5">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廉洁协议书所产生的法律责任已清楚知悉并承诺遵守。</w:t>
      </w:r>
    </w:p>
    <w:p w14:paraId="3C9D4EC0">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甲方（盖章）: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乙方（盖章）：</w:t>
      </w:r>
    </w:p>
    <w:p w14:paraId="403E3D65">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法定代表人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法定代表人</w:t>
      </w:r>
    </w:p>
    <w:p w14:paraId="23FBBE38">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（或委托代理人）：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（或委托代理人）：</w:t>
      </w:r>
    </w:p>
    <w:p w14:paraId="15E3FB53">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地址：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地址：</w:t>
      </w:r>
    </w:p>
    <w:p w14:paraId="2FB99E62">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电话：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电话：</w:t>
      </w:r>
    </w:p>
    <w:p w14:paraId="7A52B6B0">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   年 月 日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年 月 日</w:t>
      </w:r>
    </w:p>
    <w:p w14:paraId="4AE9DE33">
      <w:pPr>
        <w:rPr>
          <w:rFonts w:hint="eastAsia" w:ascii="新宋体" w:hAnsi="新宋体" w:eastAsia="新宋体" w:cs="新宋体"/>
          <w:color w:val="auto"/>
          <w:highlight w:val="none"/>
        </w:rPr>
      </w:pPr>
      <w:r>
        <w:rPr>
          <w:rFonts w:hint="eastAsia" w:ascii="新宋体" w:hAnsi="新宋体" w:eastAsia="新宋体" w:cs="新宋体"/>
          <w:color w:val="auto"/>
          <w:highlight w:val="none"/>
        </w:rPr>
        <w:br w:type="page"/>
      </w:r>
    </w:p>
    <w:p w14:paraId="33F90B5A">
      <w:pPr>
        <w:pStyle w:val="3"/>
        <w:jc w:val="center"/>
        <w:rPr>
          <w:rFonts w:hint="eastAsia" w:ascii="新宋体" w:hAnsi="新宋体" w:eastAsia="新宋体" w:cs="新宋体"/>
          <w:color w:val="auto"/>
          <w:highlight w:val="none"/>
        </w:rPr>
      </w:pPr>
      <w:bookmarkStart w:id="34" w:name="_Toc15686"/>
      <w:r>
        <w:rPr>
          <w:rFonts w:hint="eastAsia" w:ascii="新宋体" w:hAnsi="新宋体" w:eastAsia="新宋体" w:cs="新宋体"/>
          <w:color w:val="auto"/>
          <w:highlight w:val="none"/>
        </w:rPr>
        <w:t>第三部分</w:t>
      </w:r>
      <w:r>
        <w:rPr>
          <w:rFonts w:hint="eastAsia" w:ascii="新宋体" w:hAnsi="新宋体" w:eastAsia="新宋体" w:cs="新宋体"/>
          <w:color w:val="auto"/>
          <w:highlight w:val="none"/>
          <w:lang w:val="en-US" w:eastAsia="zh-CN"/>
        </w:rPr>
        <w:t xml:space="preserve">   </w:t>
      </w:r>
      <w:r>
        <w:rPr>
          <w:rFonts w:hint="eastAsia" w:ascii="新宋体" w:hAnsi="新宋体" w:eastAsia="新宋体" w:cs="新宋体"/>
          <w:color w:val="auto"/>
          <w:highlight w:val="none"/>
        </w:rPr>
        <w:t>附件</w:t>
      </w:r>
      <w:bookmarkEnd w:id="33"/>
      <w:bookmarkEnd w:id="34"/>
    </w:p>
    <w:p w14:paraId="1623C20D">
      <w:pPr>
        <w:pStyle w:val="22"/>
        <w:spacing w:line="460" w:lineRule="exact"/>
        <w:ind w:left="433" w:hanging="433" w:hangingChars="196"/>
        <w:outlineLvl w:val="1"/>
        <w:rPr>
          <w:rFonts w:hint="eastAsia" w:ascii="新宋体" w:hAnsi="新宋体" w:eastAsia="新宋体" w:cs="新宋体"/>
          <w:b/>
          <w:color w:val="auto"/>
          <w:sz w:val="22"/>
          <w:highlight w:val="none"/>
        </w:rPr>
      </w:pPr>
      <w:bookmarkStart w:id="35" w:name="_Toc7056"/>
      <w:bookmarkStart w:id="36" w:name="_Toc22705"/>
      <w:r>
        <w:rPr>
          <w:rFonts w:hint="eastAsia" w:ascii="新宋体" w:hAnsi="新宋体" w:eastAsia="新宋体" w:cs="新宋体"/>
          <w:b/>
          <w:color w:val="auto"/>
          <w:sz w:val="22"/>
          <w:highlight w:val="none"/>
        </w:rPr>
        <w:t>附件一</w:t>
      </w:r>
      <w:bookmarkEnd w:id="35"/>
      <w:bookmarkEnd w:id="36"/>
    </w:p>
    <w:p w14:paraId="7F394D35">
      <w:pPr>
        <w:spacing w:line="460" w:lineRule="exact"/>
        <w:jc w:val="center"/>
        <w:outlineLvl w:val="2"/>
        <w:rPr>
          <w:rFonts w:hint="eastAsia" w:ascii="新宋体" w:hAnsi="新宋体" w:eastAsia="新宋体" w:cs="新宋体"/>
          <w:color w:val="auto"/>
          <w:sz w:val="28"/>
          <w:szCs w:val="28"/>
          <w:highlight w:val="none"/>
        </w:rPr>
      </w:pPr>
      <w:bookmarkStart w:id="37" w:name="_Toc28749"/>
      <w:bookmarkStart w:id="38" w:name="_Toc4718"/>
      <w:bookmarkStart w:id="39" w:name="_Toc13365"/>
      <w:r>
        <w:rPr>
          <w:rFonts w:hint="eastAsia" w:ascii="新宋体" w:hAnsi="新宋体" w:eastAsia="新宋体" w:cs="新宋体"/>
          <w:b/>
          <w:bCs/>
          <w:color w:val="auto"/>
          <w:sz w:val="28"/>
          <w:szCs w:val="28"/>
          <w:highlight w:val="none"/>
        </w:rPr>
        <w:t>资格证明文件</w:t>
      </w:r>
      <w:bookmarkEnd w:id="37"/>
      <w:bookmarkEnd w:id="38"/>
      <w:r>
        <w:rPr>
          <w:rFonts w:hint="eastAsia" w:ascii="新宋体" w:hAnsi="新宋体" w:eastAsia="新宋体" w:cs="新宋体"/>
          <w:color w:val="auto"/>
          <w:sz w:val="28"/>
          <w:szCs w:val="28"/>
          <w:highlight w:val="none"/>
        </w:rPr>
        <w:t xml:space="preserve"> </w:t>
      </w:r>
    </w:p>
    <w:p w14:paraId="1339F050">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1、资格条件承诺函</w:t>
      </w:r>
    </w:p>
    <w:p w14:paraId="30749487">
      <w:pPr>
        <w:widowControl/>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温州市疾病预防控制中心（温州市卫生监督所）</w:t>
      </w:r>
      <w:r>
        <w:rPr>
          <w:rFonts w:hint="eastAsia" w:ascii="新宋体" w:hAnsi="新宋体" w:eastAsia="新宋体" w:cs="新宋体"/>
          <w:color w:val="auto"/>
          <w:kern w:val="0"/>
          <w:sz w:val="22"/>
          <w:szCs w:val="22"/>
          <w:highlight w:val="none"/>
        </w:rPr>
        <w:t>、温州历程招标有限公司：</w:t>
      </w:r>
    </w:p>
    <w:p w14:paraId="7107CFAA">
      <w:pPr>
        <w:widowControl/>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我方参与</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（项目名称、编号）投标，现郑重承诺，</w:t>
      </w:r>
      <w:r>
        <w:rPr>
          <w:rFonts w:hint="eastAsia" w:ascii="新宋体" w:hAnsi="新宋体" w:eastAsia="新宋体" w:cs="新宋体"/>
          <w:color w:val="auto"/>
          <w:kern w:val="0"/>
          <w:sz w:val="22"/>
          <w:szCs w:val="22"/>
          <w:highlight w:val="none"/>
        </w:rPr>
        <w:t>参加本次采购活动前3年内</w:t>
      </w:r>
      <w:r>
        <w:rPr>
          <w:rFonts w:hint="eastAsia" w:ascii="新宋体" w:hAnsi="新宋体" w:eastAsia="新宋体" w:cs="新宋体"/>
          <w:color w:val="auto"/>
          <w:sz w:val="22"/>
          <w:szCs w:val="22"/>
          <w:highlight w:val="none"/>
        </w:rPr>
        <w:t>：</w:t>
      </w:r>
    </w:p>
    <w:p w14:paraId="64F44BFE">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1、我方符合《中华人民共和国政府采购法》第22条规定的资格条件，即</w:t>
      </w:r>
    </w:p>
    <w:p w14:paraId="5407614E">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（1）我方具有独立承担民事责任的能力；</w:t>
      </w:r>
    </w:p>
    <w:p w14:paraId="54FFD258">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（2）我方具有良好的商业信誉和健全的财务会计制度；</w:t>
      </w:r>
    </w:p>
    <w:p w14:paraId="6B05E8E6">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（3）我方具有履行合同所必需的设备和专业技术能力；</w:t>
      </w:r>
    </w:p>
    <w:p w14:paraId="4657774F">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（4）我方有依法缴纳税收和社会保障资金的良好记录；</w:t>
      </w:r>
    </w:p>
    <w:p w14:paraId="7CC6F766">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420C1AEE">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2、到本项目投标截止时间为止，我方未被“信用中国（</w:t>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HYPERLINK "http://www.creditchina.gov.cn）、"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kern w:val="0"/>
          <w:sz w:val="22"/>
          <w:szCs w:val="22"/>
          <w:highlight w:val="none"/>
        </w:rPr>
        <w:t>www.creditchina.gov.cn）、</w:t>
      </w:r>
      <w:r>
        <w:rPr>
          <w:rFonts w:hint="eastAsia" w:ascii="新宋体" w:hAnsi="新宋体" w:eastAsia="新宋体" w:cs="新宋体"/>
          <w:color w:val="auto"/>
          <w:kern w:val="0"/>
          <w:sz w:val="22"/>
          <w:szCs w:val="22"/>
          <w:highlight w:val="none"/>
        </w:rPr>
        <w:fldChar w:fldCharType="end"/>
      </w:r>
      <w:r>
        <w:rPr>
          <w:rFonts w:hint="eastAsia" w:ascii="新宋体" w:hAnsi="新宋体" w:eastAsia="新宋体" w:cs="新宋体"/>
          <w:color w:val="auto"/>
          <w:kern w:val="0"/>
          <w:sz w:val="22"/>
          <w:szCs w:val="22"/>
          <w:highlight w:val="none"/>
        </w:rPr>
        <w:t xml:space="preserve"> 中国政府采购网（www.ccgp.gov.cn）列入失信被执行人名单、重大税收违法案件当事人名单、政府采购严重违法失信行为记录名单。</w:t>
      </w:r>
    </w:p>
    <w:p w14:paraId="5E7740A1">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3、我方与参加本次项目同一合同项下政府采购活动的其他供应商不存在单位负责人为同一人或者直接控股、管理关系。</w:t>
      </w:r>
    </w:p>
    <w:p w14:paraId="4AD714E5">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4、我方不属于公益一类事业单位。</w:t>
      </w:r>
    </w:p>
    <w:p w14:paraId="46CBA29C">
      <w:pPr>
        <w:widowControl/>
        <w:snapToGrid w:val="0"/>
        <w:spacing w:line="460" w:lineRule="exact"/>
        <w:ind w:firstLine="440" w:firstLineChars="200"/>
        <w:jc w:val="left"/>
        <w:rPr>
          <w:rFonts w:hint="eastAsia" w:ascii="新宋体" w:hAnsi="新宋体" w:eastAsia="新宋体" w:cs="新宋体"/>
          <w:color w:val="auto"/>
          <w:kern w:val="0"/>
          <w:sz w:val="22"/>
          <w:szCs w:val="22"/>
          <w:highlight w:val="none"/>
        </w:rPr>
      </w:pPr>
    </w:p>
    <w:p w14:paraId="55B513E4">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以上承诺如有虚假，愿接受取消我方任何资格（投标/成交/签订合同）及其他任何形式的处理。</w:t>
      </w:r>
    </w:p>
    <w:p w14:paraId="0A7049A5">
      <w:pPr>
        <w:widowControl/>
        <w:snapToGrid w:val="0"/>
        <w:spacing w:line="460" w:lineRule="exact"/>
        <w:ind w:firstLine="440" w:firstLineChars="200"/>
        <w:jc w:val="left"/>
        <w:rPr>
          <w:rFonts w:hint="eastAsia" w:ascii="新宋体" w:hAnsi="新宋体" w:eastAsia="新宋体" w:cs="新宋体"/>
          <w:color w:val="auto"/>
          <w:kern w:val="0"/>
          <w:sz w:val="22"/>
          <w:szCs w:val="22"/>
          <w:highlight w:val="none"/>
        </w:rPr>
      </w:pPr>
    </w:p>
    <w:p w14:paraId="17BF132A">
      <w:pPr>
        <w:snapToGrid w:val="0"/>
        <w:spacing w:line="460" w:lineRule="exact"/>
        <w:ind w:firstLine="5060" w:firstLineChars="2300"/>
        <w:rPr>
          <w:rFonts w:hint="eastAsia" w:ascii="新宋体" w:hAnsi="新宋体" w:eastAsia="新宋体" w:cs="新宋体"/>
          <w:color w:val="auto"/>
          <w:kern w:val="0"/>
          <w:sz w:val="22"/>
          <w:szCs w:val="22"/>
          <w:highlight w:val="none"/>
          <w:lang w:val="zh-CN"/>
        </w:rPr>
      </w:pPr>
    </w:p>
    <w:p w14:paraId="120027E6">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投标人全称（盖章） ：</w:t>
      </w:r>
    </w:p>
    <w:p w14:paraId="3733A44A">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法定代表人或其授权代表（签字或盖章）：</w:t>
      </w:r>
    </w:p>
    <w:p w14:paraId="05E9E0DC">
      <w:pPr>
        <w:widowControl/>
        <w:snapToGrid w:val="0"/>
        <w:spacing w:line="460" w:lineRule="exact"/>
        <w:ind w:firstLine="440" w:firstLineChars="200"/>
        <w:jc w:val="left"/>
        <w:rPr>
          <w:rFonts w:hint="eastAsia" w:ascii="新宋体" w:hAnsi="新宋体" w:eastAsia="新宋体" w:cs="新宋体"/>
          <w:color w:val="auto"/>
          <w:kern w:val="0"/>
          <w:sz w:val="22"/>
          <w:szCs w:val="22"/>
          <w:highlight w:val="none"/>
        </w:rPr>
      </w:pPr>
    </w:p>
    <w:p w14:paraId="748399F7">
      <w:pPr>
        <w:pStyle w:val="22"/>
        <w:spacing w:line="460" w:lineRule="exact"/>
        <w:ind w:left="479" w:leftChars="228" w:firstLine="5280" w:firstLineChars="24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日期：     年  月  日</w:t>
      </w:r>
    </w:p>
    <w:p w14:paraId="72409FBD">
      <w:pPr>
        <w:rPr>
          <w:rFonts w:hint="eastAsia" w:ascii="新宋体" w:hAnsi="新宋体" w:eastAsia="新宋体" w:cs="新宋体"/>
          <w:color w:val="auto"/>
          <w:highlight w:val="none"/>
        </w:rPr>
      </w:pPr>
    </w:p>
    <w:p w14:paraId="323A1AE4">
      <w:pPr>
        <w:rPr>
          <w:rFonts w:hint="eastAsia" w:ascii="新宋体" w:hAnsi="新宋体" w:eastAsia="新宋体" w:cs="新宋体"/>
          <w:color w:val="auto"/>
          <w:highlight w:val="none"/>
        </w:rPr>
      </w:pPr>
    </w:p>
    <w:p w14:paraId="6918CB22">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2、有效营业执照</w:t>
      </w:r>
    </w:p>
    <w:p w14:paraId="02AD3127">
      <w:pPr>
        <w:pStyle w:val="48"/>
        <w:tabs>
          <w:tab w:val="left" w:pos="630"/>
          <w:tab w:val="left" w:pos="840"/>
          <w:tab w:val="left" w:pos="1050"/>
        </w:tabs>
        <w:adjustRightInd w:val="0"/>
        <w:snapToGrid w:val="0"/>
        <w:spacing w:before="0" w:beforeAutospacing="0" w:after="0" w:afterAutospacing="0" w:line="360" w:lineRule="auto"/>
        <w:ind w:left="420"/>
        <w:rPr>
          <w:rFonts w:hint="eastAsia" w:ascii="新宋体" w:hAnsi="新宋体" w:eastAsia="新宋体" w:cs="新宋体"/>
          <w:bCs/>
          <w:color w:val="auto"/>
          <w:highlight w:val="none"/>
        </w:rPr>
      </w:pPr>
    </w:p>
    <w:p w14:paraId="606143D2">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投标人须在投标文件中出具符合以下情况的证明材料复印件（五选一）：</w:t>
      </w:r>
    </w:p>
    <w:p w14:paraId="71125CE0">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①如投标人是企业（包括合伙企业），提供在工商部门注册的有效“企业法人营业执照”或“营业执照”；</w:t>
      </w:r>
    </w:p>
    <w:p w14:paraId="3730AD8D">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②如投标人是事业单位，提供有效的“事业单位法人证书”；</w:t>
      </w:r>
    </w:p>
    <w:p w14:paraId="1EE28EC0">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③如投标人是非企业专业服务机构的，提供执业许可证等证明文件；</w:t>
      </w:r>
    </w:p>
    <w:p w14:paraId="23B40F49">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④如投标人是个体工商户，提供有效的“个体工商户营业执照”；</w:t>
      </w:r>
    </w:p>
    <w:p w14:paraId="7D28E699">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⑤如投标人是自然人，提供有效的自然人身份证明（居民身份证正反面或公安机关出具的临时居民身份证正反面或港澳台胞证或护照）。</w:t>
      </w:r>
    </w:p>
    <w:p w14:paraId="3C0F84CD">
      <w:pPr>
        <w:pStyle w:val="48"/>
        <w:tabs>
          <w:tab w:val="left" w:pos="312"/>
        </w:tabs>
        <w:adjustRightInd w:val="0"/>
        <w:snapToGrid w:val="0"/>
        <w:spacing w:before="0" w:beforeAutospacing="0" w:after="0" w:afterAutospacing="0" w:line="360" w:lineRule="auto"/>
        <w:rPr>
          <w:rFonts w:hint="eastAsia" w:ascii="新宋体" w:hAnsi="新宋体" w:eastAsia="新宋体" w:cs="新宋体"/>
          <w:bCs/>
          <w:color w:val="auto"/>
          <w:sz w:val="22"/>
          <w:szCs w:val="22"/>
          <w:highlight w:val="none"/>
        </w:rPr>
      </w:pPr>
    </w:p>
    <w:p w14:paraId="14C9F124">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0FDEA351">
      <w:pPr>
        <w:rPr>
          <w:rFonts w:hint="eastAsia" w:ascii="新宋体" w:hAnsi="新宋体" w:eastAsia="新宋体" w:cs="新宋体"/>
          <w:color w:val="auto"/>
          <w:highlight w:val="none"/>
        </w:rPr>
      </w:pPr>
    </w:p>
    <w:p w14:paraId="794EC3E4">
      <w:pPr>
        <w:rPr>
          <w:rFonts w:hint="eastAsia" w:ascii="新宋体" w:hAnsi="新宋体" w:eastAsia="新宋体" w:cs="新宋体"/>
          <w:color w:val="auto"/>
          <w:highlight w:val="none"/>
        </w:rPr>
      </w:pPr>
    </w:p>
    <w:p w14:paraId="7F57F041">
      <w:pPr>
        <w:rPr>
          <w:rFonts w:hint="eastAsia" w:ascii="新宋体" w:hAnsi="新宋体" w:eastAsia="新宋体" w:cs="新宋体"/>
          <w:color w:val="auto"/>
          <w:highlight w:val="none"/>
        </w:rPr>
      </w:pPr>
    </w:p>
    <w:p w14:paraId="3C449A9D">
      <w:pPr>
        <w:rPr>
          <w:rFonts w:hint="eastAsia" w:ascii="新宋体" w:hAnsi="新宋体" w:eastAsia="新宋体" w:cs="新宋体"/>
          <w:color w:val="auto"/>
          <w:highlight w:val="none"/>
        </w:rPr>
      </w:pPr>
    </w:p>
    <w:p w14:paraId="23A72B65">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3、投标人信用查询</w:t>
      </w:r>
    </w:p>
    <w:p w14:paraId="0D208669">
      <w:pPr>
        <w:tabs>
          <w:tab w:val="left" w:pos="360"/>
        </w:tabs>
        <w:spacing w:line="460" w:lineRule="exact"/>
        <w:ind w:firstLine="550" w:firstLineChars="25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（1）投标人信用信息查询的查询渠道：“信用中国”（https://www.creditchina.gov.cn/）；“中国政府采购网”（http://www.ccgp.gov.cn/）；</w:t>
      </w:r>
    </w:p>
    <w:p w14:paraId="2E1F0AAF">
      <w:pPr>
        <w:tabs>
          <w:tab w:val="left" w:pos="360"/>
        </w:tabs>
        <w:spacing w:line="460" w:lineRule="exact"/>
        <w:ind w:firstLine="550" w:firstLineChars="25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（2）投标人信用信息查询截止时点：</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公告发布之日至投标截止时间前。</w:t>
      </w:r>
    </w:p>
    <w:p w14:paraId="1A82718C">
      <w:pPr>
        <w:tabs>
          <w:tab w:val="left" w:pos="360"/>
        </w:tabs>
        <w:spacing w:line="460" w:lineRule="exact"/>
        <w:ind w:firstLine="550" w:firstLineChars="25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（3）投标人信用信息查询记录和证据留存的具体方式：网页截图；</w:t>
      </w:r>
    </w:p>
    <w:p w14:paraId="0D648003">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r>
        <w:rPr>
          <w:rFonts w:hint="eastAsia" w:ascii="新宋体" w:hAnsi="新宋体" w:eastAsia="新宋体" w:cs="新宋体"/>
          <w:b/>
          <w:bCs/>
          <w:color w:val="auto"/>
          <w:sz w:val="22"/>
          <w:highlight w:val="none"/>
          <w:u w:val="single"/>
        </w:rPr>
        <w:t>（4）信用信息的使用规则：对列入失信被执行人、重大税收违法案件当事人名单、政府采购严重违法失信行为记录名单及其他不符合《中华人民共和国政府采购法》第二十二条规定条件的投标人，其投标做无效投标处理。</w:t>
      </w:r>
    </w:p>
    <w:p w14:paraId="1FC62921">
      <w:pPr>
        <w:tabs>
          <w:tab w:val="left" w:pos="360"/>
        </w:tabs>
        <w:spacing w:line="460" w:lineRule="exact"/>
        <w:ind w:firstLine="442" w:firstLineChars="200"/>
        <w:rPr>
          <w:rFonts w:hint="eastAsia" w:ascii="新宋体" w:hAnsi="新宋体" w:eastAsia="新宋体" w:cs="新宋体"/>
          <w:b/>
          <w:bCs/>
          <w:color w:val="auto"/>
          <w:sz w:val="22"/>
          <w:highlight w:val="none"/>
          <w:u w:val="single"/>
          <w:lang w:eastAsia="zh-CN"/>
        </w:rPr>
      </w:pPr>
      <w:r>
        <w:rPr>
          <w:rFonts w:hint="eastAsia" w:ascii="新宋体" w:hAnsi="新宋体" w:eastAsia="新宋体" w:cs="新宋体"/>
          <w:b/>
          <w:bCs/>
          <w:color w:val="auto"/>
          <w:sz w:val="22"/>
          <w:highlight w:val="none"/>
          <w:u w:val="single"/>
          <w:lang w:val="en-US" w:eastAsia="zh-CN"/>
        </w:rPr>
        <w:t>（5）</w:t>
      </w:r>
      <w:r>
        <w:rPr>
          <w:rFonts w:hint="eastAsia" w:ascii="新宋体" w:hAnsi="新宋体" w:eastAsia="新宋体" w:cs="新宋体"/>
          <w:b/>
          <w:bCs/>
          <w:color w:val="auto"/>
          <w:sz w:val="22"/>
          <w:highlight w:val="none"/>
          <w:u w:val="single"/>
          <w:lang w:eastAsia="zh-CN"/>
        </w:rPr>
        <w:t>联合体投标时，对所有联合体成员进行信用记录查询，联合体成员存在不良信用记录的，视同联合体存在不良信用记录。</w:t>
      </w:r>
    </w:p>
    <w:p w14:paraId="5AC9801E">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p>
    <w:p w14:paraId="4EAC7501">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p>
    <w:p w14:paraId="54CC3374">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p>
    <w:p w14:paraId="6D0C3B5E">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p>
    <w:p w14:paraId="1D71BD54">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4</w:t>
      </w:r>
      <w:r>
        <w:rPr>
          <w:rFonts w:hint="eastAsia" w:ascii="新宋体" w:hAnsi="新宋体" w:eastAsia="新宋体" w:cs="新宋体"/>
          <w:b/>
          <w:bCs/>
          <w:color w:val="auto"/>
          <w:sz w:val="28"/>
          <w:szCs w:val="28"/>
          <w:highlight w:val="none"/>
          <w:lang w:val="zh-CN" w:eastAsia="zh-CN"/>
        </w:rPr>
        <w:t>、政府采购活动现场确认声明书</w:t>
      </w:r>
    </w:p>
    <w:p w14:paraId="15E34A5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kern w:val="0"/>
          <w:sz w:val="22"/>
          <w:szCs w:val="22"/>
          <w:highlight w:val="none"/>
        </w:rPr>
        <w:t>温州历程招标有限公司：</w:t>
      </w:r>
    </w:p>
    <w:p w14:paraId="7239A890">
      <w:pPr>
        <w:spacing w:line="460" w:lineRule="exact"/>
        <w:ind w:firstLine="440" w:firstLineChars="200"/>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rPr>
        <w:t>本人经由</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（供应商名称）负责人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（姓名）合法授权参加</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项目（编号：</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）采购活动，经与本单位法人代表（负责人）联系确认，现就有关公平竞争事项郑重声明如下：</w:t>
      </w:r>
    </w:p>
    <w:p w14:paraId="063457AE">
      <w:pPr>
        <w:numPr>
          <w:ilvl w:val="0"/>
          <w:numId w:val="0"/>
        </w:num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lang w:val="en-US" w:eastAsia="zh-CN"/>
        </w:rPr>
        <w:t>一</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本单位与</w:t>
      </w:r>
      <w:r>
        <w:rPr>
          <w:rFonts w:hint="eastAsia" w:ascii="新宋体" w:hAnsi="新宋体" w:eastAsia="新宋体" w:cs="新宋体"/>
          <w:color w:val="auto"/>
          <w:kern w:val="0"/>
          <w:sz w:val="22"/>
          <w:szCs w:val="22"/>
          <w:highlight w:val="none"/>
          <w:lang w:eastAsia="zh-CN"/>
        </w:rPr>
        <w:t>采购人</w:t>
      </w:r>
      <w:r>
        <w:rPr>
          <w:rFonts w:hint="eastAsia" w:ascii="新宋体" w:hAnsi="新宋体" w:eastAsia="新宋体" w:cs="新宋体"/>
          <w:color w:val="auto"/>
          <w:kern w:val="0"/>
          <w:sz w:val="22"/>
          <w:szCs w:val="22"/>
          <w:highlight w:val="none"/>
        </w:rPr>
        <w:t xml:space="preserve">之间 </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 xml:space="preserve">不存在利害关系 </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存在下列利害关系：</w:t>
      </w:r>
    </w:p>
    <w:p w14:paraId="129764FC">
      <w:p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 xml:space="preserve">A.投资关系    </w:t>
      </w:r>
    </w:p>
    <w:p w14:paraId="3AF7D848">
      <w:p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 xml:space="preserve">B.行政隶属关系    </w:t>
      </w:r>
    </w:p>
    <w:p w14:paraId="18D09FB7">
      <w:p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 xml:space="preserve">C.业务指导关系  </w:t>
      </w:r>
    </w:p>
    <w:p w14:paraId="6D303733">
      <w:pPr>
        <w:spacing w:line="460" w:lineRule="exact"/>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D.其他可能影响采购公正的利害关系</w:t>
      </w:r>
      <w:r>
        <w:rPr>
          <w:rStyle w:val="333"/>
          <w:rFonts w:hint="eastAsia" w:ascii="新宋体" w:hAnsi="新宋体" w:eastAsia="新宋体" w:cs="新宋体"/>
          <w:color w:val="auto"/>
          <w:sz w:val="22"/>
          <w:szCs w:val="22"/>
          <w:highlight w:val="none"/>
        </w:rPr>
        <w:t xml:space="preserve">（如有，请如实说明）                 </w:t>
      </w:r>
      <w:r>
        <w:rPr>
          <w:rFonts w:hint="eastAsia" w:ascii="新宋体" w:hAnsi="新宋体" w:eastAsia="新宋体" w:cs="新宋体"/>
          <w:color w:val="auto"/>
          <w:kern w:val="0"/>
          <w:sz w:val="22"/>
          <w:szCs w:val="22"/>
          <w:highlight w:val="none"/>
        </w:rPr>
        <w:t>。</w:t>
      </w:r>
    </w:p>
    <w:p w14:paraId="56AC70E3">
      <w:pPr>
        <w:numPr>
          <w:ilvl w:val="0"/>
          <w:numId w:val="0"/>
        </w:num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lang w:val="en-US" w:eastAsia="zh-CN"/>
        </w:rPr>
        <w:t>二</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 xml:space="preserve">现已清楚知道参加本项目采购活动的其他所有供应商名称，本单位 </w:t>
      </w:r>
    </w:p>
    <w:p w14:paraId="70814644">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与其他所有供应商之间均不存在利害关系</w:t>
      </w:r>
    </w:p>
    <w:p w14:paraId="4BCCE0D9">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与</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供应商名称）之间存在下列利害关系</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w:t>
      </w:r>
    </w:p>
    <w:p w14:paraId="0D0F00D5">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A.</w:t>
      </w:r>
      <w:r>
        <w:rPr>
          <w:rFonts w:hint="eastAsia" w:ascii="新宋体" w:hAnsi="新宋体" w:eastAsia="新宋体" w:cs="新宋体"/>
          <w:color w:val="auto"/>
          <w:kern w:val="0"/>
          <w:sz w:val="22"/>
          <w:szCs w:val="22"/>
          <w:highlight w:val="none"/>
        </w:rPr>
        <w:t>法定代表人或负责人或实际控制人是同一人</w:t>
      </w:r>
    </w:p>
    <w:p w14:paraId="35F3132A">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B.法定代表人或负责人或实际控制人是夫妻关系</w:t>
      </w:r>
    </w:p>
    <w:p w14:paraId="4689D38D">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C.法定代表人或负责人或实际控制人是直系血亲关系</w:t>
      </w:r>
    </w:p>
    <w:p w14:paraId="22A5A235">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D.法定代表人或负责人或实际控制人存在三代以内旁系血亲关系</w:t>
      </w:r>
    </w:p>
    <w:p w14:paraId="10C6449B">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E.法定代表人或负责人或实际控制人存在近姻亲关系</w:t>
      </w:r>
    </w:p>
    <w:p w14:paraId="73FB0A71">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F.法定代表人或负责人或实际控制人存在股份控制或实际控制关系</w:t>
      </w:r>
    </w:p>
    <w:p w14:paraId="735280E5">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G.存在共同直接或间接投资设立子公司、联营企业和合营企业情况</w:t>
      </w:r>
    </w:p>
    <w:p w14:paraId="47C0FD30">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H.存在分级代理或代销关系、同一生产制造商关系、管理关系、重要业务（占主营业务收入50%以上）或重要财务往来关系（如融资）等其他实质性控制关系</w:t>
      </w:r>
    </w:p>
    <w:p w14:paraId="5E675803">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I.其他利害关系情况</w:t>
      </w:r>
      <w:r>
        <w:rPr>
          <w:rFonts w:hint="eastAsia" w:ascii="新宋体" w:hAnsi="新宋体" w:eastAsia="新宋体" w:cs="新宋体"/>
          <w:color w:val="auto"/>
          <w:kern w:val="0"/>
          <w:sz w:val="22"/>
          <w:szCs w:val="22"/>
          <w:highlight w:val="none"/>
          <w:u w:val="single"/>
        </w:rPr>
        <w:t xml:space="preserve">                              。</w:t>
      </w:r>
    </w:p>
    <w:p w14:paraId="09C3B879">
      <w:pPr>
        <w:pStyle w:val="22"/>
        <w:spacing w:line="460" w:lineRule="exact"/>
        <w:ind w:left="0" w:firstLine="0" w:firstLineChars="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（三）现已清楚知道并严格遵守政府采购法律法规和现场纪律</w:t>
      </w:r>
    </w:p>
    <w:p w14:paraId="2BC42386">
      <w:pPr>
        <w:pStyle w:val="22"/>
        <w:spacing w:line="460" w:lineRule="exact"/>
        <w:ind w:left="0" w:firstLine="0" w:firstLineChars="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（四）我发现</w:t>
      </w:r>
      <w:r>
        <w:rPr>
          <w:rStyle w:val="333"/>
          <w:rFonts w:hint="eastAsia" w:ascii="新宋体" w:hAnsi="新宋体" w:eastAsia="新宋体" w:cs="新宋体"/>
          <w:color w:val="auto"/>
          <w:sz w:val="22"/>
          <w:szCs w:val="22"/>
          <w:highlight w:val="none"/>
        </w:rPr>
        <w:t xml:space="preserve">                  </w:t>
      </w:r>
      <w:r>
        <w:rPr>
          <w:rStyle w:val="333"/>
          <w:rFonts w:hint="eastAsia" w:ascii="新宋体" w:hAnsi="新宋体" w:eastAsia="新宋体" w:cs="新宋体"/>
          <w:color w:val="auto"/>
          <w:sz w:val="22"/>
          <w:szCs w:val="22"/>
          <w:highlight w:val="none"/>
          <w:u w:val="none"/>
        </w:rPr>
        <w:t>与</w:t>
      </w:r>
      <w:r>
        <w:rPr>
          <w:rStyle w:val="333"/>
          <w:rFonts w:hint="eastAsia" w:ascii="新宋体" w:hAnsi="新宋体" w:eastAsia="新宋体" w:cs="新宋体"/>
          <w:color w:val="auto"/>
          <w:sz w:val="22"/>
          <w:szCs w:val="22"/>
          <w:highlight w:val="none"/>
        </w:rPr>
        <w:t xml:space="preserve">                  （供应商名称）</w:t>
      </w:r>
      <w:r>
        <w:rPr>
          <w:rFonts w:hint="eastAsia" w:ascii="新宋体" w:hAnsi="新宋体" w:eastAsia="新宋体" w:cs="新宋体"/>
          <w:color w:val="auto"/>
          <w:kern w:val="0"/>
          <w:sz w:val="22"/>
          <w:szCs w:val="22"/>
          <w:highlight w:val="none"/>
        </w:rPr>
        <w:t>之间存在或可能存在上述第二条第</w:t>
      </w:r>
      <w:r>
        <w:rPr>
          <w:rStyle w:val="333"/>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kern w:val="0"/>
          <w:sz w:val="22"/>
          <w:szCs w:val="22"/>
          <w:highlight w:val="none"/>
        </w:rPr>
        <w:t>项利害关系。</w:t>
      </w:r>
    </w:p>
    <w:p w14:paraId="3F0F8626">
      <w:pPr>
        <w:pStyle w:val="22"/>
        <w:spacing w:line="460" w:lineRule="exact"/>
        <w:ind w:left="0" w:firstLine="0" w:firstLineChars="0"/>
        <w:rPr>
          <w:rFonts w:hint="eastAsia" w:ascii="新宋体" w:hAnsi="新宋体" w:eastAsia="新宋体" w:cs="新宋体"/>
          <w:b/>
          <w:color w:val="auto"/>
          <w:kern w:val="0"/>
          <w:sz w:val="22"/>
          <w:szCs w:val="22"/>
          <w:highlight w:val="none"/>
          <w:lang w:eastAsia="zh-CN"/>
        </w:rPr>
      </w:pPr>
      <w:r>
        <w:rPr>
          <w:rFonts w:hint="eastAsia" w:ascii="新宋体" w:hAnsi="新宋体" w:eastAsia="新宋体" w:cs="新宋体"/>
          <w:b/>
          <w:color w:val="auto"/>
          <w:kern w:val="0"/>
          <w:sz w:val="22"/>
          <w:szCs w:val="22"/>
          <w:highlight w:val="none"/>
        </w:rPr>
        <w:t>供应商代表签名</w:t>
      </w:r>
      <w:r>
        <w:rPr>
          <w:rFonts w:hint="eastAsia" w:ascii="新宋体" w:hAnsi="新宋体" w:eastAsia="新宋体" w:cs="新宋体"/>
          <w:b/>
          <w:color w:val="auto"/>
          <w:kern w:val="0"/>
          <w:sz w:val="22"/>
          <w:szCs w:val="22"/>
          <w:highlight w:val="none"/>
          <w:lang w:eastAsia="zh-CN"/>
        </w:rPr>
        <w:t>：</w:t>
      </w:r>
    </w:p>
    <w:p w14:paraId="0B7A7EF9">
      <w:pPr>
        <w:pStyle w:val="22"/>
        <w:spacing w:line="460" w:lineRule="exact"/>
        <w:ind w:left="0" w:firstLine="0" w:firstLineChars="0"/>
        <w:jc w:val="right"/>
        <w:rPr>
          <w:rFonts w:hint="eastAsia" w:ascii="新宋体" w:hAnsi="新宋体" w:eastAsia="新宋体" w:cs="新宋体"/>
          <w:b/>
          <w:color w:val="auto"/>
          <w:kern w:val="0"/>
          <w:sz w:val="22"/>
          <w:szCs w:val="22"/>
          <w:highlight w:val="none"/>
        </w:rPr>
      </w:pPr>
    </w:p>
    <w:p w14:paraId="439A205B">
      <w:pPr>
        <w:pStyle w:val="22"/>
        <w:spacing w:line="460" w:lineRule="exact"/>
        <w:ind w:left="0" w:firstLine="0" w:firstLineChars="0"/>
        <w:jc w:val="right"/>
        <w:rPr>
          <w:rFonts w:hint="eastAsia" w:ascii="新宋体" w:hAnsi="新宋体" w:eastAsia="新宋体" w:cs="新宋体"/>
          <w:b/>
          <w:color w:val="auto"/>
          <w:kern w:val="0"/>
          <w:sz w:val="22"/>
          <w:szCs w:val="22"/>
          <w:highlight w:val="none"/>
        </w:rPr>
      </w:pPr>
    </w:p>
    <w:p w14:paraId="56E66B87">
      <w:pPr>
        <w:pStyle w:val="22"/>
        <w:spacing w:line="460" w:lineRule="exact"/>
        <w:ind w:left="0" w:firstLine="0" w:firstLineChars="0"/>
        <w:jc w:val="righ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日期</w:t>
      </w:r>
      <w:r>
        <w:rPr>
          <w:rFonts w:hint="eastAsia" w:ascii="新宋体" w:hAnsi="新宋体" w:eastAsia="新宋体" w:cs="新宋体"/>
          <w:b/>
          <w:color w:val="auto"/>
          <w:kern w:val="0"/>
          <w:sz w:val="22"/>
          <w:szCs w:val="22"/>
          <w:highlight w:val="none"/>
          <w:lang w:eastAsia="zh-CN"/>
        </w:rPr>
        <w:t>：</w:t>
      </w:r>
      <w:r>
        <w:rPr>
          <w:rFonts w:hint="eastAsia" w:ascii="新宋体" w:hAnsi="新宋体" w:eastAsia="新宋体" w:cs="新宋体"/>
          <w:b/>
          <w:color w:val="auto"/>
          <w:kern w:val="0"/>
          <w:sz w:val="22"/>
          <w:szCs w:val="22"/>
          <w:highlight w:val="none"/>
          <w:lang w:val="en-US" w:eastAsia="zh-CN"/>
        </w:rPr>
        <w:t xml:space="preserve">    </w:t>
      </w:r>
      <w:r>
        <w:rPr>
          <w:rFonts w:hint="eastAsia" w:ascii="新宋体" w:hAnsi="新宋体" w:eastAsia="新宋体" w:cs="新宋体"/>
          <w:b/>
          <w:color w:val="auto"/>
          <w:kern w:val="0"/>
          <w:sz w:val="22"/>
          <w:szCs w:val="22"/>
          <w:highlight w:val="none"/>
        </w:rPr>
        <w:t>年    月    日</w:t>
      </w:r>
    </w:p>
    <w:p w14:paraId="7033F541">
      <w:pPr>
        <w:pStyle w:val="22"/>
        <w:spacing w:line="460" w:lineRule="exact"/>
        <w:ind w:left="0" w:firstLine="0" w:firstLineChars="0"/>
        <w:jc w:val="right"/>
        <w:rPr>
          <w:rFonts w:hint="eastAsia" w:ascii="新宋体" w:hAnsi="新宋体" w:eastAsia="新宋体" w:cs="新宋体"/>
          <w:b/>
          <w:color w:val="auto"/>
          <w:kern w:val="0"/>
          <w:sz w:val="22"/>
          <w:szCs w:val="22"/>
          <w:highlight w:val="none"/>
        </w:rPr>
      </w:pPr>
    </w:p>
    <w:p w14:paraId="62376DC7">
      <w:pPr>
        <w:spacing w:line="400" w:lineRule="exact"/>
        <w:jc w:val="center"/>
        <w:outlineLvl w:val="3"/>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t>5、联合体共同投标协议书（如有）</w:t>
      </w:r>
    </w:p>
    <w:p w14:paraId="00959EC8">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牵头人名称：</w:t>
      </w:r>
      <w:r>
        <w:rPr>
          <w:rFonts w:hint="eastAsia" w:ascii="新宋体" w:hAnsi="新宋体" w:eastAsia="新宋体" w:cs="新宋体"/>
          <w:color w:val="auto"/>
          <w:sz w:val="22"/>
          <w:szCs w:val="22"/>
          <w:highlight w:val="none"/>
          <w:u w:val="single"/>
        </w:rPr>
        <w:t xml:space="preserve">                                                        </w:t>
      </w:r>
    </w:p>
    <w:p w14:paraId="58059C2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rPr>
        <w:t xml:space="preserve">                                        </w:t>
      </w:r>
    </w:p>
    <w:p w14:paraId="20250DA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5"/>
          <w:sz w:val="22"/>
          <w:szCs w:val="22"/>
          <w:highlight w:val="none"/>
        </w:rPr>
        <w:t>法定住</w:t>
      </w:r>
      <w:r>
        <w:rPr>
          <w:rFonts w:hint="eastAsia" w:ascii="新宋体" w:hAnsi="新宋体" w:eastAsia="新宋体" w:cs="新宋体"/>
          <w:color w:val="auto"/>
          <w:sz w:val="22"/>
          <w:szCs w:val="22"/>
          <w:highlight w:val="none"/>
        </w:rPr>
        <w:t>所：</w:t>
      </w:r>
      <w:r>
        <w:rPr>
          <w:rFonts w:hint="eastAsia" w:ascii="新宋体" w:hAnsi="新宋体" w:eastAsia="新宋体" w:cs="新宋体"/>
          <w:color w:val="auto"/>
          <w:sz w:val="22"/>
          <w:szCs w:val="22"/>
          <w:highlight w:val="none"/>
          <w:u w:val="single"/>
        </w:rPr>
        <w:t xml:space="preserve">                                                        </w:t>
      </w:r>
    </w:p>
    <w:p w14:paraId="0363405C">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联合体</w:t>
      </w:r>
      <w:r>
        <w:rPr>
          <w:rFonts w:hint="eastAsia" w:ascii="新宋体" w:hAnsi="新宋体" w:eastAsia="新宋体" w:cs="新宋体"/>
          <w:color w:val="auto"/>
          <w:sz w:val="22"/>
          <w:szCs w:val="22"/>
          <w:highlight w:val="none"/>
        </w:rPr>
        <w:t>成员名称：</w:t>
      </w:r>
      <w:r>
        <w:rPr>
          <w:rFonts w:hint="eastAsia" w:ascii="新宋体" w:hAnsi="新宋体" w:eastAsia="新宋体" w:cs="新宋体"/>
          <w:color w:val="auto"/>
          <w:sz w:val="22"/>
          <w:szCs w:val="22"/>
          <w:highlight w:val="none"/>
          <w:u w:val="single"/>
        </w:rPr>
        <w:t xml:space="preserve">                                                    </w:t>
      </w:r>
    </w:p>
    <w:p w14:paraId="5558C937">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rPr>
        <w:t xml:space="preserve">                                       </w:t>
      </w:r>
    </w:p>
    <w:p w14:paraId="5F79678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5"/>
          <w:sz w:val="22"/>
          <w:szCs w:val="22"/>
          <w:highlight w:val="none"/>
        </w:rPr>
        <w:t>法定住</w:t>
      </w:r>
      <w:r>
        <w:rPr>
          <w:rFonts w:hint="eastAsia" w:ascii="新宋体" w:hAnsi="新宋体" w:eastAsia="新宋体" w:cs="新宋体"/>
          <w:color w:val="auto"/>
          <w:sz w:val="22"/>
          <w:szCs w:val="22"/>
          <w:highlight w:val="none"/>
        </w:rPr>
        <w:t>所：</w:t>
      </w:r>
      <w:r>
        <w:rPr>
          <w:rFonts w:hint="eastAsia" w:ascii="新宋体" w:hAnsi="新宋体" w:eastAsia="新宋体" w:cs="新宋体"/>
          <w:color w:val="auto"/>
          <w:sz w:val="22"/>
          <w:szCs w:val="22"/>
          <w:highlight w:val="none"/>
          <w:u w:val="single"/>
        </w:rPr>
        <w:t xml:space="preserve">                                                        </w:t>
      </w:r>
    </w:p>
    <w:p w14:paraId="28D59B9F">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鉴于上述各成员单位经过友好协商，自愿组成</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（联合体名称）联合体，共同参加</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（招标人名称）（以下简称招标人）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（项目名称）（以下简称合同）。现就联合体投标事宜订立如下协议：</w:t>
      </w:r>
    </w:p>
    <w:p w14:paraId="72761C64">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（某成员单位名称）为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（联合体名称）牵头人。</w:t>
      </w:r>
    </w:p>
    <w:p w14:paraId="385F1704">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2、在本项目投标阶段，联合体牵头人合法代表联合体各成员负责本</w:t>
      </w:r>
      <w:r>
        <w:rPr>
          <w:rFonts w:hint="eastAsia" w:ascii="新宋体" w:hAnsi="新宋体" w:eastAsia="新宋体" w:cs="新宋体"/>
          <w:color w:val="auto"/>
          <w:sz w:val="22"/>
          <w:szCs w:val="22"/>
          <w:highlight w:val="none"/>
          <w:lang w:eastAsia="zh-CN"/>
        </w:rPr>
        <w:t>项目</w:t>
      </w:r>
      <w:r>
        <w:rPr>
          <w:rFonts w:hint="eastAsia" w:ascii="新宋体" w:hAnsi="新宋体" w:eastAsia="新宋体" w:cs="新宋体"/>
          <w:color w:val="auto"/>
          <w:sz w:val="22"/>
          <w:szCs w:val="22"/>
          <w:highlight w:val="none"/>
        </w:rPr>
        <w:t>投标文件编制活动，代表联合体提交和接收相关的资料、信息及指示，并处理投标和中标有关的一切事务；联合体中标后，联合体牵头人负责合同订立和合同实施阶段的主办、组织和协调工作。</w:t>
      </w:r>
    </w:p>
    <w:p w14:paraId="2293F383">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3、联合体将严格按照</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的各项要求，递交投标文件，履行投标义务和中标后的合同，共同承担合同规定的一切义务和责任，联合体各成员单位按照内部职责的划分，承担各自所负的责任和风险，并向招标人承担连带责任。</w:t>
      </w:r>
    </w:p>
    <w:p w14:paraId="577ED9D8">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4、联合体各成员单位内部的职责分工如下：</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w:t>
      </w:r>
    </w:p>
    <w:p w14:paraId="1BD09F2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按照本条上述分工，联合体成员单位</w:t>
      </w:r>
      <w:r>
        <w:rPr>
          <w:rFonts w:hint="eastAsia" w:ascii="新宋体" w:hAnsi="新宋体" w:eastAsia="新宋体" w:cs="新宋体"/>
          <w:color w:val="auto"/>
          <w:sz w:val="22"/>
          <w:szCs w:val="22"/>
          <w:highlight w:val="none"/>
          <w:lang w:val="en-US" w:eastAsia="zh-CN"/>
        </w:rPr>
        <w:t>合同份额占合同总金额的占比</w:t>
      </w:r>
      <w:r>
        <w:rPr>
          <w:rFonts w:hint="eastAsia" w:ascii="新宋体" w:hAnsi="新宋体" w:eastAsia="新宋体" w:cs="新宋体"/>
          <w:color w:val="auto"/>
          <w:sz w:val="22"/>
          <w:szCs w:val="22"/>
          <w:highlight w:val="none"/>
        </w:rPr>
        <w:t>比例如下：</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w:t>
      </w:r>
    </w:p>
    <w:p w14:paraId="07F09531">
      <w:pPr>
        <w:keepNext w:val="0"/>
        <w:keepLines w:val="0"/>
        <w:pageBreakBefore w:val="0"/>
        <w:widowControl w:val="0"/>
        <w:kinsoku/>
        <w:wordWrap/>
        <w:overflowPunct/>
        <w:topLinePunct w:val="0"/>
        <w:autoSpaceDE/>
        <w:autoSpaceDN/>
        <w:bidi w:val="0"/>
        <w:adjustRightInd/>
        <w:snapToGrid/>
        <w:spacing w:line="460" w:lineRule="exact"/>
        <w:ind w:firstLine="352" w:firstLineChars="16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5、联合体中标后，本联合体协议是合同的附件，对联合体各成员单位有合同约束力。</w:t>
      </w:r>
    </w:p>
    <w:p w14:paraId="11885E5A">
      <w:pPr>
        <w:keepNext w:val="0"/>
        <w:keepLines w:val="0"/>
        <w:pageBreakBefore w:val="0"/>
        <w:widowControl w:val="0"/>
        <w:kinsoku/>
        <w:wordWrap/>
        <w:overflowPunct/>
        <w:topLinePunct w:val="0"/>
        <w:autoSpaceDE/>
        <w:autoSpaceDN/>
        <w:bidi w:val="0"/>
        <w:adjustRightInd/>
        <w:snapToGrid/>
        <w:spacing w:line="460" w:lineRule="exact"/>
        <w:ind w:firstLine="352" w:firstLineChars="16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6、本协议书自签署之日起生效，联合体未中标或者中标时合同履行完毕后自动失效。</w:t>
      </w:r>
    </w:p>
    <w:p w14:paraId="24526D3C">
      <w:pPr>
        <w:keepNext w:val="0"/>
        <w:keepLines w:val="0"/>
        <w:pageBreakBefore w:val="0"/>
        <w:widowControl w:val="0"/>
        <w:kinsoku/>
        <w:wordWrap/>
        <w:overflowPunct/>
        <w:topLinePunct w:val="0"/>
        <w:autoSpaceDE/>
        <w:autoSpaceDN/>
        <w:bidi w:val="0"/>
        <w:adjustRightInd/>
        <w:snapToGrid/>
        <w:spacing w:line="460" w:lineRule="exact"/>
        <w:ind w:firstLine="352" w:firstLineChars="16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7、本协议书一式</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份，联合体成员和招标人各执一份。</w:t>
      </w:r>
    </w:p>
    <w:p w14:paraId="27925554">
      <w:pPr>
        <w:keepNext w:val="0"/>
        <w:keepLines w:val="0"/>
        <w:pageBreakBefore w:val="0"/>
        <w:widowControl w:val="0"/>
        <w:kinsoku/>
        <w:wordWrap/>
        <w:overflowPunct/>
        <w:topLinePunct w:val="0"/>
        <w:autoSpaceDE/>
        <w:autoSpaceDN/>
        <w:bidi w:val="0"/>
        <w:adjustRightInd/>
        <w:snapToGrid/>
        <w:spacing w:line="460" w:lineRule="exact"/>
        <w:ind w:firstLine="2785" w:firstLineChars="1266"/>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牵头人名称：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（盖单位公章）</w:t>
      </w:r>
    </w:p>
    <w:p w14:paraId="10D867F8">
      <w:pPr>
        <w:keepNext w:val="0"/>
        <w:keepLines w:val="0"/>
        <w:pageBreakBefore w:val="0"/>
        <w:widowControl w:val="0"/>
        <w:kinsoku/>
        <w:wordWrap/>
        <w:overflowPunct/>
        <w:topLinePunct w:val="0"/>
        <w:autoSpaceDE/>
        <w:autoSpaceDN/>
        <w:bidi w:val="0"/>
        <w:adjustRightInd/>
        <w:snapToGrid/>
        <w:spacing w:line="460" w:lineRule="exact"/>
        <w:ind w:firstLine="1100" w:firstLineChars="5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或授权代表：</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（签字或盖章）</w:t>
      </w:r>
    </w:p>
    <w:p w14:paraId="7DB25F5B">
      <w:pPr>
        <w:keepNext w:val="0"/>
        <w:keepLines w:val="0"/>
        <w:pageBreakBefore w:val="0"/>
        <w:widowControl w:val="0"/>
        <w:kinsoku/>
        <w:wordWrap/>
        <w:overflowPunct/>
        <w:topLinePunct w:val="0"/>
        <w:autoSpaceDE/>
        <w:autoSpaceDN/>
        <w:bidi w:val="0"/>
        <w:adjustRightInd/>
        <w:snapToGrid/>
        <w:spacing w:line="460" w:lineRule="exact"/>
        <w:ind w:firstLine="2785" w:firstLineChars="1266"/>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联合体</w:t>
      </w:r>
      <w:r>
        <w:rPr>
          <w:rFonts w:hint="eastAsia" w:ascii="新宋体" w:hAnsi="新宋体" w:eastAsia="新宋体" w:cs="新宋体"/>
          <w:color w:val="auto"/>
          <w:sz w:val="22"/>
          <w:szCs w:val="22"/>
          <w:highlight w:val="none"/>
        </w:rPr>
        <w:t>成员名称：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（盖单位公章）</w:t>
      </w:r>
    </w:p>
    <w:p w14:paraId="226B2D6A">
      <w:pPr>
        <w:keepNext w:val="0"/>
        <w:keepLines w:val="0"/>
        <w:pageBreakBefore w:val="0"/>
        <w:widowControl w:val="0"/>
        <w:kinsoku/>
        <w:wordWrap/>
        <w:overflowPunct/>
        <w:topLinePunct w:val="0"/>
        <w:autoSpaceDE/>
        <w:autoSpaceDN/>
        <w:bidi w:val="0"/>
        <w:adjustRightInd/>
        <w:snapToGrid/>
        <w:spacing w:line="460" w:lineRule="exact"/>
        <w:ind w:firstLine="1100" w:firstLineChars="5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或授权代表：</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（签字或盖章）</w:t>
      </w:r>
    </w:p>
    <w:p w14:paraId="65333970">
      <w:pPr>
        <w:keepNext w:val="0"/>
        <w:keepLines w:val="0"/>
        <w:pageBreakBefore w:val="0"/>
        <w:widowControl w:val="0"/>
        <w:kinsoku/>
        <w:wordWrap/>
        <w:overflowPunct/>
        <w:topLinePunct w:val="0"/>
        <w:autoSpaceDE/>
        <w:autoSpaceDN/>
        <w:bidi w:val="0"/>
        <w:adjustRightInd/>
        <w:snapToGrid/>
        <w:spacing w:line="460" w:lineRule="exact"/>
        <w:jc w:val="righ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年</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月</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 xml:space="preserve">日             </w:t>
      </w:r>
    </w:p>
    <w:p w14:paraId="1124FE7E">
      <w:pPr>
        <w:keepNext w:val="0"/>
        <w:keepLines w:val="0"/>
        <w:pageBreakBefore w:val="0"/>
        <w:widowControl w:val="0"/>
        <w:kinsoku/>
        <w:wordWrap/>
        <w:overflowPunct/>
        <w:topLinePunct w:val="0"/>
        <w:autoSpaceDE/>
        <w:autoSpaceDN/>
        <w:bidi w:val="0"/>
        <w:adjustRightInd/>
        <w:snapToGrid/>
        <w:spacing w:line="460" w:lineRule="exact"/>
        <w:ind w:right="420"/>
        <w:textAlignment w:val="auto"/>
        <w:rPr>
          <w:rFonts w:hint="eastAsia" w:ascii="新宋体" w:hAnsi="新宋体" w:eastAsia="新宋体" w:cs="新宋体"/>
          <w:color w:val="auto"/>
          <w:sz w:val="22"/>
          <w:szCs w:val="22"/>
          <w:highlight w:val="none"/>
        </w:rPr>
      </w:pPr>
    </w:p>
    <w:p w14:paraId="5C7F16DB">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eastAsia" w:ascii="新宋体" w:hAnsi="新宋体" w:eastAsia="新宋体" w:cs="新宋体"/>
          <w:b/>
          <w:color w:val="auto"/>
          <w:sz w:val="22"/>
          <w:highlight w:val="none"/>
          <w:lang w:val="en-US" w:eastAsia="zh-CN"/>
        </w:rPr>
      </w:pPr>
      <w:r>
        <w:rPr>
          <w:rFonts w:hint="eastAsia" w:ascii="新宋体" w:hAnsi="新宋体" w:eastAsia="新宋体" w:cs="新宋体"/>
          <w:color w:val="auto"/>
          <w:sz w:val="22"/>
          <w:szCs w:val="22"/>
          <w:highlight w:val="none"/>
        </w:rPr>
        <w:t>备注：本协议书由授权代表签字或盖章的，应附</w:t>
      </w: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签字或盖章的授权委托书。</w:t>
      </w:r>
    </w:p>
    <w:p w14:paraId="4C90F66E">
      <w:pPr>
        <w:pStyle w:val="22"/>
        <w:spacing w:line="460" w:lineRule="exact"/>
        <w:ind w:left="0" w:firstLine="0" w:firstLineChars="0"/>
        <w:jc w:val="both"/>
        <w:rPr>
          <w:rFonts w:hint="eastAsia" w:ascii="新宋体" w:hAnsi="新宋体" w:eastAsia="新宋体" w:cs="新宋体"/>
          <w:b/>
          <w:color w:val="auto"/>
          <w:kern w:val="0"/>
          <w:sz w:val="22"/>
          <w:szCs w:val="22"/>
          <w:highlight w:val="none"/>
        </w:rPr>
      </w:pPr>
    </w:p>
    <w:p w14:paraId="5B14C514">
      <w:pPr>
        <w:pStyle w:val="22"/>
        <w:spacing w:line="460" w:lineRule="exact"/>
        <w:ind w:left="0" w:firstLine="0" w:firstLineChars="0"/>
        <w:jc w:val="right"/>
        <w:rPr>
          <w:rFonts w:hint="eastAsia"/>
          <w:color w:val="auto"/>
          <w:highlight w:val="none"/>
        </w:rPr>
      </w:pPr>
      <w:r>
        <w:rPr>
          <w:rFonts w:hint="eastAsia" w:ascii="新宋体" w:hAnsi="新宋体" w:eastAsia="新宋体" w:cs="新宋体"/>
          <w:b/>
          <w:bCs/>
          <w:color w:val="auto"/>
          <w:sz w:val="22"/>
          <w:szCs w:val="22"/>
          <w:highlight w:val="none"/>
        </w:rPr>
        <w:br w:type="page"/>
      </w:r>
    </w:p>
    <w:bookmarkEnd w:id="39"/>
    <w:p w14:paraId="6AA4A08B">
      <w:pPr>
        <w:pStyle w:val="22"/>
        <w:spacing w:line="460" w:lineRule="exact"/>
        <w:ind w:left="433" w:hanging="433" w:hangingChars="196"/>
        <w:outlineLvl w:val="1"/>
        <w:rPr>
          <w:rFonts w:hint="eastAsia" w:ascii="新宋体" w:hAnsi="新宋体" w:eastAsia="新宋体" w:cs="新宋体"/>
          <w:b/>
          <w:color w:val="auto"/>
          <w:sz w:val="22"/>
          <w:szCs w:val="22"/>
          <w:highlight w:val="none"/>
        </w:rPr>
      </w:pPr>
      <w:bookmarkStart w:id="40" w:name="_Toc8846"/>
      <w:bookmarkStart w:id="41" w:name="_Toc19402"/>
      <w:r>
        <w:rPr>
          <w:rFonts w:hint="eastAsia" w:ascii="新宋体" w:hAnsi="新宋体" w:eastAsia="新宋体" w:cs="新宋体"/>
          <w:b/>
          <w:color w:val="auto"/>
          <w:sz w:val="22"/>
          <w:szCs w:val="22"/>
          <w:highlight w:val="none"/>
        </w:rPr>
        <w:t>附件二</w:t>
      </w:r>
      <w:bookmarkEnd w:id="40"/>
      <w:bookmarkEnd w:id="41"/>
      <w:bookmarkStart w:id="42" w:name="_Toc16516"/>
    </w:p>
    <w:p w14:paraId="2F1F9A97">
      <w:pPr>
        <w:spacing w:line="460" w:lineRule="exact"/>
        <w:jc w:val="center"/>
        <w:outlineLvl w:val="2"/>
        <w:rPr>
          <w:rFonts w:hint="eastAsia" w:ascii="新宋体" w:hAnsi="新宋体" w:eastAsia="新宋体" w:cs="新宋体"/>
          <w:b/>
          <w:bCs/>
          <w:color w:val="auto"/>
          <w:sz w:val="28"/>
          <w:szCs w:val="28"/>
          <w:highlight w:val="none"/>
        </w:rPr>
      </w:pPr>
      <w:bookmarkStart w:id="43" w:name="_Toc15481"/>
      <w:r>
        <w:rPr>
          <w:rFonts w:hint="eastAsia" w:ascii="新宋体" w:hAnsi="新宋体" w:eastAsia="新宋体" w:cs="新宋体"/>
          <w:b/>
          <w:bCs/>
          <w:color w:val="auto"/>
          <w:sz w:val="28"/>
          <w:szCs w:val="28"/>
          <w:highlight w:val="none"/>
        </w:rPr>
        <w:t>报价文件</w:t>
      </w:r>
      <w:bookmarkEnd w:id="43"/>
    </w:p>
    <w:p w14:paraId="7D3C4E50">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1</w:t>
      </w:r>
      <w:r>
        <w:rPr>
          <w:rFonts w:hint="eastAsia" w:ascii="新宋体" w:hAnsi="新宋体" w:eastAsia="新宋体" w:cs="新宋体"/>
          <w:b/>
          <w:bCs/>
          <w:color w:val="auto"/>
          <w:sz w:val="28"/>
          <w:szCs w:val="28"/>
          <w:highlight w:val="none"/>
          <w:lang w:val="zh-CN" w:eastAsia="zh-CN"/>
        </w:rPr>
        <w:t>、投标报价一览表</w:t>
      </w:r>
    </w:p>
    <w:p w14:paraId="75A3D277">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p>
    <w:p w14:paraId="34E4EB92">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highlight w:val="none"/>
        </w:rPr>
      </w:pPr>
      <w:r>
        <w:rPr>
          <w:rFonts w:hint="eastAsia" w:ascii="新宋体" w:hAnsi="新宋体" w:eastAsia="新宋体" w:cs="新宋体"/>
          <w:color w:val="auto"/>
          <w:sz w:val="22"/>
          <w:szCs w:val="22"/>
          <w:highlight w:val="none"/>
        </w:rPr>
        <w:t>项目名称：</w:t>
      </w:r>
    </w:p>
    <w:tbl>
      <w:tblPr>
        <w:tblStyle w:val="53"/>
        <w:tblW w:w="95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9"/>
        <w:gridCol w:w="2673"/>
        <w:gridCol w:w="1432"/>
        <w:gridCol w:w="1213"/>
        <w:gridCol w:w="1530"/>
      </w:tblGrid>
      <w:tr w14:paraId="0B248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729" w:type="dxa"/>
            <w:vAlign w:val="center"/>
          </w:tcPr>
          <w:p w14:paraId="2AFC3BC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Cs/>
                <w:color w:val="auto"/>
                <w:sz w:val="22"/>
                <w:szCs w:val="22"/>
                <w:highlight w:val="none"/>
                <w:lang w:eastAsia="zh-CN"/>
              </w:rPr>
            </w:pPr>
            <w:r>
              <w:rPr>
                <w:rFonts w:hint="eastAsia" w:ascii="新宋体" w:hAnsi="新宋体" w:eastAsia="新宋体" w:cs="新宋体"/>
                <w:bCs/>
                <w:color w:val="auto"/>
                <w:sz w:val="22"/>
                <w:szCs w:val="22"/>
                <w:highlight w:val="none"/>
              </w:rPr>
              <w:t>项目</w:t>
            </w:r>
            <w:r>
              <w:rPr>
                <w:rFonts w:hint="eastAsia" w:ascii="新宋体" w:hAnsi="新宋体" w:eastAsia="新宋体" w:cs="新宋体"/>
                <w:bCs/>
                <w:color w:val="auto"/>
                <w:sz w:val="22"/>
                <w:szCs w:val="22"/>
                <w:highlight w:val="none"/>
                <w:lang w:val="en-US" w:eastAsia="zh-CN"/>
              </w:rPr>
              <w:t>内容</w:t>
            </w:r>
          </w:p>
        </w:tc>
        <w:tc>
          <w:tcPr>
            <w:tcW w:w="2673" w:type="dxa"/>
            <w:vAlign w:val="center"/>
          </w:tcPr>
          <w:p w14:paraId="169B80B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投标报价（元）</w:t>
            </w:r>
          </w:p>
        </w:tc>
        <w:tc>
          <w:tcPr>
            <w:tcW w:w="1432" w:type="dxa"/>
            <w:vAlign w:val="center"/>
          </w:tcPr>
          <w:p w14:paraId="7F501868">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交货日期</w:t>
            </w:r>
          </w:p>
        </w:tc>
        <w:tc>
          <w:tcPr>
            <w:tcW w:w="1213" w:type="dxa"/>
            <w:vAlign w:val="center"/>
          </w:tcPr>
          <w:p w14:paraId="5B3440C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交货地点</w:t>
            </w:r>
          </w:p>
        </w:tc>
        <w:tc>
          <w:tcPr>
            <w:tcW w:w="1530" w:type="dxa"/>
            <w:vAlign w:val="center"/>
          </w:tcPr>
          <w:p w14:paraId="246447D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备注</w:t>
            </w:r>
          </w:p>
        </w:tc>
      </w:tr>
      <w:tr w14:paraId="78A5F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2729" w:type="dxa"/>
            <w:vMerge w:val="restart"/>
            <w:vAlign w:val="center"/>
          </w:tcPr>
          <w:p w14:paraId="055818F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Cs/>
                <w:color w:val="auto"/>
                <w:sz w:val="22"/>
                <w:szCs w:val="22"/>
                <w:highlight w:val="none"/>
                <w:lang w:eastAsia="zh-CN"/>
              </w:rPr>
            </w:pPr>
            <w:r>
              <w:rPr>
                <w:rFonts w:hint="eastAsia" w:ascii="新宋体" w:hAnsi="新宋体" w:eastAsia="新宋体" w:cs="新宋体"/>
                <w:color w:val="auto"/>
                <w:kern w:val="2"/>
                <w:sz w:val="22"/>
                <w:szCs w:val="22"/>
                <w:highlight w:val="none"/>
                <w:lang w:val="en-US" w:eastAsia="zh-CN" w:bidi="ar-SA"/>
              </w:rPr>
              <w:t>流式细胞仪（含细胞计数仪、荧光定量PCR仪）</w:t>
            </w:r>
          </w:p>
        </w:tc>
        <w:tc>
          <w:tcPr>
            <w:tcW w:w="2673" w:type="dxa"/>
            <w:vAlign w:val="center"/>
          </w:tcPr>
          <w:p w14:paraId="730987C0">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小写：</w:t>
            </w:r>
          </w:p>
        </w:tc>
        <w:tc>
          <w:tcPr>
            <w:tcW w:w="1432" w:type="dxa"/>
            <w:vMerge w:val="restart"/>
          </w:tcPr>
          <w:p w14:paraId="27A1A683">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c>
          <w:tcPr>
            <w:tcW w:w="1213" w:type="dxa"/>
            <w:vMerge w:val="restart"/>
          </w:tcPr>
          <w:p w14:paraId="0774D103">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r>
              <w:rPr>
                <w:rFonts w:hint="eastAsia" w:ascii="新宋体" w:hAnsi="新宋体" w:eastAsia="新宋体" w:cs="新宋体"/>
                <w:color w:val="auto"/>
                <w:sz w:val="22"/>
                <w:szCs w:val="22"/>
                <w:highlight w:val="none"/>
              </w:rPr>
              <w:t xml:space="preserve"> </w:t>
            </w:r>
          </w:p>
        </w:tc>
        <w:tc>
          <w:tcPr>
            <w:tcW w:w="1530" w:type="dxa"/>
            <w:vMerge w:val="restart"/>
          </w:tcPr>
          <w:p w14:paraId="20E3688F">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r>
      <w:tr w14:paraId="2D330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2729" w:type="dxa"/>
            <w:vMerge w:val="continue"/>
          </w:tcPr>
          <w:p w14:paraId="3D0307E4">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c>
          <w:tcPr>
            <w:tcW w:w="2673" w:type="dxa"/>
            <w:vAlign w:val="center"/>
          </w:tcPr>
          <w:p w14:paraId="63E3FC42">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大写：</w:t>
            </w:r>
          </w:p>
        </w:tc>
        <w:tc>
          <w:tcPr>
            <w:tcW w:w="1432" w:type="dxa"/>
            <w:vMerge w:val="continue"/>
          </w:tcPr>
          <w:p w14:paraId="0F37CD5E">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c>
          <w:tcPr>
            <w:tcW w:w="1213" w:type="dxa"/>
            <w:vMerge w:val="continue"/>
          </w:tcPr>
          <w:p w14:paraId="5217361D">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color w:val="auto"/>
                <w:sz w:val="22"/>
                <w:szCs w:val="22"/>
                <w:highlight w:val="none"/>
              </w:rPr>
            </w:pPr>
          </w:p>
        </w:tc>
        <w:tc>
          <w:tcPr>
            <w:tcW w:w="1530" w:type="dxa"/>
            <w:vMerge w:val="continue"/>
          </w:tcPr>
          <w:p w14:paraId="6F4D42E5">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r>
    </w:tbl>
    <w:p w14:paraId="3E0B1386">
      <w:pPr>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p>
    <w:p w14:paraId="2E0C04D0">
      <w:pPr>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说明：</w:t>
      </w:r>
    </w:p>
    <w:p w14:paraId="2169C859">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lang w:val="en-US" w:eastAsia="zh-CN"/>
        </w:rPr>
        <w:t>1、</w:t>
      </w:r>
      <w:r>
        <w:rPr>
          <w:rFonts w:hint="eastAsia" w:ascii="新宋体" w:hAnsi="新宋体" w:eastAsia="新宋体" w:cs="新宋体"/>
          <w:b/>
          <w:color w:val="auto"/>
          <w:sz w:val="22"/>
          <w:highlight w:val="none"/>
        </w:rPr>
        <w:t>此栏投标报价应与</w:t>
      </w:r>
      <w:r>
        <w:rPr>
          <w:rFonts w:hint="eastAsia" w:ascii="新宋体" w:hAnsi="新宋体" w:eastAsia="新宋体" w:cs="新宋体"/>
          <w:b/>
          <w:color w:val="auto"/>
          <w:sz w:val="22"/>
          <w:highlight w:val="none"/>
          <w:lang w:val="en-US" w:eastAsia="zh-CN"/>
        </w:rPr>
        <w:t>附件二</w:t>
      </w:r>
      <w:r>
        <w:rPr>
          <w:rFonts w:hint="eastAsia" w:ascii="新宋体" w:hAnsi="新宋体" w:eastAsia="新宋体" w:cs="新宋体"/>
          <w:b/>
          <w:color w:val="auto"/>
          <w:sz w:val="22"/>
          <w:highlight w:val="none"/>
        </w:rPr>
        <w:t>“</w:t>
      </w:r>
      <w:r>
        <w:rPr>
          <w:rFonts w:hint="eastAsia" w:ascii="新宋体" w:hAnsi="新宋体" w:eastAsia="新宋体" w:cs="新宋体"/>
          <w:b/>
          <w:color w:val="auto"/>
          <w:sz w:val="22"/>
          <w:highlight w:val="none"/>
          <w:lang w:val="en-US" w:eastAsia="zh-CN"/>
        </w:rPr>
        <w:t>2</w:t>
      </w:r>
      <w:r>
        <w:rPr>
          <w:rFonts w:hint="eastAsia" w:ascii="新宋体" w:hAnsi="新宋体" w:eastAsia="新宋体" w:cs="新宋体"/>
          <w:b/>
          <w:color w:val="auto"/>
          <w:sz w:val="22"/>
          <w:highlight w:val="none"/>
        </w:rPr>
        <w:t>、投标分项报价表”中的总计价相一致。</w:t>
      </w:r>
    </w:p>
    <w:p w14:paraId="3CA31B65">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lang w:eastAsia="zh-CN"/>
        </w:rPr>
      </w:pPr>
      <w:r>
        <w:rPr>
          <w:rFonts w:hint="eastAsia" w:ascii="新宋体" w:hAnsi="新宋体" w:eastAsia="新宋体" w:cs="新宋体"/>
          <w:b/>
          <w:color w:val="auto"/>
          <w:sz w:val="22"/>
          <w:highlight w:val="none"/>
          <w:lang w:val="en-US" w:eastAsia="zh-CN"/>
        </w:rPr>
        <w:t>2、</w:t>
      </w:r>
      <w:r>
        <w:rPr>
          <w:rFonts w:hint="eastAsia" w:ascii="新宋体" w:hAnsi="新宋体" w:eastAsia="新宋体" w:cs="新宋体"/>
          <w:b/>
          <w:color w:val="auto"/>
          <w:sz w:val="22"/>
          <w:highlight w:val="none"/>
        </w:rPr>
        <w:t>不提供此表格将被视为没有实质性响应</w:t>
      </w:r>
      <w:r>
        <w:rPr>
          <w:rFonts w:hint="eastAsia" w:ascii="新宋体" w:hAnsi="新宋体" w:eastAsia="新宋体" w:cs="新宋体"/>
          <w:b/>
          <w:color w:val="auto"/>
          <w:sz w:val="22"/>
          <w:highlight w:val="none"/>
          <w:lang w:eastAsia="zh-CN"/>
        </w:rPr>
        <w:t>采购文件</w:t>
      </w:r>
    </w:p>
    <w:p w14:paraId="77D99C07">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新宋体" w:hAnsi="新宋体" w:eastAsia="新宋体" w:cs="新宋体"/>
          <w:color w:val="auto"/>
          <w:sz w:val="22"/>
          <w:szCs w:val="22"/>
          <w:highlight w:val="none"/>
        </w:rPr>
      </w:pPr>
    </w:p>
    <w:p w14:paraId="69EAB830">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0412EE97">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5D1DD910">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5316AAA5">
      <w:pPr>
        <w:keepNext w:val="0"/>
        <w:keepLines w:val="0"/>
        <w:pageBreakBefore w:val="0"/>
        <w:widowControl w:val="0"/>
        <w:kinsoku/>
        <w:wordWrap/>
        <w:overflowPunct/>
        <w:topLinePunct w:val="0"/>
        <w:autoSpaceDE/>
        <w:autoSpaceDN/>
        <w:bidi w:val="0"/>
        <w:adjustRightInd/>
        <w:snapToGrid/>
        <w:spacing w:line="460" w:lineRule="exact"/>
        <w:ind w:firstLine="220" w:firstLineChars="1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p w14:paraId="56D80232">
      <w:pPr>
        <w:pStyle w:val="52"/>
        <w:ind w:left="860" w:hanging="440"/>
        <w:rPr>
          <w:rFonts w:hint="eastAsia" w:ascii="新宋体" w:hAnsi="新宋体" w:eastAsia="新宋体" w:cs="新宋体"/>
          <w:color w:val="auto"/>
          <w:sz w:val="22"/>
          <w:szCs w:val="22"/>
          <w:highlight w:val="none"/>
        </w:rPr>
      </w:pPr>
    </w:p>
    <w:p w14:paraId="297DE0C2">
      <w:pPr>
        <w:pStyle w:val="52"/>
        <w:ind w:left="860" w:hanging="440"/>
        <w:rPr>
          <w:rFonts w:hint="eastAsia" w:ascii="新宋体" w:hAnsi="新宋体" w:eastAsia="新宋体" w:cs="新宋体"/>
          <w:color w:val="auto"/>
          <w:sz w:val="22"/>
          <w:szCs w:val="22"/>
          <w:highlight w:val="none"/>
        </w:rPr>
      </w:pPr>
    </w:p>
    <w:p w14:paraId="51F253DE">
      <w:pPr>
        <w:pStyle w:val="52"/>
        <w:ind w:left="860" w:hanging="440"/>
        <w:rPr>
          <w:rFonts w:hint="eastAsia" w:ascii="新宋体" w:hAnsi="新宋体" w:eastAsia="新宋体" w:cs="新宋体"/>
          <w:color w:val="auto"/>
          <w:sz w:val="22"/>
          <w:szCs w:val="22"/>
          <w:highlight w:val="none"/>
        </w:rPr>
      </w:pPr>
    </w:p>
    <w:p w14:paraId="6A9C09DE">
      <w:pPr>
        <w:pStyle w:val="52"/>
        <w:ind w:left="860" w:hanging="440"/>
        <w:rPr>
          <w:rFonts w:hint="eastAsia" w:ascii="新宋体" w:hAnsi="新宋体" w:eastAsia="新宋体" w:cs="新宋体"/>
          <w:color w:val="auto"/>
          <w:sz w:val="22"/>
          <w:szCs w:val="22"/>
          <w:highlight w:val="none"/>
        </w:rPr>
      </w:pPr>
    </w:p>
    <w:p w14:paraId="438B1717">
      <w:pPr>
        <w:pStyle w:val="52"/>
        <w:ind w:left="860" w:hanging="440"/>
        <w:rPr>
          <w:rFonts w:hint="eastAsia" w:ascii="新宋体" w:hAnsi="新宋体" w:eastAsia="新宋体" w:cs="新宋体"/>
          <w:color w:val="auto"/>
          <w:sz w:val="22"/>
          <w:szCs w:val="22"/>
          <w:highlight w:val="none"/>
        </w:rPr>
      </w:pPr>
    </w:p>
    <w:p w14:paraId="0F11008A">
      <w:pPr>
        <w:pStyle w:val="52"/>
        <w:ind w:left="860" w:hanging="440"/>
        <w:rPr>
          <w:rFonts w:hint="eastAsia" w:ascii="新宋体" w:hAnsi="新宋体" w:eastAsia="新宋体" w:cs="新宋体"/>
          <w:color w:val="auto"/>
          <w:sz w:val="22"/>
          <w:szCs w:val="22"/>
          <w:highlight w:val="none"/>
        </w:rPr>
      </w:pPr>
    </w:p>
    <w:p w14:paraId="10167852">
      <w:pPr>
        <w:pStyle w:val="52"/>
        <w:ind w:left="860" w:hanging="440"/>
        <w:rPr>
          <w:rFonts w:hint="eastAsia" w:ascii="新宋体" w:hAnsi="新宋体" w:eastAsia="新宋体" w:cs="新宋体"/>
          <w:color w:val="auto"/>
          <w:sz w:val="22"/>
          <w:szCs w:val="22"/>
          <w:highlight w:val="none"/>
        </w:rPr>
      </w:pPr>
    </w:p>
    <w:p w14:paraId="04BD3B5C">
      <w:pPr>
        <w:pStyle w:val="52"/>
        <w:ind w:left="860" w:hanging="440"/>
        <w:rPr>
          <w:rFonts w:hint="eastAsia" w:ascii="新宋体" w:hAnsi="新宋体" w:eastAsia="新宋体" w:cs="新宋体"/>
          <w:color w:val="auto"/>
          <w:sz w:val="22"/>
          <w:szCs w:val="22"/>
          <w:highlight w:val="none"/>
        </w:rPr>
      </w:pPr>
    </w:p>
    <w:p w14:paraId="5D896917">
      <w:pPr>
        <w:pStyle w:val="52"/>
        <w:ind w:left="860" w:hanging="440"/>
        <w:rPr>
          <w:rFonts w:hint="eastAsia" w:ascii="新宋体" w:hAnsi="新宋体" w:eastAsia="新宋体" w:cs="新宋体"/>
          <w:color w:val="auto"/>
          <w:sz w:val="22"/>
          <w:szCs w:val="22"/>
          <w:highlight w:val="none"/>
        </w:rPr>
      </w:pPr>
    </w:p>
    <w:p w14:paraId="6A95D587">
      <w:pPr>
        <w:pStyle w:val="52"/>
        <w:ind w:left="860" w:hanging="440"/>
        <w:rPr>
          <w:rFonts w:hint="eastAsia" w:ascii="新宋体" w:hAnsi="新宋体" w:eastAsia="新宋体" w:cs="新宋体"/>
          <w:color w:val="auto"/>
          <w:sz w:val="22"/>
          <w:szCs w:val="22"/>
          <w:highlight w:val="none"/>
        </w:rPr>
      </w:pPr>
    </w:p>
    <w:p w14:paraId="794FD16B">
      <w:pPr>
        <w:pStyle w:val="52"/>
        <w:ind w:left="860" w:hanging="440"/>
        <w:rPr>
          <w:rFonts w:hint="eastAsia" w:ascii="新宋体" w:hAnsi="新宋体" w:eastAsia="新宋体" w:cs="新宋体"/>
          <w:color w:val="auto"/>
          <w:sz w:val="22"/>
          <w:szCs w:val="22"/>
          <w:highlight w:val="none"/>
        </w:rPr>
      </w:pPr>
    </w:p>
    <w:p w14:paraId="52CFE839">
      <w:pPr>
        <w:pStyle w:val="52"/>
        <w:ind w:left="0" w:leftChars="0" w:firstLine="0" w:firstLineChars="0"/>
        <w:rPr>
          <w:rFonts w:hint="eastAsia" w:ascii="新宋体" w:hAnsi="新宋体" w:eastAsia="新宋体" w:cs="新宋体"/>
          <w:color w:val="auto"/>
          <w:sz w:val="22"/>
          <w:szCs w:val="22"/>
          <w:highlight w:val="none"/>
        </w:rPr>
      </w:pPr>
    </w:p>
    <w:p w14:paraId="53E0400B">
      <w:pPr>
        <w:pStyle w:val="52"/>
        <w:ind w:left="860" w:hanging="440"/>
        <w:rPr>
          <w:rFonts w:hint="eastAsia" w:ascii="新宋体" w:hAnsi="新宋体" w:eastAsia="新宋体" w:cs="新宋体"/>
          <w:color w:val="auto"/>
          <w:sz w:val="22"/>
          <w:szCs w:val="22"/>
          <w:highlight w:val="none"/>
        </w:rPr>
      </w:pPr>
    </w:p>
    <w:p w14:paraId="5A3B25C1">
      <w:pPr>
        <w:rPr>
          <w:rFonts w:hint="eastAsia" w:ascii="新宋体" w:hAnsi="新宋体" w:eastAsia="新宋体" w:cs="新宋体"/>
          <w:b/>
          <w:color w:val="auto"/>
          <w:sz w:val="22"/>
          <w:szCs w:val="22"/>
          <w:highlight w:val="none"/>
          <w:lang w:val="zh-CN"/>
        </w:rPr>
      </w:pPr>
      <w:r>
        <w:rPr>
          <w:rFonts w:hint="eastAsia" w:ascii="新宋体" w:hAnsi="新宋体" w:eastAsia="新宋体" w:cs="新宋体"/>
          <w:b/>
          <w:color w:val="auto"/>
          <w:sz w:val="22"/>
          <w:szCs w:val="22"/>
          <w:highlight w:val="none"/>
          <w:lang w:val="zh-CN"/>
        </w:rPr>
        <w:br w:type="page"/>
      </w:r>
    </w:p>
    <w:p w14:paraId="5C6480DC">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2</w:t>
      </w:r>
      <w:r>
        <w:rPr>
          <w:rFonts w:hint="eastAsia" w:ascii="新宋体" w:hAnsi="新宋体" w:eastAsia="新宋体" w:cs="新宋体"/>
          <w:b/>
          <w:bCs/>
          <w:color w:val="auto"/>
          <w:sz w:val="28"/>
          <w:szCs w:val="28"/>
          <w:highlight w:val="none"/>
          <w:lang w:val="zh-CN" w:eastAsia="zh-CN"/>
        </w:rPr>
        <w:t>、分项报价表</w:t>
      </w:r>
    </w:p>
    <w:p w14:paraId="2BBA05F6">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p>
    <w:p w14:paraId="11473E2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项目名称：</w:t>
      </w:r>
    </w:p>
    <w:tbl>
      <w:tblPr>
        <w:tblStyle w:val="53"/>
        <w:tblW w:w="9995" w:type="dxa"/>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5"/>
        <w:gridCol w:w="1605"/>
        <w:gridCol w:w="1477"/>
        <w:gridCol w:w="1570"/>
        <w:gridCol w:w="708"/>
        <w:gridCol w:w="708"/>
        <w:gridCol w:w="1143"/>
        <w:gridCol w:w="1000"/>
        <w:gridCol w:w="1159"/>
      </w:tblGrid>
      <w:tr w14:paraId="40E52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5" w:type="dxa"/>
            <w:vAlign w:val="center"/>
          </w:tcPr>
          <w:p w14:paraId="0C767978">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w:t>
            </w:r>
          </w:p>
        </w:tc>
        <w:tc>
          <w:tcPr>
            <w:tcW w:w="1605" w:type="dxa"/>
            <w:vAlign w:val="center"/>
          </w:tcPr>
          <w:p w14:paraId="116A3945">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货物名称</w:t>
            </w:r>
          </w:p>
        </w:tc>
        <w:tc>
          <w:tcPr>
            <w:tcW w:w="1477" w:type="dxa"/>
            <w:vAlign w:val="center"/>
          </w:tcPr>
          <w:p w14:paraId="1D037AD9">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品牌型号规格、产地</w:t>
            </w:r>
          </w:p>
        </w:tc>
        <w:tc>
          <w:tcPr>
            <w:tcW w:w="1570" w:type="dxa"/>
            <w:vAlign w:val="center"/>
          </w:tcPr>
          <w:p w14:paraId="149D3824">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制造厂商名称</w:t>
            </w:r>
          </w:p>
        </w:tc>
        <w:tc>
          <w:tcPr>
            <w:tcW w:w="708" w:type="dxa"/>
            <w:vAlign w:val="center"/>
          </w:tcPr>
          <w:p w14:paraId="1DBEE484">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单位</w:t>
            </w:r>
          </w:p>
        </w:tc>
        <w:tc>
          <w:tcPr>
            <w:tcW w:w="708" w:type="dxa"/>
            <w:vAlign w:val="center"/>
          </w:tcPr>
          <w:p w14:paraId="601A74F0">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数量</w:t>
            </w:r>
          </w:p>
        </w:tc>
        <w:tc>
          <w:tcPr>
            <w:tcW w:w="1143" w:type="dxa"/>
            <w:vAlign w:val="center"/>
          </w:tcPr>
          <w:p w14:paraId="6DB9E973">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出厂单价</w:t>
            </w:r>
          </w:p>
          <w:p w14:paraId="791AAE5E">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（含税）</w:t>
            </w:r>
          </w:p>
        </w:tc>
        <w:tc>
          <w:tcPr>
            <w:tcW w:w="1000" w:type="dxa"/>
            <w:vAlign w:val="center"/>
          </w:tcPr>
          <w:p w14:paraId="4AB9F75F">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总价</w:t>
            </w:r>
          </w:p>
          <w:p w14:paraId="0543FAF0">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（含税）</w:t>
            </w:r>
          </w:p>
        </w:tc>
        <w:tc>
          <w:tcPr>
            <w:tcW w:w="1159" w:type="dxa"/>
            <w:vAlign w:val="center"/>
          </w:tcPr>
          <w:p w14:paraId="1209F185">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免费</w:t>
            </w:r>
          </w:p>
          <w:p w14:paraId="6B84F816">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保修期</w:t>
            </w:r>
          </w:p>
        </w:tc>
      </w:tr>
      <w:tr w14:paraId="75847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604F6EB8">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1</w:t>
            </w:r>
          </w:p>
        </w:tc>
        <w:tc>
          <w:tcPr>
            <w:tcW w:w="1605" w:type="dxa"/>
            <w:vAlign w:val="center"/>
          </w:tcPr>
          <w:p w14:paraId="06D2F01D">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04BC18B1">
            <w:pPr>
              <w:spacing w:line="460" w:lineRule="exact"/>
              <w:jc w:val="center"/>
              <w:rPr>
                <w:rFonts w:ascii="新宋体" w:hAnsi="新宋体" w:eastAsia="新宋体" w:cs="新宋体"/>
                <w:color w:val="auto"/>
                <w:sz w:val="22"/>
                <w:szCs w:val="22"/>
                <w:highlight w:val="none"/>
              </w:rPr>
            </w:pPr>
          </w:p>
        </w:tc>
        <w:tc>
          <w:tcPr>
            <w:tcW w:w="1570" w:type="dxa"/>
            <w:vAlign w:val="center"/>
          </w:tcPr>
          <w:p w14:paraId="79348374">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78B2B769">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4AAFF661">
            <w:pPr>
              <w:spacing w:line="460" w:lineRule="exact"/>
              <w:jc w:val="center"/>
              <w:rPr>
                <w:rFonts w:ascii="新宋体" w:hAnsi="新宋体" w:eastAsia="新宋体" w:cs="新宋体"/>
                <w:color w:val="auto"/>
                <w:sz w:val="22"/>
                <w:szCs w:val="22"/>
                <w:highlight w:val="none"/>
              </w:rPr>
            </w:pPr>
          </w:p>
        </w:tc>
        <w:tc>
          <w:tcPr>
            <w:tcW w:w="1143" w:type="dxa"/>
            <w:vAlign w:val="center"/>
          </w:tcPr>
          <w:p w14:paraId="107233AA">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528C9CFC">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38FC35E0">
            <w:pPr>
              <w:spacing w:line="460" w:lineRule="exact"/>
              <w:ind w:right="-11"/>
              <w:jc w:val="center"/>
              <w:rPr>
                <w:rFonts w:ascii="新宋体" w:hAnsi="新宋体" w:eastAsia="新宋体" w:cs="新宋体"/>
                <w:color w:val="auto"/>
                <w:sz w:val="22"/>
                <w:szCs w:val="22"/>
                <w:highlight w:val="none"/>
              </w:rPr>
            </w:pPr>
          </w:p>
        </w:tc>
      </w:tr>
      <w:tr w14:paraId="7B787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6BD85405">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2</w:t>
            </w:r>
          </w:p>
        </w:tc>
        <w:tc>
          <w:tcPr>
            <w:tcW w:w="1605" w:type="dxa"/>
            <w:vAlign w:val="center"/>
          </w:tcPr>
          <w:p w14:paraId="74A4798B">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19E0B54A">
            <w:pPr>
              <w:spacing w:line="460" w:lineRule="exact"/>
              <w:jc w:val="center"/>
              <w:rPr>
                <w:rFonts w:ascii="新宋体" w:hAnsi="新宋体" w:eastAsia="新宋体" w:cs="新宋体"/>
                <w:color w:val="auto"/>
                <w:sz w:val="22"/>
                <w:szCs w:val="22"/>
                <w:highlight w:val="none"/>
              </w:rPr>
            </w:pPr>
          </w:p>
        </w:tc>
        <w:tc>
          <w:tcPr>
            <w:tcW w:w="1570" w:type="dxa"/>
            <w:vAlign w:val="center"/>
          </w:tcPr>
          <w:p w14:paraId="40C8B0F1">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65327F2F">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0AE55F98">
            <w:pPr>
              <w:spacing w:line="460" w:lineRule="exact"/>
              <w:jc w:val="center"/>
              <w:rPr>
                <w:rFonts w:ascii="新宋体" w:hAnsi="新宋体" w:eastAsia="新宋体" w:cs="新宋体"/>
                <w:color w:val="auto"/>
                <w:sz w:val="22"/>
                <w:szCs w:val="22"/>
                <w:highlight w:val="none"/>
              </w:rPr>
            </w:pPr>
          </w:p>
        </w:tc>
        <w:tc>
          <w:tcPr>
            <w:tcW w:w="1143" w:type="dxa"/>
            <w:vAlign w:val="center"/>
          </w:tcPr>
          <w:p w14:paraId="6FA6C760">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54C69DEC">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093F8E15">
            <w:pPr>
              <w:spacing w:line="460" w:lineRule="exact"/>
              <w:ind w:right="-11"/>
              <w:jc w:val="center"/>
              <w:rPr>
                <w:rFonts w:ascii="新宋体" w:hAnsi="新宋体" w:eastAsia="新宋体" w:cs="新宋体"/>
                <w:color w:val="auto"/>
                <w:sz w:val="22"/>
                <w:szCs w:val="22"/>
                <w:highlight w:val="none"/>
              </w:rPr>
            </w:pPr>
          </w:p>
        </w:tc>
      </w:tr>
      <w:tr w14:paraId="0ADD1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6334BF98">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3</w:t>
            </w:r>
          </w:p>
        </w:tc>
        <w:tc>
          <w:tcPr>
            <w:tcW w:w="1605" w:type="dxa"/>
            <w:vAlign w:val="center"/>
          </w:tcPr>
          <w:p w14:paraId="090DFC17">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68B74E86">
            <w:pPr>
              <w:spacing w:line="460" w:lineRule="exact"/>
              <w:jc w:val="center"/>
              <w:rPr>
                <w:rFonts w:ascii="新宋体" w:hAnsi="新宋体" w:eastAsia="新宋体" w:cs="新宋体"/>
                <w:color w:val="auto"/>
                <w:sz w:val="22"/>
                <w:szCs w:val="22"/>
                <w:highlight w:val="none"/>
              </w:rPr>
            </w:pPr>
          </w:p>
        </w:tc>
        <w:tc>
          <w:tcPr>
            <w:tcW w:w="1570" w:type="dxa"/>
            <w:vAlign w:val="center"/>
          </w:tcPr>
          <w:p w14:paraId="2225F428">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2B56C0DD">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5511DB7B">
            <w:pPr>
              <w:spacing w:line="460" w:lineRule="exact"/>
              <w:jc w:val="center"/>
              <w:rPr>
                <w:rFonts w:ascii="新宋体" w:hAnsi="新宋体" w:eastAsia="新宋体" w:cs="新宋体"/>
                <w:color w:val="auto"/>
                <w:sz w:val="22"/>
                <w:szCs w:val="22"/>
                <w:highlight w:val="none"/>
              </w:rPr>
            </w:pPr>
          </w:p>
        </w:tc>
        <w:tc>
          <w:tcPr>
            <w:tcW w:w="1143" w:type="dxa"/>
            <w:vAlign w:val="center"/>
          </w:tcPr>
          <w:p w14:paraId="486584B1">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21E8B132">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4688BD8E">
            <w:pPr>
              <w:spacing w:line="460" w:lineRule="exact"/>
              <w:ind w:right="-11"/>
              <w:jc w:val="center"/>
              <w:rPr>
                <w:rFonts w:ascii="新宋体" w:hAnsi="新宋体" w:eastAsia="新宋体" w:cs="新宋体"/>
                <w:color w:val="auto"/>
                <w:sz w:val="22"/>
                <w:szCs w:val="22"/>
                <w:highlight w:val="none"/>
              </w:rPr>
            </w:pPr>
          </w:p>
        </w:tc>
      </w:tr>
      <w:tr w14:paraId="7EAFC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719C2877">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4</w:t>
            </w:r>
          </w:p>
        </w:tc>
        <w:tc>
          <w:tcPr>
            <w:tcW w:w="1605" w:type="dxa"/>
            <w:vAlign w:val="center"/>
          </w:tcPr>
          <w:p w14:paraId="5E306F8F">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15A32764">
            <w:pPr>
              <w:spacing w:line="460" w:lineRule="exact"/>
              <w:jc w:val="center"/>
              <w:rPr>
                <w:rFonts w:ascii="新宋体" w:hAnsi="新宋体" w:eastAsia="新宋体" w:cs="新宋体"/>
                <w:color w:val="auto"/>
                <w:sz w:val="22"/>
                <w:szCs w:val="22"/>
                <w:highlight w:val="none"/>
              </w:rPr>
            </w:pPr>
          </w:p>
        </w:tc>
        <w:tc>
          <w:tcPr>
            <w:tcW w:w="1570" w:type="dxa"/>
            <w:vAlign w:val="center"/>
          </w:tcPr>
          <w:p w14:paraId="69DAFF80">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115DA87F">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754213A8">
            <w:pPr>
              <w:spacing w:line="460" w:lineRule="exact"/>
              <w:jc w:val="center"/>
              <w:rPr>
                <w:rFonts w:ascii="新宋体" w:hAnsi="新宋体" w:eastAsia="新宋体" w:cs="新宋体"/>
                <w:color w:val="auto"/>
                <w:sz w:val="22"/>
                <w:szCs w:val="22"/>
                <w:highlight w:val="none"/>
              </w:rPr>
            </w:pPr>
          </w:p>
        </w:tc>
        <w:tc>
          <w:tcPr>
            <w:tcW w:w="1143" w:type="dxa"/>
            <w:vAlign w:val="center"/>
          </w:tcPr>
          <w:p w14:paraId="14BC6B71">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489DEE0D">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1A1326FF">
            <w:pPr>
              <w:spacing w:line="460" w:lineRule="exact"/>
              <w:ind w:right="-11"/>
              <w:jc w:val="center"/>
              <w:rPr>
                <w:rFonts w:ascii="新宋体" w:hAnsi="新宋体" w:eastAsia="新宋体" w:cs="新宋体"/>
                <w:color w:val="auto"/>
                <w:sz w:val="22"/>
                <w:szCs w:val="22"/>
                <w:highlight w:val="none"/>
              </w:rPr>
            </w:pPr>
          </w:p>
        </w:tc>
      </w:tr>
      <w:tr w14:paraId="59256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2CF30524">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5</w:t>
            </w:r>
          </w:p>
        </w:tc>
        <w:tc>
          <w:tcPr>
            <w:tcW w:w="1605" w:type="dxa"/>
            <w:vAlign w:val="center"/>
          </w:tcPr>
          <w:p w14:paraId="79BD5F09">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06BD01A8">
            <w:pPr>
              <w:spacing w:line="460" w:lineRule="exact"/>
              <w:jc w:val="center"/>
              <w:rPr>
                <w:rFonts w:ascii="新宋体" w:hAnsi="新宋体" w:eastAsia="新宋体" w:cs="新宋体"/>
                <w:color w:val="auto"/>
                <w:sz w:val="22"/>
                <w:szCs w:val="22"/>
                <w:highlight w:val="none"/>
              </w:rPr>
            </w:pPr>
          </w:p>
        </w:tc>
        <w:tc>
          <w:tcPr>
            <w:tcW w:w="1570" w:type="dxa"/>
            <w:vAlign w:val="center"/>
          </w:tcPr>
          <w:p w14:paraId="62D2000C">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282E06C4">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68AACA81">
            <w:pPr>
              <w:spacing w:line="460" w:lineRule="exact"/>
              <w:jc w:val="center"/>
              <w:rPr>
                <w:rFonts w:ascii="新宋体" w:hAnsi="新宋体" w:eastAsia="新宋体" w:cs="新宋体"/>
                <w:color w:val="auto"/>
                <w:sz w:val="22"/>
                <w:szCs w:val="22"/>
                <w:highlight w:val="none"/>
              </w:rPr>
            </w:pPr>
          </w:p>
        </w:tc>
        <w:tc>
          <w:tcPr>
            <w:tcW w:w="1143" w:type="dxa"/>
            <w:vAlign w:val="center"/>
          </w:tcPr>
          <w:p w14:paraId="033B0191">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2602BC3F">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24A9E24E">
            <w:pPr>
              <w:spacing w:line="460" w:lineRule="exact"/>
              <w:ind w:right="-11"/>
              <w:jc w:val="center"/>
              <w:rPr>
                <w:rFonts w:ascii="新宋体" w:hAnsi="新宋体" w:eastAsia="新宋体" w:cs="新宋体"/>
                <w:color w:val="auto"/>
                <w:sz w:val="22"/>
                <w:szCs w:val="22"/>
                <w:highlight w:val="none"/>
              </w:rPr>
            </w:pPr>
          </w:p>
        </w:tc>
      </w:tr>
      <w:tr w14:paraId="5E68F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792CABBC">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6</w:t>
            </w:r>
          </w:p>
        </w:tc>
        <w:tc>
          <w:tcPr>
            <w:tcW w:w="1605" w:type="dxa"/>
            <w:vAlign w:val="center"/>
          </w:tcPr>
          <w:p w14:paraId="3248E2D1">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59E01D6E">
            <w:pPr>
              <w:spacing w:line="460" w:lineRule="exact"/>
              <w:jc w:val="center"/>
              <w:rPr>
                <w:rFonts w:ascii="新宋体" w:hAnsi="新宋体" w:eastAsia="新宋体" w:cs="新宋体"/>
                <w:color w:val="auto"/>
                <w:sz w:val="22"/>
                <w:szCs w:val="22"/>
                <w:highlight w:val="none"/>
              </w:rPr>
            </w:pPr>
          </w:p>
        </w:tc>
        <w:tc>
          <w:tcPr>
            <w:tcW w:w="1570" w:type="dxa"/>
            <w:vAlign w:val="center"/>
          </w:tcPr>
          <w:p w14:paraId="1A83A014">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4AA76103">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7E982062">
            <w:pPr>
              <w:spacing w:line="460" w:lineRule="exact"/>
              <w:jc w:val="center"/>
              <w:rPr>
                <w:rFonts w:ascii="新宋体" w:hAnsi="新宋体" w:eastAsia="新宋体" w:cs="新宋体"/>
                <w:color w:val="auto"/>
                <w:sz w:val="22"/>
                <w:szCs w:val="22"/>
                <w:highlight w:val="none"/>
              </w:rPr>
            </w:pPr>
          </w:p>
        </w:tc>
        <w:tc>
          <w:tcPr>
            <w:tcW w:w="1143" w:type="dxa"/>
            <w:vAlign w:val="center"/>
          </w:tcPr>
          <w:p w14:paraId="2F8EC25A">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0533DFCE">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34F08BC0">
            <w:pPr>
              <w:spacing w:line="460" w:lineRule="exact"/>
              <w:ind w:right="-11"/>
              <w:jc w:val="center"/>
              <w:rPr>
                <w:rFonts w:ascii="新宋体" w:hAnsi="新宋体" w:eastAsia="新宋体" w:cs="新宋体"/>
                <w:color w:val="auto"/>
                <w:sz w:val="22"/>
                <w:szCs w:val="22"/>
                <w:highlight w:val="none"/>
              </w:rPr>
            </w:pPr>
          </w:p>
        </w:tc>
      </w:tr>
      <w:tr w14:paraId="7A775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23048E12">
            <w:pPr>
              <w:widowControl/>
              <w:spacing w:line="460" w:lineRule="exact"/>
              <w:jc w:val="center"/>
              <w:textAlignment w:val="center"/>
              <w:rPr>
                <w:rFonts w:ascii="新宋体" w:hAnsi="新宋体" w:eastAsia="新宋体" w:cs="新宋体"/>
                <w:color w:val="auto"/>
                <w:kern w:val="0"/>
                <w:sz w:val="22"/>
                <w:szCs w:val="22"/>
                <w:highlight w:val="none"/>
                <w:lang w:bidi="ar"/>
              </w:rPr>
            </w:pPr>
          </w:p>
        </w:tc>
        <w:tc>
          <w:tcPr>
            <w:tcW w:w="1605" w:type="dxa"/>
            <w:vAlign w:val="center"/>
          </w:tcPr>
          <w:p w14:paraId="4FB64BBC">
            <w:pPr>
              <w:widowControl/>
              <w:jc w:val="center"/>
              <w:textAlignment w:val="center"/>
              <w:rPr>
                <w:rFonts w:ascii="新宋体" w:hAnsi="新宋体" w:eastAsia="新宋体" w:cs="新宋体"/>
                <w:color w:val="auto"/>
                <w:kern w:val="0"/>
                <w:szCs w:val="21"/>
                <w:highlight w:val="none"/>
              </w:rPr>
            </w:pPr>
          </w:p>
        </w:tc>
        <w:tc>
          <w:tcPr>
            <w:tcW w:w="1477" w:type="dxa"/>
            <w:vAlign w:val="center"/>
          </w:tcPr>
          <w:p w14:paraId="065CD376">
            <w:pPr>
              <w:spacing w:line="460" w:lineRule="exact"/>
              <w:jc w:val="center"/>
              <w:rPr>
                <w:rFonts w:ascii="新宋体" w:hAnsi="新宋体" w:eastAsia="新宋体" w:cs="新宋体"/>
                <w:color w:val="auto"/>
                <w:sz w:val="22"/>
                <w:szCs w:val="22"/>
                <w:highlight w:val="none"/>
              </w:rPr>
            </w:pPr>
          </w:p>
        </w:tc>
        <w:tc>
          <w:tcPr>
            <w:tcW w:w="1570" w:type="dxa"/>
            <w:vAlign w:val="center"/>
          </w:tcPr>
          <w:p w14:paraId="2CE15498">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6AE433FE">
            <w:pPr>
              <w:widowControl/>
              <w:jc w:val="center"/>
              <w:textAlignment w:val="center"/>
              <w:rPr>
                <w:rFonts w:ascii="新宋体" w:hAnsi="新宋体" w:eastAsia="新宋体" w:cs="新宋体"/>
                <w:color w:val="auto"/>
                <w:szCs w:val="21"/>
                <w:highlight w:val="none"/>
              </w:rPr>
            </w:pPr>
          </w:p>
        </w:tc>
        <w:tc>
          <w:tcPr>
            <w:tcW w:w="708" w:type="dxa"/>
            <w:vAlign w:val="center"/>
          </w:tcPr>
          <w:p w14:paraId="6202071C">
            <w:pPr>
              <w:spacing w:line="460" w:lineRule="exact"/>
              <w:jc w:val="center"/>
              <w:rPr>
                <w:rFonts w:ascii="新宋体" w:hAnsi="新宋体" w:eastAsia="新宋体" w:cs="新宋体"/>
                <w:color w:val="auto"/>
                <w:sz w:val="22"/>
                <w:szCs w:val="22"/>
                <w:highlight w:val="none"/>
              </w:rPr>
            </w:pPr>
          </w:p>
        </w:tc>
        <w:tc>
          <w:tcPr>
            <w:tcW w:w="1143" w:type="dxa"/>
            <w:vAlign w:val="center"/>
          </w:tcPr>
          <w:p w14:paraId="28D9BC67">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54D761AF">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6F5BC370">
            <w:pPr>
              <w:spacing w:line="460" w:lineRule="exact"/>
              <w:ind w:right="-11"/>
              <w:jc w:val="center"/>
              <w:rPr>
                <w:rFonts w:ascii="新宋体" w:hAnsi="新宋体" w:eastAsia="新宋体" w:cs="新宋体"/>
                <w:color w:val="auto"/>
                <w:sz w:val="22"/>
                <w:szCs w:val="22"/>
                <w:highlight w:val="none"/>
              </w:rPr>
            </w:pPr>
          </w:p>
        </w:tc>
      </w:tr>
      <w:tr w14:paraId="6A297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3C8B3CE6">
            <w:pPr>
              <w:widowControl/>
              <w:spacing w:line="460" w:lineRule="exact"/>
              <w:jc w:val="center"/>
              <w:textAlignment w:val="center"/>
              <w:rPr>
                <w:rFonts w:ascii="新宋体" w:hAnsi="新宋体" w:eastAsia="新宋体" w:cs="新宋体"/>
                <w:color w:val="auto"/>
                <w:kern w:val="0"/>
                <w:sz w:val="22"/>
                <w:szCs w:val="22"/>
                <w:highlight w:val="none"/>
                <w:lang w:bidi="ar"/>
              </w:rPr>
            </w:pPr>
          </w:p>
        </w:tc>
        <w:tc>
          <w:tcPr>
            <w:tcW w:w="1605" w:type="dxa"/>
            <w:vAlign w:val="center"/>
          </w:tcPr>
          <w:p w14:paraId="7FCC620E">
            <w:pPr>
              <w:widowControl/>
              <w:spacing w:line="460" w:lineRule="exact"/>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w:t>
            </w:r>
          </w:p>
        </w:tc>
        <w:tc>
          <w:tcPr>
            <w:tcW w:w="1477" w:type="dxa"/>
            <w:vAlign w:val="center"/>
          </w:tcPr>
          <w:p w14:paraId="3CA54069">
            <w:pPr>
              <w:spacing w:line="460" w:lineRule="exact"/>
              <w:jc w:val="center"/>
              <w:rPr>
                <w:rFonts w:ascii="新宋体" w:hAnsi="新宋体" w:eastAsia="新宋体" w:cs="新宋体"/>
                <w:color w:val="auto"/>
                <w:sz w:val="22"/>
                <w:szCs w:val="22"/>
                <w:highlight w:val="none"/>
              </w:rPr>
            </w:pPr>
          </w:p>
        </w:tc>
        <w:tc>
          <w:tcPr>
            <w:tcW w:w="1570" w:type="dxa"/>
            <w:vAlign w:val="center"/>
          </w:tcPr>
          <w:p w14:paraId="276011FE">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6C5556A4">
            <w:pPr>
              <w:spacing w:line="460" w:lineRule="exact"/>
              <w:jc w:val="center"/>
              <w:rPr>
                <w:rFonts w:ascii="新宋体" w:hAnsi="新宋体" w:eastAsia="新宋体" w:cs="新宋体"/>
                <w:color w:val="auto"/>
                <w:sz w:val="22"/>
                <w:szCs w:val="22"/>
                <w:highlight w:val="none"/>
              </w:rPr>
            </w:pPr>
          </w:p>
        </w:tc>
        <w:tc>
          <w:tcPr>
            <w:tcW w:w="708" w:type="dxa"/>
            <w:vAlign w:val="center"/>
          </w:tcPr>
          <w:p w14:paraId="14EE00C8">
            <w:pPr>
              <w:spacing w:line="460" w:lineRule="exact"/>
              <w:jc w:val="center"/>
              <w:rPr>
                <w:rFonts w:ascii="新宋体" w:hAnsi="新宋体" w:eastAsia="新宋体" w:cs="新宋体"/>
                <w:color w:val="auto"/>
                <w:sz w:val="22"/>
                <w:szCs w:val="22"/>
                <w:highlight w:val="none"/>
              </w:rPr>
            </w:pPr>
          </w:p>
        </w:tc>
        <w:tc>
          <w:tcPr>
            <w:tcW w:w="1143" w:type="dxa"/>
            <w:vAlign w:val="center"/>
          </w:tcPr>
          <w:p w14:paraId="7C164D40">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57FF7BE2">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20DD6B17">
            <w:pPr>
              <w:spacing w:line="460" w:lineRule="exact"/>
              <w:ind w:right="-11"/>
              <w:jc w:val="center"/>
              <w:rPr>
                <w:rFonts w:ascii="新宋体" w:hAnsi="新宋体" w:eastAsia="新宋体" w:cs="新宋体"/>
                <w:color w:val="auto"/>
                <w:sz w:val="22"/>
                <w:szCs w:val="22"/>
                <w:highlight w:val="none"/>
              </w:rPr>
            </w:pPr>
          </w:p>
        </w:tc>
      </w:tr>
      <w:tr w14:paraId="3FD8E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26181271">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运杂及保险费（含卸货）</w:t>
            </w:r>
          </w:p>
        </w:tc>
        <w:tc>
          <w:tcPr>
            <w:tcW w:w="6288" w:type="dxa"/>
            <w:gridSpan w:val="6"/>
          </w:tcPr>
          <w:p w14:paraId="1A40D0FF">
            <w:pPr>
              <w:spacing w:line="460" w:lineRule="exact"/>
              <w:rPr>
                <w:rFonts w:ascii="新宋体" w:hAnsi="新宋体" w:eastAsia="新宋体" w:cs="新宋体"/>
                <w:color w:val="auto"/>
                <w:sz w:val="22"/>
                <w:szCs w:val="22"/>
                <w:highlight w:val="none"/>
              </w:rPr>
            </w:pPr>
          </w:p>
        </w:tc>
      </w:tr>
      <w:tr w14:paraId="67243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60A416B9">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安装调试费（包括设备的测试、调试、验收等费用）</w:t>
            </w:r>
          </w:p>
        </w:tc>
        <w:tc>
          <w:tcPr>
            <w:tcW w:w="6288" w:type="dxa"/>
            <w:gridSpan w:val="6"/>
          </w:tcPr>
          <w:p w14:paraId="2F1FD4F0">
            <w:pPr>
              <w:spacing w:line="460" w:lineRule="exact"/>
              <w:rPr>
                <w:rFonts w:ascii="新宋体" w:hAnsi="新宋体" w:eastAsia="新宋体" w:cs="新宋体"/>
                <w:color w:val="auto"/>
                <w:sz w:val="22"/>
                <w:szCs w:val="22"/>
                <w:highlight w:val="none"/>
              </w:rPr>
            </w:pPr>
          </w:p>
        </w:tc>
      </w:tr>
      <w:tr w14:paraId="3B332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03AC80A5">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培训费、技术服务费、售后服务费等</w:t>
            </w:r>
          </w:p>
        </w:tc>
        <w:tc>
          <w:tcPr>
            <w:tcW w:w="6288" w:type="dxa"/>
            <w:gridSpan w:val="6"/>
          </w:tcPr>
          <w:p w14:paraId="3AD831EB">
            <w:pPr>
              <w:spacing w:line="460" w:lineRule="exact"/>
              <w:rPr>
                <w:rFonts w:ascii="新宋体" w:hAnsi="新宋体" w:eastAsia="新宋体" w:cs="新宋体"/>
                <w:color w:val="auto"/>
                <w:sz w:val="22"/>
                <w:szCs w:val="22"/>
                <w:highlight w:val="none"/>
              </w:rPr>
            </w:pPr>
          </w:p>
        </w:tc>
      </w:tr>
      <w:tr w14:paraId="2D980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33297930">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税金</w:t>
            </w:r>
          </w:p>
        </w:tc>
        <w:tc>
          <w:tcPr>
            <w:tcW w:w="6288" w:type="dxa"/>
            <w:gridSpan w:val="6"/>
          </w:tcPr>
          <w:p w14:paraId="607A5FB3">
            <w:pPr>
              <w:spacing w:line="460" w:lineRule="exact"/>
              <w:rPr>
                <w:rFonts w:ascii="新宋体" w:hAnsi="新宋体" w:eastAsia="新宋体" w:cs="新宋体"/>
                <w:color w:val="auto"/>
                <w:sz w:val="22"/>
                <w:szCs w:val="22"/>
                <w:highlight w:val="none"/>
              </w:rPr>
            </w:pPr>
          </w:p>
        </w:tc>
      </w:tr>
      <w:tr w14:paraId="18B67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2DEA9C39">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总计价</w:t>
            </w:r>
          </w:p>
        </w:tc>
        <w:tc>
          <w:tcPr>
            <w:tcW w:w="6288" w:type="dxa"/>
            <w:gridSpan w:val="6"/>
          </w:tcPr>
          <w:p w14:paraId="539E62BF">
            <w:pPr>
              <w:spacing w:line="460" w:lineRule="exact"/>
              <w:rPr>
                <w:rFonts w:ascii="新宋体" w:hAnsi="新宋体" w:eastAsia="新宋体" w:cs="新宋体"/>
                <w:color w:val="auto"/>
                <w:sz w:val="22"/>
                <w:szCs w:val="22"/>
                <w:highlight w:val="none"/>
              </w:rPr>
            </w:pPr>
          </w:p>
        </w:tc>
      </w:tr>
    </w:tbl>
    <w:p w14:paraId="75D694C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rPr>
        <w:t>说明：</w:t>
      </w:r>
      <w:r>
        <w:rPr>
          <w:rFonts w:hint="eastAsia" w:ascii="新宋体" w:hAnsi="新宋体" w:eastAsia="新宋体" w:cs="新宋体"/>
          <w:b/>
          <w:bCs/>
          <w:color w:val="auto"/>
          <w:sz w:val="22"/>
          <w:szCs w:val="22"/>
          <w:highlight w:val="none"/>
        </w:rPr>
        <w:t>1、此表总计价应与</w:t>
      </w:r>
      <w:r>
        <w:rPr>
          <w:rFonts w:hint="eastAsia" w:ascii="新宋体" w:hAnsi="新宋体" w:eastAsia="新宋体" w:cs="新宋体"/>
          <w:b/>
          <w:bCs/>
          <w:color w:val="auto"/>
          <w:sz w:val="22"/>
          <w:szCs w:val="22"/>
          <w:highlight w:val="none"/>
          <w:lang w:val="en-US" w:eastAsia="zh-CN"/>
        </w:rPr>
        <w:t>附件二</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lang w:val="en-US" w:eastAsia="zh-CN"/>
        </w:rPr>
        <w:t>1</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lang w:val="en-US" w:eastAsia="zh-CN"/>
        </w:rPr>
        <w:t>投标</w:t>
      </w:r>
      <w:r>
        <w:rPr>
          <w:rFonts w:hint="eastAsia" w:ascii="新宋体" w:hAnsi="新宋体" w:eastAsia="新宋体" w:cs="新宋体"/>
          <w:b/>
          <w:bCs/>
          <w:color w:val="auto"/>
          <w:sz w:val="22"/>
          <w:szCs w:val="22"/>
          <w:highlight w:val="none"/>
        </w:rPr>
        <w:t>报价一览表”中报价相一致。</w:t>
      </w:r>
    </w:p>
    <w:p w14:paraId="5572CFCD">
      <w:pPr>
        <w:keepNext w:val="0"/>
        <w:keepLines w:val="0"/>
        <w:pageBreakBefore w:val="0"/>
        <w:widowControl w:val="0"/>
        <w:kinsoku/>
        <w:wordWrap/>
        <w:overflowPunct/>
        <w:topLinePunct w:val="0"/>
        <w:autoSpaceDE/>
        <w:autoSpaceDN/>
        <w:bidi w:val="0"/>
        <w:adjustRightInd/>
        <w:snapToGrid/>
        <w:spacing w:line="460" w:lineRule="exact"/>
        <w:ind w:firstLine="663" w:firstLineChars="3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2、不提供详细分项报价将视为没有实质性响应</w:t>
      </w:r>
      <w:r>
        <w:rPr>
          <w:rFonts w:hint="eastAsia" w:ascii="新宋体" w:hAnsi="新宋体" w:eastAsia="新宋体" w:cs="新宋体"/>
          <w:b/>
          <w:bCs/>
          <w:color w:val="auto"/>
          <w:sz w:val="22"/>
          <w:szCs w:val="22"/>
          <w:highlight w:val="none"/>
          <w:lang w:eastAsia="zh-CN"/>
        </w:rPr>
        <w:t>采购文件</w:t>
      </w:r>
      <w:r>
        <w:rPr>
          <w:rFonts w:hint="eastAsia" w:ascii="新宋体" w:hAnsi="新宋体" w:eastAsia="新宋体" w:cs="新宋体"/>
          <w:b/>
          <w:bCs/>
          <w:color w:val="auto"/>
          <w:sz w:val="22"/>
          <w:szCs w:val="22"/>
          <w:highlight w:val="none"/>
        </w:rPr>
        <w:t>。</w:t>
      </w:r>
    </w:p>
    <w:p w14:paraId="78617558">
      <w:pPr>
        <w:keepNext w:val="0"/>
        <w:keepLines w:val="0"/>
        <w:pageBreakBefore w:val="0"/>
        <w:widowControl w:val="0"/>
        <w:kinsoku/>
        <w:wordWrap/>
        <w:overflowPunct/>
        <w:topLinePunct w:val="0"/>
        <w:autoSpaceDE/>
        <w:autoSpaceDN/>
        <w:bidi w:val="0"/>
        <w:adjustRightInd/>
        <w:snapToGrid/>
        <w:spacing w:line="460" w:lineRule="exact"/>
        <w:ind w:firstLine="663" w:firstLineChars="3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3、如果免费请在该项内容栏内注明“免”，如果含在产品价格中则填“含”，如无此项内容则填“无”。</w:t>
      </w:r>
    </w:p>
    <w:p w14:paraId="60CFDE70">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5D4C8CD1">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472C264A">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661F7402">
      <w:pPr>
        <w:rPr>
          <w:rFonts w:hint="eastAsia" w:ascii="新宋体" w:hAnsi="新宋体" w:eastAsia="新宋体" w:cs="新宋体"/>
          <w:color w:val="auto"/>
          <w:sz w:val="22"/>
          <w:szCs w:val="22"/>
          <w:highlight w:val="none"/>
        </w:rPr>
      </w:pPr>
    </w:p>
    <w:p w14:paraId="1068FF8C">
      <w:pPr>
        <w:rPr>
          <w:rFonts w:hint="eastAsia" w:ascii="新宋体" w:hAnsi="新宋体" w:eastAsia="新宋体" w:cs="新宋体"/>
          <w:b/>
          <w:bCs/>
          <w:color w:val="auto"/>
          <w:sz w:val="28"/>
          <w:szCs w:val="28"/>
          <w:highlight w:val="none"/>
        </w:rPr>
      </w:pPr>
    </w:p>
    <w:p w14:paraId="654FFCE8">
      <w:pPr>
        <w:pStyle w:val="22"/>
        <w:rPr>
          <w:rFonts w:hint="eastAsia" w:ascii="新宋体" w:hAnsi="新宋体" w:eastAsia="新宋体" w:cs="新宋体"/>
          <w:b/>
          <w:bCs/>
          <w:color w:val="auto"/>
          <w:sz w:val="28"/>
          <w:szCs w:val="28"/>
          <w:highlight w:val="none"/>
        </w:rPr>
      </w:pPr>
    </w:p>
    <w:p w14:paraId="53968A6B">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6022C891">
      <w:pPr>
        <w:spacing w:line="420" w:lineRule="exact"/>
        <w:jc w:val="center"/>
        <w:outlineLvl w:val="3"/>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t>3、符合财政扶持价格优惠政策的证明材料（如有）</w:t>
      </w:r>
    </w:p>
    <w:p w14:paraId="1061D6B7">
      <w:pPr>
        <w:spacing w:line="460" w:lineRule="exact"/>
        <w:outlineLvl w:val="4"/>
        <w:rPr>
          <w:rFonts w:ascii="新宋体" w:hAnsi="新宋体" w:eastAsia="新宋体" w:cs="新宋体"/>
          <w:b/>
          <w:bCs/>
          <w:color w:val="auto"/>
          <w:sz w:val="24"/>
          <w:highlight w:val="none"/>
        </w:rPr>
      </w:pP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lang w:val="en-US" w:eastAsia="zh-CN"/>
        </w:rPr>
        <w:t>1</w:t>
      </w: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rPr>
        <w:t>中小企业的相关证明材料</w:t>
      </w:r>
    </w:p>
    <w:p w14:paraId="47AB9FA6">
      <w:pPr>
        <w:snapToGrid w:val="0"/>
        <w:spacing w:line="460" w:lineRule="exact"/>
        <w:ind w:firstLine="464" w:firstLineChars="200"/>
        <w:jc w:val="center"/>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【非</w:t>
      </w:r>
      <w:r>
        <w:rPr>
          <w:rFonts w:hint="eastAsia" w:ascii="新宋体" w:hAnsi="新宋体" w:eastAsia="新宋体" w:cs="新宋体"/>
          <w:color w:val="auto"/>
          <w:spacing w:val="6"/>
          <w:sz w:val="22"/>
          <w:szCs w:val="22"/>
          <w:highlight w:val="none"/>
          <w:lang w:val="zh-CN"/>
        </w:rPr>
        <w:t>小型、微型</w:t>
      </w:r>
      <w:r>
        <w:rPr>
          <w:rFonts w:hint="eastAsia" w:ascii="新宋体" w:hAnsi="新宋体" w:eastAsia="新宋体" w:cs="新宋体"/>
          <w:color w:val="auto"/>
          <w:spacing w:val="6"/>
          <w:sz w:val="22"/>
          <w:szCs w:val="22"/>
          <w:highlight w:val="none"/>
        </w:rPr>
        <w:t>企业不用提供】</w:t>
      </w:r>
    </w:p>
    <w:p w14:paraId="7009B344">
      <w:pPr>
        <w:spacing w:line="380" w:lineRule="exact"/>
        <w:rPr>
          <w:rFonts w:ascii="新宋体" w:hAnsi="新宋体" w:eastAsia="新宋体" w:cs="新宋体"/>
          <w:color w:val="auto"/>
          <w:sz w:val="22"/>
          <w:szCs w:val="22"/>
          <w:highlight w:val="none"/>
        </w:rPr>
      </w:pPr>
    </w:p>
    <w:p w14:paraId="369FB8C9">
      <w:pPr>
        <w:spacing w:line="460" w:lineRule="exact"/>
        <w:ind w:firstLine="440" w:firstLineChars="200"/>
        <w:rPr>
          <w:rFonts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根据《政府采购促进中小企业发展管理办法》（财库〔2020〕46号）、《财政部关于进一步加大政府采购支持中小企业力度的通知》（财库〔2022〕19号）有关规定，对投标产品为小型或微型企业生产的，价格给予</w:t>
      </w:r>
      <w:r>
        <w:rPr>
          <w:rFonts w:hint="eastAsia" w:ascii="新宋体" w:hAnsi="新宋体" w:eastAsia="新宋体" w:cs="新宋体"/>
          <w:color w:val="auto"/>
          <w:sz w:val="22"/>
          <w:szCs w:val="22"/>
          <w:highlight w:val="none"/>
        </w:rPr>
        <w:t>10%</w:t>
      </w:r>
      <w:r>
        <w:rPr>
          <w:rFonts w:hint="eastAsia" w:ascii="新宋体" w:hAnsi="新宋体" w:eastAsia="新宋体" w:cs="新宋体"/>
          <w:color w:val="auto"/>
          <w:sz w:val="22"/>
          <w:szCs w:val="22"/>
          <w:highlight w:val="none"/>
          <w:lang w:val="zh-CN"/>
        </w:rPr>
        <w:t>的扣除，用扣除后的价格参与价格评分。</w:t>
      </w:r>
    </w:p>
    <w:p w14:paraId="1FBC0E9E">
      <w:pPr>
        <w:spacing w:line="460" w:lineRule="exact"/>
        <w:ind w:firstLine="442" w:firstLineChars="200"/>
        <w:rPr>
          <w:rFonts w:ascii="新宋体" w:hAnsi="新宋体" w:eastAsia="新宋体" w:cs="新宋体"/>
          <w:b/>
          <w:bCs/>
          <w:color w:val="auto"/>
          <w:sz w:val="22"/>
          <w:szCs w:val="22"/>
          <w:highlight w:val="none"/>
          <w:lang w:val="zh-CN"/>
        </w:rPr>
      </w:pPr>
    </w:p>
    <w:p w14:paraId="41922A8B">
      <w:pPr>
        <w:spacing w:line="460" w:lineRule="exact"/>
        <w:jc w:val="center"/>
        <w:rPr>
          <w:rFonts w:ascii="新宋体" w:hAnsi="新宋体" w:eastAsia="新宋体" w:cs="新宋体"/>
          <w:b/>
          <w:bCs/>
          <w:color w:val="auto"/>
          <w:sz w:val="22"/>
          <w:szCs w:val="22"/>
          <w:highlight w:val="none"/>
        </w:rPr>
      </w:pPr>
    </w:p>
    <w:p w14:paraId="5F1AD4C3">
      <w:pPr>
        <w:spacing w:line="46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pacing w:val="20"/>
          <w:sz w:val="22"/>
          <w:szCs w:val="22"/>
          <w:highlight w:val="none"/>
        </w:rPr>
        <w:t>中小企业声明函（货物）</w:t>
      </w:r>
      <w:r>
        <w:rPr>
          <w:rFonts w:hint="eastAsia" w:ascii="新宋体" w:hAnsi="新宋体" w:eastAsia="新宋体" w:cs="新宋体"/>
          <w:b/>
          <w:bCs/>
          <w:color w:val="auto"/>
          <w:sz w:val="22"/>
          <w:szCs w:val="22"/>
          <w:highlight w:val="none"/>
        </w:rPr>
        <w:t>》</w:t>
      </w:r>
    </w:p>
    <w:p w14:paraId="37875637">
      <w:pPr>
        <w:snapToGrid w:val="0"/>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【不属于中小企业单位的无需填写、递交】</w:t>
      </w:r>
    </w:p>
    <w:p w14:paraId="235CD2F0">
      <w:pPr>
        <w:spacing w:line="460" w:lineRule="exact"/>
        <w:ind w:firstLine="52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本公司（联合体）郑重声明，根据《政府采购促进中小企业发展管理办法》（财库﹝2020﹞46 号）的规定，本公司（联合体）参加</w:t>
      </w:r>
      <w:r>
        <w:rPr>
          <w:rFonts w:hint="eastAsia" w:ascii="新宋体" w:hAnsi="新宋体" w:eastAsia="新宋体" w:cs="新宋体"/>
          <w:color w:val="auto"/>
          <w:spacing w:val="20"/>
          <w:sz w:val="22"/>
          <w:szCs w:val="22"/>
          <w:highlight w:val="none"/>
          <w:u w:val="single"/>
        </w:rPr>
        <w:t>（单位名称）</w:t>
      </w:r>
      <w:r>
        <w:rPr>
          <w:rFonts w:hint="eastAsia" w:ascii="新宋体" w:hAnsi="新宋体" w:eastAsia="新宋体" w:cs="新宋体"/>
          <w:color w:val="auto"/>
          <w:spacing w:val="20"/>
          <w:sz w:val="22"/>
          <w:szCs w:val="22"/>
          <w:highlight w:val="none"/>
        </w:rPr>
        <w:t>的</w:t>
      </w:r>
      <w:r>
        <w:rPr>
          <w:rFonts w:hint="eastAsia" w:ascii="新宋体" w:hAnsi="新宋体" w:eastAsia="新宋体" w:cs="新宋体"/>
          <w:color w:val="auto"/>
          <w:spacing w:val="20"/>
          <w:sz w:val="22"/>
          <w:szCs w:val="22"/>
          <w:highlight w:val="none"/>
          <w:u w:val="single"/>
        </w:rPr>
        <w:t>（项目名称）</w:t>
      </w:r>
      <w:r>
        <w:rPr>
          <w:rFonts w:hint="eastAsia" w:ascii="新宋体" w:hAnsi="新宋体" w:eastAsia="新宋体" w:cs="新宋体"/>
          <w:color w:val="auto"/>
          <w:spacing w:val="20"/>
          <w:sz w:val="22"/>
          <w:szCs w:val="22"/>
          <w:highlight w:val="none"/>
        </w:rPr>
        <w:t>采购活动，提供的货物全部由符合政策要求的中小企业制造。相关企业（含联合体中的中小企业、签订分包意向协议的中小企业）的具体情况如下：</w:t>
      </w:r>
    </w:p>
    <w:p w14:paraId="034FE9CE">
      <w:pPr>
        <w:spacing w:line="460" w:lineRule="exact"/>
        <w:ind w:firstLine="44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z w:val="22"/>
          <w:szCs w:val="22"/>
          <w:highlight w:val="none"/>
          <w:lang w:val="zh-CN"/>
        </w:rPr>
        <w:t>1.</w:t>
      </w:r>
      <w:r>
        <w:rPr>
          <w:rFonts w:hint="eastAsia" w:ascii="新宋体" w:hAnsi="新宋体" w:eastAsia="新宋体" w:cs="新宋体"/>
          <w:color w:val="auto"/>
          <w:sz w:val="22"/>
          <w:szCs w:val="22"/>
          <w:highlight w:val="none"/>
          <w:u w:val="single"/>
          <w:lang w:val="zh-CN"/>
        </w:rPr>
        <w:t>（标的名称）</w:t>
      </w:r>
      <w:r>
        <w:rPr>
          <w:rFonts w:hint="eastAsia" w:ascii="新宋体" w:hAnsi="新宋体" w:eastAsia="新宋体" w:cs="新宋体"/>
          <w:color w:val="auto"/>
          <w:sz w:val="22"/>
          <w:szCs w:val="22"/>
          <w:highlight w:val="none"/>
          <w:lang w:val="zh-CN"/>
        </w:rPr>
        <w:t xml:space="preserve"> ，属于</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pacing w:val="20"/>
          <w:sz w:val="22"/>
          <w:szCs w:val="22"/>
          <w:highlight w:val="none"/>
        </w:rPr>
        <w:t>行业；制造商为</w:t>
      </w:r>
      <w:r>
        <w:rPr>
          <w:rFonts w:hint="eastAsia" w:ascii="新宋体" w:hAnsi="新宋体" w:eastAsia="新宋体" w:cs="新宋体"/>
          <w:color w:val="auto"/>
          <w:spacing w:val="20"/>
          <w:sz w:val="22"/>
          <w:szCs w:val="22"/>
          <w:highlight w:val="none"/>
          <w:u w:val="single"/>
        </w:rPr>
        <w:t>（企业名称），</w:t>
      </w:r>
      <w:r>
        <w:rPr>
          <w:rFonts w:hint="eastAsia" w:ascii="新宋体" w:hAnsi="新宋体" w:eastAsia="新宋体" w:cs="新宋体"/>
          <w:color w:val="auto"/>
          <w:spacing w:val="20"/>
          <w:sz w:val="22"/>
          <w:szCs w:val="22"/>
          <w:highlight w:val="none"/>
        </w:rPr>
        <w:t>从业人员</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人，营业收入为</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万元，资产总额为</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万元，属于</w:t>
      </w:r>
      <w:r>
        <w:rPr>
          <w:rFonts w:hint="eastAsia" w:ascii="新宋体" w:hAnsi="新宋体" w:eastAsia="新宋体" w:cs="新宋体"/>
          <w:color w:val="auto"/>
          <w:spacing w:val="20"/>
          <w:sz w:val="22"/>
          <w:szCs w:val="22"/>
          <w:highlight w:val="none"/>
          <w:u w:val="single"/>
        </w:rPr>
        <w:t>（中型企业、小型企业、微型企业）</w:t>
      </w:r>
      <w:r>
        <w:rPr>
          <w:rFonts w:hint="eastAsia" w:ascii="新宋体" w:hAnsi="新宋体" w:eastAsia="新宋体" w:cs="新宋体"/>
          <w:color w:val="auto"/>
          <w:spacing w:val="20"/>
          <w:sz w:val="22"/>
          <w:szCs w:val="22"/>
          <w:highlight w:val="none"/>
        </w:rPr>
        <w:t>；</w:t>
      </w:r>
    </w:p>
    <w:p w14:paraId="16594DD4">
      <w:pPr>
        <w:spacing w:line="460" w:lineRule="exact"/>
        <w:ind w:firstLine="52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2.</w:t>
      </w:r>
      <w:r>
        <w:rPr>
          <w:rFonts w:hint="eastAsia" w:ascii="新宋体" w:hAnsi="新宋体" w:eastAsia="新宋体" w:cs="新宋体"/>
          <w:color w:val="auto"/>
          <w:spacing w:val="20"/>
          <w:sz w:val="22"/>
          <w:szCs w:val="22"/>
          <w:highlight w:val="none"/>
          <w:u w:val="single"/>
        </w:rPr>
        <w:t>（标的名称）</w:t>
      </w:r>
      <w:r>
        <w:rPr>
          <w:rFonts w:hint="eastAsia" w:ascii="新宋体" w:hAnsi="新宋体" w:eastAsia="新宋体" w:cs="新宋体"/>
          <w:color w:val="auto"/>
          <w:spacing w:val="20"/>
          <w:sz w:val="22"/>
          <w:szCs w:val="22"/>
          <w:highlight w:val="none"/>
        </w:rPr>
        <w:t xml:space="preserve"> ，属于</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pacing w:val="20"/>
          <w:sz w:val="22"/>
          <w:szCs w:val="22"/>
          <w:highlight w:val="none"/>
        </w:rPr>
        <w:t>行业；制造商为（企业名称），从业人员</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人，营业收入为</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万元，资产总额为</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万元，属于</w:t>
      </w:r>
      <w:r>
        <w:rPr>
          <w:rFonts w:hint="eastAsia" w:ascii="新宋体" w:hAnsi="新宋体" w:eastAsia="新宋体" w:cs="新宋体"/>
          <w:color w:val="auto"/>
          <w:spacing w:val="20"/>
          <w:sz w:val="22"/>
          <w:szCs w:val="22"/>
          <w:highlight w:val="none"/>
          <w:u w:val="single"/>
        </w:rPr>
        <w:t>（中型企业、小型企业、微型企业）</w:t>
      </w:r>
      <w:r>
        <w:rPr>
          <w:rFonts w:hint="eastAsia" w:ascii="新宋体" w:hAnsi="新宋体" w:eastAsia="新宋体" w:cs="新宋体"/>
          <w:color w:val="auto"/>
          <w:spacing w:val="20"/>
          <w:sz w:val="22"/>
          <w:szCs w:val="22"/>
          <w:highlight w:val="none"/>
        </w:rPr>
        <w:t>；</w:t>
      </w:r>
    </w:p>
    <w:p w14:paraId="762D4313">
      <w:pPr>
        <w:spacing w:line="460" w:lineRule="exact"/>
        <w:ind w:firstLine="52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w:t>
      </w:r>
    </w:p>
    <w:p w14:paraId="732068BE">
      <w:pPr>
        <w:spacing w:line="460" w:lineRule="exact"/>
        <w:ind w:firstLine="52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以上企业，不属于大企业的分支机构，不存在控股股东为大企业的情形，也不存在与大企业的负责人为同一人的情形。</w:t>
      </w:r>
    </w:p>
    <w:p w14:paraId="7887B1FE">
      <w:pPr>
        <w:spacing w:line="460" w:lineRule="exact"/>
        <w:ind w:firstLine="520" w:firstLineChars="200"/>
        <w:rPr>
          <w:rFonts w:ascii="新宋体" w:hAnsi="新宋体" w:eastAsia="新宋体" w:cs="新宋体"/>
          <w:color w:val="auto"/>
          <w:sz w:val="22"/>
          <w:szCs w:val="22"/>
          <w:highlight w:val="none"/>
        </w:rPr>
      </w:pPr>
      <w:r>
        <w:rPr>
          <w:rFonts w:hint="eastAsia" w:ascii="新宋体" w:hAnsi="新宋体" w:eastAsia="新宋体" w:cs="新宋体"/>
          <w:color w:val="auto"/>
          <w:spacing w:val="20"/>
          <w:sz w:val="22"/>
          <w:szCs w:val="22"/>
          <w:highlight w:val="none"/>
        </w:rPr>
        <w:t>本企业对上述声明内容的真实性负责。如有虚假，将依法承担相应责任。</w:t>
      </w:r>
    </w:p>
    <w:p w14:paraId="69349CED">
      <w:pPr>
        <w:spacing w:line="460" w:lineRule="exact"/>
        <w:ind w:firstLine="4420" w:firstLineChars="17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企业名称（盖章）：</w:t>
      </w:r>
    </w:p>
    <w:p w14:paraId="2D8AF13B">
      <w:pPr>
        <w:spacing w:line="460" w:lineRule="exact"/>
        <w:ind w:firstLine="4420" w:firstLineChars="17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日 期：</w:t>
      </w:r>
    </w:p>
    <w:p w14:paraId="6B95ABE1">
      <w:pPr>
        <w:rPr>
          <w:rFonts w:ascii="新宋体" w:hAnsi="新宋体" w:eastAsia="新宋体" w:cs="新宋体"/>
          <w:color w:val="auto"/>
          <w:spacing w:val="20"/>
          <w:sz w:val="22"/>
          <w:szCs w:val="22"/>
          <w:highlight w:val="none"/>
        </w:rPr>
      </w:pPr>
    </w:p>
    <w:p w14:paraId="176399A9">
      <w:pPr>
        <w:rPr>
          <w:rFonts w:hint="eastAsia" w:ascii="新宋体" w:hAnsi="新宋体" w:eastAsia="新宋体" w:cs="新宋体"/>
          <w:b/>
          <w:bCs/>
          <w:color w:val="auto"/>
          <w:sz w:val="24"/>
          <w:highlight w:val="none"/>
          <w:lang w:eastAsia="zh-CN"/>
        </w:rPr>
      </w:pPr>
      <w:r>
        <w:rPr>
          <w:rFonts w:hint="eastAsia" w:ascii="新宋体" w:hAnsi="新宋体" w:eastAsia="新宋体" w:cs="新宋体"/>
          <w:b/>
          <w:bCs/>
          <w:color w:val="auto"/>
          <w:sz w:val="24"/>
          <w:highlight w:val="none"/>
          <w:lang w:eastAsia="zh-CN"/>
        </w:rPr>
        <w:br w:type="page"/>
      </w:r>
    </w:p>
    <w:p w14:paraId="6B7D7352">
      <w:pPr>
        <w:spacing w:line="460" w:lineRule="exact"/>
        <w:outlineLvl w:val="4"/>
        <w:rPr>
          <w:rFonts w:ascii="新宋体" w:hAnsi="新宋体" w:eastAsia="新宋体" w:cs="新宋体"/>
          <w:b/>
          <w:bCs/>
          <w:color w:val="auto"/>
          <w:sz w:val="24"/>
          <w:highlight w:val="none"/>
        </w:rPr>
      </w:pP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lang w:val="en-US" w:eastAsia="zh-CN"/>
        </w:rPr>
        <w:t>2</w:t>
      </w: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rPr>
        <w:t>监狱企业的相关证明材料</w:t>
      </w:r>
    </w:p>
    <w:p w14:paraId="61CDBBE7">
      <w:pPr>
        <w:spacing w:line="460" w:lineRule="exact"/>
        <w:ind w:firstLine="466" w:firstLineChars="200"/>
        <w:rPr>
          <w:rFonts w:ascii="新宋体" w:hAnsi="新宋体" w:eastAsia="新宋体" w:cs="新宋体"/>
          <w:b/>
          <w:bCs/>
          <w:color w:val="auto"/>
          <w:sz w:val="22"/>
          <w:szCs w:val="22"/>
          <w:highlight w:val="none"/>
          <w:u w:val="single"/>
          <w:lang w:val="zh-CN"/>
        </w:rPr>
      </w:pPr>
      <w:r>
        <w:rPr>
          <w:rFonts w:hint="eastAsia" w:ascii="新宋体" w:hAnsi="新宋体" w:eastAsia="新宋体" w:cs="新宋体"/>
          <w:b/>
          <w:color w:val="auto"/>
          <w:spacing w:val="6"/>
          <w:sz w:val="22"/>
          <w:szCs w:val="22"/>
          <w:highlight w:val="none"/>
        </w:rPr>
        <w:t>需提供相关证明材料，</w:t>
      </w:r>
      <w:r>
        <w:rPr>
          <w:rFonts w:hint="eastAsia" w:ascii="新宋体" w:hAnsi="新宋体" w:eastAsia="新宋体" w:cs="新宋体"/>
          <w:b/>
          <w:bCs/>
          <w:color w:val="auto"/>
          <w:sz w:val="22"/>
          <w:szCs w:val="22"/>
          <w:highlight w:val="none"/>
          <w:u w:val="single"/>
          <w:lang w:val="zh-CN"/>
        </w:rPr>
        <w:t>未提供证明材料或不能清楚辨析</w:t>
      </w:r>
      <w:r>
        <w:rPr>
          <w:rFonts w:hint="eastAsia" w:ascii="新宋体" w:hAnsi="新宋体" w:eastAsia="新宋体" w:cs="新宋体"/>
          <w:b/>
          <w:bCs/>
          <w:color w:val="auto"/>
          <w:sz w:val="22"/>
          <w:szCs w:val="22"/>
          <w:highlight w:val="none"/>
          <w:u w:val="single"/>
        </w:rPr>
        <w:t>是监狱企业的按非监狱企业处理，所提供的证明材料应为最新的最近的</w:t>
      </w:r>
      <w:r>
        <w:rPr>
          <w:rFonts w:hint="eastAsia" w:ascii="新宋体" w:hAnsi="新宋体" w:eastAsia="新宋体" w:cs="新宋体"/>
          <w:b/>
          <w:bCs/>
          <w:color w:val="auto"/>
          <w:sz w:val="22"/>
          <w:szCs w:val="22"/>
          <w:highlight w:val="none"/>
          <w:u w:val="single"/>
          <w:lang w:val="zh-CN"/>
        </w:rPr>
        <w:t>。</w:t>
      </w:r>
    </w:p>
    <w:p w14:paraId="05445DF0">
      <w:pPr>
        <w:adjustRightInd w:val="0"/>
        <w:snapToGrid w:val="0"/>
        <w:spacing w:line="300" w:lineRule="auto"/>
        <w:jc w:val="center"/>
        <w:rPr>
          <w:rFonts w:ascii="新宋体" w:hAnsi="新宋体" w:eastAsia="新宋体" w:cs="新宋体"/>
          <w:b/>
          <w:color w:val="auto"/>
          <w:spacing w:val="6"/>
          <w:sz w:val="22"/>
          <w:szCs w:val="22"/>
          <w:highlight w:val="none"/>
        </w:rPr>
      </w:pPr>
    </w:p>
    <w:p w14:paraId="26F8794B">
      <w:pPr>
        <w:adjustRightInd w:val="0"/>
        <w:snapToGrid w:val="0"/>
        <w:spacing w:line="300" w:lineRule="auto"/>
        <w:jc w:val="center"/>
        <w:rPr>
          <w:rFonts w:ascii="新宋体" w:hAnsi="新宋体" w:eastAsia="新宋体" w:cs="新宋体"/>
          <w:b/>
          <w:color w:val="auto"/>
          <w:spacing w:val="6"/>
          <w:sz w:val="22"/>
          <w:szCs w:val="22"/>
          <w:highlight w:val="none"/>
        </w:rPr>
      </w:pPr>
    </w:p>
    <w:p w14:paraId="3044431C">
      <w:pPr>
        <w:adjustRightInd w:val="0"/>
        <w:snapToGrid w:val="0"/>
        <w:spacing w:line="300" w:lineRule="auto"/>
        <w:jc w:val="center"/>
        <w:rPr>
          <w:rFonts w:ascii="新宋体" w:hAnsi="新宋体" w:eastAsia="新宋体" w:cs="新宋体"/>
          <w:b/>
          <w:color w:val="auto"/>
          <w:spacing w:val="6"/>
          <w:sz w:val="22"/>
          <w:szCs w:val="22"/>
          <w:highlight w:val="none"/>
        </w:rPr>
      </w:pPr>
    </w:p>
    <w:p w14:paraId="71199C3C">
      <w:pPr>
        <w:adjustRightInd w:val="0"/>
        <w:snapToGrid w:val="0"/>
        <w:spacing w:line="300" w:lineRule="auto"/>
        <w:jc w:val="center"/>
        <w:rPr>
          <w:rFonts w:ascii="新宋体" w:hAnsi="新宋体" w:eastAsia="新宋体" w:cs="新宋体"/>
          <w:color w:val="auto"/>
          <w:kern w:val="0"/>
          <w:sz w:val="22"/>
          <w:szCs w:val="22"/>
          <w:highlight w:val="none"/>
        </w:rPr>
      </w:pPr>
      <w:r>
        <w:rPr>
          <w:rFonts w:hint="eastAsia" w:ascii="新宋体" w:hAnsi="新宋体" w:eastAsia="新宋体" w:cs="新宋体"/>
          <w:b/>
          <w:color w:val="auto"/>
          <w:spacing w:val="6"/>
          <w:sz w:val="22"/>
          <w:szCs w:val="22"/>
          <w:highlight w:val="none"/>
        </w:rPr>
        <w:t>监狱企业声明函</w:t>
      </w:r>
    </w:p>
    <w:p w14:paraId="1CFB032E">
      <w:pPr>
        <w:snapToGrid w:val="0"/>
        <w:spacing w:line="460" w:lineRule="exact"/>
        <w:jc w:val="center"/>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【非监狱企业不用提供】</w:t>
      </w:r>
    </w:p>
    <w:p w14:paraId="39241EEA">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本企业郑重声明，根据《关于政府采购支持监狱企业发展有关问题的通知》（财库[2014]68号）的规定，本企业为监狱企业。 </w:t>
      </w:r>
    </w:p>
    <w:p w14:paraId="40B3B0E8">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根据上述标准，我企业属于监狱企业的理由为：</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 xml:space="preserve">。 </w:t>
      </w:r>
    </w:p>
    <w:p w14:paraId="27C70F00">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本企业为参加（招标项目名称：</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）（招标编号：</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 xml:space="preserve">）采购活动并承担本工程。 </w:t>
      </w:r>
    </w:p>
    <w:p w14:paraId="3DB42155">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本企业对上述声明的真实性负责。如有虚假，将依法承担相应责任。  </w:t>
      </w:r>
    </w:p>
    <w:p w14:paraId="416A33FE">
      <w:pPr>
        <w:adjustRightInd w:val="0"/>
        <w:snapToGrid w:val="0"/>
        <w:spacing w:line="460" w:lineRule="exact"/>
        <w:ind w:firstLine="464" w:firstLineChars="200"/>
        <w:rPr>
          <w:rFonts w:ascii="新宋体" w:hAnsi="新宋体" w:eastAsia="新宋体" w:cs="新宋体"/>
          <w:color w:val="auto"/>
          <w:kern w:val="0"/>
          <w:sz w:val="22"/>
          <w:szCs w:val="22"/>
          <w:highlight w:val="none"/>
        </w:rPr>
      </w:pPr>
      <w:r>
        <w:rPr>
          <w:rFonts w:hint="eastAsia" w:ascii="新宋体" w:hAnsi="新宋体" w:eastAsia="新宋体" w:cs="新宋体"/>
          <w:color w:val="auto"/>
          <w:spacing w:val="6"/>
          <w:sz w:val="22"/>
          <w:szCs w:val="22"/>
          <w:highlight w:val="none"/>
        </w:rPr>
        <w:t>投标人全称（</w:t>
      </w:r>
      <w:r>
        <w:rPr>
          <w:rFonts w:hint="eastAsia" w:ascii="新宋体" w:hAnsi="新宋体" w:eastAsia="新宋体" w:cs="新宋体"/>
          <w:color w:val="auto"/>
          <w:kern w:val="0"/>
          <w:sz w:val="22"/>
          <w:szCs w:val="22"/>
          <w:highlight w:val="none"/>
        </w:rPr>
        <w:t>盖章）：</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 xml:space="preserve"> </w:t>
      </w:r>
    </w:p>
    <w:p w14:paraId="1D585C3C">
      <w:pPr>
        <w:adjustRightInd w:val="0"/>
        <w:snapToGrid w:val="0"/>
        <w:spacing w:line="460" w:lineRule="exact"/>
        <w:ind w:firstLine="464" w:firstLineChars="200"/>
        <w:rPr>
          <w:rFonts w:ascii="新宋体" w:hAnsi="新宋体" w:eastAsia="新宋体" w:cs="新宋体"/>
          <w:color w:val="auto"/>
          <w:kern w:val="0"/>
          <w:sz w:val="22"/>
          <w:szCs w:val="22"/>
          <w:highlight w:val="none"/>
        </w:rPr>
      </w:pPr>
      <w:r>
        <w:rPr>
          <w:rFonts w:hint="eastAsia" w:ascii="新宋体" w:hAnsi="新宋体" w:eastAsia="新宋体" w:cs="新宋体"/>
          <w:color w:val="auto"/>
          <w:spacing w:val="6"/>
          <w:sz w:val="22"/>
          <w:szCs w:val="22"/>
          <w:highlight w:val="none"/>
        </w:rPr>
        <w:t xml:space="preserve">日期：    年    月 </w:t>
      </w:r>
      <w:r>
        <w:rPr>
          <w:rFonts w:hint="eastAsia" w:ascii="新宋体" w:hAnsi="新宋体" w:eastAsia="新宋体" w:cs="新宋体"/>
          <w:color w:val="auto"/>
          <w:kern w:val="0"/>
          <w:sz w:val="22"/>
          <w:szCs w:val="22"/>
          <w:highlight w:val="none"/>
        </w:rPr>
        <w:t xml:space="preserve">  日 </w:t>
      </w:r>
    </w:p>
    <w:p w14:paraId="2FB69D53">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监狱企业参加政府采购活动时，应当提供由省级以上监狱管理局、戒毒管理局（含新疆生产建设兵团）出具的属于监狱企业的证明文件。 </w:t>
      </w:r>
    </w:p>
    <w:p w14:paraId="1A0A5A61">
      <w:pPr>
        <w:adjustRightInd w:val="0"/>
        <w:snapToGrid w:val="0"/>
        <w:spacing w:line="460" w:lineRule="exact"/>
        <w:ind w:firstLine="464" w:firstLineChars="200"/>
        <w:rPr>
          <w:rFonts w:ascii="新宋体" w:hAnsi="新宋体" w:eastAsia="新宋体" w:cs="新宋体"/>
          <w:color w:val="auto"/>
          <w:kern w:val="0"/>
          <w:sz w:val="22"/>
          <w:szCs w:val="22"/>
          <w:highlight w:val="none"/>
        </w:rPr>
      </w:pPr>
      <w:r>
        <w:rPr>
          <w:rFonts w:hint="eastAsia" w:ascii="新宋体" w:hAnsi="新宋体" w:eastAsia="新宋体" w:cs="新宋体"/>
          <w:color w:val="auto"/>
          <w:spacing w:val="6"/>
          <w:sz w:val="22"/>
          <w:szCs w:val="22"/>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C60D064">
      <w:pPr>
        <w:spacing w:line="460" w:lineRule="exact"/>
        <w:rPr>
          <w:rFonts w:ascii="新宋体" w:hAnsi="新宋体" w:eastAsia="新宋体" w:cs="新宋体"/>
          <w:color w:val="auto"/>
          <w:spacing w:val="20"/>
          <w:sz w:val="22"/>
          <w:szCs w:val="22"/>
          <w:highlight w:val="none"/>
        </w:rPr>
      </w:pPr>
    </w:p>
    <w:p w14:paraId="6F83B764">
      <w:pPr>
        <w:spacing w:line="460" w:lineRule="exact"/>
        <w:rPr>
          <w:rFonts w:ascii="新宋体" w:hAnsi="新宋体" w:eastAsia="新宋体" w:cs="新宋体"/>
          <w:color w:val="auto"/>
          <w:spacing w:val="20"/>
          <w:sz w:val="22"/>
          <w:szCs w:val="22"/>
          <w:highlight w:val="none"/>
        </w:rPr>
      </w:pPr>
    </w:p>
    <w:p w14:paraId="4DD3D446">
      <w:pPr>
        <w:spacing w:line="380" w:lineRule="exact"/>
        <w:rPr>
          <w:rFonts w:ascii="新宋体" w:hAnsi="新宋体" w:eastAsia="新宋体" w:cs="新宋体"/>
          <w:color w:val="auto"/>
          <w:sz w:val="22"/>
          <w:szCs w:val="22"/>
          <w:highlight w:val="none"/>
        </w:rPr>
      </w:pPr>
    </w:p>
    <w:p w14:paraId="1A51C02E">
      <w:pPr>
        <w:spacing w:line="380" w:lineRule="exact"/>
        <w:rPr>
          <w:rFonts w:ascii="新宋体" w:hAnsi="新宋体" w:eastAsia="新宋体" w:cs="新宋体"/>
          <w:color w:val="auto"/>
          <w:sz w:val="22"/>
          <w:szCs w:val="22"/>
          <w:highlight w:val="none"/>
        </w:rPr>
      </w:pPr>
    </w:p>
    <w:p w14:paraId="5F1901E9">
      <w:pPr>
        <w:spacing w:line="380" w:lineRule="exact"/>
        <w:rPr>
          <w:rFonts w:ascii="新宋体" w:hAnsi="新宋体" w:eastAsia="新宋体" w:cs="新宋体"/>
          <w:color w:val="auto"/>
          <w:sz w:val="22"/>
          <w:szCs w:val="22"/>
          <w:highlight w:val="none"/>
        </w:rPr>
      </w:pPr>
    </w:p>
    <w:p w14:paraId="0663B332">
      <w:pPr>
        <w:spacing w:line="380" w:lineRule="exact"/>
        <w:rPr>
          <w:rFonts w:ascii="新宋体" w:hAnsi="新宋体" w:eastAsia="新宋体" w:cs="新宋体"/>
          <w:color w:val="auto"/>
          <w:sz w:val="22"/>
          <w:szCs w:val="22"/>
          <w:highlight w:val="none"/>
        </w:rPr>
      </w:pPr>
    </w:p>
    <w:p w14:paraId="7CC9EF71">
      <w:pPr>
        <w:spacing w:line="380" w:lineRule="exact"/>
        <w:rPr>
          <w:rFonts w:ascii="新宋体" w:hAnsi="新宋体" w:eastAsia="新宋体" w:cs="新宋体"/>
          <w:color w:val="auto"/>
          <w:sz w:val="22"/>
          <w:szCs w:val="22"/>
          <w:highlight w:val="none"/>
        </w:rPr>
      </w:pPr>
    </w:p>
    <w:p w14:paraId="40B71CF1">
      <w:pPr>
        <w:spacing w:line="380" w:lineRule="exact"/>
        <w:rPr>
          <w:rFonts w:ascii="新宋体" w:hAnsi="新宋体" w:eastAsia="新宋体" w:cs="新宋体"/>
          <w:color w:val="auto"/>
          <w:sz w:val="22"/>
          <w:szCs w:val="22"/>
          <w:highlight w:val="none"/>
        </w:rPr>
      </w:pPr>
    </w:p>
    <w:p w14:paraId="7BF4E133">
      <w:pPr>
        <w:spacing w:line="380" w:lineRule="exact"/>
        <w:rPr>
          <w:rFonts w:ascii="新宋体" w:hAnsi="新宋体" w:eastAsia="新宋体" w:cs="新宋体"/>
          <w:color w:val="auto"/>
          <w:sz w:val="22"/>
          <w:szCs w:val="22"/>
          <w:highlight w:val="none"/>
        </w:rPr>
      </w:pPr>
    </w:p>
    <w:p w14:paraId="2A6F8EF8">
      <w:pPr>
        <w:spacing w:line="380" w:lineRule="exact"/>
        <w:rPr>
          <w:rFonts w:ascii="新宋体" w:hAnsi="新宋体" w:eastAsia="新宋体" w:cs="新宋体"/>
          <w:color w:val="auto"/>
          <w:sz w:val="22"/>
          <w:szCs w:val="22"/>
          <w:highlight w:val="none"/>
        </w:rPr>
      </w:pPr>
    </w:p>
    <w:p w14:paraId="076B07D8">
      <w:pPr>
        <w:pStyle w:val="22"/>
        <w:rPr>
          <w:rFonts w:ascii="新宋体" w:hAnsi="新宋体" w:eastAsia="新宋体" w:cs="新宋体"/>
          <w:color w:val="auto"/>
          <w:highlight w:val="none"/>
        </w:rPr>
      </w:pPr>
    </w:p>
    <w:p w14:paraId="02DBD6D9">
      <w:pPr>
        <w:pStyle w:val="22"/>
        <w:rPr>
          <w:rFonts w:ascii="新宋体" w:hAnsi="新宋体" w:eastAsia="新宋体" w:cs="新宋体"/>
          <w:color w:val="auto"/>
          <w:highlight w:val="none"/>
        </w:rPr>
      </w:pPr>
    </w:p>
    <w:p w14:paraId="1E7B85D1">
      <w:pPr>
        <w:spacing w:line="460" w:lineRule="exact"/>
        <w:outlineLvl w:val="4"/>
        <w:rPr>
          <w:rFonts w:ascii="新宋体" w:hAnsi="新宋体" w:eastAsia="新宋体" w:cs="新宋体"/>
          <w:b/>
          <w:bCs/>
          <w:color w:val="auto"/>
          <w:sz w:val="24"/>
          <w:highlight w:val="none"/>
        </w:rPr>
      </w:pP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lang w:val="en-US" w:eastAsia="zh-CN"/>
        </w:rPr>
        <w:t>3</w:t>
      </w: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rPr>
        <w:t>残疾人福利性单位的相关证明材料</w:t>
      </w:r>
    </w:p>
    <w:p w14:paraId="1861E89F">
      <w:pPr>
        <w:spacing w:line="460" w:lineRule="exact"/>
        <w:ind w:firstLine="520" w:firstLineChars="200"/>
        <w:rPr>
          <w:rFonts w:ascii="新宋体" w:hAnsi="新宋体" w:eastAsia="新宋体" w:cs="新宋体"/>
          <w:color w:val="auto"/>
          <w:spacing w:val="20"/>
          <w:sz w:val="22"/>
          <w:szCs w:val="22"/>
          <w:highlight w:val="none"/>
        </w:rPr>
      </w:pPr>
    </w:p>
    <w:p w14:paraId="269053EC">
      <w:pPr>
        <w:spacing w:line="460" w:lineRule="exact"/>
        <w:rPr>
          <w:rFonts w:ascii="新宋体" w:hAnsi="新宋体" w:eastAsia="新宋体" w:cs="新宋体"/>
          <w:color w:val="auto"/>
          <w:spacing w:val="20"/>
          <w:sz w:val="22"/>
          <w:szCs w:val="22"/>
          <w:highlight w:val="none"/>
        </w:rPr>
      </w:pPr>
    </w:p>
    <w:p w14:paraId="02C51340">
      <w:pPr>
        <w:spacing w:line="460" w:lineRule="exact"/>
        <w:rPr>
          <w:rFonts w:ascii="新宋体" w:hAnsi="新宋体" w:eastAsia="新宋体" w:cs="新宋体"/>
          <w:color w:val="auto"/>
          <w:spacing w:val="20"/>
          <w:sz w:val="22"/>
          <w:szCs w:val="22"/>
          <w:highlight w:val="none"/>
        </w:rPr>
      </w:pPr>
    </w:p>
    <w:p w14:paraId="3373A1B7">
      <w:pPr>
        <w:spacing w:line="460" w:lineRule="exact"/>
        <w:jc w:val="center"/>
        <w:rPr>
          <w:rFonts w:ascii="新宋体" w:hAnsi="新宋体" w:eastAsia="新宋体" w:cs="新宋体"/>
          <w:color w:val="auto"/>
          <w:spacing w:val="6"/>
          <w:sz w:val="22"/>
          <w:szCs w:val="22"/>
          <w:highlight w:val="none"/>
        </w:rPr>
      </w:pPr>
      <w:r>
        <w:rPr>
          <w:rFonts w:hint="eastAsia" w:ascii="新宋体" w:hAnsi="新宋体" w:eastAsia="新宋体" w:cs="新宋体"/>
          <w:b/>
          <w:color w:val="auto"/>
          <w:spacing w:val="6"/>
          <w:sz w:val="22"/>
          <w:szCs w:val="22"/>
          <w:highlight w:val="none"/>
        </w:rPr>
        <w:t>残疾人福利性单位声明函</w:t>
      </w:r>
    </w:p>
    <w:p w14:paraId="7C05139E">
      <w:pPr>
        <w:widowControl/>
        <w:adjustRightInd w:val="0"/>
        <w:snapToGrid w:val="0"/>
        <w:spacing w:line="460" w:lineRule="exact"/>
        <w:jc w:val="center"/>
        <w:rPr>
          <w:rFonts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【不属于残疾人福利性单位的无需填写、递交】</w:t>
      </w:r>
    </w:p>
    <w:p w14:paraId="1745EB48">
      <w:pPr>
        <w:snapToGrid w:val="0"/>
        <w:spacing w:line="460" w:lineRule="exact"/>
        <w:jc w:val="center"/>
        <w:rPr>
          <w:rFonts w:ascii="新宋体" w:hAnsi="新宋体" w:eastAsia="新宋体" w:cs="新宋体"/>
          <w:b/>
          <w:bCs/>
          <w:color w:val="auto"/>
          <w:sz w:val="22"/>
          <w:szCs w:val="22"/>
          <w:highlight w:val="none"/>
        </w:rPr>
      </w:pPr>
    </w:p>
    <w:p w14:paraId="3BED9948">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本单位郑重声明，根据《财政部民政部中国残疾人联合会关于促进残疾人就业政府采购政策的通知》（财库</w:t>
      </w:r>
      <w:r>
        <w:rPr>
          <w:rFonts w:hint="eastAsia" w:ascii="新宋体" w:hAnsi="新宋体" w:eastAsia="新宋体" w:cs="新宋体"/>
          <w:color w:val="auto"/>
          <w:sz w:val="22"/>
          <w:szCs w:val="22"/>
          <w:highlight w:val="none"/>
        </w:rPr>
        <w:t>〔2017〕141</w:t>
      </w:r>
      <w:r>
        <w:rPr>
          <w:rFonts w:hint="eastAsia" w:ascii="新宋体" w:hAnsi="新宋体" w:eastAsia="新宋体" w:cs="新宋体"/>
          <w:color w:val="auto"/>
          <w:spacing w:val="6"/>
          <w:sz w:val="22"/>
          <w:szCs w:val="22"/>
          <w:highlight w:val="none"/>
        </w:rPr>
        <w:t>号）的规定，本单位为符合条件的残疾人福利性单位，且本单位参加</w:t>
      </w:r>
      <w:r>
        <w:rPr>
          <w:rFonts w:hint="eastAsia" w:ascii="新宋体" w:hAnsi="新宋体" w:eastAsia="新宋体" w:cs="新宋体"/>
          <w:color w:val="auto"/>
          <w:spacing w:val="6"/>
          <w:sz w:val="22"/>
          <w:szCs w:val="22"/>
          <w:highlight w:val="none"/>
          <w:u w:val="single"/>
        </w:rPr>
        <w:t>（招标人名称）</w:t>
      </w:r>
      <w:r>
        <w:rPr>
          <w:rFonts w:hint="eastAsia" w:ascii="新宋体" w:hAnsi="新宋体" w:eastAsia="新宋体" w:cs="新宋体"/>
          <w:color w:val="auto"/>
          <w:spacing w:val="6"/>
          <w:sz w:val="22"/>
          <w:szCs w:val="22"/>
          <w:highlight w:val="none"/>
        </w:rPr>
        <w:t>单位的</w:t>
      </w:r>
      <w:r>
        <w:rPr>
          <w:rFonts w:hint="eastAsia" w:ascii="新宋体" w:hAnsi="新宋体" w:eastAsia="新宋体" w:cs="新宋体"/>
          <w:color w:val="auto"/>
          <w:spacing w:val="6"/>
          <w:sz w:val="22"/>
          <w:szCs w:val="22"/>
          <w:highlight w:val="none"/>
          <w:u w:val="single"/>
        </w:rPr>
        <w:t>（招标项目名称）</w:t>
      </w:r>
      <w:r>
        <w:rPr>
          <w:rFonts w:hint="eastAsia" w:ascii="新宋体" w:hAnsi="新宋体" w:eastAsia="新宋体" w:cs="新宋体"/>
          <w:color w:val="auto"/>
          <w:spacing w:val="6"/>
          <w:sz w:val="22"/>
          <w:szCs w:val="22"/>
          <w:highlight w:val="none"/>
        </w:rPr>
        <w:t>项目采购活动提供本单位制造的货物（由本单位承担工程/提供服务），或者提供其他残疾人福利性单位制造的货物（不包括使用非残疾人福利性单位注册商标的货物）。</w:t>
      </w:r>
    </w:p>
    <w:p w14:paraId="49EFDFCA">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本单位对上述声明的真实性负责。如有虚假，将依法承担相应责任。</w:t>
      </w:r>
    </w:p>
    <w:p w14:paraId="02EDB8B0">
      <w:pPr>
        <w:snapToGrid w:val="0"/>
        <w:spacing w:line="460" w:lineRule="exact"/>
        <w:ind w:firstLine="464" w:firstLineChars="200"/>
        <w:rPr>
          <w:rFonts w:ascii="新宋体" w:hAnsi="新宋体" w:eastAsia="新宋体" w:cs="新宋体"/>
          <w:color w:val="auto"/>
          <w:spacing w:val="6"/>
          <w:sz w:val="22"/>
          <w:szCs w:val="22"/>
          <w:highlight w:val="none"/>
        </w:rPr>
      </w:pPr>
    </w:p>
    <w:p w14:paraId="60A49A6A">
      <w:pPr>
        <w:snapToGrid w:val="0"/>
        <w:spacing w:line="460" w:lineRule="exact"/>
        <w:ind w:firstLine="464" w:firstLineChars="200"/>
        <w:rPr>
          <w:rFonts w:ascii="新宋体" w:hAnsi="新宋体" w:eastAsia="新宋体" w:cs="新宋体"/>
          <w:color w:val="auto"/>
          <w:spacing w:val="6"/>
          <w:sz w:val="22"/>
          <w:szCs w:val="22"/>
          <w:highlight w:val="none"/>
        </w:rPr>
      </w:pPr>
    </w:p>
    <w:p w14:paraId="2395C737">
      <w:pPr>
        <w:adjustRightInd w:val="0"/>
        <w:snapToGrid w:val="0"/>
        <w:spacing w:line="460" w:lineRule="exact"/>
        <w:ind w:firstLine="440" w:firstLineChars="200"/>
        <w:rPr>
          <w:rFonts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投标人全称（盖章）：</w:t>
      </w:r>
      <w:r>
        <w:rPr>
          <w:rFonts w:hint="eastAsia" w:ascii="新宋体" w:hAnsi="新宋体" w:eastAsia="新宋体" w:cs="新宋体"/>
          <w:color w:val="auto"/>
          <w:kern w:val="0"/>
          <w:sz w:val="22"/>
          <w:szCs w:val="22"/>
          <w:highlight w:val="none"/>
          <w:u w:val="single"/>
        </w:rPr>
        <w:t xml:space="preserve">                    </w:t>
      </w:r>
    </w:p>
    <w:p w14:paraId="20C696C3">
      <w:pPr>
        <w:pStyle w:val="22"/>
        <w:spacing w:line="460" w:lineRule="exact"/>
        <w:ind w:left="877" w:leftChars="208"/>
        <w:rPr>
          <w:rFonts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日期：    年   月   日</w:t>
      </w:r>
    </w:p>
    <w:p w14:paraId="22447500">
      <w:pPr>
        <w:pStyle w:val="22"/>
        <w:spacing w:line="460" w:lineRule="exact"/>
        <w:ind w:left="860" w:hanging="440"/>
        <w:rPr>
          <w:rFonts w:ascii="新宋体" w:hAnsi="新宋体" w:eastAsia="新宋体" w:cs="新宋体"/>
          <w:color w:val="auto"/>
          <w:kern w:val="0"/>
          <w:sz w:val="22"/>
          <w:szCs w:val="22"/>
          <w:highlight w:val="none"/>
        </w:rPr>
      </w:pPr>
    </w:p>
    <w:p w14:paraId="0B2F7442">
      <w:pPr>
        <w:spacing w:line="460" w:lineRule="exact"/>
        <w:rPr>
          <w:rFonts w:hint="eastAsia" w:ascii="新宋体" w:hAnsi="新宋体" w:eastAsia="新宋体" w:cs="新宋体"/>
          <w:color w:val="auto"/>
          <w:spacing w:val="20"/>
          <w:sz w:val="22"/>
          <w:szCs w:val="22"/>
          <w:highlight w:val="none"/>
        </w:rPr>
      </w:pPr>
    </w:p>
    <w:p w14:paraId="3E8FD206">
      <w:pPr>
        <w:pStyle w:val="22"/>
        <w:rPr>
          <w:rFonts w:hint="eastAsia" w:ascii="新宋体" w:hAnsi="新宋体" w:eastAsia="新宋体" w:cs="新宋体"/>
          <w:color w:val="auto"/>
          <w:highlight w:val="none"/>
        </w:rPr>
      </w:pPr>
    </w:p>
    <w:p w14:paraId="7E40853D">
      <w:pPr>
        <w:rPr>
          <w:rFonts w:hint="eastAsia" w:ascii="新宋体" w:hAnsi="新宋体" w:eastAsia="新宋体" w:cs="新宋体"/>
          <w:color w:val="auto"/>
          <w:highlight w:val="none"/>
        </w:rPr>
      </w:pPr>
    </w:p>
    <w:p w14:paraId="515DB63A">
      <w:pPr>
        <w:rPr>
          <w:rFonts w:hint="eastAsia" w:ascii="新宋体" w:hAnsi="新宋体" w:eastAsia="新宋体" w:cs="新宋体"/>
          <w:b/>
          <w:bCs w:val="0"/>
          <w:color w:val="auto"/>
          <w:kern w:val="0"/>
          <w:sz w:val="28"/>
          <w:szCs w:val="28"/>
          <w:highlight w:val="none"/>
          <w:lang w:val="en-US" w:eastAsia="zh-CN" w:bidi="ar-SA"/>
        </w:rPr>
      </w:pPr>
    </w:p>
    <w:p w14:paraId="4392F249">
      <w:pPr>
        <w:rPr>
          <w:rFonts w:hint="eastAsia" w:ascii="新宋体" w:hAnsi="新宋体" w:eastAsia="新宋体" w:cs="新宋体"/>
          <w:b/>
          <w:bCs/>
          <w:color w:val="auto"/>
          <w:sz w:val="22"/>
          <w:szCs w:val="22"/>
          <w:highlight w:val="none"/>
        </w:rPr>
      </w:pPr>
    </w:p>
    <w:p w14:paraId="198C4A9A">
      <w:pPr>
        <w:pStyle w:val="22"/>
        <w:rPr>
          <w:rFonts w:hint="eastAsia" w:ascii="新宋体" w:hAnsi="新宋体" w:eastAsia="新宋体" w:cs="新宋体"/>
          <w:b/>
          <w:bCs/>
          <w:color w:val="auto"/>
          <w:sz w:val="28"/>
          <w:szCs w:val="28"/>
          <w:highlight w:val="none"/>
        </w:rPr>
      </w:pPr>
    </w:p>
    <w:p w14:paraId="3ABEA4AB">
      <w:pPr>
        <w:rPr>
          <w:rFonts w:hint="eastAsia" w:ascii="新宋体" w:hAnsi="新宋体" w:eastAsia="新宋体" w:cs="新宋体"/>
          <w:b/>
          <w:color w:val="auto"/>
          <w:sz w:val="28"/>
          <w:szCs w:val="28"/>
          <w:highlight w:val="none"/>
          <w:lang w:val="en-US" w:eastAsia="zh-CN"/>
        </w:rPr>
      </w:pPr>
      <w:r>
        <w:rPr>
          <w:rFonts w:hint="eastAsia" w:ascii="新宋体" w:hAnsi="新宋体" w:eastAsia="新宋体" w:cs="新宋体"/>
          <w:b/>
          <w:color w:val="auto"/>
          <w:sz w:val="28"/>
          <w:szCs w:val="28"/>
          <w:highlight w:val="none"/>
          <w:lang w:val="en-US" w:eastAsia="zh-CN"/>
        </w:rPr>
        <w:br w:type="page"/>
      </w:r>
    </w:p>
    <w:p w14:paraId="4FC8E287">
      <w:pPr>
        <w:outlineLvl w:val="1"/>
        <w:rPr>
          <w:rFonts w:hint="eastAsia" w:ascii="新宋体" w:hAnsi="新宋体" w:eastAsia="新宋体" w:cs="新宋体"/>
          <w:b/>
          <w:bCs/>
          <w:color w:val="auto"/>
          <w:sz w:val="22"/>
          <w:szCs w:val="22"/>
          <w:highlight w:val="none"/>
        </w:rPr>
      </w:pPr>
      <w:bookmarkStart w:id="44" w:name="_Toc18657"/>
      <w:r>
        <w:rPr>
          <w:rFonts w:hint="eastAsia" w:ascii="新宋体" w:hAnsi="新宋体" w:eastAsia="新宋体" w:cs="新宋体"/>
          <w:b/>
          <w:bCs/>
          <w:color w:val="auto"/>
          <w:sz w:val="22"/>
          <w:szCs w:val="22"/>
          <w:highlight w:val="none"/>
        </w:rPr>
        <w:t>附件三</w:t>
      </w:r>
      <w:bookmarkEnd w:id="42"/>
      <w:bookmarkEnd w:id="44"/>
    </w:p>
    <w:p w14:paraId="53C85EA1">
      <w:pPr>
        <w:spacing w:line="460" w:lineRule="exact"/>
        <w:jc w:val="center"/>
        <w:outlineLvl w:val="2"/>
        <w:rPr>
          <w:rFonts w:hint="eastAsia" w:ascii="新宋体" w:hAnsi="新宋体" w:eastAsia="新宋体" w:cs="新宋体"/>
          <w:b/>
          <w:bCs/>
          <w:color w:val="auto"/>
          <w:sz w:val="28"/>
          <w:szCs w:val="28"/>
          <w:highlight w:val="none"/>
          <w:lang w:val="zh-CN"/>
        </w:rPr>
      </w:pPr>
      <w:bookmarkStart w:id="45" w:name="_Toc4257"/>
      <w:bookmarkStart w:id="46" w:name="_Toc29102"/>
      <w:r>
        <w:rPr>
          <w:rFonts w:hint="eastAsia" w:ascii="新宋体" w:hAnsi="新宋体" w:eastAsia="新宋体" w:cs="新宋体"/>
          <w:b/>
          <w:bCs/>
          <w:color w:val="auto"/>
          <w:sz w:val="28"/>
          <w:szCs w:val="28"/>
          <w:highlight w:val="none"/>
          <w:lang w:val="zh-CN"/>
        </w:rPr>
        <w:t>商务技术文件</w:t>
      </w:r>
      <w:bookmarkEnd w:id="45"/>
      <w:bookmarkEnd w:id="46"/>
    </w:p>
    <w:p w14:paraId="5E23F9C0">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1、</w:t>
      </w:r>
      <w:r>
        <w:rPr>
          <w:rFonts w:hint="eastAsia" w:ascii="新宋体" w:hAnsi="新宋体" w:eastAsia="新宋体" w:cs="新宋体"/>
          <w:b/>
          <w:bCs/>
          <w:color w:val="auto"/>
          <w:sz w:val="24"/>
          <w:highlight w:val="none"/>
          <w:lang w:val="zh-CN"/>
        </w:rPr>
        <w:t>投标</w:t>
      </w:r>
      <w:r>
        <w:rPr>
          <w:rFonts w:hint="eastAsia" w:ascii="新宋体" w:hAnsi="新宋体" w:eastAsia="新宋体" w:cs="新宋体"/>
          <w:b/>
          <w:bCs/>
          <w:color w:val="auto"/>
          <w:sz w:val="24"/>
          <w:highlight w:val="none"/>
        </w:rPr>
        <w:t>响应</w:t>
      </w:r>
      <w:r>
        <w:rPr>
          <w:rFonts w:hint="eastAsia" w:ascii="新宋体" w:hAnsi="新宋体" w:eastAsia="新宋体" w:cs="新宋体"/>
          <w:b/>
          <w:bCs/>
          <w:color w:val="auto"/>
          <w:sz w:val="24"/>
          <w:highlight w:val="none"/>
          <w:lang w:val="zh-CN"/>
        </w:rPr>
        <w:t>函</w:t>
      </w:r>
    </w:p>
    <w:p w14:paraId="6882E857">
      <w:pPr>
        <w:spacing w:line="460" w:lineRule="exact"/>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致：</w:t>
      </w:r>
      <w:r>
        <w:rPr>
          <w:rFonts w:hint="eastAsia" w:ascii="新宋体" w:hAnsi="新宋体" w:eastAsia="新宋体" w:cs="新宋体"/>
          <w:color w:val="auto"/>
          <w:sz w:val="22"/>
          <w:szCs w:val="22"/>
          <w:highlight w:val="none"/>
          <w:lang w:eastAsia="zh-CN"/>
        </w:rPr>
        <w:t>温州市疾病预防控制中心（温州市卫生监督所）</w:t>
      </w:r>
    </w:p>
    <w:p w14:paraId="7AE12F4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根据贵方为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w:t>
      </w:r>
      <w:r>
        <w:rPr>
          <w:rFonts w:hint="eastAsia" w:ascii="新宋体" w:hAnsi="新宋体" w:eastAsia="新宋体" w:cs="新宋体"/>
          <w:color w:val="auto"/>
          <w:sz w:val="22"/>
          <w:szCs w:val="22"/>
          <w:highlight w:val="none"/>
          <w:lang w:val="en-US" w:eastAsia="zh-CN"/>
        </w:rPr>
        <w:t>项目</w:t>
      </w:r>
      <w:r>
        <w:rPr>
          <w:rFonts w:hint="eastAsia" w:ascii="新宋体" w:hAnsi="新宋体" w:eastAsia="新宋体" w:cs="新宋体"/>
          <w:color w:val="auto"/>
          <w:sz w:val="22"/>
          <w:szCs w:val="22"/>
          <w:highlight w:val="none"/>
        </w:rPr>
        <w:t>编号：</w:t>
      </w:r>
      <w:r>
        <w:rPr>
          <w:rFonts w:hint="eastAsia" w:ascii="新宋体" w:hAnsi="新宋体" w:eastAsia="新宋体" w:cs="新宋体"/>
          <w:b w:val="0"/>
          <w:bCs/>
          <w:color w:val="auto"/>
          <w:sz w:val="22"/>
          <w:szCs w:val="22"/>
          <w:highlight w:val="none"/>
          <w:u w:val="single"/>
        </w:rPr>
        <w:t xml:space="preserve">         </w:t>
      </w:r>
      <w:r>
        <w:rPr>
          <w:rFonts w:hint="eastAsia" w:ascii="新宋体" w:hAnsi="新宋体" w:eastAsia="新宋体" w:cs="新宋体"/>
          <w:color w:val="auto"/>
          <w:sz w:val="22"/>
          <w:szCs w:val="22"/>
          <w:highlight w:val="none"/>
        </w:rPr>
        <w:t>）的投标邀请，我方</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（投标人名称）作为投标人正式授权</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（授权代表全名，职务）代表我方处理有关本投标的一切事宜。为此：</w:t>
      </w:r>
    </w:p>
    <w:p w14:paraId="3991F97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1、我方同意在投标人</w:t>
      </w:r>
      <w:r>
        <w:rPr>
          <w:rFonts w:hint="eastAsia" w:ascii="新宋体" w:hAnsi="新宋体" w:eastAsia="新宋体" w:cs="新宋体"/>
          <w:color w:val="auto"/>
          <w:kern w:val="44"/>
          <w:sz w:val="22"/>
          <w:szCs w:val="22"/>
          <w:highlight w:val="none"/>
        </w:rPr>
        <w:t>编制和提交投标文件须知</w:t>
      </w:r>
      <w:r>
        <w:rPr>
          <w:rFonts w:hint="eastAsia" w:ascii="新宋体" w:hAnsi="新宋体" w:eastAsia="新宋体" w:cs="新宋体"/>
          <w:color w:val="auto"/>
          <w:sz w:val="22"/>
          <w:szCs w:val="22"/>
          <w:highlight w:val="none"/>
        </w:rPr>
        <w:t>规定的开标日期起遵守本投标书中的承诺且在投标有效期满之前均具有约束力。</w:t>
      </w:r>
    </w:p>
    <w:p w14:paraId="1E06A35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2、我方承诺已经具备《中华人民共和国政府采购法》中规定的参加政府采购活动的供应商应当具备的条件：</w:t>
      </w:r>
    </w:p>
    <w:p w14:paraId="52FFC3A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具有独立承担民事责任的能力；</w:t>
      </w:r>
    </w:p>
    <w:p w14:paraId="5F4895A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遵守国家法律、行政法规，具有良好的信誉和商业道德；</w:t>
      </w:r>
    </w:p>
    <w:p w14:paraId="7C087ADD">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具有履行合同的能力和良好的履行合同记录；</w:t>
      </w:r>
    </w:p>
    <w:p w14:paraId="003D6D6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4</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良好的资金、财务状况；</w:t>
      </w:r>
    </w:p>
    <w:p w14:paraId="389C479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提供的产品和服务符合中国政府规定的相应标准和环保标准；</w:t>
      </w:r>
    </w:p>
    <w:p w14:paraId="4AA6A4C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没有违反政府采购法规、政策的记录；</w:t>
      </w:r>
    </w:p>
    <w:p w14:paraId="50AB12E3">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没有发生重大经济纠纷和走私犯罪记录。</w:t>
      </w:r>
    </w:p>
    <w:p w14:paraId="7331F76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3、提供编制和提交投标文件须知规定的全部投标文件，包括资格文件、报价文件、商务技术文件。具体内容为：</w:t>
      </w:r>
    </w:p>
    <w:p w14:paraId="6B300DB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资格文件</w:t>
      </w:r>
    </w:p>
    <w:p w14:paraId="35BF2D4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报价文件；</w:t>
      </w:r>
    </w:p>
    <w:p w14:paraId="5A90A89D">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rPr>
        <w:t>商务技术文件</w:t>
      </w:r>
      <w:r>
        <w:rPr>
          <w:rFonts w:hint="eastAsia" w:ascii="新宋体" w:hAnsi="新宋体" w:eastAsia="新宋体" w:cs="新宋体"/>
          <w:color w:val="auto"/>
          <w:sz w:val="22"/>
          <w:szCs w:val="22"/>
          <w:highlight w:val="none"/>
        </w:rPr>
        <w:t>；</w:t>
      </w:r>
    </w:p>
    <w:p w14:paraId="46C8975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4</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编制和提交投标文件须知要求投标人提交的全部文件；</w:t>
      </w:r>
    </w:p>
    <w:p w14:paraId="193194E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按</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要求提供和交付的货物和服务的投标报价详见开标一览表；</w:t>
      </w:r>
    </w:p>
    <w:p w14:paraId="2C29222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保证忠实地执行双方所签订的合同，并承担合同规定的责任和义务；</w:t>
      </w:r>
    </w:p>
    <w:p w14:paraId="680FDBC3">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保证遵守</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中的其他有关规定。</w:t>
      </w:r>
    </w:p>
    <w:p w14:paraId="593FBBF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4、投标有效期内不撤销投标文件，如中标，有效期将延至合同终止日为止。</w:t>
      </w:r>
    </w:p>
    <w:p w14:paraId="2880BA2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5、我方完全理解贵方不一定要接受最低价的投标。</w:t>
      </w:r>
    </w:p>
    <w:p w14:paraId="1BFC32D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6、如中标，按</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规定与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签订合同。如拒绝签订合同，承诺按本项目预算金额的2%对</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进行赔偿；赔偿金额不足以弥补</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损失的，承诺继续承担超过部分的损失。</w:t>
      </w:r>
    </w:p>
    <w:p w14:paraId="3C323B3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7、如中标，按</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规定的</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代理服务费标准，在领取中标通知书时向</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支付</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代理服务费。</w:t>
      </w:r>
    </w:p>
    <w:p w14:paraId="3985AEA7">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8、我方愿意向贵方提供任何与该项投标有关的数据、情况和服务资料。若贵方需要，我方愿意提供我方作出的一切承诺的证明材料。</w:t>
      </w:r>
    </w:p>
    <w:p w14:paraId="6BDDF17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9、我方已详细审核全部</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，包括</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修改书（如有的话）、参考资料及有关附件，确认无误。我方完全理解并接受</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的各项规定和要求，对</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的合理性、合法性不再有异议。</w:t>
      </w:r>
    </w:p>
    <w:p w14:paraId="78ABBCED">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2528F2F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提供虚假材料谋取中标、成交的；</w:t>
      </w:r>
    </w:p>
    <w:p w14:paraId="365FA288">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采取不正当手段诋毁、排挤其他供应商的；</w:t>
      </w:r>
    </w:p>
    <w:p w14:paraId="509F9C66">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、其它供应商或者</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恶意串通的；</w:t>
      </w:r>
    </w:p>
    <w:p w14:paraId="4E2C86E3">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4</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行贿或者提供其他不正当利益的；</w:t>
      </w:r>
    </w:p>
    <w:p w14:paraId="356CDF6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在招标采购过程中与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进行协商谈判的；</w:t>
      </w:r>
    </w:p>
    <w:p w14:paraId="7AE03BEE">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拒绝有关部门监督检查或提供虚假情况的。</w:t>
      </w:r>
    </w:p>
    <w:p w14:paraId="474502D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供应商有前款第</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至</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项情形之一的，中标、成交无效。</w:t>
      </w:r>
    </w:p>
    <w:p w14:paraId="59E52FCB">
      <w:pPr>
        <w:spacing w:line="460" w:lineRule="exact"/>
        <w:ind w:firstLine="440" w:firstLineChars="200"/>
        <w:rPr>
          <w:rFonts w:hint="eastAsia" w:ascii="新宋体" w:hAnsi="新宋体" w:eastAsia="新宋体" w:cs="新宋体"/>
          <w:color w:val="auto"/>
          <w:kern w:val="0"/>
          <w:sz w:val="22"/>
          <w:szCs w:val="22"/>
          <w:highlight w:val="none"/>
          <w:lang w:val="zh-CN"/>
        </w:rPr>
      </w:pPr>
    </w:p>
    <w:p w14:paraId="3122EB9D">
      <w:pPr>
        <w:spacing w:line="460" w:lineRule="exact"/>
        <w:ind w:firstLine="440" w:firstLineChars="20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lang w:val="zh-CN"/>
        </w:rPr>
        <w:t>法定（授权）代表人（签字）：</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lang w:val="en-US" w:eastAsia="zh-CN"/>
        </w:rPr>
        <w:t xml:space="preserve">      </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rPr>
        <w:tab/>
      </w:r>
    </w:p>
    <w:p w14:paraId="6B70AD49">
      <w:pPr>
        <w:spacing w:line="460" w:lineRule="exact"/>
        <w:ind w:firstLine="440" w:firstLineChars="200"/>
        <w:rPr>
          <w:rFonts w:hint="eastAsia" w:ascii="新宋体" w:hAnsi="新宋体" w:eastAsia="新宋体" w:cs="新宋体"/>
          <w:color w:val="auto"/>
          <w:kern w:val="0"/>
          <w:sz w:val="22"/>
          <w:szCs w:val="22"/>
          <w:highlight w:val="none"/>
          <w:u w:val="single"/>
          <w:lang w:val="en-US" w:eastAsia="zh-CN"/>
        </w:rPr>
      </w:pPr>
      <w:r>
        <w:rPr>
          <w:rFonts w:hint="eastAsia" w:ascii="新宋体" w:hAnsi="新宋体" w:eastAsia="新宋体" w:cs="新宋体"/>
          <w:color w:val="auto"/>
          <w:kern w:val="0"/>
          <w:sz w:val="22"/>
          <w:szCs w:val="22"/>
          <w:highlight w:val="none"/>
          <w:lang w:val="zh-CN"/>
        </w:rPr>
        <w:t>投标人盖 章：</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rPr>
        <w:tab/>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lang w:val="en-US" w:eastAsia="zh-CN"/>
        </w:rPr>
        <w:t xml:space="preserve"> </w:t>
      </w:r>
    </w:p>
    <w:p w14:paraId="3A407362">
      <w:pPr>
        <w:spacing w:line="460" w:lineRule="exact"/>
        <w:ind w:firstLine="440" w:firstLineChars="200"/>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zh-CN"/>
        </w:rPr>
        <w:t xml:space="preserve">联系电话： </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lang w:val="en-US" w:eastAsia="zh-CN"/>
        </w:rPr>
        <w:t xml:space="preserve">          </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lang w:val="zh-CN"/>
        </w:rPr>
        <w:t>电子邮件：</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lang w:val="en-US" w:eastAsia="zh-CN"/>
        </w:rPr>
        <w:t xml:space="preserve">   </w:t>
      </w:r>
    </w:p>
    <w:p w14:paraId="2159FEDF">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联系地址：</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rPr>
        <w:tab/>
      </w:r>
      <w:r>
        <w:rPr>
          <w:rFonts w:hint="eastAsia" w:ascii="新宋体" w:hAnsi="新宋体" w:eastAsia="新宋体" w:cs="新宋体"/>
          <w:color w:val="auto"/>
          <w:kern w:val="0"/>
          <w:sz w:val="22"/>
          <w:szCs w:val="22"/>
          <w:highlight w:val="none"/>
          <w:u w:val="single"/>
          <w:lang w:val="zh-CN"/>
        </w:rPr>
        <w:t xml:space="preserve">                              </w:t>
      </w:r>
    </w:p>
    <w:p w14:paraId="06A08985">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邮政编码：</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lang w:val="zh-CN"/>
        </w:rPr>
        <w:t>传真号码：</w:t>
      </w:r>
      <w:r>
        <w:rPr>
          <w:rFonts w:hint="eastAsia" w:ascii="新宋体" w:hAnsi="新宋体" w:eastAsia="新宋体" w:cs="新宋体"/>
          <w:color w:val="auto"/>
          <w:kern w:val="0"/>
          <w:sz w:val="22"/>
          <w:szCs w:val="22"/>
          <w:highlight w:val="none"/>
          <w:u w:val="single"/>
          <w:lang w:val="zh-CN"/>
        </w:rPr>
        <w:t xml:space="preserve">                    </w:t>
      </w:r>
    </w:p>
    <w:p w14:paraId="33BD7A75">
      <w:pPr>
        <w:spacing w:line="460" w:lineRule="exact"/>
        <w:ind w:firstLine="440" w:firstLineChars="20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lang w:val="zh-CN"/>
        </w:rPr>
        <w:t>日</w:t>
      </w: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期</w:t>
      </w: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lang w:val="zh-CN"/>
        </w:rPr>
        <w:t>年</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u w:val="single"/>
        </w:rPr>
        <w:tab/>
      </w:r>
      <w:r>
        <w:rPr>
          <w:rFonts w:hint="eastAsia" w:ascii="新宋体" w:hAnsi="新宋体" w:eastAsia="新宋体" w:cs="新宋体"/>
          <w:color w:val="auto"/>
          <w:kern w:val="0"/>
          <w:sz w:val="22"/>
          <w:szCs w:val="22"/>
          <w:highlight w:val="none"/>
          <w:lang w:val="zh-CN"/>
        </w:rPr>
        <w:t>月</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lang w:val="zh-CN"/>
        </w:rPr>
        <w:t>日</w:t>
      </w:r>
    </w:p>
    <w:p w14:paraId="06992097">
      <w:pPr>
        <w:spacing w:line="44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lang w:val="zh-CN"/>
        </w:rPr>
        <w:t>注：未按照本投标响应函要求填报的将被视为非实质性响应，从而可能导致该投标文件被拒绝。</w:t>
      </w:r>
    </w:p>
    <w:p w14:paraId="0BA2B4A6">
      <w:pPr>
        <w:pStyle w:val="22"/>
        <w:ind w:left="442" w:hanging="442"/>
        <w:rPr>
          <w:rFonts w:hint="eastAsia" w:ascii="新宋体" w:hAnsi="新宋体" w:eastAsia="新宋体" w:cs="新宋体"/>
          <w:b/>
          <w:bCs/>
          <w:color w:val="auto"/>
          <w:sz w:val="22"/>
          <w:szCs w:val="22"/>
          <w:highlight w:val="none"/>
        </w:rPr>
      </w:pPr>
    </w:p>
    <w:p w14:paraId="55D3FA79">
      <w:pPr>
        <w:pStyle w:val="22"/>
        <w:ind w:left="442" w:hanging="442"/>
        <w:rPr>
          <w:rFonts w:hint="eastAsia" w:ascii="新宋体" w:hAnsi="新宋体" w:eastAsia="新宋体" w:cs="新宋体"/>
          <w:b/>
          <w:bCs/>
          <w:color w:val="auto"/>
          <w:sz w:val="22"/>
          <w:szCs w:val="22"/>
          <w:highlight w:val="none"/>
        </w:rPr>
      </w:pPr>
    </w:p>
    <w:p w14:paraId="073BB1E3">
      <w:pPr>
        <w:pStyle w:val="22"/>
        <w:ind w:left="442" w:hanging="442"/>
        <w:rPr>
          <w:rFonts w:hint="eastAsia" w:ascii="新宋体" w:hAnsi="新宋体" w:eastAsia="新宋体" w:cs="新宋体"/>
          <w:b/>
          <w:bCs/>
          <w:color w:val="auto"/>
          <w:sz w:val="22"/>
          <w:szCs w:val="22"/>
          <w:highlight w:val="none"/>
        </w:rPr>
      </w:pPr>
    </w:p>
    <w:p w14:paraId="79C70A57">
      <w:pPr>
        <w:pStyle w:val="22"/>
        <w:ind w:left="442" w:hanging="442"/>
        <w:rPr>
          <w:rFonts w:hint="eastAsia" w:ascii="新宋体" w:hAnsi="新宋体" w:eastAsia="新宋体" w:cs="新宋体"/>
          <w:b/>
          <w:bCs/>
          <w:color w:val="auto"/>
          <w:sz w:val="22"/>
          <w:szCs w:val="22"/>
          <w:highlight w:val="none"/>
        </w:rPr>
      </w:pPr>
    </w:p>
    <w:p w14:paraId="40CA1D89">
      <w:pPr>
        <w:pStyle w:val="22"/>
        <w:ind w:left="442" w:hanging="442"/>
        <w:rPr>
          <w:rFonts w:hint="eastAsia" w:ascii="新宋体" w:hAnsi="新宋体" w:eastAsia="新宋体" w:cs="新宋体"/>
          <w:b/>
          <w:bCs/>
          <w:color w:val="auto"/>
          <w:sz w:val="22"/>
          <w:szCs w:val="22"/>
          <w:highlight w:val="none"/>
        </w:rPr>
      </w:pPr>
    </w:p>
    <w:p w14:paraId="42ED3CF2">
      <w:pPr>
        <w:pStyle w:val="22"/>
        <w:ind w:left="442" w:hanging="442"/>
        <w:rPr>
          <w:rFonts w:hint="eastAsia" w:ascii="新宋体" w:hAnsi="新宋体" w:eastAsia="新宋体" w:cs="新宋体"/>
          <w:b/>
          <w:bCs/>
          <w:color w:val="auto"/>
          <w:sz w:val="22"/>
          <w:szCs w:val="22"/>
          <w:highlight w:val="none"/>
        </w:rPr>
      </w:pPr>
    </w:p>
    <w:p w14:paraId="36F8B460">
      <w:pPr>
        <w:spacing w:line="400" w:lineRule="exact"/>
        <w:jc w:val="center"/>
        <w:rPr>
          <w:rFonts w:hint="eastAsia" w:ascii="新宋体" w:hAnsi="新宋体" w:eastAsia="新宋体" w:cs="新宋体"/>
          <w:b/>
          <w:bCs/>
          <w:color w:val="auto"/>
          <w:sz w:val="28"/>
          <w:szCs w:val="28"/>
          <w:highlight w:val="none"/>
        </w:rPr>
      </w:pPr>
    </w:p>
    <w:p w14:paraId="36DFD2F8">
      <w:pPr>
        <w:spacing w:line="420" w:lineRule="exact"/>
        <w:jc w:val="center"/>
        <w:outlineLvl w:val="3"/>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t>2、法定代表人授权书</w:t>
      </w:r>
    </w:p>
    <w:p w14:paraId="120B875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温州市疾病预防控制中心（温州市卫生监督所）</w:t>
      </w:r>
      <w:r>
        <w:rPr>
          <w:rFonts w:hint="eastAsia" w:ascii="新宋体" w:hAnsi="新宋体" w:eastAsia="新宋体" w:cs="新宋体"/>
          <w:color w:val="auto"/>
          <w:sz w:val="22"/>
          <w:szCs w:val="22"/>
          <w:highlight w:val="none"/>
        </w:rPr>
        <w:t>：</w:t>
      </w:r>
    </w:p>
    <w:p w14:paraId="3E486371">
      <w:pPr>
        <w:spacing w:line="460" w:lineRule="exact"/>
        <w:rPr>
          <w:rFonts w:hint="eastAsia" w:ascii="新宋体" w:hAnsi="新宋体" w:eastAsia="新宋体" w:cs="新宋体"/>
          <w:color w:val="auto"/>
          <w:sz w:val="22"/>
          <w:szCs w:val="22"/>
          <w:highlight w:val="none"/>
          <w:u w:val="single"/>
        </w:rPr>
      </w:pPr>
    </w:p>
    <w:p w14:paraId="27E807DA">
      <w:pPr>
        <w:spacing w:line="460" w:lineRule="exact"/>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（投标人全称）法定代表人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授权</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（全权代表姓名）为全权代表，参加贵处组织的（项目名称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、编号</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）的</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活动，全权代表我方处理</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活动中的一切事宜。</w:t>
      </w:r>
    </w:p>
    <w:p w14:paraId="677C385C">
      <w:pPr>
        <w:spacing w:line="460" w:lineRule="exact"/>
        <w:ind w:firstLine="2955"/>
        <w:rPr>
          <w:rFonts w:hint="eastAsia" w:ascii="新宋体" w:hAnsi="新宋体" w:eastAsia="新宋体" w:cs="新宋体"/>
          <w:color w:val="auto"/>
          <w:sz w:val="22"/>
          <w:szCs w:val="22"/>
          <w:highlight w:val="none"/>
        </w:rPr>
      </w:pPr>
    </w:p>
    <w:p w14:paraId="18BBD183">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p w14:paraId="330116D4">
      <w:pPr>
        <w:spacing w:line="460" w:lineRule="exact"/>
        <w:ind w:firstLine="4081" w:firstLineChars="18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签字或盖章</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w:t>
      </w:r>
    </w:p>
    <w:p w14:paraId="79FA56E8">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投标人全称（公章）：</w:t>
      </w:r>
    </w:p>
    <w:p w14:paraId="3879AE74">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日   期：  </w:t>
      </w:r>
    </w:p>
    <w:p w14:paraId="69C30624">
      <w:pPr>
        <w:spacing w:line="380" w:lineRule="exact"/>
        <w:rPr>
          <w:rFonts w:hint="eastAsia" w:ascii="新宋体" w:hAnsi="新宋体" w:eastAsia="新宋体" w:cs="新宋体"/>
          <w:color w:val="auto"/>
          <w:sz w:val="22"/>
          <w:szCs w:val="22"/>
          <w:highlight w:val="none"/>
        </w:rPr>
      </w:pPr>
    </w:p>
    <w:p w14:paraId="7F94B7D4">
      <w:pPr>
        <w:spacing w:line="380" w:lineRule="exact"/>
        <w:rPr>
          <w:rFonts w:hint="eastAsia" w:ascii="新宋体" w:hAnsi="新宋体" w:eastAsia="新宋体" w:cs="新宋体"/>
          <w:color w:val="auto"/>
          <w:sz w:val="22"/>
          <w:szCs w:val="22"/>
          <w:highlight w:val="none"/>
        </w:rPr>
      </w:pPr>
    </w:p>
    <w:p w14:paraId="6B687D9A">
      <w:pPr>
        <w:spacing w:line="380" w:lineRule="exact"/>
        <w:rPr>
          <w:rFonts w:hint="eastAsia" w:ascii="新宋体" w:hAnsi="新宋体" w:eastAsia="新宋体" w:cs="新宋体"/>
          <w:color w:val="auto"/>
          <w:sz w:val="22"/>
          <w:szCs w:val="22"/>
          <w:highlight w:val="none"/>
        </w:rPr>
      </w:pPr>
    </w:p>
    <w:p w14:paraId="19D1D409">
      <w:pPr>
        <w:spacing w:line="460" w:lineRule="exact"/>
        <w:ind w:firstLine="541"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附：</w:t>
      </w:r>
    </w:p>
    <w:p w14:paraId="6BFC59D6">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 xml:space="preserve">授权代表姓名：                               </w:t>
      </w:r>
    </w:p>
    <w:p w14:paraId="54F6C86C">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职务：</w:t>
      </w:r>
    </w:p>
    <w:p w14:paraId="0F621C8D">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详细通讯地址：</w:t>
      </w:r>
    </w:p>
    <w:p w14:paraId="1FAE7821">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电话：</w:t>
      </w:r>
    </w:p>
    <w:p w14:paraId="744D057A">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传真：</w:t>
      </w:r>
    </w:p>
    <w:p w14:paraId="58CC6552">
      <w:pPr>
        <w:spacing w:line="460" w:lineRule="exact"/>
        <w:ind w:firstLine="539" w:firstLineChars="245"/>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color w:val="auto"/>
          <w:sz w:val="22"/>
          <w:szCs w:val="22"/>
          <w:highlight w:val="none"/>
        </w:rPr>
        <w:t>邮政编码</w:t>
      </w:r>
      <w:r>
        <w:rPr>
          <w:rFonts w:hint="eastAsia" w:ascii="新宋体" w:hAnsi="新宋体" w:eastAsia="新宋体" w:cs="新宋体"/>
          <w:color w:val="auto"/>
          <w:sz w:val="22"/>
          <w:szCs w:val="22"/>
          <w:highlight w:val="none"/>
          <w:lang w:eastAsia="zh-CN"/>
        </w:rPr>
        <w:t>：</w:t>
      </w:r>
    </w:p>
    <w:p w14:paraId="14182DD6">
      <w:pPr>
        <w:spacing w:line="380" w:lineRule="exact"/>
        <w:rPr>
          <w:rFonts w:hint="eastAsia" w:ascii="新宋体" w:hAnsi="新宋体" w:eastAsia="新宋体" w:cs="新宋体"/>
          <w:color w:val="auto"/>
          <w:sz w:val="22"/>
          <w:szCs w:val="22"/>
          <w:highlight w:val="none"/>
        </w:rPr>
      </w:pPr>
    </w:p>
    <w:p w14:paraId="72E91D71">
      <w:pPr>
        <w:spacing w:line="460" w:lineRule="exact"/>
        <w:jc w:val="center"/>
        <w:rPr>
          <w:rFonts w:hint="eastAsia" w:ascii="新宋体" w:hAnsi="新宋体" w:eastAsia="新宋体" w:cs="新宋体"/>
          <w:b/>
          <w:bCs/>
          <w:color w:val="auto"/>
          <w:sz w:val="28"/>
          <w:szCs w:val="28"/>
          <w:highlight w:val="none"/>
        </w:rPr>
      </w:pPr>
    </w:p>
    <w:p w14:paraId="5870B0CC">
      <w:pPr>
        <w:spacing w:line="460" w:lineRule="exact"/>
        <w:jc w:val="center"/>
        <w:rPr>
          <w:rFonts w:hint="eastAsia" w:ascii="新宋体" w:hAnsi="新宋体" w:eastAsia="新宋体" w:cs="新宋体"/>
          <w:b/>
          <w:bCs/>
          <w:color w:val="auto"/>
          <w:sz w:val="28"/>
          <w:szCs w:val="28"/>
          <w:highlight w:val="none"/>
        </w:rPr>
      </w:pPr>
    </w:p>
    <w:p w14:paraId="00CDCDB4">
      <w:pPr>
        <w:spacing w:line="460" w:lineRule="exact"/>
        <w:jc w:val="center"/>
        <w:rPr>
          <w:rFonts w:hint="eastAsia" w:ascii="新宋体" w:hAnsi="新宋体" w:eastAsia="新宋体" w:cs="新宋体"/>
          <w:b/>
          <w:bCs/>
          <w:color w:val="auto"/>
          <w:sz w:val="28"/>
          <w:szCs w:val="28"/>
          <w:highlight w:val="none"/>
        </w:rPr>
      </w:pPr>
    </w:p>
    <w:p w14:paraId="19031C6A">
      <w:pPr>
        <w:spacing w:line="460" w:lineRule="exact"/>
        <w:jc w:val="center"/>
        <w:rPr>
          <w:rFonts w:hint="eastAsia" w:ascii="新宋体" w:hAnsi="新宋体" w:eastAsia="新宋体" w:cs="新宋体"/>
          <w:b/>
          <w:bCs/>
          <w:color w:val="auto"/>
          <w:sz w:val="28"/>
          <w:szCs w:val="28"/>
          <w:highlight w:val="none"/>
        </w:rPr>
      </w:pPr>
    </w:p>
    <w:p w14:paraId="41B5A627">
      <w:pPr>
        <w:spacing w:line="460" w:lineRule="exact"/>
        <w:jc w:val="center"/>
        <w:rPr>
          <w:rFonts w:hint="eastAsia" w:ascii="新宋体" w:hAnsi="新宋体" w:eastAsia="新宋体" w:cs="新宋体"/>
          <w:b/>
          <w:bCs/>
          <w:color w:val="auto"/>
          <w:sz w:val="28"/>
          <w:szCs w:val="28"/>
          <w:highlight w:val="none"/>
        </w:rPr>
      </w:pPr>
    </w:p>
    <w:p w14:paraId="0F070E77">
      <w:pPr>
        <w:spacing w:line="460" w:lineRule="exact"/>
        <w:jc w:val="center"/>
        <w:rPr>
          <w:rFonts w:hint="eastAsia" w:ascii="新宋体" w:hAnsi="新宋体" w:eastAsia="新宋体" w:cs="新宋体"/>
          <w:b/>
          <w:bCs/>
          <w:color w:val="auto"/>
          <w:sz w:val="28"/>
          <w:szCs w:val="28"/>
          <w:highlight w:val="none"/>
        </w:rPr>
      </w:pPr>
    </w:p>
    <w:p w14:paraId="0DB97093">
      <w:pPr>
        <w:spacing w:line="460" w:lineRule="exact"/>
        <w:jc w:val="center"/>
        <w:rPr>
          <w:rFonts w:hint="eastAsia" w:ascii="新宋体" w:hAnsi="新宋体" w:eastAsia="新宋体" w:cs="新宋体"/>
          <w:b/>
          <w:bCs/>
          <w:color w:val="auto"/>
          <w:sz w:val="28"/>
          <w:szCs w:val="28"/>
          <w:highlight w:val="none"/>
        </w:rPr>
      </w:pPr>
    </w:p>
    <w:p w14:paraId="1950ECA3">
      <w:pPr>
        <w:spacing w:line="460" w:lineRule="exact"/>
        <w:jc w:val="center"/>
        <w:rPr>
          <w:rFonts w:hint="eastAsia" w:ascii="新宋体" w:hAnsi="新宋体" w:eastAsia="新宋体" w:cs="新宋体"/>
          <w:b/>
          <w:bCs/>
          <w:color w:val="auto"/>
          <w:sz w:val="28"/>
          <w:szCs w:val="28"/>
          <w:highlight w:val="none"/>
        </w:rPr>
      </w:pPr>
    </w:p>
    <w:p w14:paraId="0B90D288">
      <w:pPr>
        <w:spacing w:line="460" w:lineRule="exact"/>
        <w:jc w:val="center"/>
        <w:rPr>
          <w:rFonts w:hint="eastAsia" w:ascii="新宋体" w:hAnsi="新宋体" w:eastAsia="新宋体" w:cs="新宋体"/>
          <w:b/>
          <w:bCs/>
          <w:color w:val="auto"/>
          <w:sz w:val="28"/>
          <w:szCs w:val="28"/>
          <w:highlight w:val="none"/>
        </w:rPr>
      </w:pPr>
    </w:p>
    <w:p w14:paraId="51762A00">
      <w:pPr>
        <w:spacing w:line="460" w:lineRule="exact"/>
        <w:jc w:val="center"/>
        <w:rPr>
          <w:rFonts w:hint="eastAsia" w:ascii="新宋体" w:hAnsi="新宋体" w:eastAsia="新宋体" w:cs="新宋体"/>
          <w:b/>
          <w:bCs/>
          <w:color w:val="auto"/>
          <w:sz w:val="28"/>
          <w:szCs w:val="28"/>
          <w:highlight w:val="none"/>
        </w:rPr>
      </w:pPr>
    </w:p>
    <w:p w14:paraId="0FEE7CC8">
      <w:pPr>
        <w:pStyle w:val="22"/>
        <w:ind w:left="0" w:leftChars="0" w:firstLine="0" w:firstLineChars="0"/>
        <w:rPr>
          <w:rFonts w:hint="eastAsia" w:ascii="新宋体" w:hAnsi="新宋体" w:eastAsia="新宋体" w:cs="新宋体"/>
          <w:b/>
          <w:bCs/>
          <w:color w:val="auto"/>
          <w:sz w:val="28"/>
          <w:szCs w:val="28"/>
          <w:highlight w:val="none"/>
        </w:rPr>
      </w:pPr>
    </w:p>
    <w:p w14:paraId="0640F380">
      <w:pPr>
        <w:spacing w:line="460" w:lineRule="exact"/>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color w:val="auto"/>
          <w:sz w:val="22"/>
          <w:szCs w:val="22"/>
          <w:highlight w:val="none"/>
        </w:rPr>
        <mc:AlternateContent>
          <mc:Choice Requires="wps">
            <w:drawing>
              <wp:anchor distT="0" distB="0" distL="114300" distR="114300" simplePos="0" relativeHeight="251659264" behindDoc="0" locked="0" layoutInCell="1" allowOverlap="1">
                <wp:simplePos x="0" y="0"/>
                <wp:positionH relativeFrom="column">
                  <wp:posOffset>113665</wp:posOffset>
                </wp:positionH>
                <wp:positionV relativeFrom="paragraph">
                  <wp:posOffset>320675</wp:posOffset>
                </wp:positionV>
                <wp:extent cx="6254115" cy="3004185"/>
                <wp:effectExtent l="5080" t="4445" r="8255" b="20320"/>
                <wp:wrapNone/>
                <wp:docPr id="6" name="Text Box 2"/>
                <wp:cNvGraphicFramePr/>
                <a:graphic xmlns:a="http://schemas.openxmlformats.org/drawingml/2006/main">
                  <a:graphicData uri="http://schemas.microsoft.com/office/word/2010/wordprocessingShape">
                    <wps:wsp>
                      <wps:cNvSpPr txBox="1"/>
                      <wps:spPr>
                        <a:xfrm>
                          <a:off x="0" y="0"/>
                          <a:ext cx="6254115" cy="30041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2025111">
                            <w:r>
                              <w:rPr>
                                <w:rFonts w:hint="eastAsia" w:ascii="新宋体" w:hAnsi="新宋体" w:eastAsia="新宋体"/>
                                <w:sz w:val="22"/>
                                <w:szCs w:val="22"/>
                              </w:rPr>
                              <w:t xml:space="preserve">  法定代表人身份证（正反面）：</w:t>
                            </w:r>
                          </w:p>
                        </w:txbxContent>
                      </wps:txbx>
                      <wps:bodyPr upright="1"/>
                    </wps:wsp>
                  </a:graphicData>
                </a:graphic>
              </wp:anchor>
            </w:drawing>
          </mc:Choice>
          <mc:Fallback>
            <w:pict>
              <v:shape id="Text Box 2" o:spid="_x0000_s1026" o:spt="202" type="#_x0000_t202" style="position:absolute;left:0pt;margin-left:8.95pt;margin-top:25.25pt;height:236.55pt;width:492.45pt;z-index:251659264;mso-width-relative:page;mso-height-relative:page;" fillcolor="#FFFFFF" filled="t" stroked="t" coordsize="21600,21600" o:gfxdata="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l9wjaNgAAAAKAQAADwAAAAAAAAABACAAAAAiAAAAZHJzL2Rv&#10;d25yZXYueG1sUEsBAhQAFAAAAAgAh07iQCalZX0BAgAARAQAAA4AAAAAAAAAAQAgAAAAJwEAAGRy&#10;cy9lMm9Eb2MueG1sUEsFBgAAAAAGAAYAWQEAAJoFAAAAAA==&#10;">
                <v:fill on="t" focussize="0,0"/>
                <v:stroke color="#000000" joinstyle="miter"/>
                <v:imagedata o:title=""/>
                <o:lock v:ext="edit" aspectratio="f"/>
                <v:textbox>
                  <w:txbxContent>
                    <w:p w14:paraId="02025111">
                      <w:r>
                        <w:rPr>
                          <w:rFonts w:hint="eastAsia" w:ascii="新宋体" w:hAnsi="新宋体" w:eastAsia="新宋体"/>
                          <w:sz w:val="22"/>
                          <w:szCs w:val="22"/>
                        </w:rPr>
                        <w:t xml:space="preserve">  法定代表人身份证（正反面）：</w:t>
                      </w:r>
                    </w:p>
                  </w:txbxContent>
                </v:textbox>
              </v:shape>
            </w:pict>
          </mc:Fallback>
        </mc:AlternateContent>
      </w:r>
    </w:p>
    <w:p w14:paraId="6696E1DA">
      <w:pPr>
        <w:spacing w:line="460" w:lineRule="exact"/>
        <w:jc w:val="center"/>
        <w:rPr>
          <w:rFonts w:hint="eastAsia" w:ascii="新宋体" w:hAnsi="新宋体" w:eastAsia="新宋体" w:cs="新宋体"/>
          <w:b/>
          <w:bCs/>
          <w:color w:val="auto"/>
          <w:sz w:val="28"/>
          <w:szCs w:val="28"/>
          <w:highlight w:val="none"/>
        </w:rPr>
      </w:pPr>
    </w:p>
    <w:p w14:paraId="1FC6C58F">
      <w:pPr>
        <w:spacing w:line="460" w:lineRule="exact"/>
        <w:jc w:val="center"/>
        <w:rPr>
          <w:rFonts w:hint="eastAsia" w:ascii="新宋体" w:hAnsi="新宋体" w:eastAsia="新宋体" w:cs="新宋体"/>
          <w:b/>
          <w:bCs/>
          <w:color w:val="auto"/>
          <w:sz w:val="28"/>
          <w:szCs w:val="28"/>
          <w:highlight w:val="none"/>
        </w:rPr>
      </w:pPr>
    </w:p>
    <w:p w14:paraId="4A49A3F0">
      <w:pPr>
        <w:spacing w:line="460" w:lineRule="exact"/>
        <w:jc w:val="center"/>
        <w:rPr>
          <w:rFonts w:hint="eastAsia" w:ascii="新宋体" w:hAnsi="新宋体" w:eastAsia="新宋体" w:cs="新宋体"/>
          <w:b/>
          <w:bCs/>
          <w:color w:val="auto"/>
          <w:sz w:val="28"/>
          <w:szCs w:val="28"/>
          <w:highlight w:val="none"/>
        </w:rPr>
      </w:pPr>
    </w:p>
    <w:p w14:paraId="63614419">
      <w:pPr>
        <w:spacing w:line="460" w:lineRule="exact"/>
        <w:jc w:val="center"/>
        <w:rPr>
          <w:rFonts w:hint="eastAsia" w:ascii="新宋体" w:hAnsi="新宋体" w:eastAsia="新宋体" w:cs="新宋体"/>
          <w:b/>
          <w:bCs/>
          <w:color w:val="auto"/>
          <w:sz w:val="28"/>
          <w:szCs w:val="28"/>
          <w:highlight w:val="none"/>
        </w:rPr>
      </w:pPr>
    </w:p>
    <w:p w14:paraId="30A7091D">
      <w:pPr>
        <w:spacing w:line="460" w:lineRule="exact"/>
        <w:jc w:val="center"/>
        <w:rPr>
          <w:rFonts w:hint="eastAsia" w:ascii="新宋体" w:hAnsi="新宋体" w:eastAsia="新宋体" w:cs="新宋体"/>
          <w:b/>
          <w:bCs/>
          <w:color w:val="auto"/>
          <w:sz w:val="28"/>
          <w:szCs w:val="28"/>
          <w:highlight w:val="none"/>
        </w:rPr>
      </w:pPr>
    </w:p>
    <w:p w14:paraId="1A6F2A16">
      <w:pPr>
        <w:spacing w:line="460" w:lineRule="exact"/>
        <w:jc w:val="center"/>
        <w:rPr>
          <w:rFonts w:hint="eastAsia" w:ascii="新宋体" w:hAnsi="新宋体" w:eastAsia="新宋体" w:cs="新宋体"/>
          <w:b/>
          <w:bCs/>
          <w:color w:val="auto"/>
          <w:sz w:val="28"/>
          <w:szCs w:val="28"/>
          <w:highlight w:val="none"/>
        </w:rPr>
      </w:pPr>
    </w:p>
    <w:p w14:paraId="6D0B0073">
      <w:pPr>
        <w:spacing w:line="460" w:lineRule="exact"/>
        <w:jc w:val="center"/>
        <w:rPr>
          <w:rFonts w:hint="eastAsia" w:ascii="新宋体" w:hAnsi="新宋体" w:eastAsia="新宋体" w:cs="新宋体"/>
          <w:b/>
          <w:bCs/>
          <w:color w:val="auto"/>
          <w:sz w:val="28"/>
          <w:szCs w:val="28"/>
          <w:highlight w:val="none"/>
        </w:rPr>
      </w:pPr>
    </w:p>
    <w:p w14:paraId="3A7D7719">
      <w:pPr>
        <w:spacing w:line="460" w:lineRule="exact"/>
        <w:jc w:val="center"/>
        <w:rPr>
          <w:rFonts w:hint="eastAsia" w:ascii="新宋体" w:hAnsi="新宋体" w:eastAsia="新宋体" w:cs="新宋体"/>
          <w:b/>
          <w:bCs/>
          <w:color w:val="auto"/>
          <w:sz w:val="28"/>
          <w:szCs w:val="28"/>
          <w:highlight w:val="none"/>
        </w:rPr>
      </w:pPr>
    </w:p>
    <w:p w14:paraId="39BCA490">
      <w:pPr>
        <w:spacing w:line="460" w:lineRule="exact"/>
        <w:jc w:val="center"/>
        <w:rPr>
          <w:rFonts w:hint="eastAsia" w:ascii="新宋体" w:hAnsi="新宋体" w:eastAsia="新宋体" w:cs="新宋体"/>
          <w:b/>
          <w:bCs/>
          <w:color w:val="auto"/>
          <w:sz w:val="28"/>
          <w:szCs w:val="28"/>
          <w:highlight w:val="none"/>
        </w:rPr>
      </w:pPr>
    </w:p>
    <w:p w14:paraId="0F6707F1">
      <w:pPr>
        <w:spacing w:line="460" w:lineRule="exact"/>
        <w:jc w:val="center"/>
        <w:rPr>
          <w:rFonts w:hint="eastAsia" w:ascii="新宋体" w:hAnsi="新宋体" w:eastAsia="新宋体" w:cs="新宋体"/>
          <w:b/>
          <w:bCs/>
          <w:color w:val="auto"/>
          <w:sz w:val="28"/>
          <w:szCs w:val="28"/>
          <w:highlight w:val="none"/>
        </w:rPr>
      </w:pPr>
    </w:p>
    <w:p w14:paraId="7E2A0162">
      <w:pPr>
        <w:spacing w:line="460" w:lineRule="exact"/>
        <w:jc w:val="center"/>
        <w:rPr>
          <w:rFonts w:hint="eastAsia" w:ascii="新宋体" w:hAnsi="新宋体" w:eastAsia="新宋体" w:cs="新宋体"/>
          <w:b/>
          <w:bCs/>
          <w:color w:val="auto"/>
          <w:sz w:val="28"/>
          <w:szCs w:val="28"/>
          <w:highlight w:val="none"/>
        </w:rPr>
      </w:pPr>
    </w:p>
    <w:p w14:paraId="307A0A9F">
      <w:pPr>
        <w:spacing w:line="460" w:lineRule="exact"/>
        <w:jc w:val="center"/>
        <w:rPr>
          <w:rFonts w:hint="eastAsia" w:ascii="新宋体" w:hAnsi="新宋体" w:eastAsia="新宋体" w:cs="新宋体"/>
          <w:b/>
          <w:bCs/>
          <w:color w:val="auto"/>
          <w:sz w:val="28"/>
          <w:szCs w:val="28"/>
          <w:highlight w:val="none"/>
        </w:rPr>
      </w:pPr>
    </w:p>
    <w:p w14:paraId="296AD0FF">
      <w:pPr>
        <w:spacing w:line="460" w:lineRule="exact"/>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color w:val="auto"/>
          <w:sz w:val="22"/>
          <w:szCs w:val="22"/>
          <w:highlight w:val="none"/>
        </w:rPr>
        <mc:AlternateContent>
          <mc:Choice Requires="wps">
            <w:drawing>
              <wp:anchor distT="0" distB="0" distL="114300" distR="114300" simplePos="0" relativeHeight="251660288" behindDoc="0" locked="0" layoutInCell="1" allowOverlap="1">
                <wp:simplePos x="0" y="0"/>
                <wp:positionH relativeFrom="column">
                  <wp:posOffset>88265</wp:posOffset>
                </wp:positionH>
                <wp:positionV relativeFrom="paragraph">
                  <wp:posOffset>-53975</wp:posOffset>
                </wp:positionV>
                <wp:extent cx="6303645" cy="3875405"/>
                <wp:effectExtent l="4445" t="5080" r="16510" b="5715"/>
                <wp:wrapNone/>
                <wp:docPr id="7" name="文本框 26"/>
                <wp:cNvGraphicFramePr/>
                <a:graphic xmlns:a="http://schemas.openxmlformats.org/drawingml/2006/main">
                  <a:graphicData uri="http://schemas.microsoft.com/office/word/2010/wordprocessingShape">
                    <wps:wsp>
                      <wps:cNvSpPr txBox="1"/>
                      <wps:spPr>
                        <a:xfrm>
                          <a:off x="0" y="0"/>
                          <a:ext cx="6303645" cy="387540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385B598">
                            <w:r>
                              <w:rPr>
                                <w:rFonts w:hint="eastAsia" w:ascii="新宋体" w:hAnsi="新宋体" w:eastAsia="新宋体"/>
                                <w:sz w:val="22"/>
                                <w:szCs w:val="22"/>
                              </w:rPr>
                              <w:t xml:space="preserve">  授权代表身份证（正反面）：</w:t>
                            </w:r>
                          </w:p>
                        </w:txbxContent>
                      </wps:txbx>
                      <wps:bodyPr upright="1"/>
                    </wps:wsp>
                  </a:graphicData>
                </a:graphic>
              </wp:anchor>
            </w:drawing>
          </mc:Choice>
          <mc:Fallback>
            <w:pict>
              <v:shape id="文本框 26" o:spid="_x0000_s1026" o:spt="202" type="#_x0000_t202" style="position:absolute;left:0pt;margin-left:6.95pt;margin-top:-4.25pt;height:305.15pt;width:496.35pt;z-index:251660288;mso-width-relative:page;mso-height-relative:page;" fillcolor="#FFFFFF" filled="t" stroked="t" coordsize="21600,21600" o:gfxdata="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mGqLXdgAAAAKAQAADwAAAAAA&#10;AAABACAAAAAiAAAAZHJzL2Rvd25yZXYueG1sUEsBAhQAFAAAAAgAh07iQELca5wTAgAARgQAAA4A&#10;AAAAAAAAAQAgAAAAJwEAAGRycy9lMm9Eb2MueG1sUEsFBgAAAAAGAAYAWQEAAKwFAAAAAA==&#10;">
                <v:fill on="t" focussize="0,0"/>
                <v:stroke color="#000000" joinstyle="miter"/>
                <v:imagedata o:title=""/>
                <o:lock v:ext="edit" aspectratio="f"/>
                <v:textbox>
                  <w:txbxContent>
                    <w:p w14:paraId="6385B598">
                      <w:r>
                        <w:rPr>
                          <w:rFonts w:hint="eastAsia" w:ascii="新宋体" w:hAnsi="新宋体" w:eastAsia="新宋体"/>
                          <w:sz w:val="22"/>
                          <w:szCs w:val="22"/>
                        </w:rPr>
                        <w:t xml:space="preserve">  授权代表身份证（正反面）：</w:t>
                      </w:r>
                    </w:p>
                  </w:txbxContent>
                </v:textbox>
              </v:shape>
            </w:pict>
          </mc:Fallback>
        </mc:AlternateContent>
      </w:r>
    </w:p>
    <w:p w14:paraId="275AED33">
      <w:pPr>
        <w:spacing w:line="460" w:lineRule="exact"/>
        <w:jc w:val="center"/>
        <w:rPr>
          <w:rFonts w:hint="eastAsia" w:ascii="新宋体" w:hAnsi="新宋体" w:eastAsia="新宋体" w:cs="新宋体"/>
          <w:b/>
          <w:bCs/>
          <w:color w:val="auto"/>
          <w:sz w:val="28"/>
          <w:szCs w:val="28"/>
          <w:highlight w:val="none"/>
        </w:rPr>
      </w:pPr>
    </w:p>
    <w:p w14:paraId="7FA92E7C">
      <w:pPr>
        <w:spacing w:line="460" w:lineRule="exact"/>
        <w:jc w:val="center"/>
        <w:rPr>
          <w:rFonts w:hint="eastAsia" w:ascii="新宋体" w:hAnsi="新宋体" w:eastAsia="新宋体" w:cs="新宋体"/>
          <w:b/>
          <w:bCs/>
          <w:color w:val="auto"/>
          <w:sz w:val="28"/>
          <w:szCs w:val="28"/>
          <w:highlight w:val="none"/>
        </w:rPr>
      </w:pPr>
    </w:p>
    <w:p w14:paraId="5E85E2FE">
      <w:pPr>
        <w:spacing w:line="460" w:lineRule="exact"/>
        <w:jc w:val="center"/>
        <w:rPr>
          <w:rFonts w:hint="eastAsia" w:ascii="新宋体" w:hAnsi="新宋体" w:eastAsia="新宋体" w:cs="新宋体"/>
          <w:b/>
          <w:bCs/>
          <w:color w:val="auto"/>
          <w:sz w:val="28"/>
          <w:szCs w:val="28"/>
          <w:highlight w:val="none"/>
        </w:rPr>
      </w:pPr>
    </w:p>
    <w:p w14:paraId="74E388EC">
      <w:pPr>
        <w:spacing w:line="460" w:lineRule="exact"/>
        <w:jc w:val="center"/>
        <w:rPr>
          <w:rFonts w:hint="eastAsia" w:ascii="新宋体" w:hAnsi="新宋体" w:eastAsia="新宋体" w:cs="新宋体"/>
          <w:b/>
          <w:bCs/>
          <w:color w:val="auto"/>
          <w:sz w:val="28"/>
          <w:szCs w:val="28"/>
          <w:highlight w:val="none"/>
        </w:rPr>
      </w:pPr>
    </w:p>
    <w:p w14:paraId="7C6E5327">
      <w:pPr>
        <w:spacing w:line="460" w:lineRule="exact"/>
        <w:jc w:val="center"/>
        <w:rPr>
          <w:rFonts w:hint="eastAsia" w:ascii="新宋体" w:hAnsi="新宋体" w:eastAsia="新宋体" w:cs="新宋体"/>
          <w:b/>
          <w:bCs/>
          <w:color w:val="auto"/>
          <w:sz w:val="28"/>
          <w:szCs w:val="28"/>
          <w:highlight w:val="none"/>
        </w:rPr>
      </w:pPr>
    </w:p>
    <w:p w14:paraId="4D2CC2E6">
      <w:pPr>
        <w:spacing w:line="460" w:lineRule="exact"/>
        <w:jc w:val="center"/>
        <w:rPr>
          <w:rFonts w:hint="eastAsia" w:ascii="新宋体" w:hAnsi="新宋体" w:eastAsia="新宋体" w:cs="新宋体"/>
          <w:b/>
          <w:bCs/>
          <w:color w:val="auto"/>
          <w:sz w:val="28"/>
          <w:szCs w:val="28"/>
          <w:highlight w:val="none"/>
        </w:rPr>
      </w:pPr>
    </w:p>
    <w:p w14:paraId="64539D73">
      <w:pPr>
        <w:spacing w:line="460" w:lineRule="exact"/>
        <w:jc w:val="center"/>
        <w:rPr>
          <w:rFonts w:hint="eastAsia" w:ascii="新宋体" w:hAnsi="新宋体" w:eastAsia="新宋体" w:cs="新宋体"/>
          <w:b/>
          <w:bCs/>
          <w:color w:val="auto"/>
          <w:sz w:val="28"/>
          <w:szCs w:val="28"/>
          <w:highlight w:val="none"/>
        </w:rPr>
      </w:pPr>
    </w:p>
    <w:p w14:paraId="66DC0EFA">
      <w:pPr>
        <w:spacing w:line="460" w:lineRule="exact"/>
        <w:jc w:val="center"/>
        <w:rPr>
          <w:rFonts w:hint="eastAsia" w:ascii="新宋体" w:hAnsi="新宋体" w:eastAsia="新宋体" w:cs="新宋体"/>
          <w:b/>
          <w:bCs/>
          <w:color w:val="auto"/>
          <w:sz w:val="28"/>
          <w:szCs w:val="28"/>
          <w:highlight w:val="none"/>
        </w:rPr>
      </w:pPr>
    </w:p>
    <w:p w14:paraId="694E11C1">
      <w:pPr>
        <w:spacing w:line="460" w:lineRule="exact"/>
        <w:jc w:val="center"/>
        <w:rPr>
          <w:rFonts w:hint="eastAsia" w:ascii="新宋体" w:hAnsi="新宋体" w:eastAsia="新宋体" w:cs="新宋体"/>
          <w:b/>
          <w:bCs/>
          <w:color w:val="auto"/>
          <w:sz w:val="28"/>
          <w:szCs w:val="28"/>
          <w:highlight w:val="none"/>
        </w:rPr>
      </w:pPr>
    </w:p>
    <w:p w14:paraId="03E98230">
      <w:pPr>
        <w:spacing w:line="460" w:lineRule="exact"/>
        <w:jc w:val="center"/>
        <w:rPr>
          <w:rFonts w:hint="eastAsia" w:ascii="新宋体" w:hAnsi="新宋体" w:eastAsia="新宋体" w:cs="新宋体"/>
          <w:b/>
          <w:bCs/>
          <w:color w:val="auto"/>
          <w:sz w:val="28"/>
          <w:szCs w:val="28"/>
          <w:highlight w:val="none"/>
        </w:rPr>
      </w:pPr>
    </w:p>
    <w:p w14:paraId="17D93544">
      <w:pPr>
        <w:spacing w:line="460" w:lineRule="exact"/>
        <w:jc w:val="center"/>
        <w:rPr>
          <w:rFonts w:hint="eastAsia" w:ascii="新宋体" w:hAnsi="新宋体" w:eastAsia="新宋体" w:cs="新宋体"/>
          <w:b/>
          <w:bCs/>
          <w:color w:val="auto"/>
          <w:sz w:val="28"/>
          <w:szCs w:val="28"/>
          <w:highlight w:val="none"/>
        </w:rPr>
      </w:pPr>
    </w:p>
    <w:p w14:paraId="1AF2910B">
      <w:pPr>
        <w:spacing w:line="460" w:lineRule="exact"/>
        <w:jc w:val="center"/>
        <w:rPr>
          <w:rFonts w:hint="eastAsia" w:ascii="新宋体" w:hAnsi="新宋体" w:eastAsia="新宋体" w:cs="新宋体"/>
          <w:b/>
          <w:bCs/>
          <w:color w:val="auto"/>
          <w:sz w:val="28"/>
          <w:szCs w:val="28"/>
          <w:highlight w:val="none"/>
        </w:rPr>
      </w:pPr>
    </w:p>
    <w:p w14:paraId="47BC245A">
      <w:pPr>
        <w:spacing w:line="460" w:lineRule="exact"/>
        <w:jc w:val="center"/>
        <w:rPr>
          <w:rFonts w:hint="eastAsia" w:ascii="新宋体" w:hAnsi="新宋体" w:eastAsia="新宋体" w:cs="新宋体"/>
          <w:b/>
          <w:bCs/>
          <w:color w:val="auto"/>
          <w:sz w:val="28"/>
          <w:szCs w:val="28"/>
          <w:highlight w:val="none"/>
        </w:rPr>
      </w:pPr>
    </w:p>
    <w:p w14:paraId="7A5F0E65">
      <w:pPr>
        <w:spacing w:line="460" w:lineRule="exact"/>
        <w:jc w:val="center"/>
        <w:rPr>
          <w:rFonts w:hint="eastAsia" w:ascii="新宋体" w:hAnsi="新宋体" w:eastAsia="新宋体" w:cs="新宋体"/>
          <w:b/>
          <w:bCs/>
          <w:color w:val="auto"/>
          <w:sz w:val="28"/>
          <w:szCs w:val="28"/>
          <w:highlight w:val="none"/>
        </w:rPr>
      </w:pPr>
    </w:p>
    <w:p w14:paraId="69479C81">
      <w:pPr>
        <w:spacing w:line="460" w:lineRule="exact"/>
        <w:jc w:val="center"/>
        <w:rPr>
          <w:rFonts w:hint="eastAsia" w:ascii="新宋体" w:hAnsi="新宋体" w:eastAsia="新宋体" w:cs="新宋体"/>
          <w:b/>
          <w:bCs/>
          <w:color w:val="auto"/>
          <w:sz w:val="28"/>
          <w:szCs w:val="28"/>
          <w:highlight w:val="none"/>
        </w:rPr>
      </w:pPr>
    </w:p>
    <w:p w14:paraId="6C615459">
      <w:pPr>
        <w:spacing w:line="460" w:lineRule="exact"/>
        <w:jc w:val="center"/>
        <w:outlineLvl w:val="3"/>
        <w:rPr>
          <w:rFonts w:hint="eastAsia" w:ascii="新宋体" w:hAnsi="新宋体" w:eastAsia="新宋体" w:cs="新宋体"/>
          <w:b/>
          <w:bCs/>
          <w:color w:val="auto"/>
          <w:sz w:val="22"/>
          <w:szCs w:val="22"/>
          <w:highlight w:val="none"/>
        </w:rPr>
        <w:sectPr>
          <w:headerReference r:id="rId4" w:type="first"/>
          <w:headerReference r:id="rId3" w:type="default"/>
          <w:footerReference r:id="rId5" w:type="default"/>
          <w:pgSz w:w="11906" w:h="16838"/>
          <w:pgMar w:top="1134" w:right="1134" w:bottom="1134" w:left="1134" w:header="850" w:footer="992" w:gutter="0"/>
          <w:cols w:space="720" w:num="1"/>
          <w:titlePg/>
          <w:docGrid w:type="lines" w:linePitch="312" w:charSpace="0"/>
        </w:sectPr>
      </w:pPr>
    </w:p>
    <w:p w14:paraId="0EF3D5B8">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3</w:t>
      </w:r>
      <w:r>
        <w:rPr>
          <w:rFonts w:hint="eastAsia" w:ascii="新宋体" w:hAnsi="新宋体" w:eastAsia="新宋体" w:cs="新宋体"/>
          <w:b/>
          <w:bCs/>
          <w:color w:val="auto"/>
          <w:sz w:val="28"/>
          <w:szCs w:val="28"/>
          <w:highlight w:val="none"/>
          <w:lang w:val="zh-CN" w:eastAsia="zh-CN"/>
        </w:rPr>
        <w:t>、廉政承诺书</w:t>
      </w:r>
    </w:p>
    <w:p w14:paraId="7B4FD6C2">
      <w:pPr>
        <w:tabs>
          <w:tab w:val="left" w:pos="360"/>
        </w:tabs>
        <w:spacing w:line="460" w:lineRule="exact"/>
        <w:rPr>
          <w:rFonts w:ascii="新宋体" w:hAnsi="新宋体" w:eastAsia="新宋体" w:cs="新宋体"/>
          <w:color w:val="auto"/>
          <w:sz w:val="22"/>
          <w:highlight w:val="none"/>
        </w:rPr>
      </w:pPr>
      <w:r>
        <w:rPr>
          <w:rFonts w:hint="eastAsia" w:ascii="新宋体" w:hAnsi="新宋体" w:eastAsia="新宋体" w:cs="新宋体"/>
          <w:color w:val="auto"/>
          <w:sz w:val="22"/>
          <w:szCs w:val="22"/>
          <w:highlight w:val="none"/>
          <w:lang w:eastAsia="zh-CN"/>
        </w:rPr>
        <w:t>温州市疾病预防控制中心（温州市卫生监督所）</w:t>
      </w:r>
      <w:r>
        <w:rPr>
          <w:rFonts w:hint="eastAsia" w:ascii="新宋体" w:hAnsi="新宋体" w:eastAsia="新宋体" w:cs="新宋体"/>
          <w:color w:val="auto"/>
          <w:sz w:val="22"/>
          <w:highlight w:val="none"/>
        </w:rPr>
        <w:t>、温州历程招标有限公司：</w:t>
      </w:r>
    </w:p>
    <w:p w14:paraId="3D426C3F">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为加强采购活动中的廉政建设，防止发生违法违纪行为，体现公开、公平、公正的原则，根据国家有关法律、法规和廉政建设责任制的规定，本投标人特作如下承诺：</w:t>
      </w:r>
    </w:p>
    <w:p w14:paraId="7BA68D70">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一、不与</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人、</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代理机构及其他投标人私下串通协商，进行围标、串标、抬标、控制投标价格。</w:t>
      </w:r>
    </w:p>
    <w:p w14:paraId="13D6E565">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二、不向</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人、</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代理机构、评标专家行贿，以不正当手段谋取中标。</w:t>
      </w:r>
    </w:p>
    <w:p w14:paraId="04A2A115">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三、不向监管人员请客、送礼及组织其他有可能影响客观公正监管的活动。</w:t>
      </w:r>
    </w:p>
    <w:p w14:paraId="35134F80">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四、自觉遵守开标、评标现场工作纪律，不私下接触评标专家，不干扰正常的开标评标秩序。</w:t>
      </w:r>
    </w:p>
    <w:p w14:paraId="412BC8B9">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五、不给责任人的违法违规行为说情、解脱。</w:t>
      </w:r>
    </w:p>
    <w:p w14:paraId="53865D95">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如违反上述承诺，你方有权立即取消我单位投标、中标或在建项目的履约资格，有权拒绝我单位在一定时期内进入你方进行政府采购或其他经营活动，并通报监督管理部门、纪检监察部门或司法机关调查处理。由此引起的相应损失均由我单位承担。</w:t>
      </w:r>
    </w:p>
    <w:p w14:paraId="04C80D42">
      <w:pPr>
        <w:tabs>
          <w:tab w:val="left" w:pos="360"/>
        </w:tabs>
        <w:spacing w:line="460" w:lineRule="exact"/>
        <w:ind w:firstLine="550" w:firstLineChars="250"/>
        <w:rPr>
          <w:rFonts w:ascii="新宋体" w:hAnsi="新宋体" w:eastAsia="新宋体" w:cs="新宋体"/>
          <w:color w:val="auto"/>
          <w:sz w:val="22"/>
          <w:highlight w:val="none"/>
        </w:rPr>
      </w:pPr>
    </w:p>
    <w:p w14:paraId="3FB8814C">
      <w:pPr>
        <w:widowControl/>
        <w:snapToGrid w:val="0"/>
        <w:spacing w:line="460" w:lineRule="exact"/>
        <w:ind w:firstLine="440" w:firstLineChars="200"/>
        <w:jc w:val="left"/>
        <w:rPr>
          <w:rFonts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特此承诺！</w:t>
      </w:r>
    </w:p>
    <w:p w14:paraId="7F9688FC">
      <w:pPr>
        <w:widowControl/>
        <w:snapToGrid w:val="0"/>
        <w:spacing w:line="460" w:lineRule="exact"/>
        <w:ind w:firstLine="440" w:firstLineChars="200"/>
        <w:jc w:val="left"/>
        <w:rPr>
          <w:rFonts w:ascii="新宋体" w:hAnsi="新宋体" w:eastAsia="新宋体" w:cs="新宋体"/>
          <w:color w:val="auto"/>
          <w:kern w:val="0"/>
          <w:sz w:val="22"/>
          <w:szCs w:val="22"/>
          <w:highlight w:val="none"/>
        </w:rPr>
      </w:pPr>
    </w:p>
    <w:p w14:paraId="4C63FBDB">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1AAB3EF2">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0B6B2F26">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54D68787">
      <w:pPr>
        <w:pStyle w:val="9"/>
        <w:ind w:firstLine="440"/>
        <w:rPr>
          <w:rFonts w:ascii="新宋体" w:hAnsi="新宋体" w:eastAsia="新宋体" w:cs="新宋体"/>
          <w:color w:val="auto"/>
          <w:sz w:val="22"/>
          <w:szCs w:val="22"/>
          <w:highlight w:val="none"/>
        </w:rPr>
      </w:pPr>
    </w:p>
    <w:p w14:paraId="2F163785">
      <w:pPr>
        <w:rPr>
          <w:rFonts w:hint="eastAsia" w:ascii="新宋体" w:hAnsi="新宋体" w:eastAsia="新宋体" w:cs="新宋体"/>
          <w:b/>
          <w:bCs/>
          <w:color w:val="auto"/>
          <w:sz w:val="28"/>
          <w:szCs w:val="28"/>
          <w:highlight w:val="none"/>
          <w:lang w:val="en-US" w:eastAsia="zh-CN"/>
        </w:rPr>
      </w:pPr>
    </w:p>
    <w:p w14:paraId="56B66BF7">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2CA1E888">
      <w:pPr>
        <w:spacing w:line="420" w:lineRule="exact"/>
        <w:jc w:val="left"/>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4、投标人为医疗器械生产企业的：第二类、第三类医疗器械生产企业提供《医疗器械生产许可证》、第一类医疗器械生产企业提供第一类医疗器械生产备案凭证</w:t>
      </w:r>
      <w:r>
        <w:rPr>
          <w:rFonts w:hint="eastAsia" w:ascii="新宋体" w:hAnsi="新宋体" w:eastAsia="新宋体" w:cs="新宋体"/>
          <w:b/>
          <w:bCs/>
          <w:color w:val="auto"/>
          <w:sz w:val="28"/>
          <w:szCs w:val="28"/>
          <w:highlight w:val="none"/>
          <w:lang w:val="en-US" w:eastAsia="zh-CN"/>
        </w:rPr>
        <w:t>等</w:t>
      </w:r>
      <w:r>
        <w:rPr>
          <w:rFonts w:hint="eastAsia" w:ascii="新宋体" w:hAnsi="新宋体" w:eastAsia="新宋体" w:cs="新宋体"/>
          <w:b/>
          <w:bCs/>
          <w:color w:val="auto"/>
          <w:sz w:val="28"/>
          <w:szCs w:val="28"/>
          <w:highlight w:val="none"/>
          <w:lang w:val="zh-CN" w:eastAsia="zh-CN"/>
        </w:rPr>
        <w:t>销售许可文件；投标人为医疗器械经营企业的：第三类医疗器械经营企业提供《医疗器械经营许可证》、第二类医疗器械经营企业提供第二类医疗器械经营备案凭证</w:t>
      </w:r>
      <w:r>
        <w:rPr>
          <w:rFonts w:hint="eastAsia" w:ascii="新宋体" w:hAnsi="新宋体" w:eastAsia="新宋体" w:cs="新宋体"/>
          <w:b/>
          <w:bCs/>
          <w:color w:val="auto"/>
          <w:sz w:val="28"/>
          <w:szCs w:val="28"/>
          <w:highlight w:val="none"/>
          <w:lang w:val="en-US" w:eastAsia="zh-CN"/>
        </w:rPr>
        <w:t>等</w:t>
      </w:r>
      <w:r>
        <w:rPr>
          <w:rFonts w:hint="eastAsia" w:ascii="新宋体" w:hAnsi="新宋体" w:eastAsia="新宋体" w:cs="新宋体"/>
          <w:b/>
          <w:bCs/>
          <w:color w:val="auto"/>
          <w:sz w:val="28"/>
          <w:szCs w:val="28"/>
          <w:highlight w:val="none"/>
          <w:lang w:val="zh-CN" w:eastAsia="zh-CN"/>
        </w:rPr>
        <w:t>销售许可文件；（适用于按医疗器械管理的货物）</w:t>
      </w:r>
    </w:p>
    <w:p w14:paraId="5B1052F8">
      <w:pPr>
        <w:rPr>
          <w:rFonts w:ascii="新宋体" w:hAnsi="新宋体" w:eastAsia="新宋体" w:cs="新宋体"/>
          <w:color w:val="auto"/>
          <w:highlight w:val="none"/>
        </w:rPr>
      </w:pPr>
    </w:p>
    <w:p w14:paraId="44EC5A66">
      <w:pPr>
        <w:spacing w:line="460" w:lineRule="exact"/>
        <w:jc w:val="left"/>
        <w:outlineLvl w:val="9"/>
        <w:rPr>
          <w:rFonts w:hint="eastAsia" w:ascii="新宋体" w:hAnsi="新宋体" w:eastAsia="新宋体" w:cs="新宋体"/>
          <w:b/>
          <w:bCs/>
          <w:color w:val="auto"/>
          <w:sz w:val="24"/>
          <w:highlight w:val="none"/>
        </w:rPr>
      </w:pPr>
    </w:p>
    <w:p w14:paraId="15BDBDB6">
      <w:pPr>
        <w:spacing w:line="460" w:lineRule="exact"/>
        <w:jc w:val="left"/>
        <w:outlineLvl w:val="9"/>
        <w:rPr>
          <w:rFonts w:hint="eastAsia" w:ascii="新宋体" w:hAnsi="新宋体" w:eastAsia="新宋体" w:cs="新宋体"/>
          <w:b/>
          <w:bCs/>
          <w:color w:val="auto"/>
          <w:sz w:val="24"/>
          <w:highlight w:val="none"/>
        </w:rPr>
      </w:pPr>
    </w:p>
    <w:p w14:paraId="1DCECA73">
      <w:pPr>
        <w:spacing w:line="420" w:lineRule="exact"/>
        <w:jc w:val="left"/>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5、货物制造商或其它有销售资格（提供证明材料）的供应商出具的授权书</w:t>
      </w:r>
      <w:r>
        <w:rPr>
          <w:rFonts w:hint="eastAsia" w:ascii="新宋体" w:hAnsi="新宋体" w:eastAsia="新宋体" w:cs="新宋体"/>
          <w:b/>
          <w:bCs/>
          <w:color w:val="auto"/>
          <w:sz w:val="28"/>
          <w:szCs w:val="28"/>
          <w:highlight w:val="none"/>
          <w:lang w:val="en-US" w:eastAsia="zh-CN"/>
        </w:rPr>
        <w:t>等</w:t>
      </w:r>
      <w:r>
        <w:rPr>
          <w:rFonts w:hint="eastAsia" w:ascii="新宋体" w:hAnsi="新宋体" w:eastAsia="新宋体" w:cs="新宋体"/>
          <w:b/>
          <w:bCs/>
          <w:color w:val="auto"/>
          <w:sz w:val="28"/>
          <w:szCs w:val="28"/>
          <w:highlight w:val="none"/>
          <w:lang w:val="zh-CN" w:eastAsia="zh-CN"/>
        </w:rPr>
        <w:t>销售许可文件（适用于投标人是进口货物代理商的情形）</w:t>
      </w:r>
    </w:p>
    <w:p w14:paraId="2DE4A393">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537DBCAA">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6、详细供货清单说明一览表</w:t>
      </w:r>
    </w:p>
    <w:p w14:paraId="312D2B40">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项目名称：</w:t>
      </w:r>
    </w:p>
    <w:p w14:paraId="409F930D">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
          <w:bCs/>
          <w:color w:val="auto"/>
          <w:sz w:val="22"/>
          <w:szCs w:val="22"/>
          <w:highlight w:val="none"/>
        </w:rPr>
      </w:pPr>
      <w:r>
        <w:rPr>
          <w:rFonts w:hint="eastAsia" w:ascii="新宋体" w:hAnsi="新宋体" w:eastAsia="新宋体" w:cs="新宋体"/>
          <w:b w:val="0"/>
          <w:bCs w:val="0"/>
          <w:color w:val="auto"/>
          <w:sz w:val="22"/>
          <w:szCs w:val="22"/>
          <w:highlight w:val="none"/>
        </w:rPr>
        <w:t>项目编号：</w:t>
      </w:r>
    </w:p>
    <w:tbl>
      <w:tblPr>
        <w:tblStyle w:val="53"/>
        <w:tblW w:w="95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692"/>
        <w:gridCol w:w="2603"/>
        <w:gridCol w:w="1991"/>
        <w:gridCol w:w="1260"/>
        <w:gridCol w:w="1219"/>
      </w:tblGrid>
      <w:tr w14:paraId="0450D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828" w:type="dxa"/>
            <w:shd w:val="clear" w:color="auto" w:fill="FFFFFF"/>
            <w:vAlign w:val="center"/>
          </w:tcPr>
          <w:p w14:paraId="3AC84E27">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692" w:type="dxa"/>
            <w:shd w:val="clear" w:color="auto" w:fill="FFFFFF"/>
            <w:vAlign w:val="center"/>
          </w:tcPr>
          <w:p w14:paraId="4104159A">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设备名称/型号</w:t>
            </w:r>
          </w:p>
        </w:tc>
        <w:tc>
          <w:tcPr>
            <w:tcW w:w="2603" w:type="dxa"/>
            <w:shd w:val="clear" w:color="auto" w:fill="FFFFFF"/>
            <w:vAlign w:val="center"/>
          </w:tcPr>
          <w:p w14:paraId="7B83460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规格及技术参数</w:t>
            </w:r>
          </w:p>
        </w:tc>
        <w:tc>
          <w:tcPr>
            <w:tcW w:w="1991" w:type="dxa"/>
            <w:shd w:val="clear" w:color="auto" w:fill="FFFFFF"/>
            <w:vAlign w:val="center"/>
          </w:tcPr>
          <w:p w14:paraId="0BBADBA8">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原产地</w:t>
            </w:r>
          </w:p>
          <w:p w14:paraId="2D673C0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（生产厂家/品牌）</w:t>
            </w:r>
          </w:p>
        </w:tc>
        <w:tc>
          <w:tcPr>
            <w:tcW w:w="1260" w:type="dxa"/>
            <w:shd w:val="clear" w:color="auto" w:fill="FFFFFF"/>
            <w:vAlign w:val="center"/>
          </w:tcPr>
          <w:p w14:paraId="3BA4290A">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1219" w:type="dxa"/>
            <w:shd w:val="clear" w:color="auto" w:fill="FFFFFF"/>
            <w:vAlign w:val="center"/>
          </w:tcPr>
          <w:p w14:paraId="1DC08F3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质保期</w:t>
            </w:r>
          </w:p>
        </w:tc>
      </w:tr>
      <w:tr w14:paraId="49B14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5F8FD1D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color w:val="auto"/>
                <w:sz w:val="22"/>
                <w:szCs w:val="22"/>
                <w:highlight w:val="none"/>
              </w:rPr>
            </w:pPr>
          </w:p>
        </w:tc>
        <w:tc>
          <w:tcPr>
            <w:tcW w:w="1692" w:type="dxa"/>
            <w:vAlign w:val="center"/>
          </w:tcPr>
          <w:p w14:paraId="132766FA">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p>
        </w:tc>
        <w:tc>
          <w:tcPr>
            <w:tcW w:w="2603" w:type="dxa"/>
            <w:vAlign w:val="center"/>
          </w:tcPr>
          <w:p w14:paraId="46206F1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p>
        </w:tc>
        <w:tc>
          <w:tcPr>
            <w:tcW w:w="1991" w:type="dxa"/>
            <w:vAlign w:val="center"/>
          </w:tcPr>
          <w:p w14:paraId="2FD43A2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p>
        </w:tc>
        <w:tc>
          <w:tcPr>
            <w:tcW w:w="1260" w:type="dxa"/>
            <w:vAlign w:val="center"/>
          </w:tcPr>
          <w:p w14:paraId="6B2F72D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p>
        </w:tc>
        <w:tc>
          <w:tcPr>
            <w:tcW w:w="1219" w:type="dxa"/>
          </w:tcPr>
          <w:p w14:paraId="03A6B0C4">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color w:val="auto"/>
                <w:sz w:val="22"/>
                <w:szCs w:val="22"/>
                <w:highlight w:val="none"/>
              </w:rPr>
            </w:pPr>
          </w:p>
        </w:tc>
      </w:tr>
      <w:tr w14:paraId="7C503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541E6D82">
            <w:pPr>
              <w:spacing w:line="360" w:lineRule="auto"/>
              <w:jc w:val="center"/>
              <w:rPr>
                <w:rFonts w:ascii="新宋体" w:hAnsi="新宋体" w:eastAsia="新宋体" w:cs="新宋体"/>
                <w:color w:val="auto"/>
                <w:sz w:val="22"/>
                <w:szCs w:val="22"/>
                <w:highlight w:val="none"/>
              </w:rPr>
            </w:pPr>
          </w:p>
        </w:tc>
        <w:tc>
          <w:tcPr>
            <w:tcW w:w="1692" w:type="dxa"/>
            <w:vAlign w:val="center"/>
          </w:tcPr>
          <w:p w14:paraId="08A1DC0B">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44ABE95E">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182CDE7A">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4DFD0299">
            <w:pPr>
              <w:spacing w:line="360" w:lineRule="auto"/>
              <w:jc w:val="center"/>
              <w:rPr>
                <w:rFonts w:ascii="新宋体" w:hAnsi="新宋体" w:eastAsia="新宋体" w:cs="新宋体"/>
                <w:b/>
                <w:bCs/>
                <w:color w:val="auto"/>
                <w:sz w:val="22"/>
                <w:szCs w:val="22"/>
                <w:highlight w:val="none"/>
              </w:rPr>
            </w:pPr>
          </w:p>
        </w:tc>
        <w:tc>
          <w:tcPr>
            <w:tcW w:w="1219" w:type="dxa"/>
          </w:tcPr>
          <w:p w14:paraId="6D34F372">
            <w:pPr>
              <w:rPr>
                <w:rFonts w:ascii="新宋体" w:hAnsi="新宋体" w:eastAsia="新宋体" w:cs="新宋体"/>
                <w:color w:val="auto"/>
                <w:sz w:val="22"/>
                <w:szCs w:val="22"/>
                <w:highlight w:val="none"/>
              </w:rPr>
            </w:pPr>
          </w:p>
        </w:tc>
      </w:tr>
      <w:tr w14:paraId="4B75D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2D01B3F7">
            <w:pPr>
              <w:spacing w:line="360" w:lineRule="auto"/>
              <w:jc w:val="center"/>
              <w:rPr>
                <w:rFonts w:ascii="新宋体" w:hAnsi="新宋体" w:eastAsia="新宋体" w:cs="新宋体"/>
                <w:color w:val="auto"/>
                <w:sz w:val="22"/>
                <w:szCs w:val="22"/>
                <w:highlight w:val="none"/>
              </w:rPr>
            </w:pPr>
          </w:p>
        </w:tc>
        <w:tc>
          <w:tcPr>
            <w:tcW w:w="1692" w:type="dxa"/>
            <w:vAlign w:val="center"/>
          </w:tcPr>
          <w:p w14:paraId="2E24AA9F">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367EF0B2">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4A3DB2F9">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2583ED0E">
            <w:pPr>
              <w:spacing w:line="360" w:lineRule="auto"/>
              <w:jc w:val="center"/>
              <w:rPr>
                <w:rFonts w:ascii="新宋体" w:hAnsi="新宋体" w:eastAsia="新宋体" w:cs="新宋体"/>
                <w:b/>
                <w:bCs/>
                <w:color w:val="auto"/>
                <w:sz w:val="22"/>
                <w:szCs w:val="22"/>
                <w:highlight w:val="none"/>
              </w:rPr>
            </w:pPr>
          </w:p>
        </w:tc>
        <w:tc>
          <w:tcPr>
            <w:tcW w:w="1219" w:type="dxa"/>
          </w:tcPr>
          <w:p w14:paraId="4EC7EE04">
            <w:pPr>
              <w:rPr>
                <w:rFonts w:ascii="新宋体" w:hAnsi="新宋体" w:eastAsia="新宋体" w:cs="新宋体"/>
                <w:color w:val="auto"/>
                <w:sz w:val="22"/>
                <w:szCs w:val="22"/>
                <w:highlight w:val="none"/>
              </w:rPr>
            </w:pPr>
          </w:p>
        </w:tc>
      </w:tr>
      <w:tr w14:paraId="36CC1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D411A70">
            <w:pPr>
              <w:spacing w:line="360" w:lineRule="auto"/>
              <w:jc w:val="center"/>
              <w:rPr>
                <w:rFonts w:ascii="新宋体" w:hAnsi="新宋体" w:eastAsia="新宋体" w:cs="新宋体"/>
                <w:color w:val="auto"/>
                <w:sz w:val="22"/>
                <w:szCs w:val="22"/>
                <w:highlight w:val="none"/>
              </w:rPr>
            </w:pPr>
          </w:p>
        </w:tc>
        <w:tc>
          <w:tcPr>
            <w:tcW w:w="1692" w:type="dxa"/>
            <w:vAlign w:val="center"/>
          </w:tcPr>
          <w:p w14:paraId="381C65A5">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54D688FE">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6028A628">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1AD9C1B6">
            <w:pPr>
              <w:spacing w:line="360" w:lineRule="auto"/>
              <w:jc w:val="center"/>
              <w:rPr>
                <w:rFonts w:ascii="新宋体" w:hAnsi="新宋体" w:eastAsia="新宋体" w:cs="新宋体"/>
                <w:b/>
                <w:bCs/>
                <w:color w:val="auto"/>
                <w:sz w:val="22"/>
                <w:szCs w:val="22"/>
                <w:highlight w:val="none"/>
              </w:rPr>
            </w:pPr>
          </w:p>
        </w:tc>
        <w:tc>
          <w:tcPr>
            <w:tcW w:w="1219" w:type="dxa"/>
          </w:tcPr>
          <w:p w14:paraId="3DDE7451">
            <w:pPr>
              <w:rPr>
                <w:rFonts w:ascii="新宋体" w:hAnsi="新宋体" w:eastAsia="新宋体" w:cs="新宋体"/>
                <w:color w:val="auto"/>
                <w:sz w:val="22"/>
                <w:szCs w:val="22"/>
                <w:highlight w:val="none"/>
              </w:rPr>
            </w:pPr>
          </w:p>
        </w:tc>
      </w:tr>
      <w:tr w14:paraId="1D246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27897631">
            <w:pPr>
              <w:spacing w:line="360" w:lineRule="auto"/>
              <w:jc w:val="center"/>
              <w:rPr>
                <w:rFonts w:ascii="新宋体" w:hAnsi="新宋体" w:eastAsia="新宋体" w:cs="新宋体"/>
                <w:color w:val="auto"/>
                <w:sz w:val="22"/>
                <w:szCs w:val="22"/>
                <w:highlight w:val="none"/>
              </w:rPr>
            </w:pPr>
          </w:p>
        </w:tc>
        <w:tc>
          <w:tcPr>
            <w:tcW w:w="1692" w:type="dxa"/>
            <w:vAlign w:val="center"/>
          </w:tcPr>
          <w:p w14:paraId="43757442">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39C20961">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679C39D4">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0CB59262">
            <w:pPr>
              <w:spacing w:line="360" w:lineRule="auto"/>
              <w:jc w:val="center"/>
              <w:rPr>
                <w:rFonts w:ascii="新宋体" w:hAnsi="新宋体" w:eastAsia="新宋体" w:cs="新宋体"/>
                <w:b/>
                <w:bCs/>
                <w:color w:val="auto"/>
                <w:sz w:val="22"/>
                <w:szCs w:val="22"/>
                <w:highlight w:val="none"/>
              </w:rPr>
            </w:pPr>
          </w:p>
        </w:tc>
        <w:tc>
          <w:tcPr>
            <w:tcW w:w="1219" w:type="dxa"/>
          </w:tcPr>
          <w:p w14:paraId="0A29D707">
            <w:pPr>
              <w:rPr>
                <w:rFonts w:ascii="新宋体" w:hAnsi="新宋体" w:eastAsia="新宋体" w:cs="新宋体"/>
                <w:color w:val="auto"/>
                <w:sz w:val="22"/>
                <w:szCs w:val="22"/>
                <w:highlight w:val="none"/>
              </w:rPr>
            </w:pPr>
          </w:p>
        </w:tc>
      </w:tr>
      <w:tr w14:paraId="18A8A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6F65DF33">
            <w:pPr>
              <w:spacing w:line="360" w:lineRule="auto"/>
              <w:jc w:val="center"/>
              <w:rPr>
                <w:rFonts w:ascii="新宋体" w:hAnsi="新宋体" w:eastAsia="新宋体" w:cs="新宋体"/>
                <w:color w:val="auto"/>
                <w:sz w:val="22"/>
                <w:szCs w:val="22"/>
                <w:highlight w:val="none"/>
              </w:rPr>
            </w:pPr>
          </w:p>
        </w:tc>
        <w:tc>
          <w:tcPr>
            <w:tcW w:w="1692" w:type="dxa"/>
            <w:vAlign w:val="center"/>
          </w:tcPr>
          <w:p w14:paraId="26A093EE">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3FC3879D">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019C4F91">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2122C378">
            <w:pPr>
              <w:spacing w:line="360" w:lineRule="auto"/>
              <w:jc w:val="center"/>
              <w:rPr>
                <w:rFonts w:ascii="新宋体" w:hAnsi="新宋体" w:eastAsia="新宋体" w:cs="新宋体"/>
                <w:b/>
                <w:bCs/>
                <w:color w:val="auto"/>
                <w:sz w:val="22"/>
                <w:szCs w:val="22"/>
                <w:highlight w:val="none"/>
              </w:rPr>
            </w:pPr>
          </w:p>
        </w:tc>
        <w:tc>
          <w:tcPr>
            <w:tcW w:w="1219" w:type="dxa"/>
          </w:tcPr>
          <w:p w14:paraId="41813472">
            <w:pPr>
              <w:rPr>
                <w:rFonts w:ascii="新宋体" w:hAnsi="新宋体" w:eastAsia="新宋体" w:cs="新宋体"/>
                <w:color w:val="auto"/>
                <w:sz w:val="22"/>
                <w:szCs w:val="22"/>
                <w:highlight w:val="none"/>
              </w:rPr>
            </w:pPr>
          </w:p>
        </w:tc>
      </w:tr>
      <w:tr w14:paraId="78E0D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3E4ABF27">
            <w:pPr>
              <w:spacing w:line="360" w:lineRule="auto"/>
              <w:jc w:val="center"/>
              <w:rPr>
                <w:rFonts w:ascii="新宋体" w:hAnsi="新宋体" w:eastAsia="新宋体" w:cs="新宋体"/>
                <w:color w:val="auto"/>
                <w:sz w:val="22"/>
                <w:szCs w:val="22"/>
                <w:highlight w:val="none"/>
              </w:rPr>
            </w:pPr>
          </w:p>
        </w:tc>
        <w:tc>
          <w:tcPr>
            <w:tcW w:w="1692" w:type="dxa"/>
            <w:vAlign w:val="center"/>
          </w:tcPr>
          <w:p w14:paraId="0B64F9A2">
            <w:pPr>
              <w:spacing w:line="360" w:lineRule="auto"/>
              <w:jc w:val="center"/>
              <w:rPr>
                <w:rFonts w:ascii="新宋体" w:hAnsi="新宋体" w:eastAsia="新宋体" w:cs="新宋体"/>
                <w:color w:val="auto"/>
                <w:sz w:val="22"/>
                <w:szCs w:val="22"/>
                <w:highlight w:val="none"/>
              </w:rPr>
            </w:pPr>
          </w:p>
        </w:tc>
        <w:tc>
          <w:tcPr>
            <w:tcW w:w="2603" w:type="dxa"/>
            <w:vAlign w:val="center"/>
          </w:tcPr>
          <w:p w14:paraId="1D189529">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184EAC03">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75D435CE">
            <w:pPr>
              <w:spacing w:line="360" w:lineRule="auto"/>
              <w:jc w:val="center"/>
              <w:rPr>
                <w:rFonts w:ascii="新宋体" w:hAnsi="新宋体" w:eastAsia="新宋体" w:cs="新宋体"/>
                <w:b/>
                <w:bCs/>
                <w:color w:val="auto"/>
                <w:sz w:val="22"/>
                <w:szCs w:val="22"/>
                <w:highlight w:val="none"/>
              </w:rPr>
            </w:pPr>
          </w:p>
        </w:tc>
        <w:tc>
          <w:tcPr>
            <w:tcW w:w="1219" w:type="dxa"/>
          </w:tcPr>
          <w:p w14:paraId="5046D8FC">
            <w:pPr>
              <w:rPr>
                <w:rFonts w:ascii="新宋体" w:hAnsi="新宋体" w:eastAsia="新宋体" w:cs="新宋体"/>
                <w:color w:val="auto"/>
                <w:sz w:val="22"/>
                <w:szCs w:val="22"/>
                <w:highlight w:val="none"/>
              </w:rPr>
            </w:pPr>
          </w:p>
        </w:tc>
      </w:tr>
      <w:tr w14:paraId="70FCE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68BDAF6">
            <w:pPr>
              <w:spacing w:line="360" w:lineRule="auto"/>
              <w:jc w:val="center"/>
              <w:rPr>
                <w:rFonts w:ascii="新宋体" w:hAnsi="新宋体" w:eastAsia="新宋体" w:cs="新宋体"/>
                <w:color w:val="auto"/>
                <w:sz w:val="22"/>
                <w:szCs w:val="22"/>
                <w:highlight w:val="none"/>
              </w:rPr>
            </w:pPr>
          </w:p>
        </w:tc>
        <w:tc>
          <w:tcPr>
            <w:tcW w:w="1692" w:type="dxa"/>
            <w:vAlign w:val="center"/>
          </w:tcPr>
          <w:p w14:paraId="3A20EE4A">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09207B3C">
            <w:pPr>
              <w:spacing w:line="360" w:lineRule="auto"/>
              <w:jc w:val="center"/>
              <w:rPr>
                <w:rFonts w:ascii="新宋体" w:hAnsi="新宋体" w:eastAsia="新宋体" w:cs="新宋体"/>
                <w:color w:val="auto"/>
                <w:sz w:val="22"/>
                <w:szCs w:val="22"/>
                <w:highlight w:val="none"/>
              </w:rPr>
            </w:pPr>
          </w:p>
        </w:tc>
        <w:tc>
          <w:tcPr>
            <w:tcW w:w="1991" w:type="dxa"/>
            <w:vAlign w:val="center"/>
          </w:tcPr>
          <w:p w14:paraId="4BB84A1A">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78D1E476">
            <w:pPr>
              <w:spacing w:line="360" w:lineRule="auto"/>
              <w:jc w:val="center"/>
              <w:rPr>
                <w:rFonts w:ascii="新宋体" w:hAnsi="新宋体" w:eastAsia="新宋体" w:cs="新宋体"/>
                <w:b/>
                <w:bCs/>
                <w:color w:val="auto"/>
                <w:sz w:val="22"/>
                <w:szCs w:val="22"/>
                <w:highlight w:val="none"/>
              </w:rPr>
            </w:pPr>
          </w:p>
        </w:tc>
        <w:tc>
          <w:tcPr>
            <w:tcW w:w="1219" w:type="dxa"/>
          </w:tcPr>
          <w:p w14:paraId="5F9B1373">
            <w:pPr>
              <w:rPr>
                <w:rFonts w:ascii="新宋体" w:hAnsi="新宋体" w:eastAsia="新宋体" w:cs="新宋体"/>
                <w:color w:val="auto"/>
                <w:sz w:val="22"/>
                <w:szCs w:val="22"/>
                <w:highlight w:val="none"/>
              </w:rPr>
            </w:pPr>
          </w:p>
        </w:tc>
      </w:tr>
      <w:tr w14:paraId="7C919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290C0476">
            <w:pPr>
              <w:spacing w:line="360" w:lineRule="auto"/>
              <w:jc w:val="center"/>
              <w:rPr>
                <w:rFonts w:ascii="新宋体" w:hAnsi="新宋体" w:eastAsia="新宋体" w:cs="新宋体"/>
                <w:color w:val="auto"/>
                <w:sz w:val="22"/>
                <w:szCs w:val="22"/>
                <w:highlight w:val="none"/>
              </w:rPr>
            </w:pPr>
          </w:p>
        </w:tc>
        <w:tc>
          <w:tcPr>
            <w:tcW w:w="1692" w:type="dxa"/>
            <w:vAlign w:val="center"/>
          </w:tcPr>
          <w:p w14:paraId="65D6841F">
            <w:pPr>
              <w:spacing w:line="360" w:lineRule="auto"/>
              <w:jc w:val="center"/>
              <w:rPr>
                <w:rFonts w:ascii="新宋体" w:hAnsi="新宋体" w:eastAsia="新宋体" w:cs="新宋体"/>
                <w:color w:val="auto"/>
                <w:sz w:val="22"/>
                <w:szCs w:val="22"/>
                <w:highlight w:val="none"/>
              </w:rPr>
            </w:pPr>
          </w:p>
        </w:tc>
        <w:tc>
          <w:tcPr>
            <w:tcW w:w="2603" w:type="dxa"/>
          </w:tcPr>
          <w:p w14:paraId="4EBD5EFB">
            <w:pPr>
              <w:spacing w:line="360" w:lineRule="auto"/>
              <w:rPr>
                <w:rFonts w:ascii="新宋体" w:hAnsi="新宋体" w:eastAsia="新宋体" w:cs="新宋体"/>
                <w:b/>
                <w:bCs/>
                <w:color w:val="auto"/>
                <w:sz w:val="22"/>
                <w:szCs w:val="22"/>
                <w:highlight w:val="none"/>
              </w:rPr>
            </w:pPr>
          </w:p>
        </w:tc>
        <w:tc>
          <w:tcPr>
            <w:tcW w:w="1991" w:type="dxa"/>
            <w:vAlign w:val="center"/>
          </w:tcPr>
          <w:p w14:paraId="0B7960F1">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136779F4">
            <w:pPr>
              <w:spacing w:line="360" w:lineRule="auto"/>
              <w:jc w:val="center"/>
              <w:rPr>
                <w:rFonts w:ascii="新宋体" w:hAnsi="新宋体" w:eastAsia="新宋体" w:cs="新宋体"/>
                <w:b/>
                <w:bCs/>
                <w:color w:val="auto"/>
                <w:sz w:val="22"/>
                <w:szCs w:val="22"/>
                <w:highlight w:val="none"/>
              </w:rPr>
            </w:pPr>
          </w:p>
        </w:tc>
        <w:tc>
          <w:tcPr>
            <w:tcW w:w="1219" w:type="dxa"/>
          </w:tcPr>
          <w:p w14:paraId="4F3DE978">
            <w:pPr>
              <w:rPr>
                <w:rFonts w:ascii="新宋体" w:hAnsi="新宋体" w:eastAsia="新宋体" w:cs="新宋体"/>
                <w:color w:val="auto"/>
                <w:sz w:val="22"/>
                <w:szCs w:val="22"/>
                <w:highlight w:val="none"/>
              </w:rPr>
            </w:pPr>
          </w:p>
        </w:tc>
      </w:tr>
      <w:tr w14:paraId="6EB82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B1AA621">
            <w:pPr>
              <w:spacing w:line="360" w:lineRule="auto"/>
              <w:jc w:val="center"/>
              <w:rPr>
                <w:rFonts w:ascii="新宋体" w:hAnsi="新宋体" w:eastAsia="新宋体" w:cs="新宋体"/>
                <w:color w:val="auto"/>
                <w:sz w:val="22"/>
                <w:szCs w:val="22"/>
                <w:highlight w:val="none"/>
              </w:rPr>
            </w:pPr>
          </w:p>
        </w:tc>
        <w:tc>
          <w:tcPr>
            <w:tcW w:w="1692" w:type="dxa"/>
            <w:vAlign w:val="center"/>
          </w:tcPr>
          <w:p w14:paraId="3941C6F9">
            <w:pPr>
              <w:spacing w:line="360" w:lineRule="auto"/>
              <w:jc w:val="center"/>
              <w:rPr>
                <w:rFonts w:ascii="新宋体" w:hAnsi="新宋体" w:eastAsia="新宋体" w:cs="新宋体"/>
                <w:b/>
                <w:bCs/>
                <w:color w:val="auto"/>
                <w:sz w:val="22"/>
                <w:szCs w:val="22"/>
                <w:highlight w:val="none"/>
              </w:rPr>
            </w:pPr>
          </w:p>
        </w:tc>
        <w:tc>
          <w:tcPr>
            <w:tcW w:w="2603" w:type="dxa"/>
          </w:tcPr>
          <w:p w14:paraId="1B9A87A7">
            <w:pPr>
              <w:spacing w:line="360" w:lineRule="auto"/>
              <w:rPr>
                <w:rFonts w:ascii="新宋体" w:hAnsi="新宋体" w:eastAsia="新宋体" w:cs="新宋体"/>
                <w:color w:val="auto"/>
                <w:sz w:val="22"/>
                <w:szCs w:val="22"/>
                <w:highlight w:val="none"/>
              </w:rPr>
            </w:pPr>
          </w:p>
        </w:tc>
        <w:tc>
          <w:tcPr>
            <w:tcW w:w="1991" w:type="dxa"/>
            <w:vAlign w:val="center"/>
          </w:tcPr>
          <w:p w14:paraId="6227527B">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066FF810">
            <w:pPr>
              <w:spacing w:line="360" w:lineRule="auto"/>
              <w:jc w:val="center"/>
              <w:rPr>
                <w:rFonts w:ascii="新宋体" w:hAnsi="新宋体" w:eastAsia="新宋体" w:cs="新宋体"/>
                <w:b/>
                <w:bCs/>
                <w:color w:val="auto"/>
                <w:sz w:val="22"/>
                <w:szCs w:val="22"/>
                <w:highlight w:val="none"/>
              </w:rPr>
            </w:pPr>
          </w:p>
        </w:tc>
        <w:tc>
          <w:tcPr>
            <w:tcW w:w="1219" w:type="dxa"/>
          </w:tcPr>
          <w:p w14:paraId="6C2A3504">
            <w:pPr>
              <w:rPr>
                <w:rFonts w:ascii="新宋体" w:hAnsi="新宋体" w:eastAsia="新宋体" w:cs="新宋体"/>
                <w:color w:val="auto"/>
                <w:sz w:val="22"/>
                <w:szCs w:val="22"/>
                <w:highlight w:val="none"/>
              </w:rPr>
            </w:pPr>
          </w:p>
        </w:tc>
      </w:tr>
      <w:tr w14:paraId="20326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0E53563E">
            <w:pPr>
              <w:spacing w:line="360" w:lineRule="auto"/>
              <w:jc w:val="center"/>
              <w:rPr>
                <w:rFonts w:ascii="新宋体" w:hAnsi="新宋体" w:eastAsia="新宋体" w:cs="新宋体"/>
                <w:color w:val="auto"/>
                <w:sz w:val="22"/>
                <w:szCs w:val="22"/>
                <w:highlight w:val="none"/>
              </w:rPr>
            </w:pPr>
          </w:p>
        </w:tc>
        <w:tc>
          <w:tcPr>
            <w:tcW w:w="1692" w:type="dxa"/>
            <w:vAlign w:val="center"/>
          </w:tcPr>
          <w:p w14:paraId="7AF2CCB4">
            <w:pPr>
              <w:spacing w:line="360" w:lineRule="auto"/>
              <w:jc w:val="center"/>
              <w:rPr>
                <w:rFonts w:ascii="新宋体" w:hAnsi="新宋体" w:eastAsia="新宋体" w:cs="新宋体"/>
                <w:color w:val="auto"/>
                <w:sz w:val="22"/>
                <w:szCs w:val="22"/>
                <w:highlight w:val="none"/>
              </w:rPr>
            </w:pPr>
          </w:p>
        </w:tc>
        <w:tc>
          <w:tcPr>
            <w:tcW w:w="2603" w:type="dxa"/>
          </w:tcPr>
          <w:p w14:paraId="3458817B">
            <w:pPr>
              <w:spacing w:line="360" w:lineRule="auto"/>
              <w:rPr>
                <w:rFonts w:ascii="新宋体" w:hAnsi="新宋体" w:eastAsia="新宋体" w:cs="新宋体"/>
                <w:color w:val="auto"/>
                <w:sz w:val="22"/>
                <w:szCs w:val="22"/>
                <w:highlight w:val="none"/>
              </w:rPr>
            </w:pPr>
          </w:p>
        </w:tc>
        <w:tc>
          <w:tcPr>
            <w:tcW w:w="1991" w:type="dxa"/>
            <w:vAlign w:val="center"/>
          </w:tcPr>
          <w:p w14:paraId="3391C5F6">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44838E3F">
            <w:pPr>
              <w:spacing w:line="360" w:lineRule="auto"/>
              <w:jc w:val="center"/>
              <w:rPr>
                <w:rFonts w:ascii="新宋体" w:hAnsi="新宋体" w:eastAsia="新宋体" w:cs="新宋体"/>
                <w:b/>
                <w:bCs/>
                <w:color w:val="auto"/>
                <w:sz w:val="22"/>
                <w:szCs w:val="22"/>
                <w:highlight w:val="none"/>
              </w:rPr>
            </w:pPr>
          </w:p>
        </w:tc>
        <w:tc>
          <w:tcPr>
            <w:tcW w:w="1219" w:type="dxa"/>
          </w:tcPr>
          <w:p w14:paraId="6E24B237">
            <w:pPr>
              <w:rPr>
                <w:rFonts w:ascii="新宋体" w:hAnsi="新宋体" w:eastAsia="新宋体" w:cs="新宋体"/>
                <w:color w:val="auto"/>
                <w:sz w:val="22"/>
                <w:szCs w:val="22"/>
                <w:highlight w:val="none"/>
              </w:rPr>
            </w:pPr>
          </w:p>
        </w:tc>
      </w:tr>
      <w:tr w14:paraId="2F77E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70903A73">
            <w:pPr>
              <w:spacing w:line="360" w:lineRule="auto"/>
              <w:jc w:val="center"/>
              <w:rPr>
                <w:rFonts w:ascii="新宋体" w:hAnsi="新宋体" w:eastAsia="新宋体" w:cs="新宋体"/>
                <w:color w:val="auto"/>
                <w:sz w:val="22"/>
                <w:szCs w:val="22"/>
                <w:highlight w:val="none"/>
              </w:rPr>
            </w:pPr>
          </w:p>
        </w:tc>
        <w:tc>
          <w:tcPr>
            <w:tcW w:w="1692" w:type="dxa"/>
            <w:vAlign w:val="center"/>
          </w:tcPr>
          <w:p w14:paraId="2887438E">
            <w:pPr>
              <w:spacing w:line="360" w:lineRule="auto"/>
              <w:jc w:val="center"/>
              <w:rPr>
                <w:rFonts w:ascii="新宋体" w:hAnsi="新宋体" w:eastAsia="新宋体" w:cs="新宋体"/>
                <w:color w:val="auto"/>
                <w:sz w:val="22"/>
                <w:szCs w:val="22"/>
                <w:highlight w:val="none"/>
              </w:rPr>
            </w:pPr>
          </w:p>
        </w:tc>
        <w:tc>
          <w:tcPr>
            <w:tcW w:w="2603" w:type="dxa"/>
          </w:tcPr>
          <w:p w14:paraId="340DE941">
            <w:pPr>
              <w:spacing w:line="360" w:lineRule="auto"/>
              <w:rPr>
                <w:rFonts w:ascii="新宋体" w:hAnsi="新宋体" w:eastAsia="新宋体" w:cs="新宋体"/>
                <w:color w:val="auto"/>
                <w:sz w:val="22"/>
                <w:szCs w:val="22"/>
                <w:highlight w:val="none"/>
              </w:rPr>
            </w:pPr>
          </w:p>
        </w:tc>
        <w:tc>
          <w:tcPr>
            <w:tcW w:w="1991" w:type="dxa"/>
            <w:vAlign w:val="center"/>
          </w:tcPr>
          <w:p w14:paraId="632DD2E7">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352C56AD">
            <w:pPr>
              <w:spacing w:line="360" w:lineRule="auto"/>
              <w:jc w:val="center"/>
              <w:rPr>
                <w:rFonts w:ascii="新宋体" w:hAnsi="新宋体" w:eastAsia="新宋体" w:cs="新宋体"/>
                <w:b/>
                <w:bCs/>
                <w:color w:val="auto"/>
                <w:sz w:val="22"/>
                <w:szCs w:val="22"/>
                <w:highlight w:val="none"/>
              </w:rPr>
            </w:pPr>
          </w:p>
        </w:tc>
        <w:tc>
          <w:tcPr>
            <w:tcW w:w="1219" w:type="dxa"/>
          </w:tcPr>
          <w:p w14:paraId="7E7B9252">
            <w:pPr>
              <w:rPr>
                <w:rFonts w:ascii="新宋体" w:hAnsi="新宋体" w:eastAsia="新宋体" w:cs="新宋体"/>
                <w:color w:val="auto"/>
                <w:sz w:val="22"/>
                <w:szCs w:val="22"/>
                <w:highlight w:val="none"/>
              </w:rPr>
            </w:pPr>
          </w:p>
        </w:tc>
      </w:tr>
      <w:tr w14:paraId="18B6C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769D7DF7">
            <w:pPr>
              <w:spacing w:line="360" w:lineRule="auto"/>
              <w:jc w:val="center"/>
              <w:rPr>
                <w:rFonts w:ascii="新宋体" w:hAnsi="新宋体" w:eastAsia="新宋体" w:cs="新宋体"/>
                <w:color w:val="auto"/>
                <w:sz w:val="22"/>
                <w:szCs w:val="22"/>
                <w:highlight w:val="none"/>
              </w:rPr>
            </w:pPr>
          </w:p>
        </w:tc>
        <w:tc>
          <w:tcPr>
            <w:tcW w:w="1692" w:type="dxa"/>
            <w:vAlign w:val="center"/>
          </w:tcPr>
          <w:p w14:paraId="10355B9C">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48EE6EC8">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23385879">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64E83DE5">
            <w:pPr>
              <w:spacing w:line="360" w:lineRule="auto"/>
              <w:jc w:val="center"/>
              <w:rPr>
                <w:rFonts w:ascii="新宋体" w:hAnsi="新宋体" w:eastAsia="新宋体" w:cs="新宋体"/>
                <w:b/>
                <w:bCs/>
                <w:color w:val="auto"/>
                <w:sz w:val="22"/>
                <w:szCs w:val="22"/>
                <w:highlight w:val="none"/>
              </w:rPr>
            </w:pPr>
          </w:p>
        </w:tc>
        <w:tc>
          <w:tcPr>
            <w:tcW w:w="1219" w:type="dxa"/>
          </w:tcPr>
          <w:p w14:paraId="1C09AF5C">
            <w:pPr>
              <w:rPr>
                <w:rFonts w:ascii="新宋体" w:hAnsi="新宋体" w:eastAsia="新宋体" w:cs="新宋体"/>
                <w:color w:val="auto"/>
                <w:sz w:val="22"/>
                <w:szCs w:val="22"/>
                <w:highlight w:val="none"/>
              </w:rPr>
            </w:pPr>
          </w:p>
        </w:tc>
      </w:tr>
      <w:tr w14:paraId="14D49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E9A2F3F">
            <w:pPr>
              <w:spacing w:line="360" w:lineRule="auto"/>
              <w:jc w:val="center"/>
              <w:rPr>
                <w:rFonts w:ascii="新宋体" w:hAnsi="新宋体" w:eastAsia="新宋体" w:cs="新宋体"/>
                <w:color w:val="auto"/>
                <w:sz w:val="22"/>
                <w:szCs w:val="22"/>
                <w:highlight w:val="none"/>
              </w:rPr>
            </w:pPr>
          </w:p>
        </w:tc>
        <w:tc>
          <w:tcPr>
            <w:tcW w:w="1692" w:type="dxa"/>
            <w:vAlign w:val="center"/>
          </w:tcPr>
          <w:p w14:paraId="09319409">
            <w:pPr>
              <w:spacing w:line="360" w:lineRule="auto"/>
              <w:rPr>
                <w:rFonts w:ascii="新宋体" w:hAnsi="新宋体" w:eastAsia="新宋体" w:cs="新宋体"/>
                <w:b/>
                <w:bCs/>
                <w:color w:val="auto"/>
                <w:sz w:val="22"/>
                <w:szCs w:val="22"/>
                <w:highlight w:val="none"/>
              </w:rPr>
            </w:pPr>
          </w:p>
        </w:tc>
        <w:tc>
          <w:tcPr>
            <w:tcW w:w="2603" w:type="dxa"/>
            <w:vAlign w:val="center"/>
          </w:tcPr>
          <w:p w14:paraId="785E9B7D">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0A32B4BD">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1452036C">
            <w:pPr>
              <w:spacing w:line="360" w:lineRule="auto"/>
              <w:jc w:val="center"/>
              <w:rPr>
                <w:rFonts w:ascii="新宋体" w:hAnsi="新宋体" w:eastAsia="新宋体" w:cs="新宋体"/>
                <w:b/>
                <w:bCs/>
                <w:color w:val="auto"/>
                <w:sz w:val="22"/>
                <w:szCs w:val="22"/>
                <w:highlight w:val="none"/>
              </w:rPr>
            </w:pPr>
          </w:p>
        </w:tc>
        <w:tc>
          <w:tcPr>
            <w:tcW w:w="1219" w:type="dxa"/>
          </w:tcPr>
          <w:p w14:paraId="3299A88F">
            <w:pPr>
              <w:rPr>
                <w:rFonts w:ascii="新宋体" w:hAnsi="新宋体" w:eastAsia="新宋体" w:cs="新宋体"/>
                <w:color w:val="auto"/>
                <w:sz w:val="22"/>
                <w:szCs w:val="22"/>
                <w:highlight w:val="none"/>
              </w:rPr>
            </w:pPr>
          </w:p>
        </w:tc>
      </w:tr>
      <w:tr w14:paraId="5768F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16FB2A2">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3D996A04">
            <w:pPr>
              <w:spacing w:line="360" w:lineRule="auto"/>
              <w:rPr>
                <w:rFonts w:ascii="新宋体" w:hAnsi="新宋体" w:eastAsia="新宋体" w:cs="新宋体"/>
                <w:b/>
                <w:bCs/>
                <w:color w:val="auto"/>
                <w:sz w:val="22"/>
                <w:szCs w:val="22"/>
                <w:highlight w:val="none"/>
              </w:rPr>
            </w:pPr>
          </w:p>
        </w:tc>
        <w:tc>
          <w:tcPr>
            <w:tcW w:w="2603" w:type="dxa"/>
            <w:vAlign w:val="center"/>
          </w:tcPr>
          <w:p w14:paraId="2038D035">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74C8D647">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3691652B">
            <w:pPr>
              <w:spacing w:line="360" w:lineRule="auto"/>
              <w:jc w:val="center"/>
              <w:rPr>
                <w:rFonts w:ascii="新宋体" w:hAnsi="新宋体" w:eastAsia="新宋体" w:cs="新宋体"/>
                <w:b/>
                <w:bCs/>
                <w:color w:val="auto"/>
                <w:sz w:val="22"/>
                <w:szCs w:val="22"/>
                <w:highlight w:val="none"/>
              </w:rPr>
            </w:pPr>
          </w:p>
        </w:tc>
        <w:tc>
          <w:tcPr>
            <w:tcW w:w="1219" w:type="dxa"/>
          </w:tcPr>
          <w:p w14:paraId="746D19D5">
            <w:pPr>
              <w:rPr>
                <w:rFonts w:ascii="新宋体" w:hAnsi="新宋体" w:eastAsia="新宋体" w:cs="新宋体"/>
                <w:color w:val="auto"/>
                <w:sz w:val="22"/>
                <w:szCs w:val="22"/>
                <w:highlight w:val="none"/>
              </w:rPr>
            </w:pPr>
          </w:p>
        </w:tc>
      </w:tr>
      <w:tr w14:paraId="15DB3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3793C41D">
            <w:pPr>
              <w:spacing w:line="360" w:lineRule="auto"/>
              <w:jc w:val="center"/>
              <w:rPr>
                <w:rFonts w:ascii="新宋体" w:hAnsi="新宋体" w:eastAsia="新宋体" w:cs="新宋体"/>
                <w:bCs/>
                <w:color w:val="auto"/>
                <w:sz w:val="22"/>
                <w:szCs w:val="22"/>
                <w:highlight w:val="none"/>
              </w:rPr>
            </w:pPr>
          </w:p>
        </w:tc>
        <w:tc>
          <w:tcPr>
            <w:tcW w:w="1692" w:type="dxa"/>
            <w:vAlign w:val="center"/>
          </w:tcPr>
          <w:p w14:paraId="4EEE9744">
            <w:pPr>
              <w:spacing w:line="360" w:lineRule="auto"/>
              <w:rPr>
                <w:rFonts w:ascii="新宋体" w:hAnsi="新宋体" w:eastAsia="新宋体" w:cs="新宋体"/>
                <w:color w:val="auto"/>
                <w:sz w:val="22"/>
                <w:szCs w:val="22"/>
                <w:highlight w:val="none"/>
              </w:rPr>
            </w:pPr>
          </w:p>
        </w:tc>
        <w:tc>
          <w:tcPr>
            <w:tcW w:w="2603" w:type="dxa"/>
            <w:vAlign w:val="center"/>
          </w:tcPr>
          <w:p w14:paraId="7F886752">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24690687">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651F4108">
            <w:pPr>
              <w:spacing w:line="360" w:lineRule="auto"/>
              <w:jc w:val="center"/>
              <w:rPr>
                <w:rFonts w:ascii="新宋体" w:hAnsi="新宋体" w:eastAsia="新宋体" w:cs="新宋体"/>
                <w:b/>
                <w:bCs/>
                <w:color w:val="auto"/>
                <w:sz w:val="22"/>
                <w:szCs w:val="22"/>
                <w:highlight w:val="none"/>
              </w:rPr>
            </w:pPr>
          </w:p>
        </w:tc>
        <w:tc>
          <w:tcPr>
            <w:tcW w:w="1219" w:type="dxa"/>
          </w:tcPr>
          <w:p w14:paraId="75095723">
            <w:pPr>
              <w:rPr>
                <w:rFonts w:ascii="新宋体" w:hAnsi="新宋体" w:eastAsia="新宋体" w:cs="新宋体"/>
                <w:color w:val="auto"/>
                <w:sz w:val="22"/>
                <w:szCs w:val="22"/>
                <w:highlight w:val="none"/>
              </w:rPr>
            </w:pPr>
          </w:p>
        </w:tc>
      </w:tr>
      <w:tr w14:paraId="29CDC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7BE8F040">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73C244F6">
            <w:pPr>
              <w:spacing w:line="360" w:lineRule="auto"/>
              <w:rPr>
                <w:rFonts w:ascii="新宋体" w:hAnsi="新宋体" w:eastAsia="新宋体" w:cs="新宋体"/>
                <w:b/>
                <w:bCs/>
                <w:color w:val="auto"/>
                <w:sz w:val="22"/>
                <w:szCs w:val="22"/>
                <w:highlight w:val="none"/>
              </w:rPr>
            </w:pPr>
          </w:p>
        </w:tc>
        <w:tc>
          <w:tcPr>
            <w:tcW w:w="2603" w:type="dxa"/>
            <w:vAlign w:val="center"/>
          </w:tcPr>
          <w:p w14:paraId="40D8E814">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53F7A9F3">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57974A0C">
            <w:pPr>
              <w:spacing w:line="360" w:lineRule="auto"/>
              <w:jc w:val="center"/>
              <w:rPr>
                <w:rFonts w:ascii="新宋体" w:hAnsi="新宋体" w:eastAsia="新宋体" w:cs="新宋体"/>
                <w:b/>
                <w:bCs/>
                <w:color w:val="auto"/>
                <w:sz w:val="22"/>
                <w:szCs w:val="22"/>
                <w:highlight w:val="none"/>
              </w:rPr>
            </w:pPr>
          </w:p>
        </w:tc>
        <w:tc>
          <w:tcPr>
            <w:tcW w:w="1219" w:type="dxa"/>
          </w:tcPr>
          <w:p w14:paraId="5FB3AE3F">
            <w:pPr>
              <w:rPr>
                <w:rFonts w:ascii="新宋体" w:hAnsi="新宋体" w:eastAsia="新宋体" w:cs="新宋体"/>
                <w:color w:val="auto"/>
                <w:sz w:val="22"/>
                <w:szCs w:val="22"/>
                <w:highlight w:val="none"/>
              </w:rPr>
            </w:pPr>
          </w:p>
        </w:tc>
      </w:tr>
      <w:tr w14:paraId="632E9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7E54CF03">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5B09A72E">
            <w:pPr>
              <w:spacing w:line="360" w:lineRule="auto"/>
              <w:rPr>
                <w:rFonts w:ascii="新宋体" w:hAnsi="新宋体" w:eastAsia="新宋体" w:cs="新宋体"/>
                <w:color w:val="auto"/>
                <w:sz w:val="22"/>
                <w:szCs w:val="22"/>
                <w:highlight w:val="none"/>
              </w:rPr>
            </w:pPr>
          </w:p>
        </w:tc>
        <w:tc>
          <w:tcPr>
            <w:tcW w:w="2603" w:type="dxa"/>
            <w:vAlign w:val="center"/>
          </w:tcPr>
          <w:p w14:paraId="0E5CCCD0">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23D751A4">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111B0C44">
            <w:pPr>
              <w:spacing w:line="360" w:lineRule="auto"/>
              <w:jc w:val="center"/>
              <w:rPr>
                <w:rFonts w:ascii="新宋体" w:hAnsi="新宋体" w:eastAsia="新宋体" w:cs="新宋体"/>
                <w:b/>
                <w:bCs/>
                <w:color w:val="auto"/>
                <w:sz w:val="22"/>
                <w:szCs w:val="22"/>
                <w:highlight w:val="none"/>
              </w:rPr>
            </w:pPr>
          </w:p>
        </w:tc>
        <w:tc>
          <w:tcPr>
            <w:tcW w:w="1219" w:type="dxa"/>
          </w:tcPr>
          <w:p w14:paraId="2877B3A8">
            <w:pPr>
              <w:rPr>
                <w:rFonts w:ascii="新宋体" w:hAnsi="新宋体" w:eastAsia="新宋体" w:cs="新宋体"/>
                <w:color w:val="auto"/>
                <w:sz w:val="22"/>
                <w:szCs w:val="22"/>
                <w:highlight w:val="none"/>
              </w:rPr>
            </w:pPr>
          </w:p>
        </w:tc>
      </w:tr>
      <w:tr w14:paraId="783D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5348BB14">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285C0E48">
            <w:pPr>
              <w:spacing w:line="360" w:lineRule="auto"/>
              <w:rPr>
                <w:rFonts w:ascii="新宋体" w:hAnsi="新宋体" w:eastAsia="新宋体" w:cs="新宋体"/>
                <w:b/>
                <w:bCs/>
                <w:color w:val="auto"/>
                <w:sz w:val="22"/>
                <w:szCs w:val="22"/>
                <w:highlight w:val="none"/>
              </w:rPr>
            </w:pPr>
          </w:p>
        </w:tc>
        <w:tc>
          <w:tcPr>
            <w:tcW w:w="2603" w:type="dxa"/>
            <w:vAlign w:val="center"/>
          </w:tcPr>
          <w:p w14:paraId="10B25D59">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134AAAA0">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3E84FD8C">
            <w:pPr>
              <w:spacing w:line="360" w:lineRule="auto"/>
              <w:jc w:val="center"/>
              <w:rPr>
                <w:rFonts w:ascii="新宋体" w:hAnsi="新宋体" w:eastAsia="新宋体" w:cs="新宋体"/>
                <w:b/>
                <w:bCs/>
                <w:color w:val="auto"/>
                <w:sz w:val="22"/>
                <w:szCs w:val="22"/>
                <w:highlight w:val="none"/>
              </w:rPr>
            </w:pPr>
          </w:p>
        </w:tc>
        <w:tc>
          <w:tcPr>
            <w:tcW w:w="1219" w:type="dxa"/>
          </w:tcPr>
          <w:p w14:paraId="43AC7705">
            <w:pPr>
              <w:rPr>
                <w:rFonts w:ascii="新宋体" w:hAnsi="新宋体" w:eastAsia="新宋体" w:cs="新宋体"/>
                <w:color w:val="auto"/>
                <w:sz w:val="22"/>
                <w:szCs w:val="22"/>
                <w:highlight w:val="none"/>
              </w:rPr>
            </w:pPr>
          </w:p>
        </w:tc>
      </w:tr>
      <w:tr w14:paraId="21036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4AB9D476">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57F1A62A">
            <w:pPr>
              <w:spacing w:line="360" w:lineRule="auto"/>
              <w:rPr>
                <w:rFonts w:ascii="新宋体" w:hAnsi="新宋体" w:eastAsia="新宋体" w:cs="新宋体"/>
                <w:b/>
                <w:bCs/>
                <w:color w:val="auto"/>
                <w:sz w:val="22"/>
                <w:szCs w:val="22"/>
                <w:highlight w:val="none"/>
              </w:rPr>
            </w:pPr>
          </w:p>
        </w:tc>
        <w:tc>
          <w:tcPr>
            <w:tcW w:w="2603" w:type="dxa"/>
            <w:vAlign w:val="center"/>
          </w:tcPr>
          <w:p w14:paraId="3EE8B64A">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2E2267C6">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4F1C0A14">
            <w:pPr>
              <w:spacing w:line="360" w:lineRule="auto"/>
              <w:jc w:val="center"/>
              <w:rPr>
                <w:rFonts w:ascii="新宋体" w:hAnsi="新宋体" w:eastAsia="新宋体" w:cs="新宋体"/>
                <w:b/>
                <w:bCs/>
                <w:color w:val="auto"/>
                <w:sz w:val="22"/>
                <w:szCs w:val="22"/>
                <w:highlight w:val="none"/>
              </w:rPr>
            </w:pPr>
          </w:p>
        </w:tc>
        <w:tc>
          <w:tcPr>
            <w:tcW w:w="1219" w:type="dxa"/>
          </w:tcPr>
          <w:p w14:paraId="4C6EBBAD">
            <w:pPr>
              <w:rPr>
                <w:rFonts w:ascii="新宋体" w:hAnsi="新宋体" w:eastAsia="新宋体" w:cs="新宋体"/>
                <w:color w:val="auto"/>
                <w:sz w:val="22"/>
                <w:szCs w:val="22"/>
                <w:highlight w:val="none"/>
              </w:rPr>
            </w:pPr>
          </w:p>
        </w:tc>
      </w:tr>
      <w:tr w14:paraId="5BCC9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2F89E801">
            <w:pPr>
              <w:spacing w:line="360" w:lineRule="auto"/>
              <w:jc w:val="center"/>
              <w:rPr>
                <w:rFonts w:ascii="新宋体" w:hAnsi="新宋体" w:eastAsia="新宋体" w:cs="新宋体"/>
                <w:color w:val="auto"/>
                <w:sz w:val="22"/>
                <w:szCs w:val="22"/>
                <w:highlight w:val="none"/>
              </w:rPr>
            </w:pPr>
          </w:p>
        </w:tc>
        <w:tc>
          <w:tcPr>
            <w:tcW w:w="1692" w:type="dxa"/>
            <w:vAlign w:val="center"/>
          </w:tcPr>
          <w:p w14:paraId="6CCB431B">
            <w:pPr>
              <w:spacing w:line="360" w:lineRule="auto"/>
              <w:rPr>
                <w:rFonts w:ascii="新宋体" w:hAnsi="新宋体" w:eastAsia="新宋体" w:cs="新宋体"/>
                <w:color w:val="auto"/>
                <w:sz w:val="22"/>
                <w:szCs w:val="22"/>
                <w:highlight w:val="none"/>
              </w:rPr>
            </w:pPr>
          </w:p>
        </w:tc>
        <w:tc>
          <w:tcPr>
            <w:tcW w:w="2603" w:type="dxa"/>
            <w:vAlign w:val="center"/>
          </w:tcPr>
          <w:p w14:paraId="25D2B56A">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5A95E48E">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205F17D3">
            <w:pPr>
              <w:spacing w:line="360" w:lineRule="auto"/>
              <w:jc w:val="center"/>
              <w:rPr>
                <w:rFonts w:ascii="新宋体" w:hAnsi="新宋体" w:eastAsia="新宋体" w:cs="新宋体"/>
                <w:b/>
                <w:bCs/>
                <w:color w:val="auto"/>
                <w:sz w:val="22"/>
                <w:szCs w:val="22"/>
                <w:highlight w:val="none"/>
              </w:rPr>
            </w:pPr>
          </w:p>
        </w:tc>
        <w:tc>
          <w:tcPr>
            <w:tcW w:w="1219" w:type="dxa"/>
          </w:tcPr>
          <w:p w14:paraId="57EA6D7D">
            <w:pPr>
              <w:rPr>
                <w:rFonts w:ascii="新宋体" w:hAnsi="新宋体" w:eastAsia="新宋体" w:cs="新宋体"/>
                <w:color w:val="auto"/>
                <w:sz w:val="22"/>
                <w:szCs w:val="22"/>
                <w:highlight w:val="none"/>
              </w:rPr>
            </w:pPr>
          </w:p>
        </w:tc>
      </w:tr>
      <w:tr w14:paraId="4048D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2FB04B40">
            <w:pPr>
              <w:spacing w:line="360" w:lineRule="auto"/>
              <w:rPr>
                <w:rFonts w:ascii="新宋体" w:hAnsi="新宋体" w:eastAsia="新宋体" w:cs="新宋体"/>
                <w:color w:val="auto"/>
                <w:sz w:val="22"/>
                <w:szCs w:val="22"/>
                <w:highlight w:val="none"/>
              </w:rPr>
            </w:pPr>
          </w:p>
        </w:tc>
        <w:tc>
          <w:tcPr>
            <w:tcW w:w="1692" w:type="dxa"/>
            <w:vAlign w:val="center"/>
          </w:tcPr>
          <w:p w14:paraId="6F84F481">
            <w:pPr>
              <w:spacing w:line="360" w:lineRule="auto"/>
              <w:rPr>
                <w:rFonts w:ascii="新宋体" w:hAnsi="新宋体" w:eastAsia="新宋体" w:cs="新宋体"/>
                <w:color w:val="auto"/>
                <w:sz w:val="22"/>
                <w:szCs w:val="22"/>
                <w:highlight w:val="none"/>
              </w:rPr>
            </w:pPr>
          </w:p>
        </w:tc>
        <w:tc>
          <w:tcPr>
            <w:tcW w:w="2603" w:type="dxa"/>
            <w:vAlign w:val="center"/>
          </w:tcPr>
          <w:p w14:paraId="382F04E4">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22FD12DB">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00899A1D">
            <w:pPr>
              <w:spacing w:line="360" w:lineRule="auto"/>
              <w:jc w:val="center"/>
              <w:rPr>
                <w:rFonts w:ascii="新宋体" w:hAnsi="新宋体" w:eastAsia="新宋体" w:cs="新宋体"/>
                <w:b/>
                <w:bCs/>
                <w:color w:val="auto"/>
                <w:sz w:val="22"/>
                <w:szCs w:val="22"/>
                <w:highlight w:val="none"/>
              </w:rPr>
            </w:pPr>
          </w:p>
        </w:tc>
        <w:tc>
          <w:tcPr>
            <w:tcW w:w="1219" w:type="dxa"/>
          </w:tcPr>
          <w:p w14:paraId="0255FCA1">
            <w:pPr>
              <w:rPr>
                <w:rFonts w:ascii="新宋体" w:hAnsi="新宋体" w:eastAsia="新宋体" w:cs="新宋体"/>
                <w:color w:val="auto"/>
                <w:sz w:val="22"/>
                <w:szCs w:val="22"/>
                <w:highlight w:val="none"/>
              </w:rPr>
            </w:pPr>
          </w:p>
        </w:tc>
      </w:tr>
      <w:tr w14:paraId="48164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0ADBE94B">
            <w:pPr>
              <w:spacing w:line="360" w:lineRule="auto"/>
              <w:jc w:val="center"/>
              <w:rPr>
                <w:rFonts w:ascii="新宋体" w:hAnsi="新宋体" w:eastAsia="新宋体" w:cs="新宋体"/>
                <w:b/>
                <w:bCs/>
                <w:color w:val="auto"/>
                <w:sz w:val="22"/>
                <w:szCs w:val="22"/>
                <w:highlight w:val="none"/>
              </w:rPr>
            </w:pPr>
          </w:p>
        </w:tc>
        <w:tc>
          <w:tcPr>
            <w:tcW w:w="1692" w:type="dxa"/>
          </w:tcPr>
          <w:p w14:paraId="091FECCD">
            <w:pPr>
              <w:spacing w:line="360" w:lineRule="auto"/>
              <w:rPr>
                <w:rFonts w:ascii="新宋体" w:hAnsi="新宋体" w:eastAsia="新宋体" w:cs="新宋体"/>
                <w:color w:val="auto"/>
                <w:sz w:val="22"/>
                <w:szCs w:val="22"/>
                <w:highlight w:val="none"/>
              </w:rPr>
            </w:pPr>
          </w:p>
        </w:tc>
        <w:tc>
          <w:tcPr>
            <w:tcW w:w="2603" w:type="dxa"/>
            <w:vAlign w:val="center"/>
          </w:tcPr>
          <w:p w14:paraId="7C986070">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5C2BBFEC">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5F854F49">
            <w:pPr>
              <w:spacing w:line="360" w:lineRule="auto"/>
              <w:jc w:val="center"/>
              <w:rPr>
                <w:rFonts w:ascii="新宋体" w:hAnsi="新宋体" w:eastAsia="新宋体" w:cs="新宋体"/>
                <w:b/>
                <w:bCs/>
                <w:color w:val="auto"/>
                <w:sz w:val="22"/>
                <w:szCs w:val="22"/>
                <w:highlight w:val="none"/>
              </w:rPr>
            </w:pPr>
          </w:p>
        </w:tc>
        <w:tc>
          <w:tcPr>
            <w:tcW w:w="1219" w:type="dxa"/>
          </w:tcPr>
          <w:p w14:paraId="2B398A5B">
            <w:pPr>
              <w:rPr>
                <w:rFonts w:ascii="新宋体" w:hAnsi="新宋体" w:eastAsia="新宋体" w:cs="新宋体"/>
                <w:color w:val="auto"/>
                <w:sz w:val="22"/>
                <w:szCs w:val="22"/>
                <w:highlight w:val="none"/>
              </w:rPr>
            </w:pPr>
          </w:p>
        </w:tc>
      </w:tr>
    </w:tbl>
    <w:p w14:paraId="4DEBD78C">
      <w:pPr>
        <w:pStyle w:val="28"/>
        <w:spacing w:line="400" w:lineRule="atLeast"/>
        <w:rPr>
          <w:rFonts w:ascii="新宋体" w:hAnsi="新宋体" w:eastAsia="新宋体" w:cs="新宋体"/>
          <w:color w:val="auto"/>
          <w:sz w:val="22"/>
          <w:szCs w:val="22"/>
          <w:highlight w:val="none"/>
        </w:rPr>
      </w:pPr>
    </w:p>
    <w:p w14:paraId="59737BD9">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20ABB60B">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023A2623">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65ECED10">
      <w:pPr>
        <w:bidi w:val="0"/>
        <w:rPr>
          <w:color w:val="auto"/>
          <w:highlight w:val="none"/>
        </w:rPr>
      </w:pPr>
    </w:p>
    <w:p w14:paraId="68C5A678">
      <w:pPr>
        <w:rPr>
          <w:rFonts w:ascii="新宋体" w:hAnsi="新宋体" w:eastAsia="新宋体" w:cs="新宋体"/>
          <w:color w:val="auto"/>
          <w:highlight w:val="none"/>
        </w:rPr>
      </w:pPr>
    </w:p>
    <w:p w14:paraId="7DC4CE91">
      <w:pPr>
        <w:pStyle w:val="9"/>
        <w:ind w:firstLine="400"/>
        <w:rPr>
          <w:rFonts w:ascii="新宋体" w:hAnsi="新宋体" w:eastAsia="新宋体" w:cs="新宋体"/>
          <w:color w:val="auto"/>
          <w:highlight w:val="none"/>
        </w:rPr>
      </w:pPr>
    </w:p>
    <w:p w14:paraId="00FC0E4B">
      <w:pPr>
        <w:rPr>
          <w:rFonts w:ascii="新宋体" w:hAnsi="新宋体" w:eastAsia="新宋体" w:cs="新宋体"/>
          <w:color w:val="auto"/>
          <w:sz w:val="22"/>
          <w:szCs w:val="22"/>
          <w:highlight w:val="none"/>
        </w:rPr>
      </w:pPr>
    </w:p>
    <w:p w14:paraId="0FF18E18">
      <w:pPr>
        <w:spacing w:line="420" w:lineRule="exact"/>
        <w:jc w:val="left"/>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7</w:t>
      </w:r>
      <w:r>
        <w:rPr>
          <w:rFonts w:hint="eastAsia" w:ascii="新宋体" w:hAnsi="新宋体" w:eastAsia="新宋体" w:cs="新宋体"/>
          <w:b/>
          <w:bCs/>
          <w:color w:val="auto"/>
          <w:sz w:val="28"/>
          <w:szCs w:val="28"/>
          <w:highlight w:val="none"/>
          <w:lang w:val="zh-CN" w:eastAsia="zh-CN"/>
        </w:rPr>
        <w:t>、提供食品药品监督管理部门核发的完整有效的医疗器械注册或备案证明</w:t>
      </w:r>
      <w:r>
        <w:rPr>
          <w:rFonts w:hint="eastAsia" w:ascii="新宋体" w:hAnsi="新宋体" w:eastAsia="新宋体" w:cs="新宋体"/>
          <w:b/>
          <w:bCs/>
          <w:color w:val="auto"/>
          <w:sz w:val="28"/>
          <w:szCs w:val="28"/>
          <w:highlight w:val="none"/>
          <w:lang w:val="en-US" w:eastAsia="zh-CN"/>
        </w:rPr>
        <w:t>等</w:t>
      </w:r>
      <w:r>
        <w:rPr>
          <w:rFonts w:hint="eastAsia" w:ascii="新宋体" w:hAnsi="新宋体" w:eastAsia="新宋体" w:cs="新宋体"/>
          <w:b/>
          <w:bCs/>
          <w:color w:val="auto"/>
          <w:sz w:val="28"/>
          <w:szCs w:val="28"/>
          <w:highlight w:val="none"/>
          <w:lang w:val="zh-CN" w:eastAsia="zh-CN"/>
        </w:rPr>
        <w:t>销售许可文件；（适用于按医疗器械管理的设备）</w:t>
      </w:r>
    </w:p>
    <w:p w14:paraId="0ED14C8D">
      <w:pPr>
        <w:spacing w:line="460" w:lineRule="exact"/>
        <w:jc w:val="left"/>
        <w:outlineLvl w:val="9"/>
        <w:rPr>
          <w:rFonts w:hint="eastAsia" w:ascii="新宋体" w:hAnsi="新宋体" w:eastAsia="新宋体" w:cs="新宋体"/>
          <w:b/>
          <w:bCs/>
          <w:color w:val="auto"/>
          <w:sz w:val="24"/>
          <w:highlight w:val="none"/>
        </w:rPr>
      </w:pPr>
    </w:p>
    <w:p w14:paraId="3AFC8A24">
      <w:pPr>
        <w:spacing w:line="460" w:lineRule="exact"/>
        <w:rPr>
          <w:rFonts w:hint="eastAsia" w:ascii="新宋体" w:hAnsi="新宋体" w:eastAsia="新宋体" w:cs="新宋体"/>
          <w:color w:val="auto"/>
          <w:sz w:val="22"/>
          <w:szCs w:val="22"/>
          <w:highlight w:val="none"/>
        </w:rPr>
      </w:pPr>
    </w:p>
    <w:p w14:paraId="3BB9FA5F">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1E593621">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8</w:t>
      </w:r>
      <w:r>
        <w:rPr>
          <w:rFonts w:hint="eastAsia" w:ascii="新宋体" w:hAnsi="新宋体" w:eastAsia="新宋体" w:cs="新宋体"/>
          <w:b/>
          <w:bCs/>
          <w:color w:val="auto"/>
          <w:sz w:val="28"/>
          <w:szCs w:val="28"/>
          <w:highlight w:val="none"/>
          <w:lang w:val="zh-CN" w:eastAsia="zh-CN"/>
        </w:rPr>
        <w:t>、偏离表（</w:t>
      </w:r>
      <w:r>
        <w:rPr>
          <w:rFonts w:hint="eastAsia" w:ascii="新宋体" w:hAnsi="新宋体" w:eastAsia="新宋体" w:cs="新宋体"/>
          <w:b/>
          <w:bCs/>
          <w:color w:val="auto"/>
          <w:sz w:val="28"/>
          <w:szCs w:val="28"/>
          <w:highlight w:val="none"/>
          <w:lang w:val="en-US" w:eastAsia="zh-CN"/>
        </w:rPr>
        <w:t>商务、技术偏离</w:t>
      </w:r>
      <w:r>
        <w:rPr>
          <w:rFonts w:hint="eastAsia" w:ascii="新宋体" w:hAnsi="新宋体" w:eastAsia="新宋体" w:cs="新宋体"/>
          <w:b/>
          <w:bCs/>
          <w:color w:val="auto"/>
          <w:sz w:val="28"/>
          <w:szCs w:val="28"/>
          <w:highlight w:val="none"/>
          <w:lang w:val="zh-CN" w:eastAsia="zh-CN"/>
        </w:rPr>
        <w:t>）</w:t>
      </w:r>
    </w:p>
    <w:p w14:paraId="48EA04F0">
      <w:pPr>
        <w:spacing w:line="560" w:lineRule="exact"/>
        <w:jc w:val="center"/>
        <w:rPr>
          <w:rFonts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（设备技术规格及配置应对于</w:t>
      </w:r>
      <w:r>
        <w:rPr>
          <w:rFonts w:hint="eastAsia" w:ascii="新宋体" w:hAnsi="新宋体" w:eastAsia="新宋体" w:cs="新宋体"/>
          <w:b/>
          <w:bCs/>
          <w:color w:val="auto"/>
          <w:sz w:val="22"/>
          <w:szCs w:val="22"/>
          <w:highlight w:val="none"/>
          <w:lang w:eastAsia="zh-CN"/>
        </w:rPr>
        <w:t>采购</w:t>
      </w:r>
      <w:r>
        <w:rPr>
          <w:rFonts w:hint="eastAsia" w:ascii="新宋体" w:hAnsi="新宋体" w:eastAsia="新宋体" w:cs="新宋体"/>
          <w:b/>
          <w:bCs/>
          <w:color w:val="auto"/>
          <w:sz w:val="22"/>
          <w:szCs w:val="22"/>
          <w:highlight w:val="none"/>
        </w:rPr>
        <w:t>文件中“设备技术规格及配置”要求，逐项自行编制偏离情况）</w:t>
      </w:r>
    </w:p>
    <w:p w14:paraId="44B337CB">
      <w:pPr>
        <w:spacing w:line="360" w:lineRule="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p>
    <w:p w14:paraId="4501DE8D">
      <w:pPr>
        <w:bidi w:val="0"/>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项目名称：</w:t>
      </w:r>
    </w:p>
    <w:tbl>
      <w:tblPr>
        <w:tblStyle w:val="53"/>
        <w:tblW w:w="96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3687"/>
        <w:gridCol w:w="3402"/>
        <w:gridCol w:w="1580"/>
      </w:tblGrid>
      <w:tr w14:paraId="23933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91" w:type="dxa"/>
            <w:shd w:val="clear" w:color="auto" w:fill="FFFFFF"/>
            <w:vAlign w:val="center"/>
          </w:tcPr>
          <w:p w14:paraId="5B50756C">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  号</w:t>
            </w:r>
          </w:p>
        </w:tc>
        <w:tc>
          <w:tcPr>
            <w:tcW w:w="3687" w:type="dxa"/>
            <w:shd w:val="clear" w:color="auto" w:fill="FFFFFF"/>
            <w:vAlign w:val="center"/>
          </w:tcPr>
          <w:p w14:paraId="02611E7D">
            <w:pPr>
              <w:jc w:val="center"/>
              <w:rPr>
                <w:rFonts w:hint="eastAsia" w:ascii="新宋体" w:hAnsi="新宋体" w:eastAsia="新宋体" w:cs="新宋体"/>
                <w:b/>
                <w:color w:val="auto"/>
                <w:sz w:val="22"/>
                <w:szCs w:val="22"/>
                <w:highlight w:val="none"/>
                <w:lang w:eastAsia="zh-CN"/>
              </w:rPr>
            </w:pPr>
            <w:r>
              <w:rPr>
                <w:rFonts w:hint="eastAsia" w:ascii="新宋体" w:hAnsi="新宋体" w:eastAsia="新宋体" w:cs="新宋体"/>
                <w:b/>
                <w:color w:val="auto"/>
                <w:sz w:val="22"/>
                <w:szCs w:val="22"/>
                <w:highlight w:val="none"/>
                <w:lang w:eastAsia="zh-CN"/>
              </w:rPr>
              <w:t>采购文件</w:t>
            </w:r>
          </w:p>
          <w:p w14:paraId="7861F344">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规格要求</w:t>
            </w:r>
          </w:p>
        </w:tc>
        <w:tc>
          <w:tcPr>
            <w:tcW w:w="3402" w:type="dxa"/>
            <w:shd w:val="clear" w:color="auto" w:fill="FFFFFF"/>
            <w:vAlign w:val="center"/>
          </w:tcPr>
          <w:p w14:paraId="6D262E1F">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投标文件</w:t>
            </w:r>
          </w:p>
          <w:p w14:paraId="08AA5976">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对应规格</w:t>
            </w:r>
          </w:p>
        </w:tc>
        <w:tc>
          <w:tcPr>
            <w:tcW w:w="1580" w:type="dxa"/>
            <w:shd w:val="clear" w:color="auto" w:fill="FFFFFF"/>
            <w:vAlign w:val="center"/>
          </w:tcPr>
          <w:p w14:paraId="2FE711F2">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说   明</w:t>
            </w:r>
          </w:p>
          <w:p w14:paraId="3CD35F84">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（偏离情况）</w:t>
            </w:r>
          </w:p>
        </w:tc>
      </w:tr>
      <w:tr w14:paraId="13309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91" w:type="dxa"/>
            <w:vAlign w:val="center"/>
          </w:tcPr>
          <w:p w14:paraId="4E9F8535">
            <w:pPr>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tc>
        <w:tc>
          <w:tcPr>
            <w:tcW w:w="3687" w:type="dxa"/>
            <w:vAlign w:val="center"/>
          </w:tcPr>
          <w:p w14:paraId="5B6A111D">
            <w:pPr>
              <w:jc w:val="center"/>
              <w:rPr>
                <w:rFonts w:hint="eastAsia" w:ascii="新宋体" w:hAnsi="新宋体" w:eastAsia="新宋体" w:cs="新宋体"/>
                <w:color w:val="auto"/>
                <w:sz w:val="22"/>
                <w:szCs w:val="22"/>
                <w:highlight w:val="none"/>
              </w:rPr>
            </w:pPr>
          </w:p>
        </w:tc>
        <w:tc>
          <w:tcPr>
            <w:tcW w:w="3402" w:type="dxa"/>
            <w:vAlign w:val="center"/>
          </w:tcPr>
          <w:p w14:paraId="4AB3E45C">
            <w:pPr>
              <w:jc w:val="center"/>
              <w:rPr>
                <w:rFonts w:hint="eastAsia" w:ascii="新宋体" w:hAnsi="新宋体" w:eastAsia="新宋体" w:cs="新宋体"/>
                <w:color w:val="auto"/>
                <w:sz w:val="22"/>
                <w:szCs w:val="22"/>
                <w:highlight w:val="none"/>
              </w:rPr>
            </w:pPr>
          </w:p>
        </w:tc>
        <w:tc>
          <w:tcPr>
            <w:tcW w:w="1580" w:type="dxa"/>
            <w:vAlign w:val="center"/>
          </w:tcPr>
          <w:p w14:paraId="3E2EF15B">
            <w:pPr>
              <w:jc w:val="center"/>
              <w:rPr>
                <w:rFonts w:hint="eastAsia" w:ascii="新宋体" w:hAnsi="新宋体" w:eastAsia="新宋体" w:cs="新宋体"/>
                <w:color w:val="auto"/>
                <w:sz w:val="22"/>
                <w:szCs w:val="22"/>
                <w:highlight w:val="none"/>
              </w:rPr>
            </w:pPr>
          </w:p>
        </w:tc>
      </w:tr>
      <w:tr w14:paraId="63EC2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7C682397">
            <w:pPr>
              <w:jc w:val="center"/>
              <w:rPr>
                <w:rFonts w:hint="eastAsia" w:ascii="新宋体" w:hAnsi="新宋体" w:eastAsia="新宋体" w:cs="新宋体"/>
                <w:color w:val="auto"/>
                <w:sz w:val="22"/>
                <w:szCs w:val="22"/>
                <w:highlight w:val="none"/>
              </w:rPr>
            </w:pPr>
          </w:p>
        </w:tc>
        <w:tc>
          <w:tcPr>
            <w:tcW w:w="3687" w:type="dxa"/>
            <w:vAlign w:val="center"/>
          </w:tcPr>
          <w:p w14:paraId="0305E6D8">
            <w:pPr>
              <w:jc w:val="center"/>
              <w:rPr>
                <w:rFonts w:hint="eastAsia" w:ascii="新宋体" w:hAnsi="新宋体" w:eastAsia="新宋体" w:cs="新宋体"/>
                <w:color w:val="auto"/>
                <w:sz w:val="22"/>
                <w:szCs w:val="22"/>
                <w:highlight w:val="none"/>
              </w:rPr>
            </w:pPr>
          </w:p>
        </w:tc>
        <w:tc>
          <w:tcPr>
            <w:tcW w:w="3402" w:type="dxa"/>
            <w:vAlign w:val="center"/>
          </w:tcPr>
          <w:p w14:paraId="02DEF27D">
            <w:pPr>
              <w:jc w:val="center"/>
              <w:rPr>
                <w:rFonts w:hint="eastAsia" w:ascii="新宋体" w:hAnsi="新宋体" w:eastAsia="新宋体" w:cs="新宋体"/>
                <w:color w:val="auto"/>
                <w:sz w:val="22"/>
                <w:szCs w:val="22"/>
                <w:highlight w:val="none"/>
              </w:rPr>
            </w:pPr>
          </w:p>
        </w:tc>
        <w:tc>
          <w:tcPr>
            <w:tcW w:w="1580" w:type="dxa"/>
            <w:vAlign w:val="center"/>
          </w:tcPr>
          <w:p w14:paraId="42B710FE">
            <w:pPr>
              <w:jc w:val="center"/>
              <w:rPr>
                <w:rFonts w:hint="eastAsia" w:ascii="新宋体" w:hAnsi="新宋体" w:eastAsia="新宋体" w:cs="新宋体"/>
                <w:color w:val="auto"/>
                <w:sz w:val="22"/>
                <w:szCs w:val="22"/>
                <w:highlight w:val="none"/>
              </w:rPr>
            </w:pPr>
          </w:p>
        </w:tc>
      </w:tr>
      <w:tr w14:paraId="42DC9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15957B8F">
            <w:pPr>
              <w:jc w:val="center"/>
              <w:rPr>
                <w:rFonts w:hint="eastAsia" w:ascii="新宋体" w:hAnsi="新宋体" w:eastAsia="新宋体" w:cs="新宋体"/>
                <w:color w:val="auto"/>
                <w:sz w:val="22"/>
                <w:szCs w:val="22"/>
                <w:highlight w:val="none"/>
              </w:rPr>
            </w:pPr>
          </w:p>
        </w:tc>
        <w:tc>
          <w:tcPr>
            <w:tcW w:w="3687" w:type="dxa"/>
            <w:vAlign w:val="center"/>
          </w:tcPr>
          <w:p w14:paraId="1D375B53">
            <w:pPr>
              <w:jc w:val="center"/>
              <w:rPr>
                <w:rFonts w:hint="eastAsia" w:ascii="新宋体" w:hAnsi="新宋体" w:eastAsia="新宋体" w:cs="新宋体"/>
                <w:color w:val="auto"/>
                <w:sz w:val="22"/>
                <w:szCs w:val="22"/>
                <w:highlight w:val="none"/>
              </w:rPr>
            </w:pPr>
          </w:p>
        </w:tc>
        <w:tc>
          <w:tcPr>
            <w:tcW w:w="3402" w:type="dxa"/>
            <w:vAlign w:val="center"/>
          </w:tcPr>
          <w:p w14:paraId="7E7E9357">
            <w:pPr>
              <w:jc w:val="center"/>
              <w:rPr>
                <w:rFonts w:hint="eastAsia" w:ascii="新宋体" w:hAnsi="新宋体" w:eastAsia="新宋体" w:cs="新宋体"/>
                <w:color w:val="auto"/>
                <w:sz w:val="22"/>
                <w:szCs w:val="22"/>
                <w:highlight w:val="none"/>
              </w:rPr>
            </w:pPr>
          </w:p>
        </w:tc>
        <w:tc>
          <w:tcPr>
            <w:tcW w:w="1580" w:type="dxa"/>
            <w:vAlign w:val="center"/>
          </w:tcPr>
          <w:p w14:paraId="679E42F5">
            <w:pPr>
              <w:jc w:val="center"/>
              <w:rPr>
                <w:rFonts w:hint="eastAsia" w:ascii="新宋体" w:hAnsi="新宋体" w:eastAsia="新宋体" w:cs="新宋体"/>
                <w:color w:val="auto"/>
                <w:sz w:val="22"/>
                <w:szCs w:val="22"/>
                <w:highlight w:val="none"/>
              </w:rPr>
            </w:pPr>
          </w:p>
        </w:tc>
      </w:tr>
      <w:tr w14:paraId="0DE9E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57881B32">
            <w:pPr>
              <w:jc w:val="center"/>
              <w:rPr>
                <w:rFonts w:hint="eastAsia" w:ascii="新宋体" w:hAnsi="新宋体" w:eastAsia="新宋体" w:cs="新宋体"/>
                <w:color w:val="auto"/>
                <w:sz w:val="22"/>
                <w:szCs w:val="22"/>
                <w:highlight w:val="none"/>
              </w:rPr>
            </w:pPr>
          </w:p>
        </w:tc>
        <w:tc>
          <w:tcPr>
            <w:tcW w:w="3687" w:type="dxa"/>
            <w:vAlign w:val="center"/>
          </w:tcPr>
          <w:p w14:paraId="09108E74">
            <w:pPr>
              <w:jc w:val="center"/>
              <w:rPr>
                <w:rFonts w:hint="eastAsia" w:ascii="新宋体" w:hAnsi="新宋体" w:eastAsia="新宋体" w:cs="新宋体"/>
                <w:color w:val="auto"/>
                <w:sz w:val="22"/>
                <w:szCs w:val="22"/>
                <w:highlight w:val="none"/>
              </w:rPr>
            </w:pPr>
          </w:p>
        </w:tc>
        <w:tc>
          <w:tcPr>
            <w:tcW w:w="3402" w:type="dxa"/>
            <w:vAlign w:val="center"/>
          </w:tcPr>
          <w:p w14:paraId="44455C4B">
            <w:pPr>
              <w:jc w:val="center"/>
              <w:rPr>
                <w:rFonts w:hint="eastAsia" w:ascii="新宋体" w:hAnsi="新宋体" w:eastAsia="新宋体" w:cs="新宋体"/>
                <w:color w:val="auto"/>
                <w:sz w:val="22"/>
                <w:szCs w:val="22"/>
                <w:highlight w:val="none"/>
              </w:rPr>
            </w:pPr>
          </w:p>
        </w:tc>
        <w:tc>
          <w:tcPr>
            <w:tcW w:w="1580" w:type="dxa"/>
            <w:vAlign w:val="center"/>
          </w:tcPr>
          <w:p w14:paraId="0CF190BD">
            <w:pPr>
              <w:jc w:val="center"/>
              <w:rPr>
                <w:rFonts w:hint="eastAsia" w:ascii="新宋体" w:hAnsi="新宋体" w:eastAsia="新宋体" w:cs="新宋体"/>
                <w:color w:val="auto"/>
                <w:sz w:val="22"/>
                <w:szCs w:val="22"/>
                <w:highlight w:val="none"/>
              </w:rPr>
            </w:pPr>
          </w:p>
        </w:tc>
      </w:tr>
      <w:tr w14:paraId="2A513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2FBC332B">
            <w:pPr>
              <w:jc w:val="center"/>
              <w:rPr>
                <w:rFonts w:hint="eastAsia" w:ascii="新宋体" w:hAnsi="新宋体" w:eastAsia="新宋体" w:cs="新宋体"/>
                <w:color w:val="auto"/>
                <w:sz w:val="22"/>
                <w:szCs w:val="22"/>
                <w:highlight w:val="none"/>
              </w:rPr>
            </w:pPr>
          </w:p>
        </w:tc>
        <w:tc>
          <w:tcPr>
            <w:tcW w:w="3687" w:type="dxa"/>
            <w:vAlign w:val="center"/>
          </w:tcPr>
          <w:p w14:paraId="6CE0D7EB">
            <w:pPr>
              <w:jc w:val="center"/>
              <w:rPr>
                <w:rFonts w:hint="eastAsia" w:ascii="新宋体" w:hAnsi="新宋体" w:eastAsia="新宋体" w:cs="新宋体"/>
                <w:color w:val="auto"/>
                <w:sz w:val="22"/>
                <w:szCs w:val="22"/>
                <w:highlight w:val="none"/>
              </w:rPr>
            </w:pPr>
          </w:p>
        </w:tc>
        <w:tc>
          <w:tcPr>
            <w:tcW w:w="3402" w:type="dxa"/>
            <w:vAlign w:val="center"/>
          </w:tcPr>
          <w:p w14:paraId="589E1A36">
            <w:pPr>
              <w:jc w:val="center"/>
              <w:rPr>
                <w:rFonts w:hint="eastAsia" w:ascii="新宋体" w:hAnsi="新宋体" w:eastAsia="新宋体" w:cs="新宋体"/>
                <w:color w:val="auto"/>
                <w:sz w:val="22"/>
                <w:szCs w:val="22"/>
                <w:highlight w:val="none"/>
              </w:rPr>
            </w:pPr>
          </w:p>
        </w:tc>
        <w:tc>
          <w:tcPr>
            <w:tcW w:w="1580" w:type="dxa"/>
            <w:vAlign w:val="center"/>
          </w:tcPr>
          <w:p w14:paraId="1F303AF2">
            <w:pPr>
              <w:jc w:val="center"/>
              <w:rPr>
                <w:rFonts w:hint="eastAsia" w:ascii="新宋体" w:hAnsi="新宋体" w:eastAsia="新宋体" w:cs="新宋体"/>
                <w:color w:val="auto"/>
                <w:sz w:val="22"/>
                <w:szCs w:val="22"/>
                <w:highlight w:val="none"/>
              </w:rPr>
            </w:pPr>
          </w:p>
        </w:tc>
      </w:tr>
      <w:tr w14:paraId="7DC0C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DBB99CE">
            <w:pPr>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tc>
        <w:tc>
          <w:tcPr>
            <w:tcW w:w="3687" w:type="dxa"/>
            <w:vAlign w:val="center"/>
          </w:tcPr>
          <w:p w14:paraId="22642A88">
            <w:pPr>
              <w:jc w:val="center"/>
              <w:rPr>
                <w:rFonts w:hint="eastAsia" w:ascii="新宋体" w:hAnsi="新宋体" w:eastAsia="新宋体" w:cs="新宋体"/>
                <w:color w:val="auto"/>
                <w:sz w:val="22"/>
                <w:szCs w:val="22"/>
                <w:highlight w:val="none"/>
              </w:rPr>
            </w:pPr>
          </w:p>
        </w:tc>
        <w:tc>
          <w:tcPr>
            <w:tcW w:w="3402" w:type="dxa"/>
            <w:vAlign w:val="center"/>
          </w:tcPr>
          <w:p w14:paraId="31B8A6E3">
            <w:pPr>
              <w:jc w:val="center"/>
              <w:rPr>
                <w:rFonts w:hint="eastAsia" w:ascii="新宋体" w:hAnsi="新宋体" w:eastAsia="新宋体" w:cs="新宋体"/>
                <w:color w:val="auto"/>
                <w:sz w:val="22"/>
                <w:szCs w:val="22"/>
                <w:highlight w:val="none"/>
              </w:rPr>
            </w:pPr>
          </w:p>
        </w:tc>
        <w:tc>
          <w:tcPr>
            <w:tcW w:w="1580" w:type="dxa"/>
            <w:vAlign w:val="center"/>
          </w:tcPr>
          <w:p w14:paraId="1C825F0F">
            <w:pPr>
              <w:jc w:val="center"/>
              <w:rPr>
                <w:rFonts w:hint="eastAsia" w:ascii="新宋体" w:hAnsi="新宋体" w:eastAsia="新宋体" w:cs="新宋体"/>
                <w:color w:val="auto"/>
                <w:sz w:val="22"/>
                <w:szCs w:val="22"/>
                <w:highlight w:val="none"/>
              </w:rPr>
            </w:pPr>
          </w:p>
        </w:tc>
      </w:tr>
      <w:tr w14:paraId="2A373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F4EBC3E">
            <w:pPr>
              <w:jc w:val="center"/>
              <w:rPr>
                <w:rFonts w:hint="eastAsia" w:ascii="新宋体" w:hAnsi="新宋体" w:eastAsia="新宋体" w:cs="新宋体"/>
                <w:color w:val="auto"/>
                <w:sz w:val="22"/>
                <w:szCs w:val="22"/>
                <w:highlight w:val="none"/>
              </w:rPr>
            </w:pPr>
          </w:p>
        </w:tc>
        <w:tc>
          <w:tcPr>
            <w:tcW w:w="3687" w:type="dxa"/>
            <w:vAlign w:val="center"/>
          </w:tcPr>
          <w:p w14:paraId="7D13526D">
            <w:pPr>
              <w:jc w:val="center"/>
              <w:rPr>
                <w:rFonts w:hint="eastAsia" w:ascii="新宋体" w:hAnsi="新宋体" w:eastAsia="新宋体" w:cs="新宋体"/>
                <w:color w:val="auto"/>
                <w:sz w:val="22"/>
                <w:szCs w:val="22"/>
                <w:highlight w:val="none"/>
              </w:rPr>
            </w:pPr>
          </w:p>
        </w:tc>
        <w:tc>
          <w:tcPr>
            <w:tcW w:w="3402" w:type="dxa"/>
            <w:vAlign w:val="center"/>
          </w:tcPr>
          <w:p w14:paraId="60F7E4CF">
            <w:pPr>
              <w:jc w:val="center"/>
              <w:rPr>
                <w:rFonts w:hint="eastAsia" w:ascii="新宋体" w:hAnsi="新宋体" w:eastAsia="新宋体" w:cs="新宋体"/>
                <w:color w:val="auto"/>
                <w:sz w:val="22"/>
                <w:szCs w:val="22"/>
                <w:highlight w:val="none"/>
              </w:rPr>
            </w:pPr>
          </w:p>
        </w:tc>
        <w:tc>
          <w:tcPr>
            <w:tcW w:w="1580" w:type="dxa"/>
            <w:vAlign w:val="center"/>
          </w:tcPr>
          <w:p w14:paraId="386CDF58">
            <w:pPr>
              <w:jc w:val="center"/>
              <w:rPr>
                <w:rFonts w:hint="eastAsia" w:ascii="新宋体" w:hAnsi="新宋体" w:eastAsia="新宋体" w:cs="新宋体"/>
                <w:color w:val="auto"/>
                <w:sz w:val="22"/>
                <w:szCs w:val="22"/>
                <w:highlight w:val="none"/>
              </w:rPr>
            </w:pPr>
          </w:p>
        </w:tc>
      </w:tr>
      <w:tr w14:paraId="6A2FC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84E8858">
            <w:pPr>
              <w:jc w:val="center"/>
              <w:rPr>
                <w:rFonts w:hint="eastAsia" w:ascii="新宋体" w:hAnsi="新宋体" w:eastAsia="新宋体" w:cs="新宋体"/>
                <w:color w:val="auto"/>
                <w:sz w:val="22"/>
                <w:szCs w:val="22"/>
                <w:highlight w:val="none"/>
              </w:rPr>
            </w:pPr>
          </w:p>
        </w:tc>
        <w:tc>
          <w:tcPr>
            <w:tcW w:w="3687" w:type="dxa"/>
            <w:vAlign w:val="center"/>
          </w:tcPr>
          <w:p w14:paraId="336D7C4A">
            <w:pPr>
              <w:jc w:val="center"/>
              <w:rPr>
                <w:rFonts w:hint="eastAsia" w:ascii="新宋体" w:hAnsi="新宋体" w:eastAsia="新宋体" w:cs="新宋体"/>
                <w:color w:val="auto"/>
                <w:sz w:val="22"/>
                <w:szCs w:val="22"/>
                <w:highlight w:val="none"/>
              </w:rPr>
            </w:pPr>
          </w:p>
        </w:tc>
        <w:tc>
          <w:tcPr>
            <w:tcW w:w="3402" w:type="dxa"/>
            <w:vAlign w:val="center"/>
          </w:tcPr>
          <w:p w14:paraId="4FB78EFD">
            <w:pPr>
              <w:jc w:val="center"/>
              <w:rPr>
                <w:rFonts w:hint="eastAsia" w:ascii="新宋体" w:hAnsi="新宋体" w:eastAsia="新宋体" w:cs="新宋体"/>
                <w:color w:val="auto"/>
                <w:sz w:val="22"/>
                <w:szCs w:val="22"/>
                <w:highlight w:val="none"/>
              </w:rPr>
            </w:pPr>
          </w:p>
        </w:tc>
        <w:tc>
          <w:tcPr>
            <w:tcW w:w="1580" w:type="dxa"/>
            <w:vAlign w:val="center"/>
          </w:tcPr>
          <w:p w14:paraId="49F01B73">
            <w:pPr>
              <w:jc w:val="center"/>
              <w:rPr>
                <w:rFonts w:hint="eastAsia" w:ascii="新宋体" w:hAnsi="新宋体" w:eastAsia="新宋体" w:cs="新宋体"/>
                <w:color w:val="auto"/>
                <w:sz w:val="22"/>
                <w:szCs w:val="22"/>
                <w:highlight w:val="none"/>
              </w:rPr>
            </w:pPr>
          </w:p>
        </w:tc>
      </w:tr>
      <w:tr w14:paraId="3243B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0FC7D7BB">
            <w:pPr>
              <w:jc w:val="center"/>
              <w:rPr>
                <w:rFonts w:hint="eastAsia" w:ascii="新宋体" w:hAnsi="新宋体" w:eastAsia="新宋体" w:cs="新宋体"/>
                <w:color w:val="auto"/>
                <w:sz w:val="22"/>
                <w:szCs w:val="22"/>
                <w:highlight w:val="none"/>
              </w:rPr>
            </w:pPr>
          </w:p>
        </w:tc>
        <w:tc>
          <w:tcPr>
            <w:tcW w:w="3687" w:type="dxa"/>
            <w:vAlign w:val="center"/>
          </w:tcPr>
          <w:p w14:paraId="31D1CAAE">
            <w:pPr>
              <w:jc w:val="center"/>
              <w:rPr>
                <w:rFonts w:hint="eastAsia" w:ascii="新宋体" w:hAnsi="新宋体" w:eastAsia="新宋体" w:cs="新宋体"/>
                <w:color w:val="auto"/>
                <w:sz w:val="22"/>
                <w:szCs w:val="22"/>
                <w:highlight w:val="none"/>
              </w:rPr>
            </w:pPr>
          </w:p>
        </w:tc>
        <w:tc>
          <w:tcPr>
            <w:tcW w:w="3402" w:type="dxa"/>
            <w:vAlign w:val="center"/>
          </w:tcPr>
          <w:p w14:paraId="44040E6C">
            <w:pPr>
              <w:jc w:val="center"/>
              <w:rPr>
                <w:rFonts w:hint="eastAsia" w:ascii="新宋体" w:hAnsi="新宋体" w:eastAsia="新宋体" w:cs="新宋体"/>
                <w:color w:val="auto"/>
                <w:sz w:val="22"/>
                <w:szCs w:val="22"/>
                <w:highlight w:val="none"/>
              </w:rPr>
            </w:pPr>
          </w:p>
        </w:tc>
        <w:tc>
          <w:tcPr>
            <w:tcW w:w="1580" w:type="dxa"/>
            <w:vAlign w:val="center"/>
          </w:tcPr>
          <w:p w14:paraId="23DCA6A5">
            <w:pPr>
              <w:jc w:val="center"/>
              <w:rPr>
                <w:rFonts w:hint="eastAsia" w:ascii="新宋体" w:hAnsi="新宋体" w:eastAsia="新宋体" w:cs="新宋体"/>
                <w:color w:val="auto"/>
                <w:sz w:val="22"/>
                <w:szCs w:val="22"/>
                <w:highlight w:val="none"/>
              </w:rPr>
            </w:pPr>
          </w:p>
        </w:tc>
      </w:tr>
      <w:tr w14:paraId="680D3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6A26ED68">
            <w:pPr>
              <w:jc w:val="center"/>
              <w:rPr>
                <w:rFonts w:hint="eastAsia" w:ascii="新宋体" w:hAnsi="新宋体" w:eastAsia="新宋体" w:cs="新宋体"/>
                <w:color w:val="auto"/>
                <w:sz w:val="22"/>
                <w:szCs w:val="22"/>
                <w:highlight w:val="none"/>
              </w:rPr>
            </w:pPr>
          </w:p>
        </w:tc>
        <w:tc>
          <w:tcPr>
            <w:tcW w:w="3687" w:type="dxa"/>
            <w:vAlign w:val="center"/>
          </w:tcPr>
          <w:p w14:paraId="63DD09CB">
            <w:pPr>
              <w:jc w:val="center"/>
              <w:rPr>
                <w:rFonts w:hint="eastAsia" w:ascii="新宋体" w:hAnsi="新宋体" w:eastAsia="新宋体" w:cs="新宋体"/>
                <w:color w:val="auto"/>
                <w:sz w:val="22"/>
                <w:szCs w:val="22"/>
                <w:highlight w:val="none"/>
              </w:rPr>
            </w:pPr>
          </w:p>
        </w:tc>
        <w:tc>
          <w:tcPr>
            <w:tcW w:w="3402" w:type="dxa"/>
            <w:vAlign w:val="center"/>
          </w:tcPr>
          <w:p w14:paraId="464DB693">
            <w:pPr>
              <w:jc w:val="center"/>
              <w:rPr>
                <w:rFonts w:hint="eastAsia" w:ascii="新宋体" w:hAnsi="新宋体" w:eastAsia="新宋体" w:cs="新宋体"/>
                <w:color w:val="auto"/>
                <w:sz w:val="22"/>
                <w:szCs w:val="22"/>
                <w:highlight w:val="none"/>
              </w:rPr>
            </w:pPr>
          </w:p>
        </w:tc>
        <w:tc>
          <w:tcPr>
            <w:tcW w:w="1580" w:type="dxa"/>
            <w:vAlign w:val="center"/>
          </w:tcPr>
          <w:p w14:paraId="34BA502D">
            <w:pPr>
              <w:jc w:val="center"/>
              <w:rPr>
                <w:rFonts w:hint="eastAsia" w:ascii="新宋体" w:hAnsi="新宋体" w:eastAsia="新宋体" w:cs="新宋体"/>
                <w:color w:val="auto"/>
                <w:sz w:val="22"/>
                <w:szCs w:val="22"/>
                <w:highlight w:val="none"/>
              </w:rPr>
            </w:pPr>
          </w:p>
        </w:tc>
      </w:tr>
    </w:tbl>
    <w:p w14:paraId="13A8184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注：如有偏离，必须在偏离表中进行详细对比说明并注明正偏离和负偏离，如不说明偏离情况，视为完全响应采购文件要求无偏离</w:t>
      </w:r>
    </w:p>
    <w:p w14:paraId="238395FA">
      <w:pPr>
        <w:spacing w:line="460" w:lineRule="exact"/>
        <w:ind w:firstLine="5060" w:firstLineChars="2300"/>
        <w:rPr>
          <w:rFonts w:hint="eastAsia" w:ascii="新宋体" w:hAnsi="新宋体" w:eastAsia="新宋体" w:cs="新宋体"/>
          <w:color w:val="auto"/>
          <w:sz w:val="22"/>
          <w:szCs w:val="22"/>
          <w:highlight w:val="none"/>
        </w:rPr>
      </w:pPr>
      <w:bookmarkStart w:id="47" w:name="_Toc415152386"/>
      <w:r>
        <w:rPr>
          <w:rFonts w:hint="eastAsia" w:ascii="新宋体" w:hAnsi="新宋体" w:eastAsia="新宋体" w:cs="新宋体"/>
          <w:color w:val="auto"/>
          <w:sz w:val="22"/>
          <w:szCs w:val="22"/>
          <w:highlight w:val="none"/>
        </w:rPr>
        <w:t>投标人全称（盖章）：</w:t>
      </w:r>
    </w:p>
    <w:p w14:paraId="6BC6A017">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6ACFC717">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688BFF39">
      <w:pPr>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4"/>
          <w:highlight w:val="none"/>
        </w:rPr>
        <w:br w:type="page"/>
      </w:r>
      <w:bookmarkEnd w:id="47"/>
    </w:p>
    <w:p w14:paraId="66C61758">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9、</w:t>
      </w:r>
      <w:r>
        <w:rPr>
          <w:rFonts w:hint="eastAsia" w:ascii="新宋体" w:hAnsi="新宋体" w:eastAsia="新宋体" w:cs="新宋体"/>
          <w:b/>
          <w:bCs/>
          <w:color w:val="auto"/>
          <w:sz w:val="28"/>
          <w:szCs w:val="28"/>
          <w:highlight w:val="none"/>
          <w:lang w:val="zh-CN" w:eastAsia="zh-CN"/>
        </w:rPr>
        <w:t>备品、易损件、备件、专用工具清单</w:t>
      </w:r>
    </w:p>
    <w:p w14:paraId="36593E16">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项目名称：</w:t>
      </w:r>
    </w:p>
    <w:p w14:paraId="1D49ABFA">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
          <w:bCs/>
          <w:color w:val="auto"/>
          <w:sz w:val="22"/>
          <w:szCs w:val="22"/>
          <w:highlight w:val="none"/>
        </w:rPr>
      </w:pPr>
      <w:r>
        <w:rPr>
          <w:rFonts w:hint="eastAsia" w:ascii="新宋体" w:hAnsi="新宋体" w:eastAsia="新宋体" w:cs="新宋体"/>
          <w:b w:val="0"/>
          <w:bCs w:val="0"/>
          <w:color w:val="auto"/>
          <w:sz w:val="22"/>
          <w:szCs w:val="22"/>
          <w:highlight w:val="none"/>
        </w:rPr>
        <w:t>项目编号：</w:t>
      </w:r>
    </w:p>
    <w:tbl>
      <w:tblPr>
        <w:tblStyle w:val="53"/>
        <w:tblW w:w="96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240"/>
        <w:gridCol w:w="1404"/>
        <w:gridCol w:w="796"/>
        <w:gridCol w:w="3704"/>
        <w:gridCol w:w="1568"/>
      </w:tblGrid>
      <w:tr w14:paraId="0AEEA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56" w:type="dxa"/>
            <w:shd w:val="clear" w:color="auto" w:fill="FFFFFF"/>
            <w:vAlign w:val="center"/>
          </w:tcPr>
          <w:p w14:paraId="06DC2CC0">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240" w:type="dxa"/>
            <w:shd w:val="clear" w:color="auto" w:fill="FFFFFF"/>
            <w:vAlign w:val="center"/>
          </w:tcPr>
          <w:p w14:paraId="4D4B51A6">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404" w:type="dxa"/>
            <w:shd w:val="clear" w:color="auto" w:fill="FFFFFF"/>
            <w:vAlign w:val="center"/>
          </w:tcPr>
          <w:p w14:paraId="3D806259">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规格型号</w:t>
            </w:r>
          </w:p>
        </w:tc>
        <w:tc>
          <w:tcPr>
            <w:tcW w:w="796" w:type="dxa"/>
            <w:shd w:val="clear" w:color="auto" w:fill="FFFFFF"/>
            <w:vAlign w:val="center"/>
          </w:tcPr>
          <w:p w14:paraId="3D47AB97">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3704" w:type="dxa"/>
            <w:shd w:val="clear" w:color="auto" w:fill="FFFFFF"/>
            <w:vAlign w:val="center"/>
          </w:tcPr>
          <w:p w14:paraId="5C87A054">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原产地/制造商</w:t>
            </w:r>
          </w:p>
        </w:tc>
        <w:tc>
          <w:tcPr>
            <w:tcW w:w="1568" w:type="dxa"/>
            <w:shd w:val="clear" w:color="auto" w:fill="FFFFFF"/>
            <w:vAlign w:val="center"/>
          </w:tcPr>
          <w:p w14:paraId="7EF53926">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备注</w:t>
            </w:r>
          </w:p>
        </w:tc>
      </w:tr>
      <w:tr w14:paraId="15E32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67F131A2">
            <w:pPr>
              <w:spacing w:line="400" w:lineRule="exact"/>
              <w:jc w:val="center"/>
              <w:rPr>
                <w:rFonts w:ascii="新宋体" w:hAnsi="新宋体" w:eastAsia="新宋体" w:cs="新宋体"/>
                <w:color w:val="auto"/>
                <w:sz w:val="22"/>
                <w:szCs w:val="22"/>
                <w:highlight w:val="none"/>
              </w:rPr>
            </w:pPr>
          </w:p>
        </w:tc>
        <w:tc>
          <w:tcPr>
            <w:tcW w:w="1240" w:type="dxa"/>
          </w:tcPr>
          <w:p w14:paraId="3BD7E77C">
            <w:pPr>
              <w:spacing w:line="400" w:lineRule="exact"/>
              <w:rPr>
                <w:rFonts w:ascii="新宋体" w:hAnsi="新宋体" w:eastAsia="新宋体" w:cs="新宋体"/>
                <w:color w:val="auto"/>
                <w:sz w:val="22"/>
                <w:szCs w:val="22"/>
                <w:highlight w:val="none"/>
              </w:rPr>
            </w:pPr>
          </w:p>
        </w:tc>
        <w:tc>
          <w:tcPr>
            <w:tcW w:w="1404" w:type="dxa"/>
          </w:tcPr>
          <w:p w14:paraId="203281D0">
            <w:pPr>
              <w:spacing w:line="400" w:lineRule="exact"/>
              <w:rPr>
                <w:rFonts w:ascii="新宋体" w:hAnsi="新宋体" w:eastAsia="新宋体" w:cs="新宋体"/>
                <w:color w:val="auto"/>
                <w:sz w:val="22"/>
                <w:szCs w:val="22"/>
                <w:highlight w:val="none"/>
              </w:rPr>
            </w:pPr>
          </w:p>
        </w:tc>
        <w:tc>
          <w:tcPr>
            <w:tcW w:w="796" w:type="dxa"/>
          </w:tcPr>
          <w:p w14:paraId="2916299E">
            <w:pPr>
              <w:spacing w:line="400" w:lineRule="exact"/>
              <w:rPr>
                <w:rFonts w:ascii="新宋体" w:hAnsi="新宋体" w:eastAsia="新宋体" w:cs="新宋体"/>
                <w:color w:val="auto"/>
                <w:sz w:val="22"/>
                <w:szCs w:val="22"/>
                <w:highlight w:val="none"/>
              </w:rPr>
            </w:pPr>
          </w:p>
        </w:tc>
        <w:tc>
          <w:tcPr>
            <w:tcW w:w="3704" w:type="dxa"/>
          </w:tcPr>
          <w:p w14:paraId="5DBD3D8E">
            <w:pPr>
              <w:spacing w:line="400" w:lineRule="exact"/>
              <w:rPr>
                <w:rFonts w:ascii="新宋体" w:hAnsi="新宋体" w:eastAsia="新宋体" w:cs="新宋体"/>
                <w:color w:val="auto"/>
                <w:sz w:val="22"/>
                <w:szCs w:val="22"/>
                <w:highlight w:val="none"/>
              </w:rPr>
            </w:pPr>
          </w:p>
        </w:tc>
        <w:tc>
          <w:tcPr>
            <w:tcW w:w="1568" w:type="dxa"/>
          </w:tcPr>
          <w:p w14:paraId="244D9FCD">
            <w:pPr>
              <w:spacing w:line="400" w:lineRule="exact"/>
              <w:rPr>
                <w:rFonts w:ascii="新宋体" w:hAnsi="新宋体" w:eastAsia="新宋体" w:cs="新宋体"/>
                <w:color w:val="auto"/>
                <w:sz w:val="22"/>
                <w:szCs w:val="22"/>
                <w:highlight w:val="none"/>
              </w:rPr>
            </w:pPr>
          </w:p>
        </w:tc>
      </w:tr>
      <w:tr w14:paraId="06D6F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7DF7CC94">
            <w:pPr>
              <w:spacing w:line="400" w:lineRule="exact"/>
              <w:jc w:val="center"/>
              <w:rPr>
                <w:rFonts w:ascii="新宋体" w:hAnsi="新宋体" w:eastAsia="新宋体" w:cs="新宋体"/>
                <w:color w:val="auto"/>
                <w:sz w:val="22"/>
                <w:szCs w:val="22"/>
                <w:highlight w:val="none"/>
              </w:rPr>
            </w:pPr>
          </w:p>
        </w:tc>
        <w:tc>
          <w:tcPr>
            <w:tcW w:w="1240" w:type="dxa"/>
          </w:tcPr>
          <w:p w14:paraId="1169A588">
            <w:pPr>
              <w:spacing w:line="400" w:lineRule="exact"/>
              <w:rPr>
                <w:rFonts w:ascii="新宋体" w:hAnsi="新宋体" w:eastAsia="新宋体" w:cs="新宋体"/>
                <w:color w:val="auto"/>
                <w:sz w:val="22"/>
                <w:szCs w:val="22"/>
                <w:highlight w:val="none"/>
              </w:rPr>
            </w:pPr>
          </w:p>
        </w:tc>
        <w:tc>
          <w:tcPr>
            <w:tcW w:w="1404" w:type="dxa"/>
          </w:tcPr>
          <w:p w14:paraId="5AFAFA5E">
            <w:pPr>
              <w:spacing w:line="400" w:lineRule="exact"/>
              <w:rPr>
                <w:rFonts w:ascii="新宋体" w:hAnsi="新宋体" w:eastAsia="新宋体" w:cs="新宋体"/>
                <w:color w:val="auto"/>
                <w:sz w:val="22"/>
                <w:szCs w:val="22"/>
                <w:highlight w:val="none"/>
              </w:rPr>
            </w:pPr>
          </w:p>
        </w:tc>
        <w:tc>
          <w:tcPr>
            <w:tcW w:w="796" w:type="dxa"/>
          </w:tcPr>
          <w:p w14:paraId="1BC394FF">
            <w:pPr>
              <w:spacing w:line="400" w:lineRule="exact"/>
              <w:rPr>
                <w:rFonts w:ascii="新宋体" w:hAnsi="新宋体" w:eastAsia="新宋体" w:cs="新宋体"/>
                <w:color w:val="auto"/>
                <w:sz w:val="22"/>
                <w:szCs w:val="22"/>
                <w:highlight w:val="none"/>
              </w:rPr>
            </w:pPr>
          </w:p>
        </w:tc>
        <w:tc>
          <w:tcPr>
            <w:tcW w:w="3704" w:type="dxa"/>
          </w:tcPr>
          <w:p w14:paraId="5F9AEBFD">
            <w:pPr>
              <w:spacing w:line="400" w:lineRule="exact"/>
              <w:rPr>
                <w:rFonts w:ascii="新宋体" w:hAnsi="新宋体" w:eastAsia="新宋体" w:cs="新宋体"/>
                <w:color w:val="auto"/>
                <w:sz w:val="22"/>
                <w:szCs w:val="22"/>
                <w:highlight w:val="none"/>
              </w:rPr>
            </w:pPr>
          </w:p>
        </w:tc>
        <w:tc>
          <w:tcPr>
            <w:tcW w:w="1568" w:type="dxa"/>
          </w:tcPr>
          <w:p w14:paraId="52031E1D">
            <w:pPr>
              <w:spacing w:line="400" w:lineRule="exact"/>
              <w:rPr>
                <w:rFonts w:ascii="新宋体" w:hAnsi="新宋体" w:eastAsia="新宋体" w:cs="新宋体"/>
                <w:color w:val="auto"/>
                <w:sz w:val="22"/>
                <w:szCs w:val="22"/>
                <w:highlight w:val="none"/>
              </w:rPr>
            </w:pPr>
          </w:p>
        </w:tc>
      </w:tr>
      <w:tr w14:paraId="239A4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6E5FAC3B">
            <w:pPr>
              <w:spacing w:line="400" w:lineRule="exact"/>
              <w:jc w:val="center"/>
              <w:rPr>
                <w:rFonts w:ascii="新宋体" w:hAnsi="新宋体" w:eastAsia="新宋体" w:cs="新宋体"/>
                <w:color w:val="auto"/>
                <w:sz w:val="22"/>
                <w:szCs w:val="22"/>
                <w:highlight w:val="none"/>
              </w:rPr>
            </w:pPr>
          </w:p>
        </w:tc>
        <w:tc>
          <w:tcPr>
            <w:tcW w:w="1240" w:type="dxa"/>
          </w:tcPr>
          <w:p w14:paraId="3AC1E2FD">
            <w:pPr>
              <w:spacing w:line="400" w:lineRule="exact"/>
              <w:rPr>
                <w:rFonts w:ascii="新宋体" w:hAnsi="新宋体" w:eastAsia="新宋体" w:cs="新宋体"/>
                <w:color w:val="auto"/>
                <w:sz w:val="22"/>
                <w:szCs w:val="22"/>
                <w:highlight w:val="none"/>
              </w:rPr>
            </w:pPr>
          </w:p>
        </w:tc>
        <w:tc>
          <w:tcPr>
            <w:tcW w:w="1404" w:type="dxa"/>
          </w:tcPr>
          <w:p w14:paraId="70D2F5A8">
            <w:pPr>
              <w:spacing w:line="400" w:lineRule="exact"/>
              <w:rPr>
                <w:rFonts w:ascii="新宋体" w:hAnsi="新宋体" w:eastAsia="新宋体" w:cs="新宋体"/>
                <w:color w:val="auto"/>
                <w:sz w:val="22"/>
                <w:szCs w:val="22"/>
                <w:highlight w:val="none"/>
              </w:rPr>
            </w:pPr>
          </w:p>
        </w:tc>
        <w:tc>
          <w:tcPr>
            <w:tcW w:w="796" w:type="dxa"/>
          </w:tcPr>
          <w:p w14:paraId="05F073A3">
            <w:pPr>
              <w:spacing w:line="400" w:lineRule="exact"/>
              <w:rPr>
                <w:rFonts w:ascii="新宋体" w:hAnsi="新宋体" w:eastAsia="新宋体" w:cs="新宋体"/>
                <w:color w:val="auto"/>
                <w:sz w:val="22"/>
                <w:szCs w:val="22"/>
                <w:highlight w:val="none"/>
              </w:rPr>
            </w:pPr>
          </w:p>
        </w:tc>
        <w:tc>
          <w:tcPr>
            <w:tcW w:w="3704" w:type="dxa"/>
          </w:tcPr>
          <w:p w14:paraId="4FAF7DC2">
            <w:pPr>
              <w:spacing w:line="400" w:lineRule="exact"/>
              <w:rPr>
                <w:rFonts w:ascii="新宋体" w:hAnsi="新宋体" w:eastAsia="新宋体" w:cs="新宋体"/>
                <w:color w:val="auto"/>
                <w:sz w:val="22"/>
                <w:szCs w:val="22"/>
                <w:highlight w:val="none"/>
              </w:rPr>
            </w:pPr>
          </w:p>
        </w:tc>
        <w:tc>
          <w:tcPr>
            <w:tcW w:w="1568" w:type="dxa"/>
          </w:tcPr>
          <w:p w14:paraId="4DDC2C02">
            <w:pPr>
              <w:spacing w:line="400" w:lineRule="exact"/>
              <w:rPr>
                <w:rFonts w:ascii="新宋体" w:hAnsi="新宋体" w:eastAsia="新宋体" w:cs="新宋体"/>
                <w:color w:val="auto"/>
                <w:sz w:val="22"/>
                <w:szCs w:val="22"/>
                <w:highlight w:val="none"/>
              </w:rPr>
            </w:pPr>
          </w:p>
        </w:tc>
      </w:tr>
      <w:tr w14:paraId="446C5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5B124156">
            <w:pPr>
              <w:spacing w:line="400" w:lineRule="exact"/>
              <w:jc w:val="center"/>
              <w:rPr>
                <w:rFonts w:ascii="新宋体" w:hAnsi="新宋体" w:eastAsia="新宋体" w:cs="新宋体"/>
                <w:color w:val="auto"/>
                <w:sz w:val="22"/>
                <w:szCs w:val="22"/>
                <w:highlight w:val="none"/>
              </w:rPr>
            </w:pPr>
          </w:p>
        </w:tc>
        <w:tc>
          <w:tcPr>
            <w:tcW w:w="1240" w:type="dxa"/>
          </w:tcPr>
          <w:p w14:paraId="099D000F">
            <w:pPr>
              <w:spacing w:line="400" w:lineRule="exact"/>
              <w:rPr>
                <w:rFonts w:ascii="新宋体" w:hAnsi="新宋体" w:eastAsia="新宋体" w:cs="新宋体"/>
                <w:color w:val="auto"/>
                <w:sz w:val="22"/>
                <w:szCs w:val="22"/>
                <w:highlight w:val="none"/>
              </w:rPr>
            </w:pPr>
          </w:p>
        </w:tc>
        <w:tc>
          <w:tcPr>
            <w:tcW w:w="1404" w:type="dxa"/>
          </w:tcPr>
          <w:p w14:paraId="7C768B78">
            <w:pPr>
              <w:spacing w:line="400" w:lineRule="exact"/>
              <w:rPr>
                <w:rFonts w:ascii="新宋体" w:hAnsi="新宋体" w:eastAsia="新宋体" w:cs="新宋体"/>
                <w:color w:val="auto"/>
                <w:sz w:val="22"/>
                <w:szCs w:val="22"/>
                <w:highlight w:val="none"/>
              </w:rPr>
            </w:pPr>
          </w:p>
        </w:tc>
        <w:tc>
          <w:tcPr>
            <w:tcW w:w="796" w:type="dxa"/>
          </w:tcPr>
          <w:p w14:paraId="53BFAA34">
            <w:pPr>
              <w:spacing w:line="400" w:lineRule="exact"/>
              <w:rPr>
                <w:rFonts w:ascii="新宋体" w:hAnsi="新宋体" w:eastAsia="新宋体" w:cs="新宋体"/>
                <w:color w:val="auto"/>
                <w:sz w:val="22"/>
                <w:szCs w:val="22"/>
                <w:highlight w:val="none"/>
              </w:rPr>
            </w:pPr>
          </w:p>
        </w:tc>
        <w:tc>
          <w:tcPr>
            <w:tcW w:w="3704" w:type="dxa"/>
          </w:tcPr>
          <w:p w14:paraId="32800735">
            <w:pPr>
              <w:spacing w:line="400" w:lineRule="exact"/>
              <w:rPr>
                <w:rFonts w:ascii="新宋体" w:hAnsi="新宋体" w:eastAsia="新宋体" w:cs="新宋体"/>
                <w:color w:val="auto"/>
                <w:sz w:val="22"/>
                <w:szCs w:val="22"/>
                <w:highlight w:val="none"/>
              </w:rPr>
            </w:pPr>
          </w:p>
        </w:tc>
        <w:tc>
          <w:tcPr>
            <w:tcW w:w="1568" w:type="dxa"/>
          </w:tcPr>
          <w:p w14:paraId="37C7412B">
            <w:pPr>
              <w:spacing w:line="400" w:lineRule="exact"/>
              <w:rPr>
                <w:rFonts w:ascii="新宋体" w:hAnsi="新宋体" w:eastAsia="新宋体" w:cs="新宋体"/>
                <w:color w:val="auto"/>
                <w:sz w:val="22"/>
                <w:szCs w:val="22"/>
                <w:highlight w:val="none"/>
              </w:rPr>
            </w:pPr>
          </w:p>
        </w:tc>
      </w:tr>
      <w:tr w14:paraId="1B882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0DA9D610">
            <w:pPr>
              <w:spacing w:line="400" w:lineRule="exact"/>
              <w:jc w:val="center"/>
              <w:rPr>
                <w:rFonts w:ascii="新宋体" w:hAnsi="新宋体" w:eastAsia="新宋体" w:cs="新宋体"/>
                <w:color w:val="auto"/>
                <w:sz w:val="22"/>
                <w:szCs w:val="22"/>
                <w:highlight w:val="none"/>
              </w:rPr>
            </w:pPr>
          </w:p>
        </w:tc>
        <w:tc>
          <w:tcPr>
            <w:tcW w:w="1240" w:type="dxa"/>
          </w:tcPr>
          <w:p w14:paraId="48BC813C">
            <w:pPr>
              <w:spacing w:line="400" w:lineRule="exact"/>
              <w:rPr>
                <w:rFonts w:ascii="新宋体" w:hAnsi="新宋体" w:eastAsia="新宋体" w:cs="新宋体"/>
                <w:color w:val="auto"/>
                <w:sz w:val="22"/>
                <w:szCs w:val="22"/>
                <w:highlight w:val="none"/>
              </w:rPr>
            </w:pPr>
          </w:p>
        </w:tc>
        <w:tc>
          <w:tcPr>
            <w:tcW w:w="1404" w:type="dxa"/>
          </w:tcPr>
          <w:p w14:paraId="67A753AB">
            <w:pPr>
              <w:spacing w:line="400" w:lineRule="exact"/>
              <w:rPr>
                <w:rFonts w:ascii="新宋体" w:hAnsi="新宋体" w:eastAsia="新宋体" w:cs="新宋体"/>
                <w:color w:val="auto"/>
                <w:sz w:val="22"/>
                <w:szCs w:val="22"/>
                <w:highlight w:val="none"/>
              </w:rPr>
            </w:pPr>
          </w:p>
        </w:tc>
        <w:tc>
          <w:tcPr>
            <w:tcW w:w="796" w:type="dxa"/>
          </w:tcPr>
          <w:p w14:paraId="19067BEA">
            <w:pPr>
              <w:spacing w:line="400" w:lineRule="exact"/>
              <w:rPr>
                <w:rFonts w:ascii="新宋体" w:hAnsi="新宋体" w:eastAsia="新宋体" w:cs="新宋体"/>
                <w:color w:val="auto"/>
                <w:sz w:val="22"/>
                <w:szCs w:val="22"/>
                <w:highlight w:val="none"/>
              </w:rPr>
            </w:pPr>
          </w:p>
        </w:tc>
        <w:tc>
          <w:tcPr>
            <w:tcW w:w="3704" w:type="dxa"/>
          </w:tcPr>
          <w:p w14:paraId="75B088A3">
            <w:pPr>
              <w:spacing w:line="400" w:lineRule="exact"/>
              <w:rPr>
                <w:rFonts w:ascii="新宋体" w:hAnsi="新宋体" w:eastAsia="新宋体" w:cs="新宋体"/>
                <w:color w:val="auto"/>
                <w:sz w:val="22"/>
                <w:szCs w:val="22"/>
                <w:highlight w:val="none"/>
              </w:rPr>
            </w:pPr>
          </w:p>
        </w:tc>
        <w:tc>
          <w:tcPr>
            <w:tcW w:w="1568" w:type="dxa"/>
          </w:tcPr>
          <w:p w14:paraId="0457D0E4">
            <w:pPr>
              <w:spacing w:line="400" w:lineRule="exact"/>
              <w:rPr>
                <w:rFonts w:ascii="新宋体" w:hAnsi="新宋体" w:eastAsia="新宋体" w:cs="新宋体"/>
                <w:color w:val="auto"/>
                <w:sz w:val="22"/>
                <w:szCs w:val="22"/>
                <w:highlight w:val="none"/>
              </w:rPr>
            </w:pPr>
          </w:p>
        </w:tc>
      </w:tr>
      <w:tr w14:paraId="2350E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5FB53AAD">
            <w:pPr>
              <w:spacing w:line="400" w:lineRule="exact"/>
              <w:jc w:val="center"/>
              <w:rPr>
                <w:rFonts w:ascii="新宋体" w:hAnsi="新宋体" w:eastAsia="新宋体" w:cs="新宋体"/>
                <w:color w:val="auto"/>
                <w:sz w:val="22"/>
                <w:szCs w:val="22"/>
                <w:highlight w:val="none"/>
              </w:rPr>
            </w:pPr>
          </w:p>
        </w:tc>
        <w:tc>
          <w:tcPr>
            <w:tcW w:w="1240" w:type="dxa"/>
          </w:tcPr>
          <w:p w14:paraId="6415A2D5">
            <w:pPr>
              <w:spacing w:line="400" w:lineRule="exact"/>
              <w:rPr>
                <w:rFonts w:ascii="新宋体" w:hAnsi="新宋体" w:eastAsia="新宋体" w:cs="新宋体"/>
                <w:color w:val="auto"/>
                <w:sz w:val="22"/>
                <w:szCs w:val="22"/>
                <w:highlight w:val="none"/>
              </w:rPr>
            </w:pPr>
          </w:p>
        </w:tc>
        <w:tc>
          <w:tcPr>
            <w:tcW w:w="1404" w:type="dxa"/>
          </w:tcPr>
          <w:p w14:paraId="216E7029">
            <w:pPr>
              <w:spacing w:line="400" w:lineRule="exact"/>
              <w:rPr>
                <w:rFonts w:ascii="新宋体" w:hAnsi="新宋体" w:eastAsia="新宋体" w:cs="新宋体"/>
                <w:color w:val="auto"/>
                <w:sz w:val="22"/>
                <w:szCs w:val="22"/>
                <w:highlight w:val="none"/>
              </w:rPr>
            </w:pPr>
          </w:p>
        </w:tc>
        <w:tc>
          <w:tcPr>
            <w:tcW w:w="796" w:type="dxa"/>
          </w:tcPr>
          <w:p w14:paraId="5924A82A">
            <w:pPr>
              <w:spacing w:line="400" w:lineRule="exact"/>
              <w:rPr>
                <w:rFonts w:ascii="新宋体" w:hAnsi="新宋体" w:eastAsia="新宋体" w:cs="新宋体"/>
                <w:color w:val="auto"/>
                <w:sz w:val="22"/>
                <w:szCs w:val="22"/>
                <w:highlight w:val="none"/>
              </w:rPr>
            </w:pPr>
          </w:p>
        </w:tc>
        <w:tc>
          <w:tcPr>
            <w:tcW w:w="3704" w:type="dxa"/>
          </w:tcPr>
          <w:p w14:paraId="68F1AE86">
            <w:pPr>
              <w:spacing w:line="400" w:lineRule="exact"/>
              <w:rPr>
                <w:rFonts w:ascii="新宋体" w:hAnsi="新宋体" w:eastAsia="新宋体" w:cs="新宋体"/>
                <w:color w:val="auto"/>
                <w:sz w:val="22"/>
                <w:szCs w:val="22"/>
                <w:highlight w:val="none"/>
              </w:rPr>
            </w:pPr>
          </w:p>
        </w:tc>
        <w:tc>
          <w:tcPr>
            <w:tcW w:w="1568" w:type="dxa"/>
          </w:tcPr>
          <w:p w14:paraId="65232855">
            <w:pPr>
              <w:spacing w:line="400" w:lineRule="exact"/>
              <w:rPr>
                <w:rFonts w:ascii="新宋体" w:hAnsi="新宋体" w:eastAsia="新宋体" w:cs="新宋体"/>
                <w:color w:val="auto"/>
                <w:sz w:val="22"/>
                <w:szCs w:val="22"/>
                <w:highlight w:val="none"/>
              </w:rPr>
            </w:pPr>
          </w:p>
        </w:tc>
      </w:tr>
      <w:tr w14:paraId="57AD6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1086938C">
            <w:pPr>
              <w:spacing w:line="400" w:lineRule="exact"/>
              <w:jc w:val="center"/>
              <w:rPr>
                <w:rFonts w:ascii="新宋体" w:hAnsi="新宋体" w:eastAsia="新宋体" w:cs="新宋体"/>
                <w:color w:val="auto"/>
                <w:sz w:val="22"/>
                <w:szCs w:val="22"/>
                <w:highlight w:val="none"/>
              </w:rPr>
            </w:pPr>
          </w:p>
        </w:tc>
        <w:tc>
          <w:tcPr>
            <w:tcW w:w="1240" w:type="dxa"/>
          </w:tcPr>
          <w:p w14:paraId="6E7C59B9">
            <w:pPr>
              <w:spacing w:line="400" w:lineRule="exact"/>
              <w:rPr>
                <w:rFonts w:ascii="新宋体" w:hAnsi="新宋体" w:eastAsia="新宋体" w:cs="新宋体"/>
                <w:color w:val="auto"/>
                <w:sz w:val="22"/>
                <w:szCs w:val="22"/>
                <w:highlight w:val="none"/>
              </w:rPr>
            </w:pPr>
          </w:p>
        </w:tc>
        <w:tc>
          <w:tcPr>
            <w:tcW w:w="1404" w:type="dxa"/>
          </w:tcPr>
          <w:p w14:paraId="4B8FC416">
            <w:pPr>
              <w:spacing w:line="400" w:lineRule="exact"/>
              <w:rPr>
                <w:rFonts w:ascii="新宋体" w:hAnsi="新宋体" w:eastAsia="新宋体" w:cs="新宋体"/>
                <w:color w:val="auto"/>
                <w:sz w:val="22"/>
                <w:szCs w:val="22"/>
                <w:highlight w:val="none"/>
              </w:rPr>
            </w:pPr>
          </w:p>
        </w:tc>
        <w:tc>
          <w:tcPr>
            <w:tcW w:w="796" w:type="dxa"/>
          </w:tcPr>
          <w:p w14:paraId="761FCEA4">
            <w:pPr>
              <w:spacing w:line="400" w:lineRule="exact"/>
              <w:rPr>
                <w:rFonts w:ascii="新宋体" w:hAnsi="新宋体" w:eastAsia="新宋体" w:cs="新宋体"/>
                <w:color w:val="auto"/>
                <w:sz w:val="22"/>
                <w:szCs w:val="22"/>
                <w:highlight w:val="none"/>
              </w:rPr>
            </w:pPr>
          </w:p>
        </w:tc>
        <w:tc>
          <w:tcPr>
            <w:tcW w:w="3704" w:type="dxa"/>
          </w:tcPr>
          <w:p w14:paraId="21523E2F">
            <w:pPr>
              <w:spacing w:line="400" w:lineRule="exact"/>
              <w:rPr>
                <w:rFonts w:ascii="新宋体" w:hAnsi="新宋体" w:eastAsia="新宋体" w:cs="新宋体"/>
                <w:color w:val="auto"/>
                <w:sz w:val="22"/>
                <w:szCs w:val="22"/>
                <w:highlight w:val="none"/>
              </w:rPr>
            </w:pPr>
          </w:p>
        </w:tc>
        <w:tc>
          <w:tcPr>
            <w:tcW w:w="1568" w:type="dxa"/>
          </w:tcPr>
          <w:p w14:paraId="1C6AE51C">
            <w:pPr>
              <w:spacing w:line="400" w:lineRule="exact"/>
              <w:rPr>
                <w:rFonts w:ascii="新宋体" w:hAnsi="新宋体" w:eastAsia="新宋体" w:cs="新宋体"/>
                <w:color w:val="auto"/>
                <w:sz w:val="22"/>
                <w:szCs w:val="22"/>
                <w:highlight w:val="none"/>
              </w:rPr>
            </w:pPr>
          </w:p>
        </w:tc>
      </w:tr>
      <w:tr w14:paraId="46986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55C1DB04">
            <w:pPr>
              <w:spacing w:line="400" w:lineRule="exact"/>
              <w:jc w:val="center"/>
              <w:rPr>
                <w:rFonts w:ascii="新宋体" w:hAnsi="新宋体" w:eastAsia="新宋体" w:cs="新宋体"/>
                <w:color w:val="auto"/>
                <w:sz w:val="22"/>
                <w:szCs w:val="22"/>
                <w:highlight w:val="none"/>
              </w:rPr>
            </w:pPr>
          </w:p>
        </w:tc>
        <w:tc>
          <w:tcPr>
            <w:tcW w:w="1240" w:type="dxa"/>
          </w:tcPr>
          <w:p w14:paraId="7768756A">
            <w:pPr>
              <w:spacing w:line="400" w:lineRule="exact"/>
              <w:rPr>
                <w:rFonts w:ascii="新宋体" w:hAnsi="新宋体" w:eastAsia="新宋体" w:cs="新宋体"/>
                <w:color w:val="auto"/>
                <w:sz w:val="22"/>
                <w:szCs w:val="22"/>
                <w:highlight w:val="none"/>
              </w:rPr>
            </w:pPr>
          </w:p>
        </w:tc>
        <w:tc>
          <w:tcPr>
            <w:tcW w:w="1404" w:type="dxa"/>
          </w:tcPr>
          <w:p w14:paraId="2DCEE4B8">
            <w:pPr>
              <w:spacing w:line="400" w:lineRule="exact"/>
              <w:rPr>
                <w:rFonts w:ascii="新宋体" w:hAnsi="新宋体" w:eastAsia="新宋体" w:cs="新宋体"/>
                <w:color w:val="auto"/>
                <w:sz w:val="22"/>
                <w:szCs w:val="22"/>
                <w:highlight w:val="none"/>
              </w:rPr>
            </w:pPr>
          </w:p>
        </w:tc>
        <w:tc>
          <w:tcPr>
            <w:tcW w:w="796" w:type="dxa"/>
          </w:tcPr>
          <w:p w14:paraId="306B1F45">
            <w:pPr>
              <w:spacing w:line="400" w:lineRule="exact"/>
              <w:rPr>
                <w:rFonts w:ascii="新宋体" w:hAnsi="新宋体" w:eastAsia="新宋体" w:cs="新宋体"/>
                <w:color w:val="auto"/>
                <w:sz w:val="22"/>
                <w:szCs w:val="22"/>
                <w:highlight w:val="none"/>
              </w:rPr>
            </w:pPr>
          </w:p>
        </w:tc>
        <w:tc>
          <w:tcPr>
            <w:tcW w:w="3704" w:type="dxa"/>
          </w:tcPr>
          <w:p w14:paraId="4E8A85C6">
            <w:pPr>
              <w:spacing w:line="400" w:lineRule="exact"/>
              <w:rPr>
                <w:rFonts w:ascii="新宋体" w:hAnsi="新宋体" w:eastAsia="新宋体" w:cs="新宋体"/>
                <w:color w:val="auto"/>
                <w:sz w:val="22"/>
                <w:szCs w:val="22"/>
                <w:highlight w:val="none"/>
              </w:rPr>
            </w:pPr>
          </w:p>
        </w:tc>
        <w:tc>
          <w:tcPr>
            <w:tcW w:w="1568" w:type="dxa"/>
          </w:tcPr>
          <w:p w14:paraId="1876AFEE">
            <w:pPr>
              <w:spacing w:line="400" w:lineRule="exact"/>
              <w:rPr>
                <w:rFonts w:ascii="新宋体" w:hAnsi="新宋体" w:eastAsia="新宋体" w:cs="新宋体"/>
                <w:color w:val="auto"/>
                <w:sz w:val="22"/>
                <w:szCs w:val="22"/>
                <w:highlight w:val="none"/>
              </w:rPr>
            </w:pPr>
          </w:p>
        </w:tc>
      </w:tr>
      <w:tr w14:paraId="294FD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07908E9B">
            <w:pPr>
              <w:spacing w:line="400" w:lineRule="exact"/>
              <w:jc w:val="center"/>
              <w:rPr>
                <w:rFonts w:ascii="新宋体" w:hAnsi="新宋体" w:eastAsia="新宋体" w:cs="新宋体"/>
                <w:color w:val="auto"/>
                <w:sz w:val="22"/>
                <w:szCs w:val="22"/>
                <w:highlight w:val="none"/>
              </w:rPr>
            </w:pPr>
          </w:p>
        </w:tc>
        <w:tc>
          <w:tcPr>
            <w:tcW w:w="1240" w:type="dxa"/>
          </w:tcPr>
          <w:p w14:paraId="2FE0A7F8">
            <w:pPr>
              <w:spacing w:line="400" w:lineRule="exact"/>
              <w:rPr>
                <w:rFonts w:ascii="新宋体" w:hAnsi="新宋体" w:eastAsia="新宋体" w:cs="新宋体"/>
                <w:color w:val="auto"/>
                <w:sz w:val="22"/>
                <w:szCs w:val="22"/>
                <w:highlight w:val="none"/>
              </w:rPr>
            </w:pPr>
          </w:p>
        </w:tc>
        <w:tc>
          <w:tcPr>
            <w:tcW w:w="1404" w:type="dxa"/>
          </w:tcPr>
          <w:p w14:paraId="6840FE00">
            <w:pPr>
              <w:spacing w:line="400" w:lineRule="exact"/>
              <w:rPr>
                <w:rFonts w:ascii="新宋体" w:hAnsi="新宋体" w:eastAsia="新宋体" w:cs="新宋体"/>
                <w:color w:val="auto"/>
                <w:sz w:val="22"/>
                <w:szCs w:val="22"/>
                <w:highlight w:val="none"/>
              </w:rPr>
            </w:pPr>
          </w:p>
        </w:tc>
        <w:tc>
          <w:tcPr>
            <w:tcW w:w="796" w:type="dxa"/>
          </w:tcPr>
          <w:p w14:paraId="7835E4A5">
            <w:pPr>
              <w:spacing w:line="400" w:lineRule="exact"/>
              <w:rPr>
                <w:rFonts w:ascii="新宋体" w:hAnsi="新宋体" w:eastAsia="新宋体" w:cs="新宋体"/>
                <w:color w:val="auto"/>
                <w:sz w:val="22"/>
                <w:szCs w:val="22"/>
                <w:highlight w:val="none"/>
              </w:rPr>
            </w:pPr>
          </w:p>
        </w:tc>
        <w:tc>
          <w:tcPr>
            <w:tcW w:w="3704" w:type="dxa"/>
          </w:tcPr>
          <w:p w14:paraId="24E38401">
            <w:pPr>
              <w:spacing w:line="400" w:lineRule="exact"/>
              <w:rPr>
                <w:rFonts w:ascii="新宋体" w:hAnsi="新宋体" w:eastAsia="新宋体" w:cs="新宋体"/>
                <w:color w:val="auto"/>
                <w:sz w:val="22"/>
                <w:szCs w:val="22"/>
                <w:highlight w:val="none"/>
              </w:rPr>
            </w:pPr>
          </w:p>
        </w:tc>
        <w:tc>
          <w:tcPr>
            <w:tcW w:w="1568" w:type="dxa"/>
          </w:tcPr>
          <w:p w14:paraId="349E629C">
            <w:pPr>
              <w:spacing w:line="400" w:lineRule="exact"/>
              <w:rPr>
                <w:rFonts w:ascii="新宋体" w:hAnsi="新宋体" w:eastAsia="新宋体" w:cs="新宋体"/>
                <w:color w:val="auto"/>
                <w:sz w:val="22"/>
                <w:szCs w:val="22"/>
                <w:highlight w:val="none"/>
              </w:rPr>
            </w:pPr>
          </w:p>
        </w:tc>
      </w:tr>
      <w:tr w14:paraId="7CE04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75CBF1A2">
            <w:pPr>
              <w:spacing w:line="400" w:lineRule="exact"/>
              <w:jc w:val="center"/>
              <w:rPr>
                <w:rFonts w:ascii="新宋体" w:hAnsi="新宋体" w:eastAsia="新宋体" w:cs="新宋体"/>
                <w:color w:val="auto"/>
                <w:sz w:val="22"/>
                <w:szCs w:val="22"/>
                <w:highlight w:val="none"/>
              </w:rPr>
            </w:pPr>
          </w:p>
        </w:tc>
        <w:tc>
          <w:tcPr>
            <w:tcW w:w="1240" w:type="dxa"/>
          </w:tcPr>
          <w:p w14:paraId="419F1F42">
            <w:pPr>
              <w:spacing w:line="400" w:lineRule="exact"/>
              <w:rPr>
                <w:rFonts w:ascii="新宋体" w:hAnsi="新宋体" w:eastAsia="新宋体" w:cs="新宋体"/>
                <w:color w:val="auto"/>
                <w:sz w:val="22"/>
                <w:szCs w:val="22"/>
                <w:highlight w:val="none"/>
              </w:rPr>
            </w:pPr>
          </w:p>
        </w:tc>
        <w:tc>
          <w:tcPr>
            <w:tcW w:w="1404" w:type="dxa"/>
          </w:tcPr>
          <w:p w14:paraId="1101113F">
            <w:pPr>
              <w:spacing w:line="400" w:lineRule="exact"/>
              <w:rPr>
                <w:rFonts w:ascii="新宋体" w:hAnsi="新宋体" w:eastAsia="新宋体" w:cs="新宋体"/>
                <w:color w:val="auto"/>
                <w:sz w:val="22"/>
                <w:szCs w:val="22"/>
                <w:highlight w:val="none"/>
              </w:rPr>
            </w:pPr>
          </w:p>
        </w:tc>
        <w:tc>
          <w:tcPr>
            <w:tcW w:w="796" w:type="dxa"/>
          </w:tcPr>
          <w:p w14:paraId="2B368144">
            <w:pPr>
              <w:spacing w:line="400" w:lineRule="exact"/>
              <w:rPr>
                <w:rFonts w:ascii="新宋体" w:hAnsi="新宋体" w:eastAsia="新宋体" w:cs="新宋体"/>
                <w:color w:val="auto"/>
                <w:sz w:val="22"/>
                <w:szCs w:val="22"/>
                <w:highlight w:val="none"/>
              </w:rPr>
            </w:pPr>
          </w:p>
        </w:tc>
        <w:tc>
          <w:tcPr>
            <w:tcW w:w="3704" w:type="dxa"/>
          </w:tcPr>
          <w:p w14:paraId="06A88062">
            <w:pPr>
              <w:spacing w:line="400" w:lineRule="exact"/>
              <w:rPr>
                <w:rFonts w:ascii="新宋体" w:hAnsi="新宋体" w:eastAsia="新宋体" w:cs="新宋体"/>
                <w:color w:val="auto"/>
                <w:sz w:val="22"/>
                <w:szCs w:val="22"/>
                <w:highlight w:val="none"/>
              </w:rPr>
            </w:pPr>
          </w:p>
        </w:tc>
        <w:tc>
          <w:tcPr>
            <w:tcW w:w="1568" w:type="dxa"/>
          </w:tcPr>
          <w:p w14:paraId="0629960C">
            <w:pPr>
              <w:spacing w:line="400" w:lineRule="exact"/>
              <w:rPr>
                <w:rFonts w:ascii="新宋体" w:hAnsi="新宋体" w:eastAsia="新宋体" w:cs="新宋体"/>
                <w:color w:val="auto"/>
                <w:sz w:val="22"/>
                <w:szCs w:val="22"/>
                <w:highlight w:val="none"/>
              </w:rPr>
            </w:pPr>
          </w:p>
        </w:tc>
      </w:tr>
      <w:tr w14:paraId="5CAAD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271DC374">
            <w:pPr>
              <w:spacing w:line="400" w:lineRule="exact"/>
              <w:jc w:val="center"/>
              <w:rPr>
                <w:rFonts w:ascii="新宋体" w:hAnsi="新宋体" w:eastAsia="新宋体" w:cs="新宋体"/>
                <w:color w:val="auto"/>
                <w:sz w:val="22"/>
                <w:szCs w:val="22"/>
                <w:highlight w:val="none"/>
              </w:rPr>
            </w:pPr>
          </w:p>
        </w:tc>
        <w:tc>
          <w:tcPr>
            <w:tcW w:w="1240" w:type="dxa"/>
          </w:tcPr>
          <w:p w14:paraId="3099F84F">
            <w:pPr>
              <w:spacing w:line="400" w:lineRule="exact"/>
              <w:rPr>
                <w:rFonts w:ascii="新宋体" w:hAnsi="新宋体" w:eastAsia="新宋体" w:cs="新宋体"/>
                <w:color w:val="auto"/>
                <w:sz w:val="22"/>
                <w:szCs w:val="22"/>
                <w:highlight w:val="none"/>
              </w:rPr>
            </w:pPr>
          </w:p>
        </w:tc>
        <w:tc>
          <w:tcPr>
            <w:tcW w:w="1404" w:type="dxa"/>
          </w:tcPr>
          <w:p w14:paraId="304F9806">
            <w:pPr>
              <w:spacing w:line="400" w:lineRule="exact"/>
              <w:rPr>
                <w:rFonts w:ascii="新宋体" w:hAnsi="新宋体" w:eastAsia="新宋体" w:cs="新宋体"/>
                <w:color w:val="auto"/>
                <w:sz w:val="22"/>
                <w:szCs w:val="22"/>
                <w:highlight w:val="none"/>
              </w:rPr>
            </w:pPr>
          </w:p>
        </w:tc>
        <w:tc>
          <w:tcPr>
            <w:tcW w:w="796" w:type="dxa"/>
          </w:tcPr>
          <w:p w14:paraId="141FF1B2">
            <w:pPr>
              <w:spacing w:line="400" w:lineRule="exact"/>
              <w:rPr>
                <w:rFonts w:ascii="新宋体" w:hAnsi="新宋体" w:eastAsia="新宋体" w:cs="新宋体"/>
                <w:color w:val="auto"/>
                <w:sz w:val="22"/>
                <w:szCs w:val="22"/>
                <w:highlight w:val="none"/>
              </w:rPr>
            </w:pPr>
          </w:p>
        </w:tc>
        <w:tc>
          <w:tcPr>
            <w:tcW w:w="3704" w:type="dxa"/>
          </w:tcPr>
          <w:p w14:paraId="3CC7EDBF">
            <w:pPr>
              <w:spacing w:line="400" w:lineRule="exact"/>
              <w:rPr>
                <w:rFonts w:ascii="新宋体" w:hAnsi="新宋体" w:eastAsia="新宋体" w:cs="新宋体"/>
                <w:color w:val="auto"/>
                <w:sz w:val="22"/>
                <w:szCs w:val="22"/>
                <w:highlight w:val="none"/>
              </w:rPr>
            </w:pPr>
          </w:p>
        </w:tc>
        <w:tc>
          <w:tcPr>
            <w:tcW w:w="1568" w:type="dxa"/>
          </w:tcPr>
          <w:p w14:paraId="6F56ABE7">
            <w:pPr>
              <w:spacing w:line="400" w:lineRule="exact"/>
              <w:rPr>
                <w:rFonts w:ascii="新宋体" w:hAnsi="新宋体" w:eastAsia="新宋体" w:cs="新宋体"/>
                <w:color w:val="auto"/>
                <w:sz w:val="22"/>
                <w:szCs w:val="22"/>
                <w:highlight w:val="none"/>
              </w:rPr>
            </w:pPr>
          </w:p>
        </w:tc>
      </w:tr>
      <w:tr w14:paraId="403C0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3C00E530">
            <w:pPr>
              <w:spacing w:line="400" w:lineRule="exact"/>
              <w:jc w:val="center"/>
              <w:rPr>
                <w:rFonts w:ascii="新宋体" w:hAnsi="新宋体" w:eastAsia="新宋体" w:cs="新宋体"/>
                <w:color w:val="auto"/>
                <w:sz w:val="22"/>
                <w:szCs w:val="22"/>
                <w:highlight w:val="none"/>
              </w:rPr>
            </w:pPr>
          </w:p>
        </w:tc>
        <w:tc>
          <w:tcPr>
            <w:tcW w:w="1240" w:type="dxa"/>
          </w:tcPr>
          <w:p w14:paraId="2DA9273C">
            <w:pPr>
              <w:spacing w:line="400" w:lineRule="exact"/>
              <w:rPr>
                <w:rFonts w:ascii="新宋体" w:hAnsi="新宋体" w:eastAsia="新宋体" w:cs="新宋体"/>
                <w:color w:val="auto"/>
                <w:sz w:val="22"/>
                <w:szCs w:val="22"/>
                <w:highlight w:val="none"/>
              </w:rPr>
            </w:pPr>
          </w:p>
        </w:tc>
        <w:tc>
          <w:tcPr>
            <w:tcW w:w="1404" w:type="dxa"/>
          </w:tcPr>
          <w:p w14:paraId="2718011C">
            <w:pPr>
              <w:spacing w:line="400" w:lineRule="exact"/>
              <w:rPr>
                <w:rFonts w:ascii="新宋体" w:hAnsi="新宋体" w:eastAsia="新宋体" w:cs="新宋体"/>
                <w:color w:val="auto"/>
                <w:sz w:val="22"/>
                <w:szCs w:val="22"/>
                <w:highlight w:val="none"/>
              </w:rPr>
            </w:pPr>
          </w:p>
        </w:tc>
        <w:tc>
          <w:tcPr>
            <w:tcW w:w="796" w:type="dxa"/>
          </w:tcPr>
          <w:p w14:paraId="7F8F7779">
            <w:pPr>
              <w:spacing w:line="400" w:lineRule="exact"/>
              <w:rPr>
                <w:rFonts w:ascii="新宋体" w:hAnsi="新宋体" w:eastAsia="新宋体" w:cs="新宋体"/>
                <w:color w:val="auto"/>
                <w:sz w:val="22"/>
                <w:szCs w:val="22"/>
                <w:highlight w:val="none"/>
              </w:rPr>
            </w:pPr>
          </w:p>
        </w:tc>
        <w:tc>
          <w:tcPr>
            <w:tcW w:w="3704" w:type="dxa"/>
          </w:tcPr>
          <w:p w14:paraId="10B9879C">
            <w:pPr>
              <w:spacing w:line="400" w:lineRule="exact"/>
              <w:rPr>
                <w:rFonts w:ascii="新宋体" w:hAnsi="新宋体" w:eastAsia="新宋体" w:cs="新宋体"/>
                <w:color w:val="auto"/>
                <w:sz w:val="22"/>
                <w:szCs w:val="22"/>
                <w:highlight w:val="none"/>
              </w:rPr>
            </w:pPr>
          </w:p>
        </w:tc>
        <w:tc>
          <w:tcPr>
            <w:tcW w:w="1568" w:type="dxa"/>
          </w:tcPr>
          <w:p w14:paraId="0D206AA4">
            <w:pPr>
              <w:spacing w:line="400" w:lineRule="exact"/>
              <w:rPr>
                <w:rFonts w:ascii="新宋体" w:hAnsi="新宋体" w:eastAsia="新宋体" w:cs="新宋体"/>
                <w:color w:val="auto"/>
                <w:sz w:val="22"/>
                <w:szCs w:val="22"/>
                <w:highlight w:val="none"/>
              </w:rPr>
            </w:pPr>
          </w:p>
        </w:tc>
      </w:tr>
      <w:tr w14:paraId="1F7E0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3B75C454">
            <w:pPr>
              <w:spacing w:line="400" w:lineRule="exact"/>
              <w:jc w:val="center"/>
              <w:rPr>
                <w:rFonts w:ascii="新宋体" w:hAnsi="新宋体" w:eastAsia="新宋体" w:cs="新宋体"/>
                <w:color w:val="auto"/>
                <w:sz w:val="22"/>
                <w:szCs w:val="22"/>
                <w:highlight w:val="none"/>
              </w:rPr>
            </w:pPr>
          </w:p>
        </w:tc>
        <w:tc>
          <w:tcPr>
            <w:tcW w:w="1240" w:type="dxa"/>
          </w:tcPr>
          <w:p w14:paraId="36BA9174">
            <w:pPr>
              <w:spacing w:line="400" w:lineRule="exact"/>
              <w:rPr>
                <w:rFonts w:ascii="新宋体" w:hAnsi="新宋体" w:eastAsia="新宋体" w:cs="新宋体"/>
                <w:color w:val="auto"/>
                <w:sz w:val="22"/>
                <w:szCs w:val="22"/>
                <w:highlight w:val="none"/>
              </w:rPr>
            </w:pPr>
          </w:p>
        </w:tc>
        <w:tc>
          <w:tcPr>
            <w:tcW w:w="1404" w:type="dxa"/>
          </w:tcPr>
          <w:p w14:paraId="1B35A430">
            <w:pPr>
              <w:spacing w:line="400" w:lineRule="exact"/>
              <w:rPr>
                <w:rFonts w:ascii="新宋体" w:hAnsi="新宋体" w:eastAsia="新宋体" w:cs="新宋体"/>
                <w:color w:val="auto"/>
                <w:sz w:val="22"/>
                <w:szCs w:val="22"/>
                <w:highlight w:val="none"/>
              </w:rPr>
            </w:pPr>
          </w:p>
        </w:tc>
        <w:tc>
          <w:tcPr>
            <w:tcW w:w="796" w:type="dxa"/>
          </w:tcPr>
          <w:p w14:paraId="21EE86E7">
            <w:pPr>
              <w:spacing w:line="400" w:lineRule="exact"/>
              <w:rPr>
                <w:rFonts w:ascii="新宋体" w:hAnsi="新宋体" w:eastAsia="新宋体" w:cs="新宋体"/>
                <w:color w:val="auto"/>
                <w:sz w:val="22"/>
                <w:szCs w:val="22"/>
                <w:highlight w:val="none"/>
              </w:rPr>
            </w:pPr>
          </w:p>
        </w:tc>
        <w:tc>
          <w:tcPr>
            <w:tcW w:w="3704" w:type="dxa"/>
          </w:tcPr>
          <w:p w14:paraId="4FD15763">
            <w:pPr>
              <w:spacing w:line="400" w:lineRule="exact"/>
              <w:rPr>
                <w:rFonts w:ascii="新宋体" w:hAnsi="新宋体" w:eastAsia="新宋体" w:cs="新宋体"/>
                <w:color w:val="auto"/>
                <w:sz w:val="22"/>
                <w:szCs w:val="22"/>
                <w:highlight w:val="none"/>
              </w:rPr>
            </w:pPr>
          </w:p>
        </w:tc>
        <w:tc>
          <w:tcPr>
            <w:tcW w:w="1568" w:type="dxa"/>
          </w:tcPr>
          <w:p w14:paraId="00B3C884">
            <w:pPr>
              <w:spacing w:line="400" w:lineRule="exact"/>
              <w:rPr>
                <w:rFonts w:ascii="新宋体" w:hAnsi="新宋体" w:eastAsia="新宋体" w:cs="新宋体"/>
                <w:color w:val="auto"/>
                <w:sz w:val="22"/>
                <w:szCs w:val="22"/>
                <w:highlight w:val="none"/>
              </w:rPr>
            </w:pPr>
          </w:p>
        </w:tc>
      </w:tr>
      <w:tr w14:paraId="45C5C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386166CD">
            <w:pPr>
              <w:spacing w:line="400" w:lineRule="exact"/>
              <w:jc w:val="center"/>
              <w:rPr>
                <w:rFonts w:ascii="新宋体" w:hAnsi="新宋体" w:eastAsia="新宋体" w:cs="新宋体"/>
                <w:color w:val="auto"/>
                <w:sz w:val="22"/>
                <w:szCs w:val="22"/>
                <w:highlight w:val="none"/>
              </w:rPr>
            </w:pPr>
          </w:p>
        </w:tc>
        <w:tc>
          <w:tcPr>
            <w:tcW w:w="1240" w:type="dxa"/>
          </w:tcPr>
          <w:p w14:paraId="5E564ABE">
            <w:pPr>
              <w:spacing w:line="400" w:lineRule="exact"/>
              <w:rPr>
                <w:rFonts w:ascii="新宋体" w:hAnsi="新宋体" w:eastAsia="新宋体" w:cs="新宋体"/>
                <w:color w:val="auto"/>
                <w:sz w:val="22"/>
                <w:szCs w:val="22"/>
                <w:highlight w:val="none"/>
              </w:rPr>
            </w:pPr>
          </w:p>
        </w:tc>
        <w:tc>
          <w:tcPr>
            <w:tcW w:w="1404" w:type="dxa"/>
          </w:tcPr>
          <w:p w14:paraId="68FC6BAA">
            <w:pPr>
              <w:spacing w:line="400" w:lineRule="exact"/>
              <w:rPr>
                <w:rFonts w:ascii="新宋体" w:hAnsi="新宋体" w:eastAsia="新宋体" w:cs="新宋体"/>
                <w:color w:val="auto"/>
                <w:sz w:val="22"/>
                <w:szCs w:val="22"/>
                <w:highlight w:val="none"/>
              </w:rPr>
            </w:pPr>
          </w:p>
        </w:tc>
        <w:tc>
          <w:tcPr>
            <w:tcW w:w="796" w:type="dxa"/>
          </w:tcPr>
          <w:p w14:paraId="7B9A304A">
            <w:pPr>
              <w:spacing w:line="400" w:lineRule="exact"/>
              <w:rPr>
                <w:rFonts w:ascii="新宋体" w:hAnsi="新宋体" w:eastAsia="新宋体" w:cs="新宋体"/>
                <w:color w:val="auto"/>
                <w:sz w:val="22"/>
                <w:szCs w:val="22"/>
                <w:highlight w:val="none"/>
              </w:rPr>
            </w:pPr>
          </w:p>
        </w:tc>
        <w:tc>
          <w:tcPr>
            <w:tcW w:w="3704" w:type="dxa"/>
          </w:tcPr>
          <w:p w14:paraId="23D50C25">
            <w:pPr>
              <w:spacing w:line="400" w:lineRule="exact"/>
              <w:rPr>
                <w:rFonts w:ascii="新宋体" w:hAnsi="新宋体" w:eastAsia="新宋体" w:cs="新宋体"/>
                <w:color w:val="auto"/>
                <w:sz w:val="22"/>
                <w:szCs w:val="22"/>
                <w:highlight w:val="none"/>
              </w:rPr>
            </w:pPr>
          </w:p>
        </w:tc>
        <w:tc>
          <w:tcPr>
            <w:tcW w:w="1568" w:type="dxa"/>
          </w:tcPr>
          <w:p w14:paraId="3499EBAC">
            <w:pPr>
              <w:spacing w:line="400" w:lineRule="exact"/>
              <w:rPr>
                <w:rFonts w:ascii="新宋体" w:hAnsi="新宋体" w:eastAsia="新宋体" w:cs="新宋体"/>
                <w:color w:val="auto"/>
                <w:sz w:val="22"/>
                <w:szCs w:val="22"/>
                <w:highlight w:val="none"/>
              </w:rPr>
            </w:pPr>
          </w:p>
        </w:tc>
      </w:tr>
    </w:tbl>
    <w:p w14:paraId="6E349B1C">
      <w:pPr>
        <w:tabs>
          <w:tab w:val="left" w:pos="360"/>
        </w:tabs>
        <w:spacing w:line="460" w:lineRule="exact"/>
        <w:ind w:firstLine="552" w:firstLineChars="250"/>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说明：  1、此表仅提供了表格形式，投标人可按此表格复制。</w:t>
      </w:r>
    </w:p>
    <w:p w14:paraId="7E821EC9">
      <w:pPr>
        <w:tabs>
          <w:tab w:val="left" w:pos="360"/>
        </w:tabs>
        <w:spacing w:line="460" w:lineRule="exact"/>
        <w:ind w:firstLine="1436" w:firstLineChars="650"/>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2、如果无此内容，投标时需说明。</w:t>
      </w:r>
    </w:p>
    <w:p w14:paraId="506C5086">
      <w:pPr>
        <w:spacing w:line="400" w:lineRule="exact"/>
        <w:ind w:firstLine="4620" w:firstLineChars="2100"/>
        <w:rPr>
          <w:rFonts w:ascii="新宋体" w:hAnsi="新宋体" w:eastAsia="新宋体" w:cs="新宋体"/>
          <w:color w:val="auto"/>
          <w:sz w:val="22"/>
          <w:szCs w:val="22"/>
          <w:highlight w:val="none"/>
        </w:rPr>
      </w:pPr>
    </w:p>
    <w:p w14:paraId="7783CB25">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74AEBEE1">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33B06BD3">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58514F68">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315FFFFC">
      <w:pPr>
        <w:spacing w:line="420" w:lineRule="exact"/>
        <w:jc w:val="center"/>
        <w:outlineLvl w:val="3"/>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t>10、其他必要提供的资料</w:t>
      </w:r>
    </w:p>
    <w:p w14:paraId="3FAD190E">
      <w:pPr>
        <w:spacing w:line="360" w:lineRule="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p>
    <w:p w14:paraId="00D8967A">
      <w:pPr>
        <w:bidi w:val="0"/>
        <w:rPr>
          <w:rFonts w:hint="eastAsia" w:ascii="新宋体" w:hAnsi="新宋体" w:eastAsia="新宋体" w:cs="新宋体"/>
          <w:color w:val="auto"/>
          <w:highlight w:val="none"/>
        </w:rPr>
      </w:pPr>
      <w:r>
        <w:rPr>
          <w:rFonts w:hint="eastAsia" w:ascii="新宋体" w:hAnsi="新宋体" w:eastAsia="新宋体" w:cs="新宋体"/>
          <w:color w:val="auto"/>
          <w:sz w:val="22"/>
          <w:szCs w:val="22"/>
          <w:highlight w:val="none"/>
        </w:rPr>
        <w:t>项目名称：</w:t>
      </w:r>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0"/>
      </w:tblGrid>
      <w:tr w14:paraId="45F29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5" w:hRule="atLeast"/>
        </w:trPr>
        <w:tc>
          <w:tcPr>
            <w:tcW w:w="9820" w:type="dxa"/>
            <w:noWrap w:val="0"/>
            <w:vAlign w:val="top"/>
          </w:tcPr>
          <w:p w14:paraId="629CF43B">
            <w:pPr>
              <w:jc w:val="center"/>
              <w:rPr>
                <w:rFonts w:hint="eastAsia" w:ascii="新宋体" w:hAnsi="新宋体" w:eastAsia="新宋体" w:cs="新宋体"/>
                <w:color w:val="auto"/>
                <w:highlight w:val="none"/>
              </w:rPr>
            </w:pPr>
            <w:r>
              <w:rPr>
                <w:rFonts w:hint="eastAsia" w:ascii="新宋体" w:hAnsi="新宋体" w:eastAsia="新宋体" w:cs="新宋体"/>
                <w:b/>
                <w:bCs/>
                <w:color w:val="auto"/>
                <w:sz w:val="22"/>
                <w:szCs w:val="22"/>
                <w:highlight w:val="none"/>
                <w:u w:val="single"/>
                <w:lang w:val="en-US" w:eastAsia="zh-CN"/>
              </w:rPr>
              <w:t>根据</w:t>
            </w:r>
            <w:r>
              <w:rPr>
                <w:rFonts w:hint="eastAsia" w:ascii="新宋体" w:hAnsi="新宋体" w:eastAsia="新宋体" w:cs="新宋体"/>
                <w:b/>
                <w:bCs/>
                <w:color w:val="auto"/>
                <w:sz w:val="22"/>
                <w:szCs w:val="22"/>
                <w:highlight w:val="none"/>
                <w:u w:val="single"/>
              </w:rPr>
              <w:t>评标标准</w:t>
            </w:r>
            <w:r>
              <w:rPr>
                <w:rFonts w:hint="eastAsia" w:ascii="新宋体" w:hAnsi="新宋体" w:eastAsia="新宋体" w:cs="新宋体"/>
                <w:b/>
                <w:bCs/>
                <w:color w:val="auto"/>
                <w:sz w:val="22"/>
                <w:szCs w:val="22"/>
                <w:highlight w:val="none"/>
                <w:u w:val="single"/>
                <w:lang w:val="en-US" w:eastAsia="zh-CN"/>
              </w:rPr>
              <w:t>自行提供</w:t>
            </w:r>
          </w:p>
        </w:tc>
      </w:tr>
    </w:tbl>
    <w:p w14:paraId="6528942A">
      <w:pPr>
        <w:rPr>
          <w:rFonts w:hint="eastAsia" w:ascii="新宋体" w:hAnsi="新宋体" w:eastAsia="新宋体" w:cs="新宋体"/>
          <w:color w:val="auto"/>
          <w:highlight w:val="none"/>
        </w:rPr>
      </w:pPr>
    </w:p>
    <w:p w14:paraId="2645ECC8">
      <w:pPr>
        <w:rPr>
          <w:rFonts w:hint="eastAsia" w:ascii="新宋体" w:hAnsi="新宋体" w:eastAsia="新宋体" w:cs="新宋体"/>
          <w:color w:val="auto"/>
          <w:highlight w:val="none"/>
        </w:rPr>
      </w:pPr>
    </w:p>
    <w:p w14:paraId="34AEED11">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5F5812EC">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7C73417B">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07E575A2">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br w:type="page"/>
      </w:r>
    </w:p>
    <w:p w14:paraId="3ED9D3CF">
      <w:pPr>
        <w:rPr>
          <w:rFonts w:hint="eastAsia" w:ascii="新宋体" w:hAnsi="新宋体" w:eastAsia="新宋体" w:cs="新宋体"/>
          <w:color w:val="auto"/>
          <w:sz w:val="22"/>
          <w:szCs w:val="22"/>
          <w:highlight w:val="none"/>
        </w:rPr>
        <w:sectPr>
          <w:pgSz w:w="11906" w:h="16838"/>
          <w:pgMar w:top="1134" w:right="1134" w:bottom="1134" w:left="1134" w:header="850" w:footer="992" w:gutter="0"/>
          <w:cols w:space="720" w:num="1"/>
          <w:docGrid w:type="lines" w:linePitch="321" w:charSpace="0"/>
        </w:sectPr>
      </w:pPr>
    </w:p>
    <w:p w14:paraId="42F0057C">
      <w:pPr>
        <w:pStyle w:val="3"/>
        <w:numPr>
          <w:ilvl w:val="0"/>
          <w:numId w:val="0"/>
        </w:numPr>
        <w:jc w:val="center"/>
        <w:rPr>
          <w:rFonts w:hint="eastAsia" w:ascii="新宋体" w:hAnsi="新宋体" w:eastAsia="新宋体" w:cs="新宋体"/>
          <w:color w:val="auto"/>
          <w:highlight w:val="none"/>
        </w:rPr>
      </w:pPr>
      <w:bookmarkStart w:id="48" w:name="_Toc16424"/>
      <w:bookmarkStart w:id="49" w:name="_Toc10142"/>
      <w:bookmarkStart w:id="50" w:name="_Toc221356958"/>
      <w:bookmarkStart w:id="51" w:name="_Toc221356895"/>
      <w:r>
        <w:rPr>
          <w:rFonts w:hint="eastAsia" w:ascii="新宋体" w:hAnsi="新宋体" w:eastAsia="新宋体" w:cs="新宋体"/>
          <w:color w:val="auto"/>
          <w:highlight w:val="none"/>
          <w:lang w:val="en-US" w:eastAsia="zh-CN"/>
        </w:rPr>
        <w:t xml:space="preserve">第四部分   </w:t>
      </w:r>
      <w:r>
        <w:rPr>
          <w:rFonts w:hint="eastAsia" w:ascii="新宋体" w:hAnsi="新宋体" w:eastAsia="新宋体" w:cs="新宋体"/>
          <w:color w:val="auto"/>
          <w:highlight w:val="none"/>
        </w:rPr>
        <w:t>项目技术规范和服务要求</w:t>
      </w:r>
      <w:bookmarkEnd w:id="48"/>
      <w:bookmarkEnd w:id="49"/>
    </w:p>
    <w:bookmarkEnd w:id="50"/>
    <w:bookmarkEnd w:id="51"/>
    <w:p w14:paraId="2B535AB9">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bCs/>
          <w:color w:val="auto"/>
          <w:sz w:val="22"/>
          <w:szCs w:val="22"/>
          <w:highlight w:val="none"/>
        </w:rPr>
      </w:pPr>
      <w:bookmarkStart w:id="52" w:name="csmb"/>
      <w:bookmarkEnd w:id="52"/>
      <w:bookmarkStart w:id="53" w:name="jinjicd"/>
      <w:bookmarkEnd w:id="53"/>
      <w:bookmarkStart w:id="54" w:name="_Toc30323"/>
      <w:r>
        <w:rPr>
          <w:rFonts w:hint="eastAsia" w:ascii="新宋体" w:hAnsi="新宋体" w:eastAsia="新宋体" w:cs="新宋体"/>
          <w:b/>
          <w:bCs/>
          <w:color w:val="auto"/>
          <w:sz w:val="22"/>
          <w:szCs w:val="22"/>
          <w:highlight w:val="none"/>
        </w:rPr>
        <w:t>一、相关说明</w:t>
      </w:r>
    </w:p>
    <w:p w14:paraId="6BA0B52C">
      <w:pPr>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lang w:val="en-US" w:eastAsia="zh-CN"/>
        </w:rPr>
        <w:t>1、流式细胞仪</w:t>
      </w:r>
      <w:r>
        <w:rPr>
          <w:rFonts w:hint="eastAsia" w:ascii="新宋体" w:hAnsi="新宋体" w:eastAsia="新宋体" w:cs="新宋体"/>
          <w:b/>
          <w:color w:val="auto"/>
          <w:sz w:val="22"/>
          <w:szCs w:val="22"/>
          <w:highlight w:val="none"/>
        </w:rPr>
        <w:t>用途：流式细胞仪（flow cytometer, FCM）是一种利用光散射和荧光分子激发与发射的原理，采集细胞和微粒的多参数数据的仪器。</w:t>
      </w:r>
      <w:r>
        <w:rPr>
          <w:rFonts w:hint="eastAsia" w:ascii="新宋体" w:hAnsi="新宋体" w:eastAsia="新宋体" w:cs="新宋体"/>
          <w:b/>
          <w:color w:val="auto"/>
          <w:sz w:val="22"/>
          <w:szCs w:val="22"/>
          <w:highlight w:val="none"/>
          <w:lang w:val="en-US" w:eastAsia="zh-CN"/>
        </w:rPr>
        <w:t>可用于传染病领域和相关科学研究等方面和</w:t>
      </w:r>
      <w:r>
        <w:rPr>
          <w:rFonts w:hint="eastAsia" w:ascii="新宋体" w:hAnsi="新宋体" w:eastAsia="新宋体" w:cs="新宋体"/>
          <w:b/>
          <w:color w:val="auto"/>
          <w:sz w:val="22"/>
          <w:szCs w:val="22"/>
          <w:highlight w:val="none"/>
        </w:rPr>
        <w:t>血液肿瘤的检测和鉴定，预测疾病的进展和预后，以及监测疗效和患者的免疫状况。此外，流式细胞仪还可以用于检测和鉴定感染病原体、分析免疫细胞亚群和测定细胞因子的产生等</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lang w:val="en-US" w:eastAsia="zh-CN"/>
        </w:rPr>
        <w:t>特别是艾滋病人群特定的分子分型，CD4/CD8分子检测和治疗后免疫评价等。</w:t>
      </w:r>
    </w:p>
    <w:p w14:paraId="713626B2">
      <w:pPr>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default" w:ascii="新宋体" w:hAnsi="新宋体" w:eastAsia="新宋体" w:cs="新宋体"/>
          <w:b/>
          <w:color w:val="auto"/>
          <w:sz w:val="22"/>
          <w:szCs w:val="22"/>
          <w:highlight w:val="none"/>
          <w:lang w:val="en-US" w:eastAsia="zh-CN"/>
        </w:rPr>
      </w:pPr>
      <w:r>
        <w:rPr>
          <w:rFonts w:hint="eastAsia" w:ascii="新宋体" w:hAnsi="新宋体" w:eastAsia="新宋体" w:cs="新宋体"/>
          <w:b/>
          <w:color w:val="auto"/>
          <w:sz w:val="22"/>
          <w:szCs w:val="22"/>
          <w:highlight w:val="none"/>
          <w:lang w:val="en-US" w:eastAsia="zh-CN"/>
        </w:rPr>
        <w:t>2、细胞计数仪用途：用于开展对病毒培养、传染病功能研究及各类科学实验细胞计数要求，如规范细胞分离的操作，提高流感病毒分离率，提升流感哨点监测能力。轻松实现快速、准确、高通量的细胞计数需求；</w:t>
      </w:r>
    </w:p>
    <w:p w14:paraId="2E19D0D6">
      <w:pPr>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val="en-US" w:eastAsia="zh-CN"/>
        </w:rPr>
        <w:t>3、荧光定量PCR仪</w:t>
      </w:r>
      <w:r>
        <w:rPr>
          <w:rFonts w:hint="eastAsia" w:ascii="新宋体" w:hAnsi="新宋体" w:eastAsia="新宋体" w:cs="新宋体"/>
          <w:b/>
          <w:bCs/>
          <w:color w:val="auto"/>
          <w:sz w:val="22"/>
          <w:szCs w:val="22"/>
          <w:highlight w:val="none"/>
        </w:rPr>
        <w:t>用途:用于全市的各种传染病的暴发应急检测工作和各种传染病的监测工作，用于病原微生物核酸多重检测、艾滋病病毒的耐药基因和病毒载量水平检测、呼吸道病毒和腹泻相关病毒等的快速检测，病原体分子分型检测及溯源工作。用于基因表达，SNP分型，MicroRNA研究，基因突变检测等众多领域。</w:t>
      </w:r>
    </w:p>
    <w:p w14:paraId="76AA8BFC">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二</w:t>
      </w:r>
      <w:r>
        <w:rPr>
          <w:rFonts w:hint="eastAsia" w:ascii="新宋体" w:hAnsi="新宋体" w:eastAsia="新宋体" w:cs="新宋体"/>
          <w:b/>
          <w:color w:val="auto"/>
          <w:sz w:val="22"/>
          <w:szCs w:val="22"/>
          <w:highlight w:val="none"/>
        </w:rPr>
        <w:t>、</w:t>
      </w:r>
      <w:r>
        <w:rPr>
          <w:rFonts w:hint="eastAsia" w:ascii="新宋体" w:hAnsi="新宋体" w:eastAsia="新宋体" w:cs="新宋体"/>
          <w:b/>
          <w:bCs/>
          <w:color w:val="auto"/>
          <w:sz w:val="22"/>
          <w:szCs w:val="22"/>
          <w:highlight w:val="none"/>
        </w:rPr>
        <w:t>项目名称</w:t>
      </w:r>
    </w:p>
    <w:tbl>
      <w:tblPr>
        <w:tblStyle w:val="54"/>
        <w:tblW w:w="97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28"/>
        <w:gridCol w:w="1050"/>
        <w:gridCol w:w="2370"/>
        <w:gridCol w:w="3194"/>
      </w:tblGrid>
      <w:tr w14:paraId="436B4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3128" w:type="dxa"/>
            <w:vAlign w:val="center"/>
          </w:tcPr>
          <w:p w14:paraId="2F800230">
            <w:pPr>
              <w:pStyle w:val="22"/>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 w:val="0"/>
                <w:bCs w:val="0"/>
                <w:color w:val="auto"/>
                <w:sz w:val="22"/>
                <w:szCs w:val="22"/>
                <w:highlight w:val="none"/>
                <w:vertAlign w:val="baseline"/>
              </w:rPr>
            </w:pPr>
            <w:r>
              <w:rPr>
                <w:rFonts w:hint="eastAsia" w:ascii="新宋体" w:hAnsi="新宋体" w:eastAsia="新宋体" w:cs="新宋体"/>
                <w:b w:val="0"/>
                <w:bCs w:val="0"/>
                <w:color w:val="auto"/>
                <w:sz w:val="22"/>
                <w:szCs w:val="22"/>
                <w:highlight w:val="none"/>
              </w:rPr>
              <w:t>名称</w:t>
            </w:r>
          </w:p>
        </w:tc>
        <w:tc>
          <w:tcPr>
            <w:tcW w:w="1050" w:type="dxa"/>
            <w:vAlign w:val="center"/>
          </w:tcPr>
          <w:p w14:paraId="47A58BC0">
            <w:pPr>
              <w:pStyle w:val="22"/>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新宋体" w:hAnsi="新宋体" w:eastAsia="新宋体" w:cs="新宋体"/>
                <w:b w:val="0"/>
                <w:bCs w:val="0"/>
                <w:color w:val="auto"/>
                <w:sz w:val="22"/>
                <w:szCs w:val="22"/>
                <w:highlight w:val="none"/>
                <w:vertAlign w:val="baseline"/>
              </w:rPr>
            </w:pPr>
            <w:r>
              <w:rPr>
                <w:rFonts w:hint="eastAsia" w:ascii="新宋体" w:hAnsi="新宋体" w:eastAsia="新宋体" w:cs="新宋体"/>
                <w:b w:val="0"/>
                <w:bCs w:val="0"/>
                <w:color w:val="auto"/>
                <w:sz w:val="22"/>
                <w:szCs w:val="22"/>
                <w:highlight w:val="none"/>
              </w:rPr>
              <w:t>数量</w:t>
            </w:r>
          </w:p>
        </w:tc>
        <w:tc>
          <w:tcPr>
            <w:tcW w:w="2370" w:type="dxa"/>
            <w:vAlign w:val="center"/>
          </w:tcPr>
          <w:p w14:paraId="345ACE7C">
            <w:pPr>
              <w:pStyle w:val="22"/>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新宋体" w:hAnsi="新宋体" w:eastAsia="新宋体" w:cs="新宋体"/>
                <w:b w:val="0"/>
                <w:bCs w:val="0"/>
                <w:color w:val="auto"/>
                <w:sz w:val="22"/>
                <w:szCs w:val="22"/>
                <w:highlight w:val="none"/>
                <w:vertAlign w:val="baseline"/>
              </w:rPr>
            </w:pPr>
            <w:r>
              <w:rPr>
                <w:rFonts w:hint="eastAsia" w:ascii="新宋体" w:hAnsi="新宋体" w:eastAsia="新宋体" w:cs="新宋体"/>
                <w:b w:val="0"/>
                <w:bCs w:val="0"/>
                <w:color w:val="auto"/>
                <w:sz w:val="22"/>
                <w:szCs w:val="22"/>
                <w:highlight w:val="none"/>
              </w:rPr>
              <w:t>预算：元人民币</w:t>
            </w:r>
          </w:p>
        </w:tc>
        <w:tc>
          <w:tcPr>
            <w:tcW w:w="3194" w:type="dxa"/>
            <w:vAlign w:val="center"/>
          </w:tcPr>
          <w:p w14:paraId="3D1DD570">
            <w:pPr>
              <w:pStyle w:val="22"/>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 w:val="0"/>
                <w:bCs w:val="0"/>
                <w:color w:val="auto"/>
                <w:sz w:val="22"/>
                <w:szCs w:val="22"/>
                <w:highlight w:val="none"/>
                <w:vertAlign w:val="baseline"/>
                <w:lang w:eastAsia="zh-CN"/>
              </w:rPr>
            </w:pPr>
            <w:r>
              <w:rPr>
                <w:rFonts w:hint="eastAsia" w:ascii="新宋体" w:hAnsi="新宋体" w:eastAsia="新宋体" w:cs="新宋体"/>
                <w:b w:val="0"/>
                <w:bCs w:val="0"/>
                <w:color w:val="auto"/>
                <w:sz w:val="22"/>
                <w:szCs w:val="22"/>
                <w:highlight w:val="none"/>
                <w:vertAlign w:val="baseline"/>
                <w:lang w:eastAsia="zh-CN"/>
              </w:rPr>
              <w:t>备注</w:t>
            </w:r>
          </w:p>
        </w:tc>
      </w:tr>
      <w:tr w14:paraId="7716C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3128" w:type="dxa"/>
            <w:vAlign w:val="center"/>
          </w:tcPr>
          <w:p w14:paraId="2DC51FB2">
            <w:pPr>
              <w:pStyle w:val="22"/>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新宋体" w:hAnsi="新宋体" w:eastAsia="新宋体" w:cs="新宋体"/>
                <w:b w:val="0"/>
                <w:bCs w:val="0"/>
                <w:color w:val="auto"/>
                <w:sz w:val="22"/>
                <w:szCs w:val="22"/>
                <w:highlight w:val="none"/>
                <w:vertAlign w:val="baseline"/>
                <w:lang w:eastAsia="zh-CN"/>
              </w:rPr>
            </w:pPr>
            <w:r>
              <w:rPr>
                <w:rFonts w:hint="eastAsia" w:ascii="新宋体" w:hAnsi="新宋体" w:eastAsia="新宋体" w:cs="新宋体"/>
                <w:color w:val="auto"/>
                <w:kern w:val="2"/>
                <w:sz w:val="22"/>
                <w:szCs w:val="22"/>
                <w:highlight w:val="none"/>
                <w:lang w:val="en-US" w:eastAsia="zh-CN" w:bidi="ar-SA"/>
              </w:rPr>
              <w:t>流式细胞仪（含细胞计数仪、荧光定量PCR仪）</w:t>
            </w:r>
          </w:p>
        </w:tc>
        <w:tc>
          <w:tcPr>
            <w:tcW w:w="1050" w:type="dxa"/>
            <w:vAlign w:val="center"/>
          </w:tcPr>
          <w:p w14:paraId="4D54F5A2">
            <w:pPr>
              <w:pStyle w:val="22"/>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 w:val="0"/>
                <w:bCs w:val="0"/>
                <w:color w:val="auto"/>
                <w:sz w:val="22"/>
                <w:szCs w:val="22"/>
                <w:highlight w:val="none"/>
                <w:vertAlign w:val="baseline"/>
                <w:lang w:val="en-US" w:eastAsia="zh-CN"/>
              </w:rPr>
            </w:pPr>
            <w:r>
              <w:rPr>
                <w:rFonts w:hint="eastAsia" w:ascii="新宋体" w:hAnsi="新宋体" w:eastAsia="新宋体" w:cs="新宋体"/>
                <w:color w:val="auto"/>
                <w:sz w:val="22"/>
                <w:szCs w:val="22"/>
                <w:highlight w:val="none"/>
                <w:lang w:val="en-US" w:eastAsia="zh-CN"/>
              </w:rPr>
              <w:t>1套</w:t>
            </w:r>
          </w:p>
        </w:tc>
        <w:tc>
          <w:tcPr>
            <w:tcW w:w="2370" w:type="dxa"/>
            <w:vAlign w:val="center"/>
          </w:tcPr>
          <w:p w14:paraId="74FA834F">
            <w:pPr>
              <w:pStyle w:val="22"/>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 w:val="0"/>
                <w:bCs w:val="0"/>
                <w:color w:val="auto"/>
                <w:sz w:val="22"/>
                <w:szCs w:val="22"/>
                <w:highlight w:val="none"/>
                <w:vertAlign w:val="baseline"/>
                <w:lang w:eastAsia="zh-CN"/>
              </w:rPr>
            </w:pPr>
            <w:r>
              <w:rPr>
                <w:rFonts w:hint="eastAsia" w:ascii="新宋体" w:hAnsi="新宋体" w:eastAsia="新宋体" w:cs="新宋体"/>
                <w:color w:val="auto"/>
                <w:sz w:val="22"/>
                <w:szCs w:val="22"/>
                <w:highlight w:val="none"/>
                <w:lang w:val="en-US" w:eastAsia="zh-CN"/>
              </w:rPr>
              <w:t>1800000</w:t>
            </w:r>
          </w:p>
        </w:tc>
        <w:tc>
          <w:tcPr>
            <w:tcW w:w="3194" w:type="dxa"/>
            <w:vAlign w:val="center"/>
          </w:tcPr>
          <w:p w14:paraId="33B4C48E">
            <w:pPr>
              <w:pStyle w:val="22"/>
              <w:keepNext w:val="0"/>
              <w:keepLines w:val="0"/>
              <w:pageBreakBefore w:val="0"/>
              <w:widowControl w:val="0"/>
              <w:kinsoku/>
              <w:wordWrap/>
              <w:overflowPunct/>
              <w:topLinePunct w:val="0"/>
              <w:autoSpaceDE/>
              <w:autoSpaceDN/>
              <w:bidi w:val="0"/>
              <w:adjustRightInd/>
              <w:snapToGrid/>
              <w:spacing w:line="460" w:lineRule="exact"/>
              <w:ind w:left="-4" w:leftChars="-28" w:hanging="55" w:hangingChars="25"/>
              <w:jc w:val="center"/>
              <w:textAlignment w:val="auto"/>
              <w:rPr>
                <w:rFonts w:hint="eastAsia" w:ascii="新宋体" w:hAnsi="新宋体" w:eastAsia="新宋体" w:cs="新宋体"/>
                <w:b w:val="0"/>
                <w:bCs w:val="0"/>
                <w:color w:val="auto"/>
                <w:sz w:val="22"/>
                <w:szCs w:val="22"/>
                <w:highlight w:val="none"/>
                <w:vertAlign w:val="baseline"/>
              </w:rPr>
            </w:pPr>
            <w:r>
              <w:rPr>
                <w:rFonts w:hint="eastAsia" w:ascii="新宋体" w:hAnsi="新宋体" w:eastAsia="新宋体" w:cs="新宋体"/>
                <w:b w:val="0"/>
                <w:bCs w:val="0"/>
                <w:color w:val="auto"/>
                <w:sz w:val="22"/>
                <w:szCs w:val="22"/>
                <w:highlight w:val="none"/>
                <w:u w:val="single"/>
                <w:lang w:val="en-US" w:eastAsia="zh-CN"/>
              </w:rPr>
              <w:t>本项目允许进口产品投标</w:t>
            </w:r>
          </w:p>
        </w:tc>
      </w:tr>
    </w:tbl>
    <w:p w14:paraId="1DBE01A7">
      <w:pPr>
        <w:keepNext w:val="0"/>
        <w:keepLines w:val="0"/>
        <w:pageBreakBefore w:val="0"/>
        <w:widowControl w:val="0"/>
        <w:kinsoku/>
        <w:wordWrap/>
        <w:overflowPunct/>
        <w:topLinePunct w:val="0"/>
        <w:autoSpaceDE/>
        <w:autoSpaceDN/>
        <w:bidi w:val="0"/>
        <w:adjustRightInd/>
        <w:snapToGrid w:val="0"/>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Cs/>
          <w:color w:val="auto"/>
          <w:sz w:val="22"/>
          <w:szCs w:val="22"/>
          <w:highlight w:val="none"/>
        </w:rPr>
        <w:t>（一）</w:t>
      </w:r>
      <w:r>
        <w:rPr>
          <w:rFonts w:hint="eastAsia" w:ascii="新宋体" w:hAnsi="新宋体" w:eastAsia="新宋体" w:cs="新宋体"/>
          <w:bCs/>
          <w:color w:val="auto"/>
          <w:sz w:val="22"/>
          <w:szCs w:val="22"/>
          <w:highlight w:val="none"/>
          <w:lang w:val="en-US" w:eastAsia="zh-CN"/>
        </w:rPr>
        <w:t>采购</w:t>
      </w:r>
      <w:r>
        <w:rPr>
          <w:rFonts w:hint="eastAsia" w:ascii="新宋体" w:hAnsi="新宋体" w:eastAsia="新宋体" w:cs="新宋体"/>
          <w:bCs/>
          <w:color w:val="auto"/>
          <w:sz w:val="22"/>
          <w:szCs w:val="22"/>
          <w:highlight w:val="none"/>
        </w:rPr>
        <w:t>清单</w:t>
      </w:r>
    </w:p>
    <w:tbl>
      <w:tblPr>
        <w:tblStyle w:val="54"/>
        <w:tblW w:w="9096"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766"/>
        <w:gridCol w:w="1963"/>
        <w:gridCol w:w="1405"/>
        <w:gridCol w:w="1868"/>
        <w:gridCol w:w="3094"/>
      </w:tblGrid>
      <w:tr w14:paraId="5FB520B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jc w:val="center"/>
        </w:trPr>
        <w:tc>
          <w:tcPr>
            <w:tcW w:w="766" w:type="dxa"/>
            <w:vAlign w:val="center"/>
          </w:tcPr>
          <w:p w14:paraId="58804142">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963" w:type="dxa"/>
            <w:vAlign w:val="center"/>
          </w:tcPr>
          <w:p w14:paraId="5EA6F8E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项目内容</w:t>
            </w:r>
          </w:p>
        </w:tc>
        <w:tc>
          <w:tcPr>
            <w:tcW w:w="1405" w:type="dxa"/>
            <w:vAlign w:val="center"/>
          </w:tcPr>
          <w:p w14:paraId="1D1EAA31">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1868" w:type="dxa"/>
            <w:vAlign w:val="center"/>
          </w:tcPr>
          <w:p w14:paraId="2BC8F337">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default"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最高限价</w:t>
            </w:r>
          </w:p>
        </w:tc>
        <w:tc>
          <w:tcPr>
            <w:tcW w:w="3094" w:type="dxa"/>
            <w:vAlign w:val="center"/>
          </w:tcPr>
          <w:p w14:paraId="1AD26D68">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default"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备注</w:t>
            </w:r>
          </w:p>
        </w:tc>
      </w:tr>
      <w:tr w14:paraId="4E2E2BB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4" w:hRule="atLeast"/>
          <w:jc w:val="center"/>
        </w:trPr>
        <w:tc>
          <w:tcPr>
            <w:tcW w:w="766" w:type="dxa"/>
            <w:vAlign w:val="center"/>
          </w:tcPr>
          <w:p w14:paraId="2064F0A7">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963" w:type="dxa"/>
            <w:vAlign w:val="center"/>
          </w:tcPr>
          <w:p w14:paraId="071E24BB">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lang w:val="en-US" w:eastAsia="zh-CN"/>
              </w:rPr>
              <w:t>流式细胞仪</w:t>
            </w:r>
          </w:p>
        </w:tc>
        <w:tc>
          <w:tcPr>
            <w:tcW w:w="1405" w:type="dxa"/>
            <w:tcBorders>
              <w:bottom w:val="single" w:color="auto" w:sz="4" w:space="0"/>
            </w:tcBorders>
            <w:vAlign w:val="center"/>
          </w:tcPr>
          <w:p w14:paraId="22207D1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bCs/>
                <w:color w:val="auto"/>
                <w:sz w:val="22"/>
                <w:szCs w:val="22"/>
                <w:highlight w:val="none"/>
              </w:rPr>
              <w:t>1</w:t>
            </w:r>
            <w:r>
              <w:rPr>
                <w:rFonts w:hint="eastAsia" w:ascii="新宋体" w:hAnsi="新宋体" w:eastAsia="新宋体" w:cs="新宋体"/>
                <w:bCs/>
                <w:color w:val="auto"/>
                <w:sz w:val="22"/>
                <w:szCs w:val="22"/>
                <w:highlight w:val="none"/>
                <w:lang w:val="en-US" w:eastAsia="zh-CN"/>
              </w:rPr>
              <w:t>套</w:t>
            </w:r>
          </w:p>
        </w:tc>
        <w:tc>
          <w:tcPr>
            <w:tcW w:w="1868" w:type="dxa"/>
            <w:tcBorders>
              <w:bottom w:val="single" w:color="auto" w:sz="4" w:space="0"/>
            </w:tcBorders>
            <w:vAlign w:val="center"/>
          </w:tcPr>
          <w:p w14:paraId="2B607FF2">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1050000元</w:t>
            </w:r>
          </w:p>
        </w:tc>
        <w:tc>
          <w:tcPr>
            <w:tcW w:w="3094" w:type="dxa"/>
            <w:vAlign w:val="center"/>
          </w:tcPr>
          <w:p w14:paraId="5CEF324E">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该设备不允许进口设备投标</w:t>
            </w:r>
          </w:p>
        </w:tc>
      </w:tr>
      <w:tr w14:paraId="16306C8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4" w:hRule="atLeast"/>
          <w:jc w:val="center"/>
        </w:trPr>
        <w:tc>
          <w:tcPr>
            <w:tcW w:w="766" w:type="dxa"/>
            <w:shd w:val="clear" w:color="auto" w:fill="auto"/>
            <w:vAlign w:val="center"/>
          </w:tcPr>
          <w:p w14:paraId="17C5D0AE">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shd w:val="clear" w:color="auto" w:fill="auto"/>
                <w:lang w:val="en-US" w:eastAsia="zh-CN"/>
              </w:rPr>
            </w:pPr>
            <w:r>
              <w:rPr>
                <w:rFonts w:hint="eastAsia" w:ascii="新宋体" w:hAnsi="新宋体" w:eastAsia="新宋体" w:cs="新宋体"/>
                <w:color w:val="auto"/>
                <w:sz w:val="22"/>
                <w:szCs w:val="22"/>
                <w:highlight w:val="none"/>
                <w:shd w:val="clear" w:color="auto" w:fill="auto"/>
                <w:lang w:val="en-US" w:eastAsia="zh-CN"/>
              </w:rPr>
              <w:t>2</w:t>
            </w:r>
          </w:p>
        </w:tc>
        <w:tc>
          <w:tcPr>
            <w:tcW w:w="1963" w:type="dxa"/>
            <w:shd w:val="clear" w:color="auto" w:fill="auto"/>
            <w:vAlign w:val="center"/>
          </w:tcPr>
          <w:p w14:paraId="3E2ED981">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default" w:ascii="新宋体" w:hAnsi="新宋体" w:eastAsia="新宋体" w:cs="新宋体"/>
                <w:color w:val="auto"/>
                <w:sz w:val="22"/>
                <w:szCs w:val="22"/>
                <w:highlight w:val="none"/>
                <w:u w:val="none"/>
                <w:shd w:val="clear" w:color="auto" w:fill="auto"/>
                <w:lang w:val="en-US" w:eastAsia="zh-CN"/>
              </w:rPr>
            </w:pPr>
            <w:r>
              <w:rPr>
                <w:rFonts w:hint="eastAsia" w:ascii="新宋体" w:hAnsi="新宋体" w:eastAsia="新宋体" w:cs="新宋体"/>
                <w:color w:val="auto"/>
                <w:sz w:val="22"/>
                <w:szCs w:val="22"/>
                <w:highlight w:val="none"/>
                <w:u w:val="none"/>
                <w:shd w:val="clear" w:color="auto" w:fill="auto"/>
                <w:lang w:val="en-US" w:eastAsia="zh-CN"/>
              </w:rPr>
              <w:t>细胞计数仪</w:t>
            </w:r>
          </w:p>
        </w:tc>
        <w:tc>
          <w:tcPr>
            <w:tcW w:w="1405" w:type="dxa"/>
            <w:tcBorders>
              <w:top w:val="single" w:color="auto" w:sz="4" w:space="0"/>
            </w:tcBorders>
            <w:shd w:val="clear" w:color="auto" w:fill="auto"/>
            <w:vAlign w:val="center"/>
          </w:tcPr>
          <w:p w14:paraId="57232083">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default" w:ascii="新宋体" w:hAnsi="新宋体" w:eastAsia="新宋体" w:cs="新宋体"/>
                <w:bCs/>
                <w:color w:val="auto"/>
                <w:sz w:val="22"/>
                <w:szCs w:val="22"/>
                <w:highlight w:val="none"/>
                <w:shd w:val="clear" w:color="auto" w:fill="auto"/>
                <w:lang w:val="en-US" w:eastAsia="zh-CN"/>
              </w:rPr>
            </w:pPr>
            <w:r>
              <w:rPr>
                <w:rFonts w:hint="eastAsia" w:ascii="新宋体" w:hAnsi="新宋体" w:eastAsia="新宋体" w:cs="新宋体"/>
                <w:bCs/>
                <w:color w:val="auto"/>
                <w:sz w:val="22"/>
                <w:szCs w:val="22"/>
                <w:highlight w:val="none"/>
                <w:shd w:val="clear" w:color="auto" w:fill="auto"/>
                <w:lang w:val="en-US" w:eastAsia="zh-CN"/>
              </w:rPr>
              <w:t>1台</w:t>
            </w:r>
          </w:p>
        </w:tc>
        <w:tc>
          <w:tcPr>
            <w:tcW w:w="1868" w:type="dxa"/>
            <w:vMerge w:val="restart"/>
            <w:tcBorders>
              <w:top w:val="single" w:color="auto" w:sz="4" w:space="0"/>
            </w:tcBorders>
            <w:shd w:val="clear" w:color="auto" w:fill="auto"/>
            <w:vAlign w:val="center"/>
          </w:tcPr>
          <w:p w14:paraId="23C93075">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shd w:val="clear" w:color="auto" w:fill="auto"/>
                <w:lang w:val="en-US" w:eastAsia="zh-CN"/>
              </w:rPr>
            </w:pPr>
            <w:r>
              <w:rPr>
                <w:rFonts w:hint="eastAsia" w:ascii="新宋体" w:hAnsi="新宋体" w:eastAsia="新宋体" w:cs="新宋体"/>
                <w:color w:val="auto"/>
                <w:sz w:val="22"/>
                <w:szCs w:val="22"/>
                <w:highlight w:val="none"/>
                <w:shd w:val="clear" w:color="auto" w:fill="auto"/>
                <w:lang w:val="en-US" w:eastAsia="zh-CN"/>
              </w:rPr>
              <w:t>750000元</w:t>
            </w:r>
          </w:p>
        </w:tc>
        <w:tc>
          <w:tcPr>
            <w:tcW w:w="3094" w:type="dxa"/>
            <w:shd w:val="clear" w:color="auto" w:fill="auto"/>
            <w:vAlign w:val="center"/>
          </w:tcPr>
          <w:p w14:paraId="743991D4">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shd w:val="clear" w:color="auto" w:fill="auto"/>
                <w:lang w:val="en-US" w:eastAsia="zh-CN"/>
              </w:rPr>
            </w:pPr>
            <w:r>
              <w:rPr>
                <w:rFonts w:hint="eastAsia" w:ascii="新宋体" w:hAnsi="新宋体" w:eastAsia="新宋体" w:cs="新宋体"/>
                <w:color w:val="auto"/>
                <w:sz w:val="22"/>
                <w:szCs w:val="22"/>
                <w:highlight w:val="none"/>
                <w:shd w:val="clear" w:color="auto" w:fill="auto"/>
                <w:lang w:val="en-US" w:eastAsia="zh-CN"/>
              </w:rPr>
              <w:t>该设备不允许进口设备投标</w:t>
            </w:r>
          </w:p>
        </w:tc>
      </w:tr>
      <w:tr w14:paraId="0FCBC90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91" w:hRule="atLeast"/>
          <w:jc w:val="center"/>
        </w:trPr>
        <w:tc>
          <w:tcPr>
            <w:tcW w:w="766" w:type="dxa"/>
            <w:shd w:val="clear" w:color="auto" w:fill="auto"/>
            <w:vAlign w:val="center"/>
          </w:tcPr>
          <w:p w14:paraId="35418CC7">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shd w:val="clear" w:color="auto" w:fill="auto"/>
                <w:lang w:eastAsia="zh-CN"/>
              </w:rPr>
            </w:pPr>
            <w:r>
              <w:rPr>
                <w:rFonts w:hint="eastAsia" w:ascii="新宋体" w:hAnsi="新宋体" w:eastAsia="新宋体" w:cs="新宋体"/>
                <w:color w:val="auto"/>
                <w:sz w:val="22"/>
                <w:szCs w:val="22"/>
                <w:highlight w:val="none"/>
                <w:shd w:val="clear" w:color="auto" w:fill="auto"/>
                <w:lang w:val="en-US" w:eastAsia="zh-CN"/>
              </w:rPr>
              <w:t>3</w:t>
            </w:r>
          </w:p>
        </w:tc>
        <w:tc>
          <w:tcPr>
            <w:tcW w:w="1963" w:type="dxa"/>
            <w:shd w:val="clear" w:color="auto" w:fill="auto"/>
            <w:vAlign w:val="center"/>
          </w:tcPr>
          <w:p w14:paraId="086E597D">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u w:val="none"/>
                <w:shd w:val="clear" w:color="auto" w:fill="auto"/>
                <w:lang w:val="en-US" w:eastAsia="zh-CN"/>
              </w:rPr>
            </w:pPr>
            <w:r>
              <w:rPr>
                <w:rFonts w:hint="eastAsia" w:ascii="新宋体" w:hAnsi="新宋体" w:eastAsia="新宋体" w:cs="新宋体"/>
                <w:color w:val="auto"/>
                <w:sz w:val="22"/>
                <w:szCs w:val="22"/>
                <w:highlight w:val="none"/>
                <w:u w:val="none"/>
                <w:shd w:val="clear" w:color="auto" w:fill="auto"/>
                <w:lang w:val="en-US" w:eastAsia="zh-CN"/>
              </w:rPr>
              <w:t>荧光定量PCR仪</w:t>
            </w:r>
          </w:p>
        </w:tc>
        <w:tc>
          <w:tcPr>
            <w:tcW w:w="1405" w:type="dxa"/>
            <w:shd w:val="clear" w:color="auto" w:fill="auto"/>
            <w:vAlign w:val="center"/>
          </w:tcPr>
          <w:p w14:paraId="4E4A5703">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default" w:ascii="新宋体" w:hAnsi="新宋体" w:eastAsia="新宋体" w:cs="新宋体"/>
                <w:color w:val="auto"/>
                <w:sz w:val="22"/>
                <w:szCs w:val="22"/>
                <w:highlight w:val="none"/>
                <w:shd w:val="clear" w:color="auto" w:fill="auto"/>
                <w:lang w:val="en-US" w:eastAsia="zh-CN"/>
              </w:rPr>
            </w:pPr>
            <w:r>
              <w:rPr>
                <w:rFonts w:hint="eastAsia" w:ascii="新宋体" w:hAnsi="新宋体" w:eastAsia="新宋体" w:cs="新宋体"/>
                <w:color w:val="auto"/>
                <w:sz w:val="22"/>
                <w:szCs w:val="22"/>
                <w:highlight w:val="none"/>
                <w:shd w:val="clear" w:color="auto" w:fill="auto"/>
                <w:lang w:val="en-US" w:eastAsia="zh-CN"/>
              </w:rPr>
              <w:t>1台</w:t>
            </w:r>
          </w:p>
        </w:tc>
        <w:tc>
          <w:tcPr>
            <w:tcW w:w="1868" w:type="dxa"/>
            <w:vMerge w:val="continue"/>
            <w:shd w:val="clear" w:color="auto" w:fill="auto"/>
            <w:vAlign w:val="center"/>
          </w:tcPr>
          <w:p w14:paraId="6EEE1CD5">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shd w:val="clear" w:color="auto" w:fill="auto"/>
                <w:lang w:val="en-US" w:eastAsia="zh-CN"/>
              </w:rPr>
            </w:pPr>
          </w:p>
        </w:tc>
        <w:tc>
          <w:tcPr>
            <w:tcW w:w="3094" w:type="dxa"/>
            <w:shd w:val="clear" w:color="auto" w:fill="auto"/>
            <w:vAlign w:val="center"/>
          </w:tcPr>
          <w:p w14:paraId="7E51CD1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新宋体" w:hAnsi="新宋体" w:eastAsia="新宋体" w:cs="新宋体"/>
                <w:color w:val="auto"/>
                <w:sz w:val="22"/>
                <w:szCs w:val="22"/>
                <w:highlight w:val="none"/>
                <w:shd w:val="clear" w:color="auto" w:fill="auto"/>
                <w:lang w:val="en-US" w:eastAsia="zh-CN"/>
              </w:rPr>
            </w:pPr>
            <w:r>
              <w:rPr>
                <w:rFonts w:hint="eastAsia" w:ascii="新宋体" w:hAnsi="新宋体" w:eastAsia="新宋体" w:cs="新宋体"/>
                <w:color w:val="auto"/>
                <w:sz w:val="22"/>
                <w:szCs w:val="22"/>
                <w:highlight w:val="none"/>
                <w:shd w:val="clear" w:color="auto" w:fill="auto"/>
                <w:lang w:val="en-US" w:eastAsia="zh-CN"/>
              </w:rPr>
              <w:t>该设备允许进口设备投标</w:t>
            </w:r>
          </w:p>
        </w:tc>
      </w:tr>
    </w:tbl>
    <w:p w14:paraId="695B5EE4">
      <w:pPr>
        <w:keepNext w:val="0"/>
        <w:keepLines w:val="0"/>
        <w:pageBreakBefore w:val="0"/>
        <w:widowControl w:val="0"/>
        <w:kinsoku/>
        <w:wordWrap/>
        <w:overflowPunct/>
        <w:topLinePunct w:val="0"/>
        <w:autoSpaceDE/>
        <w:autoSpaceDN/>
        <w:bidi w:val="0"/>
        <w:adjustRightInd/>
        <w:snapToGrid w:val="0"/>
        <w:spacing w:line="460" w:lineRule="exact"/>
        <w:textAlignment w:val="auto"/>
        <w:rPr>
          <w:rFonts w:hint="default" w:ascii="新宋体" w:hAnsi="新宋体" w:eastAsia="新宋体" w:cs="新宋体"/>
          <w:bCs/>
          <w:color w:val="auto"/>
          <w:sz w:val="22"/>
          <w:szCs w:val="22"/>
          <w:highlight w:val="none"/>
          <w:lang w:val="en-US" w:eastAsia="zh-CN"/>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二</w:t>
      </w:r>
      <w:r>
        <w:rPr>
          <w:rFonts w:hint="eastAsia" w:ascii="新宋体" w:hAnsi="新宋体" w:eastAsia="新宋体" w:cs="新宋体"/>
          <w:bCs/>
          <w:color w:val="auto"/>
          <w:sz w:val="22"/>
          <w:szCs w:val="22"/>
          <w:highlight w:val="none"/>
        </w:rPr>
        <w:t>）本次采购的核心产品为</w:t>
      </w:r>
      <w:r>
        <w:rPr>
          <w:rFonts w:hint="eastAsia" w:ascii="新宋体" w:hAnsi="新宋体" w:eastAsia="新宋体" w:cs="新宋体"/>
          <w:bCs/>
          <w:color w:val="auto"/>
          <w:sz w:val="22"/>
          <w:szCs w:val="22"/>
          <w:highlight w:val="none"/>
          <w:u w:val="single"/>
        </w:rPr>
        <w:t xml:space="preserve">  </w:t>
      </w:r>
      <w:r>
        <w:rPr>
          <w:rFonts w:hint="eastAsia" w:ascii="新宋体" w:hAnsi="新宋体" w:eastAsia="新宋体" w:cs="新宋体"/>
          <w:bCs/>
          <w:color w:val="auto"/>
          <w:sz w:val="22"/>
          <w:szCs w:val="22"/>
          <w:highlight w:val="none"/>
          <w:u w:val="single"/>
          <w:lang w:val="en-US" w:eastAsia="zh-CN"/>
        </w:rPr>
        <w:t>流式细胞仪、荧光定量PCR仪</w:t>
      </w:r>
      <w:r>
        <w:rPr>
          <w:rFonts w:hint="eastAsia" w:ascii="新宋体" w:hAnsi="新宋体" w:eastAsia="新宋体" w:cs="新宋体"/>
          <w:bCs/>
          <w:color w:val="auto"/>
          <w:sz w:val="22"/>
          <w:szCs w:val="22"/>
          <w:highlight w:val="none"/>
          <w:u w:val="single"/>
        </w:rPr>
        <w:t xml:space="preserve">  </w:t>
      </w:r>
      <w:r>
        <w:rPr>
          <w:rFonts w:hint="eastAsia" w:ascii="新宋体" w:hAnsi="新宋体" w:eastAsia="新宋体" w:cs="新宋体"/>
          <w:bCs/>
          <w:color w:val="auto"/>
          <w:sz w:val="22"/>
          <w:szCs w:val="22"/>
          <w:highlight w:val="none"/>
        </w:rPr>
        <w:t>，</w:t>
      </w:r>
      <w:r>
        <w:rPr>
          <w:rFonts w:hint="eastAsia" w:ascii="新宋体" w:hAnsi="新宋体" w:eastAsia="新宋体" w:cs="新宋体"/>
          <w:b/>
          <w:bCs/>
          <w:color w:val="auto"/>
          <w:sz w:val="22"/>
          <w:szCs w:val="22"/>
          <w:highlight w:val="none"/>
          <w:u w:val="none"/>
        </w:rPr>
        <w:t>提供相同品牌</w:t>
      </w:r>
      <w:r>
        <w:rPr>
          <w:rFonts w:hint="eastAsia" w:ascii="新宋体" w:hAnsi="新宋体" w:eastAsia="新宋体" w:cs="新宋体"/>
          <w:b/>
          <w:bCs/>
          <w:color w:val="auto"/>
          <w:sz w:val="22"/>
          <w:szCs w:val="22"/>
          <w:highlight w:val="none"/>
          <w:u w:val="none"/>
          <w:lang w:val="en-US" w:eastAsia="zh-CN"/>
        </w:rPr>
        <w:t>核心</w:t>
      </w:r>
      <w:r>
        <w:rPr>
          <w:rFonts w:hint="eastAsia" w:ascii="新宋体" w:hAnsi="新宋体" w:eastAsia="新宋体" w:cs="新宋体"/>
          <w:b/>
          <w:bCs/>
          <w:color w:val="auto"/>
          <w:sz w:val="22"/>
          <w:szCs w:val="22"/>
          <w:highlight w:val="none"/>
          <w:u w:val="none"/>
        </w:rPr>
        <w:t>产品且通过资格审查、符合性审查的不同投标人参加同一合同项下投标的，按一家投标人计算</w:t>
      </w:r>
      <w:r>
        <w:rPr>
          <w:rFonts w:hint="eastAsia" w:ascii="新宋体" w:hAnsi="新宋体" w:eastAsia="新宋体" w:cs="新宋体"/>
          <w:bCs/>
          <w:color w:val="auto"/>
          <w:sz w:val="22"/>
          <w:szCs w:val="22"/>
          <w:highlight w:val="none"/>
        </w:rPr>
        <w:t>。</w:t>
      </w:r>
      <w:r>
        <w:rPr>
          <w:rFonts w:hint="eastAsia" w:ascii="新宋体" w:hAnsi="新宋体" w:eastAsia="新宋体" w:cs="新宋体"/>
          <w:b/>
          <w:bCs w:val="0"/>
          <w:color w:val="auto"/>
          <w:sz w:val="22"/>
          <w:szCs w:val="22"/>
          <w:highlight w:val="none"/>
          <w:lang w:val="en-US" w:eastAsia="zh-CN"/>
        </w:rPr>
        <w:t>具体详见“评标原则及方法”。</w:t>
      </w:r>
    </w:p>
    <w:p w14:paraId="6F0BA558">
      <w:pPr>
        <w:keepNext w:val="0"/>
        <w:keepLines w:val="0"/>
        <w:pageBreakBefore w:val="0"/>
        <w:widowControl w:val="0"/>
        <w:kinsoku/>
        <w:wordWrap/>
        <w:overflowPunct/>
        <w:topLinePunct w:val="0"/>
        <w:autoSpaceDE/>
        <w:autoSpaceDN/>
        <w:bidi w:val="0"/>
        <w:adjustRightInd/>
        <w:snapToGrid w:val="0"/>
        <w:spacing w:line="460" w:lineRule="exact"/>
        <w:textAlignment w:val="auto"/>
        <w:rPr>
          <w:rFonts w:hint="eastAsia" w:ascii="新宋体" w:hAnsi="新宋体" w:eastAsia="新宋体" w:cs="新宋体"/>
          <w:b/>
          <w:color w:val="auto"/>
          <w:sz w:val="22"/>
          <w:szCs w:val="22"/>
          <w:highlight w:val="none"/>
          <w:u w:val="single"/>
        </w:rPr>
      </w:pPr>
      <w:r>
        <w:rPr>
          <w:rFonts w:hint="eastAsia" w:ascii="新宋体" w:hAnsi="新宋体" w:eastAsia="新宋体" w:cs="新宋体"/>
          <w:color w:val="auto"/>
          <w:sz w:val="22"/>
          <w:szCs w:val="22"/>
          <w:highlight w:val="none"/>
        </w:rPr>
        <w:t>▲</w:t>
      </w:r>
      <w:r>
        <w:rPr>
          <w:rFonts w:hint="eastAsia" w:ascii="新宋体" w:hAnsi="新宋体" w:eastAsia="新宋体" w:cs="新宋体"/>
          <w:b/>
          <w:color w:val="auto"/>
          <w:sz w:val="22"/>
          <w:szCs w:val="22"/>
          <w:highlight w:val="none"/>
          <w:u w:val="single"/>
        </w:rPr>
        <w:t>注：</w:t>
      </w:r>
    </w:p>
    <w:p w14:paraId="7A8838F7">
      <w:pPr>
        <w:keepNext w:val="0"/>
        <w:keepLines w:val="0"/>
        <w:pageBreakBefore w:val="0"/>
        <w:widowControl w:val="0"/>
        <w:kinsoku/>
        <w:wordWrap/>
        <w:overflowPunct/>
        <w:topLinePunct w:val="0"/>
        <w:autoSpaceDE/>
        <w:autoSpaceDN/>
        <w:bidi w:val="0"/>
        <w:adjustRightInd/>
        <w:snapToGrid w:val="0"/>
        <w:spacing w:line="460" w:lineRule="exact"/>
        <w:textAlignment w:val="auto"/>
        <w:rPr>
          <w:rFonts w:hint="eastAsia" w:ascii="新宋体" w:hAnsi="新宋体" w:eastAsia="新宋体" w:cs="新宋体"/>
          <w:bCs/>
          <w:color w:val="auto"/>
          <w:sz w:val="22"/>
          <w:szCs w:val="22"/>
          <w:highlight w:val="none"/>
          <w:u w:val="single"/>
        </w:rPr>
      </w:pPr>
      <w:r>
        <w:rPr>
          <w:rFonts w:hint="eastAsia" w:ascii="新宋体" w:hAnsi="新宋体" w:eastAsia="新宋体" w:cs="新宋体"/>
          <w:b/>
          <w:color w:val="auto"/>
          <w:sz w:val="22"/>
          <w:szCs w:val="22"/>
          <w:highlight w:val="none"/>
          <w:u w:val="single"/>
        </w:rPr>
        <w:t>1、投标人必须同时对以上所有项目内容进行投标，不允许拆分投标，否则其投标文件不予接受。</w:t>
      </w:r>
    </w:p>
    <w:p w14:paraId="03EA33D6">
      <w:pPr>
        <w:keepNext w:val="0"/>
        <w:keepLines w:val="0"/>
        <w:pageBreakBefore w:val="0"/>
        <w:widowControl w:val="0"/>
        <w:kinsoku/>
        <w:wordWrap/>
        <w:overflowPunct/>
        <w:topLinePunct w:val="0"/>
        <w:autoSpaceDE/>
        <w:autoSpaceDN/>
        <w:bidi w:val="0"/>
        <w:adjustRightInd/>
        <w:snapToGrid w:val="0"/>
        <w:spacing w:line="460" w:lineRule="exact"/>
        <w:textAlignment w:val="auto"/>
        <w:rPr>
          <w:rFonts w:hint="eastAsia" w:ascii="新宋体" w:hAnsi="新宋体" w:eastAsia="新宋体" w:cs="新宋体"/>
          <w:b/>
          <w:bCs/>
          <w:caps w:val="0"/>
          <w:color w:val="auto"/>
          <w:sz w:val="22"/>
          <w:szCs w:val="22"/>
          <w:highlight w:val="none"/>
          <w:lang w:val="en-US" w:eastAsia="zh-CN"/>
        </w:rPr>
      </w:pPr>
      <w:r>
        <w:rPr>
          <w:rFonts w:hint="eastAsia" w:ascii="新宋体" w:hAnsi="新宋体" w:eastAsia="新宋体" w:cs="新宋体"/>
          <w:b/>
          <w:color w:val="auto"/>
          <w:sz w:val="22"/>
          <w:szCs w:val="22"/>
          <w:highlight w:val="none"/>
          <w:u w:val="single"/>
        </w:rPr>
        <w:t>2、投标人投标分项报价超过各项目内容的</w:t>
      </w:r>
      <w:r>
        <w:rPr>
          <w:rFonts w:hint="eastAsia" w:ascii="新宋体" w:hAnsi="新宋体" w:eastAsia="新宋体" w:cs="新宋体"/>
          <w:b/>
          <w:color w:val="auto"/>
          <w:sz w:val="22"/>
          <w:szCs w:val="22"/>
          <w:highlight w:val="none"/>
          <w:u w:val="single"/>
          <w:lang w:val="en-US" w:eastAsia="zh-CN"/>
        </w:rPr>
        <w:t>最高限价</w:t>
      </w:r>
      <w:r>
        <w:rPr>
          <w:rFonts w:hint="eastAsia" w:ascii="新宋体" w:hAnsi="新宋体" w:eastAsia="新宋体" w:cs="新宋体"/>
          <w:b/>
          <w:color w:val="auto"/>
          <w:sz w:val="22"/>
          <w:szCs w:val="22"/>
          <w:highlight w:val="none"/>
          <w:u w:val="single"/>
        </w:rPr>
        <w:t>按无效标处理</w:t>
      </w:r>
      <w:r>
        <w:rPr>
          <w:rFonts w:hint="eastAsia" w:ascii="新宋体" w:hAnsi="新宋体" w:eastAsia="新宋体" w:cs="新宋体"/>
          <w:b/>
          <w:color w:val="auto"/>
          <w:sz w:val="22"/>
          <w:szCs w:val="22"/>
          <w:highlight w:val="none"/>
          <w:u w:val="single"/>
          <w:lang w:eastAsia="zh-CN"/>
        </w:rPr>
        <w:t>。</w:t>
      </w:r>
    </w:p>
    <w:p w14:paraId="78A1D364">
      <w:pPr>
        <w:pStyle w:val="37"/>
        <w:keepNext w:val="0"/>
        <w:keepLines w:val="0"/>
        <w:pageBreakBefore w:val="0"/>
        <w:widowControl w:val="0"/>
        <w:numPr>
          <w:ilvl w:val="0"/>
          <w:numId w:val="0"/>
        </w:numPr>
        <w:tabs>
          <w:tab w:val="right" w:leader="dot" w:pos="9118"/>
        </w:tabs>
        <w:kinsoku/>
        <w:wordWrap/>
        <w:overflowPunct/>
        <w:topLinePunct w:val="0"/>
        <w:autoSpaceDE/>
        <w:autoSpaceDN/>
        <w:bidi w:val="0"/>
        <w:adjustRightInd/>
        <w:snapToGrid/>
        <w:spacing w:line="460" w:lineRule="exact"/>
        <w:textAlignment w:val="auto"/>
        <w:rPr>
          <w:rFonts w:hint="eastAsia" w:ascii="新宋体" w:hAnsi="新宋体" w:eastAsia="新宋体" w:cs="新宋体"/>
          <w:b/>
          <w:bCs/>
          <w:caps w:val="0"/>
          <w:color w:val="auto"/>
          <w:sz w:val="22"/>
          <w:szCs w:val="22"/>
          <w:highlight w:val="none"/>
        </w:rPr>
      </w:pPr>
      <w:r>
        <w:rPr>
          <w:rFonts w:hint="eastAsia" w:ascii="新宋体" w:hAnsi="新宋体" w:eastAsia="新宋体" w:cs="新宋体"/>
          <w:b/>
          <w:bCs/>
          <w:caps w:val="0"/>
          <w:color w:val="auto"/>
          <w:sz w:val="22"/>
          <w:szCs w:val="22"/>
          <w:highlight w:val="none"/>
          <w:lang w:val="en-US" w:eastAsia="zh-CN"/>
        </w:rPr>
        <w:t>三、</w:t>
      </w:r>
      <w:r>
        <w:rPr>
          <w:rFonts w:hint="eastAsia" w:ascii="新宋体" w:hAnsi="新宋体" w:eastAsia="新宋体" w:cs="新宋体"/>
          <w:b/>
          <w:bCs/>
          <w:caps w:val="0"/>
          <w:color w:val="auto"/>
          <w:sz w:val="22"/>
          <w:szCs w:val="22"/>
          <w:highlight w:val="none"/>
        </w:rPr>
        <w:t>技术规格</w:t>
      </w:r>
    </w:p>
    <w:tbl>
      <w:tblPr>
        <w:tblStyle w:val="53"/>
        <w:tblW w:w="9679"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8311"/>
      </w:tblGrid>
      <w:tr w14:paraId="456CA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1368" w:type="dxa"/>
            <w:noWrap w:val="0"/>
            <w:vAlign w:val="center"/>
          </w:tcPr>
          <w:p w14:paraId="783F9C1C">
            <w:pPr>
              <w:keepNext w:val="0"/>
              <w:keepLines w:val="0"/>
              <w:pageBreakBefore w:val="0"/>
              <w:widowControl w:val="0"/>
              <w:kinsoku/>
              <w:wordWrap/>
              <w:overflowPunct/>
              <w:topLinePunct w:val="0"/>
              <w:autoSpaceDE/>
              <w:autoSpaceDN/>
              <w:bidi w:val="0"/>
              <w:snapToGrid/>
              <w:spacing w:line="460" w:lineRule="exact"/>
              <w:jc w:val="center"/>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序号</w:t>
            </w:r>
          </w:p>
        </w:tc>
        <w:tc>
          <w:tcPr>
            <w:tcW w:w="8311" w:type="dxa"/>
            <w:noWrap w:val="0"/>
            <w:vAlign w:val="center"/>
          </w:tcPr>
          <w:p w14:paraId="438B281E">
            <w:pPr>
              <w:keepNext w:val="0"/>
              <w:keepLines w:val="0"/>
              <w:pageBreakBefore w:val="0"/>
              <w:widowControl w:val="0"/>
              <w:kinsoku/>
              <w:wordWrap/>
              <w:overflowPunct/>
              <w:topLinePunct w:val="0"/>
              <w:autoSpaceDE/>
              <w:autoSpaceDN/>
              <w:bidi w:val="0"/>
              <w:snapToGrid/>
              <w:spacing w:line="460" w:lineRule="exact"/>
              <w:jc w:val="center"/>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技术要求</w:t>
            </w:r>
          </w:p>
        </w:tc>
      </w:tr>
      <w:tr w14:paraId="47F41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1368" w:type="dxa"/>
            <w:noWrap w:val="0"/>
            <w:vAlign w:val="center"/>
          </w:tcPr>
          <w:p w14:paraId="1DFDAA50">
            <w:pPr>
              <w:keepNext w:val="0"/>
              <w:keepLines w:val="0"/>
              <w:pageBreakBefore w:val="0"/>
              <w:widowControl w:val="0"/>
              <w:kinsoku/>
              <w:wordWrap/>
              <w:overflowPunct/>
              <w:topLinePunct w:val="0"/>
              <w:autoSpaceDE/>
              <w:autoSpaceDN/>
              <w:bidi w:val="0"/>
              <w:snapToGrid/>
              <w:spacing w:line="460" w:lineRule="exact"/>
              <w:jc w:val="both"/>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w:t>
            </w:r>
          </w:p>
        </w:tc>
        <w:tc>
          <w:tcPr>
            <w:tcW w:w="8311" w:type="dxa"/>
            <w:noWrap w:val="0"/>
            <w:vAlign w:val="center"/>
          </w:tcPr>
          <w:p w14:paraId="7E1AFC43">
            <w:pPr>
              <w:keepNext w:val="0"/>
              <w:keepLines w:val="0"/>
              <w:pageBreakBefore w:val="0"/>
              <w:widowControl w:val="0"/>
              <w:kinsoku/>
              <w:wordWrap/>
              <w:overflowPunct/>
              <w:topLinePunct w:val="0"/>
              <w:autoSpaceDE/>
              <w:autoSpaceDN/>
              <w:bidi w:val="0"/>
              <w:snapToGrid/>
              <w:spacing w:line="460" w:lineRule="exact"/>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流式细胞仪（1套）</w:t>
            </w:r>
          </w:p>
        </w:tc>
      </w:tr>
      <w:tr w14:paraId="6EDC5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68" w:type="dxa"/>
            <w:noWrap w:val="0"/>
            <w:vAlign w:val="center"/>
          </w:tcPr>
          <w:p w14:paraId="009DC52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1.1</w:t>
            </w:r>
          </w:p>
        </w:tc>
        <w:tc>
          <w:tcPr>
            <w:tcW w:w="8311" w:type="dxa"/>
            <w:noWrap w:val="0"/>
            <w:vAlign w:val="center"/>
          </w:tcPr>
          <w:p w14:paraId="726EAD4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rPr>
            </w:pPr>
            <w:bookmarkStart w:id="55" w:name="_Hlk36322124"/>
            <w:r>
              <w:rPr>
                <w:rFonts w:hint="eastAsia" w:ascii="新宋体" w:hAnsi="新宋体" w:eastAsia="新宋体" w:cs="新宋体"/>
                <w:b w:val="0"/>
                <w:bCs w:val="0"/>
                <w:color w:val="auto"/>
                <w:sz w:val="22"/>
                <w:szCs w:val="22"/>
                <w:highlight w:val="none"/>
                <w:lang w:bidi="ar"/>
              </w:rPr>
              <w:t>工件条件: 电源要求: 220-240V AC（交流），50–60HZ</w:t>
            </w:r>
            <w:r>
              <w:rPr>
                <w:rFonts w:hint="eastAsia" w:ascii="新宋体" w:hAnsi="新宋体" w:eastAsia="新宋体" w:cs="新宋体"/>
                <w:b w:val="0"/>
                <w:bCs w:val="0"/>
                <w:color w:val="auto"/>
                <w:sz w:val="22"/>
                <w:szCs w:val="22"/>
                <w:highlight w:val="none"/>
                <w:lang w:eastAsia="zh-CN" w:bidi="ar"/>
              </w:rPr>
              <w:t>；</w:t>
            </w:r>
            <w:r>
              <w:rPr>
                <w:rFonts w:hint="eastAsia" w:ascii="新宋体" w:hAnsi="新宋体" w:eastAsia="新宋体" w:cs="新宋体"/>
                <w:b w:val="0"/>
                <w:bCs w:val="0"/>
                <w:color w:val="auto"/>
                <w:sz w:val="22"/>
                <w:szCs w:val="22"/>
                <w:highlight w:val="none"/>
                <w:lang w:bidi="ar"/>
              </w:rPr>
              <w:t>环境温度：4℃—35℃</w:t>
            </w:r>
            <w:r>
              <w:rPr>
                <w:rFonts w:hint="eastAsia" w:ascii="新宋体" w:hAnsi="新宋体" w:eastAsia="新宋体" w:cs="新宋体"/>
                <w:b w:val="0"/>
                <w:bCs w:val="0"/>
                <w:color w:val="auto"/>
                <w:sz w:val="22"/>
                <w:szCs w:val="22"/>
                <w:highlight w:val="none"/>
                <w:lang w:eastAsia="zh-CN" w:bidi="ar"/>
              </w:rPr>
              <w:t>；</w:t>
            </w:r>
            <w:r>
              <w:rPr>
                <w:rFonts w:hint="eastAsia" w:ascii="新宋体" w:hAnsi="新宋体" w:eastAsia="新宋体" w:cs="新宋体"/>
                <w:b w:val="0"/>
                <w:bCs w:val="0"/>
                <w:color w:val="auto"/>
                <w:sz w:val="22"/>
                <w:szCs w:val="22"/>
                <w:highlight w:val="none"/>
                <w:lang w:bidi="ar"/>
              </w:rPr>
              <w:t>相对湿度：15%—85%</w:t>
            </w:r>
            <w:bookmarkEnd w:id="55"/>
          </w:p>
        </w:tc>
      </w:tr>
      <w:tr w14:paraId="1AA1F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AF2BC0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w:t>
            </w:r>
          </w:p>
        </w:tc>
        <w:tc>
          <w:tcPr>
            <w:tcW w:w="8311" w:type="dxa"/>
            <w:noWrap w:val="0"/>
            <w:vAlign w:val="center"/>
          </w:tcPr>
          <w:p w14:paraId="39C547D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rPr>
            </w:pPr>
            <w:bookmarkStart w:id="56" w:name="OLE_LINK6"/>
            <w:r>
              <w:rPr>
                <w:rFonts w:hint="eastAsia" w:ascii="新宋体" w:hAnsi="新宋体" w:eastAsia="新宋体" w:cs="新宋体"/>
                <w:b w:val="0"/>
                <w:bCs w:val="0"/>
                <w:color w:val="auto"/>
                <w:sz w:val="22"/>
                <w:szCs w:val="22"/>
                <w:highlight w:val="none"/>
                <w:lang w:bidi="ar"/>
              </w:rPr>
              <w:t>技术性能指标：</w:t>
            </w:r>
            <w:bookmarkEnd w:id="56"/>
          </w:p>
        </w:tc>
      </w:tr>
      <w:tr w14:paraId="1CAE3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3C417839">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bidi="ar-SA"/>
              </w:rPr>
              <w:t>▲</w:t>
            </w:r>
            <w:r>
              <w:rPr>
                <w:rFonts w:hint="eastAsia" w:ascii="新宋体" w:hAnsi="新宋体" w:eastAsia="新宋体" w:cs="新宋体"/>
                <w:b w:val="0"/>
                <w:bCs w:val="0"/>
                <w:color w:val="auto"/>
                <w:sz w:val="22"/>
                <w:szCs w:val="22"/>
                <w:highlight w:val="none"/>
                <w:lang w:val="en-US" w:eastAsia="zh-CN"/>
              </w:rPr>
              <w:t>1.2.1</w:t>
            </w:r>
          </w:p>
        </w:tc>
        <w:tc>
          <w:tcPr>
            <w:tcW w:w="8311" w:type="dxa"/>
            <w:noWrap w:val="0"/>
            <w:vAlign w:val="center"/>
          </w:tcPr>
          <w:p w14:paraId="589FAEE5">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lang w:val="en-US" w:eastAsia="zh-CN" w:bidi="ar-SA"/>
              </w:rPr>
            </w:pPr>
            <w:r>
              <w:rPr>
                <w:rFonts w:hint="eastAsia" w:ascii="新宋体" w:hAnsi="新宋体" w:eastAsia="新宋体" w:cs="新宋体"/>
                <w:b w:val="0"/>
                <w:bCs w:val="0"/>
                <w:color w:val="auto"/>
                <w:sz w:val="22"/>
                <w:szCs w:val="22"/>
                <w:highlight w:val="none"/>
                <w:lang w:val="en-US" w:eastAsia="zh-CN" w:bidi="ar-SA"/>
              </w:rPr>
              <w:t>配备激光管数≥3个，至少包括488nm/638nm/405nm三种激光器，可同时激发≥12色荧光通道（提供产品说明书）</w:t>
            </w:r>
          </w:p>
        </w:tc>
      </w:tr>
      <w:tr w14:paraId="3ED09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6C2F8B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1.2.2</w:t>
            </w:r>
          </w:p>
        </w:tc>
        <w:tc>
          <w:tcPr>
            <w:tcW w:w="8311" w:type="dxa"/>
            <w:noWrap w:val="0"/>
            <w:vAlign w:val="center"/>
          </w:tcPr>
          <w:p w14:paraId="338F21AB">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bidi="ar-SA"/>
              </w:rPr>
              <w:t>405nm激光管功率≥80mw，488nm激光管功率≥50mw，638nm激光管功率≥50mw</w:t>
            </w:r>
          </w:p>
        </w:tc>
      </w:tr>
      <w:tr w14:paraId="3DE70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81C7EF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1.2.3</w:t>
            </w:r>
          </w:p>
        </w:tc>
        <w:tc>
          <w:tcPr>
            <w:tcW w:w="8311" w:type="dxa"/>
            <w:noWrap w:val="0"/>
            <w:vAlign w:val="center"/>
          </w:tcPr>
          <w:p w14:paraId="4D994CFB">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bidi="ar-SA"/>
              </w:rPr>
              <w:t>具备激光温度控制功能，可自动监测并调节激光功率</w:t>
            </w:r>
          </w:p>
        </w:tc>
      </w:tr>
      <w:tr w14:paraId="06E69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350696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1.2.4</w:t>
            </w:r>
          </w:p>
        </w:tc>
        <w:tc>
          <w:tcPr>
            <w:tcW w:w="8311" w:type="dxa"/>
            <w:noWrap w:val="0"/>
            <w:vAlign w:val="center"/>
          </w:tcPr>
          <w:p w14:paraId="0BEFEDC2">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bidi="ar-SA"/>
              </w:rPr>
              <w:t>激光器配备电动聚焦调节系统，自动调校，插拔滤光片无需校准光路，无需手动校准</w:t>
            </w:r>
          </w:p>
        </w:tc>
      </w:tr>
      <w:tr w14:paraId="5891B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5D2973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1.2.5</w:t>
            </w:r>
          </w:p>
        </w:tc>
        <w:tc>
          <w:tcPr>
            <w:tcW w:w="8311" w:type="dxa"/>
            <w:noWrap w:val="0"/>
            <w:vAlign w:val="center"/>
          </w:tcPr>
          <w:p w14:paraId="15BCC77B">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bidi="ar-SA"/>
              </w:rPr>
              <w:t>红色激光器可独立激发≥3个荧光信号，紫色激光器可独立激发≥5个荧光信号，蓝色激光器可独立激发≥5个荧光信号</w:t>
            </w:r>
          </w:p>
        </w:tc>
      </w:tr>
      <w:tr w14:paraId="424E8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7872759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bidi="ar-SA"/>
              </w:rPr>
              <w:t>★</w:t>
            </w:r>
            <w:r>
              <w:rPr>
                <w:rFonts w:hint="eastAsia" w:ascii="新宋体" w:hAnsi="新宋体" w:eastAsia="新宋体" w:cs="新宋体"/>
                <w:b w:val="0"/>
                <w:bCs w:val="0"/>
                <w:color w:val="auto"/>
                <w:sz w:val="22"/>
                <w:szCs w:val="22"/>
                <w:highlight w:val="none"/>
                <w:lang w:val="en-US" w:eastAsia="zh-CN"/>
              </w:rPr>
              <w:t>1.2.6</w:t>
            </w:r>
          </w:p>
        </w:tc>
        <w:tc>
          <w:tcPr>
            <w:tcW w:w="8311" w:type="dxa"/>
            <w:noWrap w:val="0"/>
            <w:vAlign w:val="center"/>
          </w:tcPr>
          <w:p w14:paraId="4D9E26F8">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bidi="ar-SA"/>
              </w:rPr>
              <w:t>每个检测通道需配置独立的FAPD检测器，总检测器数量≥13个（提供产品说明书）</w:t>
            </w:r>
          </w:p>
        </w:tc>
      </w:tr>
      <w:tr w14:paraId="722AC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522C91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1.2.7</w:t>
            </w:r>
          </w:p>
        </w:tc>
        <w:tc>
          <w:tcPr>
            <w:tcW w:w="8311" w:type="dxa"/>
            <w:noWrap w:val="0"/>
            <w:vAlign w:val="center"/>
          </w:tcPr>
          <w:p w14:paraId="41ACBDD3">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具备免校准集成一体化光学石英</w:t>
            </w:r>
            <w:r>
              <w:rPr>
                <w:rFonts w:hint="eastAsia" w:ascii="新宋体" w:hAnsi="新宋体" w:eastAsia="新宋体" w:cs="新宋体"/>
                <w:b w:val="0"/>
                <w:bCs w:val="0"/>
                <w:color w:val="auto"/>
                <w:sz w:val="22"/>
                <w:szCs w:val="22"/>
                <w:highlight w:val="none"/>
                <w:lang w:val="en-US" w:eastAsia="zh-CN"/>
              </w:rPr>
              <w:t>或不</w:t>
            </w:r>
            <w:r>
              <w:rPr>
                <w:rFonts w:hint="eastAsia" w:ascii="新宋体" w:hAnsi="新宋体" w:eastAsia="新宋体" w:cs="新宋体"/>
                <w:b w:val="0"/>
                <w:bCs w:val="0"/>
                <w:color w:val="auto"/>
                <w:sz w:val="22"/>
                <w:szCs w:val="22"/>
                <w:highlight w:val="none"/>
              </w:rPr>
              <w:t>锈钢金属合金流动室，NA＞1.0</w:t>
            </w:r>
          </w:p>
        </w:tc>
      </w:tr>
      <w:tr w14:paraId="0F361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41ED0F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1.2.8</w:t>
            </w:r>
          </w:p>
        </w:tc>
        <w:tc>
          <w:tcPr>
            <w:tcW w:w="8311" w:type="dxa"/>
            <w:noWrap w:val="0"/>
            <w:vAlign w:val="center"/>
          </w:tcPr>
          <w:p w14:paraId="727FB6D0">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仪器分辨能力动态范围：0-10</w:t>
            </w:r>
            <w:r>
              <w:rPr>
                <w:rFonts w:hint="eastAsia" w:ascii="新宋体" w:hAnsi="新宋体" w:eastAsia="新宋体" w:cs="新宋体"/>
                <w:b w:val="0"/>
                <w:bCs w:val="0"/>
                <w:color w:val="auto"/>
                <w:sz w:val="22"/>
                <w:szCs w:val="22"/>
                <w:highlight w:val="none"/>
                <w:vertAlign w:val="superscript"/>
              </w:rPr>
              <w:t>7</w:t>
            </w:r>
          </w:p>
        </w:tc>
      </w:tr>
      <w:tr w14:paraId="6A8AC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AC60835">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1.2.9</w:t>
            </w:r>
          </w:p>
        </w:tc>
        <w:tc>
          <w:tcPr>
            <w:tcW w:w="8311" w:type="dxa"/>
            <w:noWrap w:val="0"/>
            <w:vAlign w:val="center"/>
          </w:tcPr>
          <w:p w14:paraId="4DFEB315">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荧光分辨率CV &lt;3%</w:t>
            </w:r>
          </w:p>
        </w:tc>
      </w:tr>
      <w:tr w14:paraId="47DB1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84DABF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1.2.10</w:t>
            </w:r>
          </w:p>
        </w:tc>
        <w:tc>
          <w:tcPr>
            <w:tcW w:w="8311" w:type="dxa"/>
            <w:noWrap w:val="0"/>
            <w:vAlign w:val="center"/>
          </w:tcPr>
          <w:p w14:paraId="07DB5BF1">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采样频率≥25Mhz</w:t>
            </w:r>
          </w:p>
        </w:tc>
      </w:tr>
      <w:tr w14:paraId="48320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0BB9ED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1.2.11</w:t>
            </w:r>
          </w:p>
        </w:tc>
        <w:tc>
          <w:tcPr>
            <w:tcW w:w="8311" w:type="dxa"/>
            <w:noWrap w:val="0"/>
            <w:vAlign w:val="center"/>
          </w:tcPr>
          <w:p w14:paraId="421FC9BB">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配备</w:t>
            </w:r>
            <w:r>
              <w:rPr>
                <w:rFonts w:hint="eastAsia" w:ascii="新宋体" w:hAnsi="新宋体" w:eastAsia="新宋体" w:cs="新宋体"/>
                <w:b w:val="0"/>
                <w:bCs w:val="0"/>
                <w:color w:val="auto"/>
                <w:sz w:val="22"/>
                <w:szCs w:val="22"/>
                <w:highlight w:val="none"/>
                <w:lang w:val="en-US" w:eastAsia="zh-CN"/>
              </w:rPr>
              <w:t>≥</w:t>
            </w:r>
            <w:r>
              <w:rPr>
                <w:rFonts w:hint="eastAsia" w:ascii="新宋体" w:hAnsi="新宋体" w:eastAsia="新宋体" w:cs="新宋体"/>
                <w:b w:val="0"/>
                <w:bCs w:val="0"/>
                <w:color w:val="auto"/>
                <w:sz w:val="22"/>
                <w:szCs w:val="22"/>
                <w:highlight w:val="none"/>
              </w:rPr>
              <w:t>32管外置式全自动转盘进样器(非内嵌式）</w:t>
            </w:r>
            <w:r>
              <w:rPr>
                <w:rFonts w:hint="eastAsia" w:ascii="新宋体" w:hAnsi="新宋体" w:eastAsia="新宋体" w:cs="新宋体"/>
                <w:b w:val="0"/>
                <w:bCs w:val="0"/>
                <w:color w:val="auto"/>
                <w:sz w:val="22"/>
                <w:szCs w:val="22"/>
                <w:highlight w:val="none"/>
                <w:lang w:val="en-US" w:eastAsia="zh-CN" w:bidi="ar-SA"/>
              </w:rPr>
              <w:t>（提供产品说明书）</w:t>
            </w:r>
          </w:p>
        </w:tc>
      </w:tr>
      <w:tr w14:paraId="678D3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946D888">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1.2.12</w:t>
            </w:r>
          </w:p>
        </w:tc>
        <w:tc>
          <w:tcPr>
            <w:tcW w:w="8311" w:type="dxa"/>
            <w:noWrap w:val="0"/>
            <w:vAlign w:val="center"/>
          </w:tcPr>
          <w:p w14:paraId="61DB641F">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样本流速需连续可调，最大流速应≥240uL/min，</w:t>
            </w:r>
            <w:r>
              <w:rPr>
                <w:rFonts w:hint="eastAsia" w:ascii="新宋体" w:hAnsi="新宋体" w:eastAsia="新宋体" w:cs="新宋体"/>
                <w:b w:val="0"/>
                <w:bCs w:val="0"/>
                <w:color w:val="auto"/>
                <w:sz w:val="22"/>
                <w:szCs w:val="22"/>
                <w:highlight w:val="none"/>
                <w:lang w:val="en-US" w:eastAsia="zh-CN" w:bidi="ar-SA"/>
              </w:rPr>
              <w:t>（提供产品说明书</w:t>
            </w:r>
            <w:r>
              <w:rPr>
                <w:rFonts w:hint="eastAsia" w:ascii="新宋体" w:hAnsi="新宋体" w:eastAsia="新宋体" w:cs="新宋体"/>
                <w:b w:val="0"/>
                <w:bCs w:val="0"/>
                <w:color w:val="auto"/>
                <w:sz w:val="22"/>
                <w:szCs w:val="22"/>
                <w:highlight w:val="none"/>
                <w:lang w:val="en-US" w:eastAsia="zh-CN"/>
              </w:rPr>
              <w:t>或具有CMA认证的第三方检测报告</w:t>
            </w:r>
            <w:r>
              <w:rPr>
                <w:rFonts w:hint="eastAsia" w:ascii="新宋体" w:hAnsi="新宋体" w:eastAsia="新宋体" w:cs="新宋体"/>
                <w:b w:val="0"/>
                <w:bCs w:val="0"/>
                <w:color w:val="auto"/>
                <w:sz w:val="22"/>
                <w:szCs w:val="22"/>
                <w:highlight w:val="none"/>
                <w:lang w:val="en-US" w:eastAsia="zh-CN" w:bidi="ar-SA"/>
              </w:rPr>
              <w:t>）</w:t>
            </w:r>
          </w:p>
        </w:tc>
      </w:tr>
      <w:tr w14:paraId="19C23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E796861">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1.2.13</w:t>
            </w:r>
          </w:p>
        </w:tc>
        <w:tc>
          <w:tcPr>
            <w:tcW w:w="8311" w:type="dxa"/>
            <w:noWrap w:val="0"/>
            <w:vAlign w:val="center"/>
          </w:tcPr>
          <w:p w14:paraId="0D8E0F27">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最大分析速度（细胞获取速度）≥30000细胞/秒</w:t>
            </w:r>
          </w:p>
        </w:tc>
      </w:tr>
      <w:tr w14:paraId="58F2E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F9FB929">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1.2.14</w:t>
            </w:r>
          </w:p>
        </w:tc>
        <w:tc>
          <w:tcPr>
            <w:tcW w:w="8311" w:type="dxa"/>
            <w:noWrap w:val="0"/>
            <w:vAlign w:val="center"/>
          </w:tcPr>
          <w:p w14:paraId="0AC1CD08">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荧光灵敏度要求FITC≤30 MESF、 PE≤10 MESF</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bidi="ar-SA"/>
              </w:rPr>
              <w:t>提供</w:t>
            </w:r>
            <w:r>
              <w:rPr>
                <w:rFonts w:hint="eastAsia" w:ascii="新宋体" w:hAnsi="新宋体" w:eastAsia="新宋体" w:cs="新宋体"/>
                <w:b w:val="0"/>
                <w:bCs w:val="0"/>
                <w:color w:val="auto"/>
                <w:sz w:val="22"/>
                <w:szCs w:val="22"/>
                <w:highlight w:val="none"/>
                <w:lang w:val="en-US" w:eastAsia="zh-CN"/>
              </w:rPr>
              <w:t>产品说明书或具有CMA认证的第三方检测报告</w:t>
            </w:r>
            <w:r>
              <w:rPr>
                <w:rFonts w:hint="eastAsia" w:ascii="新宋体" w:hAnsi="新宋体" w:eastAsia="新宋体" w:cs="新宋体"/>
                <w:b w:val="0"/>
                <w:bCs w:val="0"/>
                <w:color w:val="auto"/>
                <w:sz w:val="22"/>
                <w:szCs w:val="22"/>
                <w:highlight w:val="none"/>
                <w:lang w:eastAsia="zh-CN"/>
              </w:rPr>
              <w:t>）</w:t>
            </w:r>
          </w:p>
        </w:tc>
      </w:tr>
      <w:tr w14:paraId="159DB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FA41FF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1.2.15</w:t>
            </w:r>
          </w:p>
        </w:tc>
        <w:tc>
          <w:tcPr>
            <w:tcW w:w="8311" w:type="dxa"/>
            <w:noWrap w:val="0"/>
            <w:vAlign w:val="center"/>
          </w:tcPr>
          <w:p w14:paraId="0AB04AF3">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可准确区分0.2um和0.3um的细胞或微粒，最小检测极限≤80nm</w:t>
            </w:r>
          </w:p>
        </w:tc>
      </w:tr>
      <w:tr w14:paraId="304C7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C3985D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1.2.16</w:t>
            </w:r>
          </w:p>
        </w:tc>
        <w:tc>
          <w:tcPr>
            <w:tcW w:w="8311" w:type="dxa"/>
            <w:noWrap w:val="0"/>
            <w:vAlign w:val="center"/>
          </w:tcPr>
          <w:p w14:paraId="1C74C3CB">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具有鞘液过滤器</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鞘液和废液传感器，自动感应鞘液压力和废液桶液面高度，自动报警</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bidi="ar-SA"/>
              </w:rPr>
              <w:t>提供</w:t>
            </w:r>
            <w:r>
              <w:rPr>
                <w:rFonts w:hint="eastAsia" w:ascii="新宋体" w:hAnsi="新宋体" w:eastAsia="新宋体" w:cs="新宋体"/>
                <w:b w:val="0"/>
                <w:bCs w:val="0"/>
                <w:color w:val="auto"/>
                <w:sz w:val="22"/>
                <w:szCs w:val="22"/>
                <w:highlight w:val="none"/>
                <w:lang w:val="en-US" w:eastAsia="zh-CN"/>
              </w:rPr>
              <w:t>产品说明书或具有CMA认证的第三方检测报告</w:t>
            </w:r>
            <w:r>
              <w:rPr>
                <w:rFonts w:hint="eastAsia" w:ascii="新宋体" w:hAnsi="新宋体" w:eastAsia="新宋体" w:cs="新宋体"/>
                <w:b w:val="0"/>
                <w:bCs w:val="0"/>
                <w:color w:val="auto"/>
                <w:sz w:val="22"/>
                <w:szCs w:val="22"/>
                <w:highlight w:val="none"/>
                <w:lang w:eastAsia="zh-CN"/>
              </w:rPr>
              <w:t>）</w:t>
            </w:r>
          </w:p>
        </w:tc>
      </w:tr>
      <w:tr w14:paraId="00718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C57C31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1.2.17</w:t>
            </w:r>
          </w:p>
        </w:tc>
        <w:tc>
          <w:tcPr>
            <w:tcW w:w="8311" w:type="dxa"/>
            <w:noWrap w:val="0"/>
            <w:vAlign w:val="center"/>
          </w:tcPr>
          <w:p w14:paraId="4754B4C8">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Windows系统，具有中文界面的操作及分析软件，全部采用图形化参数调节</w:t>
            </w:r>
          </w:p>
        </w:tc>
      </w:tr>
      <w:tr w14:paraId="1B2E7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68" w:type="dxa"/>
            <w:noWrap w:val="0"/>
            <w:vAlign w:val="center"/>
          </w:tcPr>
          <w:p w14:paraId="2838AD6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1.2.18</w:t>
            </w:r>
          </w:p>
        </w:tc>
        <w:tc>
          <w:tcPr>
            <w:tcW w:w="8311" w:type="dxa"/>
            <w:noWrap w:val="0"/>
            <w:vAlign w:val="center"/>
          </w:tcPr>
          <w:p w14:paraId="61CA648F">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至少具备全矩阵补偿、脱机补偿、自动补偿等功能</w:t>
            </w:r>
          </w:p>
        </w:tc>
      </w:tr>
      <w:tr w14:paraId="4CC4C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E3C333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1.2.19</w:t>
            </w:r>
          </w:p>
        </w:tc>
        <w:tc>
          <w:tcPr>
            <w:tcW w:w="8311" w:type="dxa"/>
            <w:noWrap w:val="0"/>
            <w:vAlign w:val="center"/>
          </w:tcPr>
          <w:p w14:paraId="7B29891F">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真空泵</w:t>
            </w:r>
            <w:r>
              <w:rPr>
                <w:rFonts w:hint="eastAsia" w:ascii="新宋体" w:hAnsi="新宋体" w:eastAsia="新宋体" w:cs="新宋体"/>
                <w:b w:val="0"/>
                <w:bCs w:val="0"/>
                <w:color w:val="auto"/>
                <w:sz w:val="22"/>
                <w:szCs w:val="22"/>
                <w:highlight w:val="none"/>
                <w:lang w:val="en-US" w:eastAsia="zh-CN"/>
              </w:rPr>
              <w:t>或</w:t>
            </w:r>
            <w:r>
              <w:rPr>
                <w:rFonts w:hint="eastAsia" w:ascii="新宋体" w:hAnsi="新宋体" w:eastAsia="新宋体" w:cs="新宋体"/>
                <w:b w:val="0"/>
                <w:bCs w:val="0"/>
                <w:color w:val="auto"/>
                <w:sz w:val="22"/>
                <w:szCs w:val="22"/>
                <w:highlight w:val="none"/>
              </w:rPr>
              <w:t>蠕动泵上样</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需支持单管涡旋混匀方式</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bidi="ar-SA"/>
              </w:rPr>
              <w:t>提供</w:t>
            </w:r>
            <w:r>
              <w:rPr>
                <w:rFonts w:hint="eastAsia" w:ascii="新宋体" w:hAnsi="新宋体" w:eastAsia="新宋体" w:cs="新宋体"/>
                <w:b w:val="0"/>
                <w:bCs w:val="0"/>
                <w:color w:val="auto"/>
                <w:sz w:val="22"/>
                <w:szCs w:val="22"/>
                <w:highlight w:val="none"/>
                <w:lang w:val="en-US" w:eastAsia="zh-CN"/>
              </w:rPr>
              <w:t>产品说明书或具有CMA认证的第三方检测报告</w:t>
            </w:r>
            <w:r>
              <w:rPr>
                <w:rFonts w:hint="eastAsia" w:ascii="新宋体" w:hAnsi="新宋体" w:eastAsia="新宋体" w:cs="新宋体"/>
                <w:b w:val="0"/>
                <w:bCs w:val="0"/>
                <w:color w:val="auto"/>
                <w:sz w:val="22"/>
                <w:szCs w:val="22"/>
                <w:highlight w:val="none"/>
                <w:lang w:eastAsia="zh-CN"/>
              </w:rPr>
              <w:t>）</w:t>
            </w:r>
          </w:p>
        </w:tc>
      </w:tr>
      <w:tr w14:paraId="2E299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6E8555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1.2.20</w:t>
            </w:r>
          </w:p>
        </w:tc>
        <w:tc>
          <w:tcPr>
            <w:tcW w:w="8311" w:type="dxa"/>
            <w:noWrap w:val="0"/>
            <w:vAlign w:val="center"/>
          </w:tcPr>
          <w:p w14:paraId="61DB8E3C">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投标型号需提供医疗器械注册证</w:t>
            </w:r>
          </w:p>
        </w:tc>
      </w:tr>
      <w:tr w14:paraId="03CE3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705678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1.2.21</w:t>
            </w:r>
          </w:p>
        </w:tc>
        <w:tc>
          <w:tcPr>
            <w:tcW w:w="8311" w:type="dxa"/>
            <w:noWrap w:val="0"/>
            <w:vAlign w:val="center"/>
          </w:tcPr>
          <w:p w14:paraId="13778193">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bookmarkStart w:id="57" w:name="OLE_LINK2"/>
            <w:r>
              <w:rPr>
                <w:rFonts w:hint="eastAsia" w:ascii="新宋体" w:hAnsi="新宋体" w:eastAsia="新宋体" w:cs="新宋体"/>
                <w:b w:val="0"/>
                <w:bCs w:val="0"/>
                <w:color w:val="auto"/>
                <w:sz w:val="22"/>
                <w:szCs w:val="22"/>
                <w:highlight w:val="none"/>
              </w:rPr>
              <w:t>具备和投标仪器同品牌并具备三类医疗器械注册证的淋巴细胞亚群检测试剂盒及配套质控品，具备溯源性。</w:t>
            </w:r>
            <w:bookmarkEnd w:id="57"/>
          </w:p>
        </w:tc>
      </w:tr>
      <w:tr w14:paraId="0F62F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2E2097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1.2.22</w:t>
            </w:r>
          </w:p>
        </w:tc>
        <w:tc>
          <w:tcPr>
            <w:tcW w:w="8311" w:type="dxa"/>
            <w:noWrap w:val="0"/>
            <w:vAlign w:val="center"/>
          </w:tcPr>
          <w:p w14:paraId="61888AC8">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投标型号在国家临检中心已开展室间质评的项目必须具备独立仪器分组，提供网站截屏或成绩证明。</w:t>
            </w:r>
          </w:p>
        </w:tc>
      </w:tr>
      <w:tr w14:paraId="3CEDD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7FB8FF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1.2.23</w:t>
            </w:r>
          </w:p>
        </w:tc>
        <w:tc>
          <w:tcPr>
            <w:tcW w:w="8311" w:type="dxa"/>
            <w:noWrap w:val="0"/>
            <w:vAlign w:val="center"/>
          </w:tcPr>
          <w:p w14:paraId="638C98A2">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具备全自动质控程序</w:t>
            </w:r>
          </w:p>
        </w:tc>
      </w:tr>
      <w:tr w14:paraId="013C5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49C3202">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1.2.24</w:t>
            </w:r>
          </w:p>
        </w:tc>
        <w:tc>
          <w:tcPr>
            <w:tcW w:w="8311" w:type="dxa"/>
            <w:noWrap w:val="0"/>
            <w:vAlign w:val="center"/>
          </w:tcPr>
          <w:p w14:paraId="52EBAADA">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软件具备分析电压稳定功能</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具有分析电压可自动或手动调节功能</w:t>
            </w:r>
          </w:p>
        </w:tc>
      </w:tr>
      <w:tr w14:paraId="761C9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419B4C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1.2.25</w:t>
            </w:r>
          </w:p>
        </w:tc>
        <w:tc>
          <w:tcPr>
            <w:tcW w:w="8311" w:type="dxa"/>
            <w:noWrap w:val="0"/>
            <w:vAlign w:val="center"/>
          </w:tcPr>
          <w:p w14:paraId="294E75B2">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厂家根据客户需要实现仪器与用户LIS或信息系统对接，实现数据自动传输和报告出具等。</w:t>
            </w:r>
          </w:p>
        </w:tc>
      </w:tr>
      <w:tr w14:paraId="7749D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B1EFB5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1.3</w:t>
            </w:r>
          </w:p>
        </w:tc>
        <w:tc>
          <w:tcPr>
            <w:tcW w:w="8311" w:type="dxa"/>
            <w:noWrap w:val="0"/>
            <w:vAlign w:val="center"/>
          </w:tcPr>
          <w:p w14:paraId="7B612313">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配置清单</w:t>
            </w:r>
          </w:p>
          <w:p w14:paraId="42E6ED75">
            <w:pPr>
              <w:keepNext w:val="0"/>
              <w:keepLines w:val="0"/>
              <w:pageBreakBefore w:val="0"/>
              <w:widowControl/>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lang w:eastAsia="zh-CN"/>
              </w:rPr>
            </w:pPr>
            <w:r>
              <w:rPr>
                <w:rFonts w:hint="eastAsia" w:ascii="新宋体" w:hAnsi="新宋体" w:eastAsia="新宋体" w:cs="新宋体"/>
                <w:b w:val="0"/>
                <w:bCs w:val="0"/>
                <w:color w:val="auto"/>
                <w:sz w:val="22"/>
                <w:szCs w:val="22"/>
                <w:highlight w:val="none"/>
              </w:rPr>
              <w:t>流式细胞仪 1台</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包括所需的操作平台和打复印机1套、</w:t>
            </w:r>
            <w:r>
              <w:rPr>
                <w:rFonts w:hint="eastAsia" w:ascii="新宋体" w:hAnsi="新宋体" w:eastAsia="新宋体" w:cs="新宋体"/>
                <w:b w:val="0"/>
                <w:bCs w:val="0"/>
                <w:color w:val="auto"/>
                <w:sz w:val="22"/>
                <w:szCs w:val="22"/>
                <w:highlight w:val="none"/>
              </w:rPr>
              <w:t>扫描</w:t>
            </w:r>
            <w:r>
              <w:rPr>
                <w:rFonts w:hint="eastAsia" w:ascii="新宋体" w:hAnsi="新宋体" w:eastAsia="新宋体" w:cs="新宋体"/>
                <w:b w:val="0"/>
                <w:bCs w:val="0"/>
                <w:color w:val="auto"/>
                <w:sz w:val="22"/>
                <w:szCs w:val="22"/>
                <w:highlight w:val="none"/>
                <w:lang w:val="en-US" w:eastAsia="zh-CN"/>
              </w:rPr>
              <w:t>仪1个、32孔自动上样设备2个、</w:t>
            </w:r>
            <w:r>
              <w:rPr>
                <w:rFonts w:hint="eastAsia" w:ascii="新宋体" w:hAnsi="新宋体" w:eastAsia="新宋体" w:cs="新宋体"/>
                <w:b w:val="0"/>
                <w:bCs w:val="0"/>
                <w:color w:val="auto"/>
                <w:sz w:val="22"/>
                <w:szCs w:val="22"/>
                <w:highlight w:val="none"/>
              </w:rPr>
              <w:t>UPS</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2小时</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1</w:t>
            </w:r>
            <w:r>
              <w:rPr>
                <w:rFonts w:hint="eastAsia" w:ascii="新宋体" w:hAnsi="新宋体" w:eastAsia="新宋体" w:cs="新宋体"/>
                <w:b w:val="0"/>
                <w:bCs w:val="0"/>
                <w:color w:val="auto"/>
                <w:sz w:val="22"/>
                <w:szCs w:val="22"/>
                <w:highlight w:val="none"/>
              </w:rPr>
              <w:t>台</w:t>
            </w:r>
            <w:r>
              <w:rPr>
                <w:rFonts w:hint="eastAsia" w:ascii="新宋体" w:hAnsi="新宋体" w:eastAsia="新宋体" w:cs="新宋体"/>
                <w:b w:val="0"/>
                <w:bCs w:val="0"/>
                <w:color w:val="auto"/>
                <w:sz w:val="22"/>
                <w:szCs w:val="22"/>
                <w:highlight w:val="none"/>
                <w:lang w:val="en-US" w:eastAsia="zh-CN"/>
              </w:rPr>
              <w:t>、实验标本推车5个、样本振荡器3个、</w:t>
            </w:r>
            <w:r>
              <w:rPr>
                <w:rFonts w:hint="eastAsia" w:ascii="新宋体" w:hAnsi="新宋体" w:eastAsia="新宋体" w:cs="新宋体"/>
                <w:color w:val="auto"/>
                <w:sz w:val="22"/>
                <w:szCs w:val="22"/>
                <w:highlight w:val="none"/>
              </w:rPr>
              <w:t>拍照扫描仪1台</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移液器（1-20 ul、20-200 ul</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 xml:space="preserve"> 10-100 ul和1000 ul各1把， </w:t>
            </w:r>
            <w:r>
              <w:rPr>
                <w:rFonts w:hint="eastAsia" w:ascii="新宋体" w:hAnsi="新宋体" w:eastAsia="新宋体" w:cs="新宋体"/>
                <w:color w:val="auto"/>
                <w:sz w:val="22"/>
                <w:szCs w:val="22"/>
                <w:highlight w:val="none"/>
                <w:lang w:val="en-US" w:eastAsia="zh-CN"/>
              </w:rPr>
              <w:t xml:space="preserve">8通道0-10 </w:t>
            </w:r>
            <w:r>
              <w:rPr>
                <w:rFonts w:hint="eastAsia" w:ascii="新宋体" w:hAnsi="新宋体" w:eastAsia="新宋体" w:cs="新宋体"/>
                <w:color w:val="auto"/>
                <w:sz w:val="22"/>
                <w:szCs w:val="22"/>
                <w:highlight w:val="none"/>
              </w:rPr>
              <w:t>ul</w:t>
            </w:r>
            <w:r>
              <w:rPr>
                <w:rFonts w:hint="eastAsia" w:ascii="新宋体" w:hAnsi="新宋体" w:eastAsia="新宋体" w:cs="新宋体"/>
                <w:color w:val="auto"/>
                <w:sz w:val="22"/>
                <w:szCs w:val="22"/>
                <w:highlight w:val="none"/>
                <w:lang w:val="en-US" w:eastAsia="zh-CN"/>
              </w:rPr>
              <w:t xml:space="preserve"> 1把</w:t>
            </w:r>
            <w:r>
              <w:rPr>
                <w:rFonts w:hint="eastAsia" w:ascii="新宋体" w:hAnsi="新宋体" w:eastAsia="新宋体" w:cs="新宋体"/>
                <w:b w:val="0"/>
                <w:bCs w:val="0"/>
                <w:color w:val="auto"/>
                <w:sz w:val="22"/>
                <w:szCs w:val="22"/>
                <w:highlight w:val="none"/>
                <w:lang w:val="en-US" w:eastAsia="zh-CN"/>
              </w:rPr>
              <w:t>、专业书籍5套</w:t>
            </w:r>
            <w:r>
              <w:rPr>
                <w:rFonts w:hint="eastAsia" w:ascii="新宋体" w:hAnsi="新宋体" w:eastAsia="新宋体" w:cs="新宋体"/>
                <w:color w:val="auto"/>
                <w:sz w:val="22"/>
                <w:szCs w:val="22"/>
                <w:highlight w:val="none"/>
              </w:rPr>
              <w:t>）</w:t>
            </w:r>
          </w:p>
          <w:p w14:paraId="56DE12E1">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 xml:space="preserve">数据工作站（电脑和打复印机） </w:t>
            </w:r>
            <w:r>
              <w:rPr>
                <w:rFonts w:hint="eastAsia" w:ascii="新宋体" w:hAnsi="新宋体" w:eastAsia="新宋体" w:cs="新宋体"/>
                <w:b w:val="0"/>
                <w:bCs w:val="0"/>
                <w:color w:val="auto"/>
                <w:sz w:val="22"/>
                <w:szCs w:val="22"/>
                <w:highlight w:val="none"/>
              </w:rPr>
              <w:t>1</w:t>
            </w:r>
            <w:r>
              <w:rPr>
                <w:rFonts w:hint="eastAsia" w:ascii="新宋体" w:hAnsi="新宋体" w:eastAsia="新宋体" w:cs="新宋体"/>
                <w:b w:val="0"/>
                <w:bCs w:val="0"/>
                <w:color w:val="auto"/>
                <w:sz w:val="22"/>
                <w:szCs w:val="22"/>
                <w:highlight w:val="none"/>
                <w:lang w:val="en-US" w:eastAsia="zh-CN"/>
              </w:rPr>
              <w:t>套</w:t>
            </w:r>
          </w:p>
        </w:tc>
      </w:tr>
      <w:tr w14:paraId="65ACE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C535159">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w:t>
            </w:r>
          </w:p>
        </w:tc>
        <w:tc>
          <w:tcPr>
            <w:tcW w:w="8311" w:type="dxa"/>
            <w:noWrap w:val="0"/>
            <w:vAlign w:val="center"/>
          </w:tcPr>
          <w:p w14:paraId="544B5099">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vertAlign w:val="baseline"/>
                <w:lang w:val="en-US" w:eastAsia="zh-CN"/>
              </w:rPr>
              <w:t>细胞计数仪（1台）</w:t>
            </w:r>
          </w:p>
        </w:tc>
      </w:tr>
      <w:tr w14:paraId="7E16D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4E1AA65">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w:t>
            </w:r>
          </w:p>
        </w:tc>
        <w:tc>
          <w:tcPr>
            <w:tcW w:w="8311" w:type="dxa"/>
            <w:noWrap w:val="0"/>
            <w:vAlign w:val="center"/>
          </w:tcPr>
          <w:p w14:paraId="23F67F56">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vertAlign w:val="baseline"/>
                <w:lang w:val="en-US" w:eastAsia="zh-CN"/>
              </w:rPr>
            </w:pPr>
            <w:r>
              <w:rPr>
                <w:rFonts w:hint="eastAsia" w:ascii="新宋体" w:hAnsi="新宋体" w:eastAsia="新宋体" w:cs="新宋体"/>
                <w:b w:val="0"/>
                <w:bCs w:val="0"/>
                <w:color w:val="auto"/>
                <w:sz w:val="22"/>
                <w:szCs w:val="22"/>
                <w:highlight w:val="none"/>
                <w:vertAlign w:val="baseline"/>
                <w:lang w:val="en-US" w:eastAsia="zh-CN"/>
              </w:rPr>
              <w:t>主要技术参数</w:t>
            </w:r>
          </w:p>
        </w:tc>
      </w:tr>
      <w:tr w14:paraId="1DFE4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F03C2ED">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w:t>
            </w:r>
          </w:p>
        </w:tc>
        <w:tc>
          <w:tcPr>
            <w:tcW w:w="8311" w:type="dxa"/>
            <w:noWrap w:val="0"/>
            <w:vAlign w:val="center"/>
          </w:tcPr>
          <w:p w14:paraId="3D7DEF2C">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仪器类型：</w:t>
            </w:r>
            <w:r>
              <w:rPr>
                <w:rFonts w:hint="eastAsia" w:ascii="新宋体" w:hAnsi="新宋体" w:eastAsia="新宋体" w:cs="新宋体"/>
                <w:b w:val="0"/>
                <w:bCs w:val="0"/>
                <w:color w:val="auto"/>
                <w:sz w:val="22"/>
                <w:szCs w:val="22"/>
                <w:highlight w:val="none"/>
                <w:lang w:val="en-US" w:eastAsia="zh-CN"/>
              </w:rPr>
              <w:t>具备</w:t>
            </w:r>
            <w:r>
              <w:rPr>
                <w:rFonts w:hint="eastAsia" w:ascii="新宋体" w:hAnsi="新宋体" w:eastAsia="新宋体" w:cs="新宋体"/>
                <w:b w:val="0"/>
                <w:bCs w:val="0"/>
                <w:color w:val="auto"/>
                <w:sz w:val="22"/>
                <w:szCs w:val="22"/>
                <w:highlight w:val="none"/>
              </w:rPr>
              <w:t>细胞荧光计数</w:t>
            </w:r>
            <w:r>
              <w:rPr>
                <w:rFonts w:hint="eastAsia" w:ascii="新宋体" w:hAnsi="新宋体" w:eastAsia="新宋体" w:cs="新宋体"/>
                <w:b w:val="0"/>
                <w:bCs w:val="0"/>
                <w:color w:val="auto"/>
                <w:sz w:val="22"/>
                <w:szCs w:val="22"/>
                <w:highlight w:val="none"/>
                <w:lang w:val="en-US" w:eastAsia="zh-CN"/>
              </w:rPr>
              <w:t>功能</w:t>
            </w:r>
            <w:r>
              <w:rPr>
                <w:rFonts w:hint="eastAsia" w:ascii="新宋体" w:hAnsi="新宋体" w:eastAsia="新宋体" w:cs="新宋体"/>
                <w:b w:val="0"/>
                <w:bCs w:val="0"/>
                <w:color w:val="auto"/>
                <w:sz w:val="22"/>
                <w:szCs w:val="22"/>
                <w:highlight w:val="none"/>
              </w:rPr>
              <w:t>，一体机设计，不占空间，美观时尚</w:t>
            </w:r>
          </w:p>
        </w:tc>
      </w:tr>
      <w:tr w14:paraId="28B0C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92F4688">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w:t>
            </w:r>
          </w:p>
        </w:tc>
        <w:tc>
          <w:tcPr>
            <w:tcW w:w="8311" w:type="dxa"/>
            <w:noWrap w:val="0"/>
            <w:vAlign w:val="center"/>
          </w:tcPr>
          <w:p w14:paraId="539D1722">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可放置在生物安全柜或超净工作台中，可进行无菌操作</w:t>
            </w:r>
          </w:p>
        </w:tc>
      </w:tr>
      <w:tr w14:paraId="013C7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B98E278">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2.1.3</w:t>
            </w:r>
          </w:p>
        </w:tc>
        <w:tc>
          <w:tcPr>
            <w:tcW w:w="8311" w:type="dxa"/>
            <w:noWrap w:val="0"/>
            <w:vAlign w:val="center"/>
          </w:tcPr>
          <w:p w14:paraId="0DDCB0E7">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进样结构：细胞计数板自动进样，检测精确度和重复性更好，软件操控载物台全自动取样</w:t>
            </w:r>
            <w:r>
              <w:rPr>
                <w:rFonts w:hint="eastAsia" w:ascii="新宋体" w:hAnsi="新宋体" w:eastAsia="新宋体" w:cs="新宋体"/>
                <w:b w:val="0"/>
                <w:bCs w:val="0"/>
                <w:color w:val="auto"/>
                <w:sz w:val="22"/>
                <w:szCs w:val="22"/>
                <w:highlight w:val="none"/>
                <w:lang w:val="en-US" w:eastAsia="zh-CN"/>
              </w:rPr>
              <w:t>（提供产品说明书或技术白皮书）</w:t>
            </w:r>
          </w:p>
        </w:tc>
      </w:tr>
      <w:tr w14:paraId="6B656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B23DD88">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2.1.4</w:t>
            </w:r>
          </w:p>
        </w:tc>
        <w:tc>
          <w:tcPr>
            <w:tcW w:w="8311" w:type="dxa"/>
            <w:noWrap w:val="0"/>
            <w:vAlign w:val="center"/>
          </w:tcPr>
          <w:p w14:paraId="209E9544">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物镜放大倍数：</w:t>
            </w:r>
            <w:r>
              <w:rPr>
                <w:rFonts w:hint="eastAsia" w:ascii="新宋体" w:hAnsi="新宋体" w:eastAsia="新宋体" w:cs="新宋体"/>
                <w:b w:val="0"/>
                <w:bCs w:val="0"/>
                <w:color w:val="auto"/>
                <w:sz w:val="22"/>
                <w:szCs w:val="22"/>
                <w:highlight w:val="none"/>
                <w:lang w:val="en-US" w:eastAsia="zh-CN"/>
              </w:rPr>
              <w:t>≥</w:t>
            </w:r>
            <w:r>
              <w:rPr>
                <w:rFonts w:hint="eastAsia" w:ascii="新宋体" w:hAnsi="新宋体" w:eastAsia="新宋体" w:cs="新宋体"/>
                <w:b w:val="0"/>
                <w:bCs w:val="0"/>
                <w:color w:val="auto"/>
                <w:sz w:val="22"/>
                <w:szCs w:val="22"/>
                <w:highlight w:val="none"/>
              </w:rPr>
              <w:t>2.5倍</w:t>
            </w:r>
          </w:p>
        </w:tc>
      </w:tr>
      <w:tr w14:paraId="2DACB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6A59C3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2.1.5</w:t>
            </w:r>
          </w:p>
        </w:tc>
        <w:tc>
          <w:tcPr>
            <w:tcW w:w="8311" w:type="dxa"/>
            <w:noWrap w:val="0"/>
            <w:vAlign w:val="center"/>
          </w:tcPr>
          <w:p w14:paraId="6D2C4C49">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镜头：</w:t>
            </w:r>
            <w:r>
              <w:rPr>
                <w:rFonts w:hint="eastAsia" w:ascii="新宋体" w:hAnsi="新宋体" w:eastAsia="新宋体" w:cs="新宋体"/>
                <w:b w:val="0"/>
                <w:bCs w:val="0"/>
                <w:color w:val="auto"/>
                <w:sz w:val="22"/>
                <w:szCs w:val="22"/>
                <w:highlight w:val="none"/>
                <w:lang w:val="en-US" w:eastAsia="zh-CN"/>
              </w:rPr>
              <w:t>≥</w:t>
            </w:r>
            <w:r>
              <w:rPr>
                <w:rFonts w:hint="eastAsia" w:ascii="新宋体" w:hAnsi="新宋体" w:eastAsia="新宋体" w:cs="新宋体"/>
                <w:b w:val="0"/>
                <w:bCs w:val="0"/>
                <w:color w:val="auto"/>
                <w:sz w:val="22"/>
                <w:szCs w:val="22"/>
                <w:highlight w:val="none"/>
              </w:rPr>
              <w:t>630万高像素光学成像</w:t>
            </w:r>
            <w:r>
              <w:rPr>
                <w:rFonts w:hint="eastAsia" w:ascii="新宋体" w:hAnsi="新宋体" w:eastAsia="新宋体" w:cs="新宋体"/>
                <w:b w:val="0"/>
                <w:bCs w:val="0"/>
                <w:color w:val="auto"/>
                <w:sz w:val="22"/>
                <w:szCs w:val="22"/>
                <w:highlight w:val="none"/>
                <w:lang w:val="en-US" w:eastAsia="zh-CN"/>
              </w:rPr>
              <w:t>（提供产品说明书或技术白皮书）</w:t>
            </w:r>
          </w:p>
        </w:tc>
      </w:tr>
      <w:tr w14:paraId="40729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3F11EC6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2.1.6</w:t>
            </w:r>
          </w:p>
        </w:tc>
        <w:tc>
          <w:tcPr>
            <w:tcW w:w="8311" w:type="dxa"/>
            <w:noWrap w:val="0"/>
            <w:vAlign w:val="center"/>
          </w:tcPr>
          <w:p w14:paraId="181B20E5">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显示屏：</w:t>
            </w:r>
            <w:r>
              <w:rPr>
                <w:rFonts w:hint="eastAsia" w:ascii="新宋体" w:hAnsi="新宋体" w:eastAsia="新宋体" w:cs="新宋体"/>
                <w:b w:val="0"/>
                <w:bCs w:val="0"/>
                <w:color w:val="auto"/>
                <w:sz w:val="22"/>
                <w:szCs w:val="22"/>
                <w:highlight w:val="none"/>
                <w:lang w:val="en-US" w:eastAsia="zh-CN"/>
              </w:rPr>
              <w:t>≥</w:t>
            </w:r>
            <w:r>
              <w:rPr>
                <w:rFonts w:hint="eastAsia" w:ascii="新宋体" w:hAnsi="新宋体" w:eastAsia="新宋体" w:cs="新宋体"/>
                <w:b w:val="0"/>
                <w:bCs w:val="0"/>
                <w:color w:val="auto"/>
                <w:sz w:val="22"/>
                <w:szCs w:val="22"/>
                <w:highlight w:val="none"/>
              </w:rPr>
              <w:t>10英寸LCD高清触摸屏，支持多点触控，无需外接计算机，</w:t>
            </w:r>
            <w:r>
              <w:rPr>
                <w:rFonts w:hint="eastAsia" w:ascii="新宋体" w:hAnsi="新宋体" w:eastAsia="新宋体" w:cs="新宋体"/>
                <w:b w:val="0"/>
                <w:bCs w:val="0"/>
                <w:color w:val="auto"/>
                <w:sz w:val="22"/>
                <w:szCs w:val="22"/>
                <w:highlight w:val="none"/>
                <w:lang w:val="en-US" w:eastAsia="zh-CN"/>
              </w:rPr>
              <w:t>≥</w:t>
            </w:r>
            <w:r>
              <w:rPr>
                <w:rFonts w:hint="eastAsia" w:ascii="新宋体" w:hAnsi="新宋体" w:eastAsia="新宋体" w:cs="新宋体"/>
                <w:b w:val="0"/>
                <w:bCs w:val="0"/>
                <w:color w:val="auto"/>
                <w:sz w:val="22"/>
                <w:szCs w:val="22"/>
                <w:highlight w:val="none"/>
              </w:rPr>
              <w:t>1280×800像素的屏幕可提供高质量的细胞图像</w:t>
            </w:r>
            <w:r>
              <w:rPr>
                <w:rFonts w:hint="eastAsia" w:ascii="新宋体" w:hAnsi="新宋体" w:eastAsia="新宋体" w:cs="新宋体"/>
                <w:b w:val="0"/>
                <w:bCs w:val="0"/>
                <w:color w:val="auto"/>
                <w:sz w:val="22"/>
                <w:szCs w:val="22"/>
                <w:highlight w:val="none"/>
                <w:lang w:eastAsia="zh-CN"/>
              </w:rPr>
              <w:t>。</w:t>
            </w:r>
          </w:p>
        </w:tc>
      </w:tr>
      <w:tr w14:paraId="79F94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142A19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2.1.7</w:t>
            </w:r>
          </w:p>
        </w:tc>
        <w:tc>
          <w:tcPr>
            <w:tcW w:w="8311" w:type="dxa"/>
            <w:noWrap w:val="0"/>
            <w:vAlign w:val="center"/>
          </w:tcPr>
          <w:p w14:paraId="70A71B2B">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光源：采用长寿命高亮度LED冷光源，寿命&gt;3万小时</w:t>
            </w:r>
          </w:p>
        </w:tc>
      </w:tr>
      <w:tr w14:paraId="5B42E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194322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2.1.8</w:t>
            </w:r>
          </w:p>
        </w:tc>
        <w:tc>
          <w:tcPr>
            <w:tcW w:w="8311" w:type="dxa"/>
            <w:noWrap w:val="0"/>
            <w:vAlign w:val="center"/>
          </w:tcPr>
          <w:p w14:paraId="75952FF3">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激发光配置:</w:t>
            </w:r>
            <w:r>
              <w:rPr>
                <w:rFonts w:hint="eastAsia" w:ascii="新宋体" w:hAnsi="新宋体" w:eastAsia="新宋体" w:cs="新宋体"/>
                <w:b w:val="0"/>
                <w:bCs w:val="0"/>
                <w:color w:val="auto"/>
                <w:sz w:val="22"/>
                <w:szCs w:val="22"/>
                <w:highlight w:val="none"/>
                <w:lang w:val="en-US" w:eastAsia="zh-CN"/>
              </w:rPr>
              <w:t>至少包含</w:t>
            </w:r>
            <w:r>
              <w:rPr>
                <w:rFonts w:hint="eastAsia" w:ascii="新宋体" w:hAnsi="新宋体" w:eastAsia="新宋体" w:cs="新宋体"/>
                <w:b w:val="0"/>
                <w:bCs w:val="0"/>
                <w:color w:val="auto"/>
                <w:sz w:val="22"/>
                <w:szCs w:val="22"/>
                <w:highlight w:val="none"/>
              </w:rPr>
              <w:t>激发光480nm、525nm; 检测器滤光片</w:t>
            </w:r>
            <w:r>
              <w:rPr>
                <w:rFonts w:hint="eastAsia" w:ascii="新宋体" w:hAnsi="新宋体" w:eastAsia="新宋体" w:cs="新宋体"/>
                <w:b w:val="0"/>
                <w:bCs w:val="0"/>
                <w:color w:val="auto"/>
                <w:sz w:val="22"/>
                <w:szCs w:val="22"/>
                <w:highlight w:val="none"/>
                <w:lang w:val="en-US" w:eastAsia="zh-CN"/>
              </w:rPr>
              <w:t>覆盖</w:t>
            </w:r>
            <w:r>
              <w:rPr>
                <w:rFonts w:hint="eastAsia" w:ascii="新宋体" w:hAnsi="新宋体" w:eastAsia="新宋体" w:cs="新宋体"/>
                <w:b w:val="0"/>
                <w:bCs w:val="0"/>
                <w:color w:val="auto"/>
                <w:sz w:val="22"/>
                <w:szCs w:val="22"/>
                <w:highlight w:val="none"/>
              </w:rPr>
              <w:t xml:space="preserve"> 535/</w:t>
            </w:r>
            <w:r>
              <w:rPr>
                <w:rFonts w:hint="eastAsia" w:ascii="新宋体" w:hAnsi="新宋体" w:eastAsia="新宋体" w:cs="新宋体"/>
                <w:b w:val="0"/>
                <w:bCs w:val="0"/>
                <w:color w:val="auto"/>
                <w:sz w:val="22"/>
                <w:szCs w:val="22"/>
                <w:highlight w:val="none"/>
                <w:lang w:val="en-US" w:eastAsia="zh-CN"/>
              </w:rPr>
              <w:t>5</w:t>
            </w:r>
            <w:r>
              <w:rPr>
                <w:rFonts w:hint="eastAsia" w:ascii="新宋体" w:hAnsi="新宋体" w:eastAsia="新宋体" w:cs="新宋体"/>
                <w:b w:val="0"/>
                <w:bCs w:val="0"/>
                <w:color w:val="auto"/>
                <w:sz w:val="22"/>
                <w:szCs w:val="22"/>
                <w:highlight w:val="none"/>
              </w:rPr>
              <w:t>40nm</w:t>
            </w:r>
          </w:p>
        </w:tc>
      </w:tr>
      <w:tr w14:paraId="79F80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3D47E1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2.1.9</w:t>
            </w:r>
          </w:p>
        </w:tc>
        <w:tc>
          <w:tcPr>
            <w:tcW w:w="8311" w:type="dxa"/>
            <w:noWrap w:val="0"/>
            <w:vAlign w:val="center"/>
          </w:tcPr>
          <w:p w14:paraId="0DB21801">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图像识别算法：人工智能算法（AI算法），对于不规则细胞和成团细胞等具有挑战性的细胞样品类型做到准确计数；对于特殊细胞样本的计数可进行定制化服务</w:t>
            </w:r>
          </w:p>
        </w:tc>
      </w:tr>
      <w:tr w14:paraId="2A51D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771412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2.1.10</w:t>
            </w:r>
          </w:p>
        </w:tc>
        <w:tc>
          <w:tcPr>
            <w:tcW w:w="8311" w:type="dxa"/>
            <w:noWrap w:val="0"/>
            <w:vAlign w:val="center"/>
          </w:tcPr>
          <w:p w14:paraId="6F15B161">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每个样品独立读取</w:t>
            </w:r>
            <w:r>
              <w:rPr>
                <w:rFonts w:hint="eastAsia" w:ascii="新宋体" w:hAnsi="新宋体" w:eastAsia="新宋体" w:cs="新宋体"/>
                <w:b w:val="0"/>
                <w:bCs w:val="0"/>
                <w:color w:val="auto"/>
                <w:sz w:val="22"/>
                <w:szCs w:val="22"/>
                <w:highlight w:val="none"/>
                <w:lang w:val="en-US" w:eastAsia="zh-CN"/>
              </w:rPr>
              <w:t>≥3</w:t>
            </w:r>
            <w:r>
              <w:rPr>
                <w:rFonts w:hint="eastAsia" w:ascii="新宋体" w:hAnsi="新宋体" w:eastAsia="新宋体" w:cs="新宋体"/>
                <w:b w:val="0"/>
                <w:bCs w:val="0"/>
                <w:color w:val="auto"/>
                <w:sz w:val="22"/>
                <w:szCs w:val="22"/>
                <w:highlight w:val="none"/>
              </w:rPr>
              <w:t>次数据</w:t>
            </w:r>
            <w:r>
              <w:rPr>
                <w:rFonts w:hint="eastAsia" w:ascii="新宋体" w:hAnsi="新宋体" w:eastAsia="新宋体" w:cs="新宋体"/>
                <w:b w:val="0"/>
                <w:bCs w:val="0"/>
                <w:color w:val="auto"/>
                <w:sz w:val="22"/>
                <w:szCs w:val="22"/>
                <w:highlight w:val="none"/>
                <w:lang w:val="en-US" w:eastAsia="zh-CN"/>
              </w:rPr>
              <w:t>进</w:t>
            </w:r>
            <w:r>
              <w:rPr>
                <w:rFonts w:hint="eastAsia" w:ascii="新宋体" w:hAnsi="新宋体" w:eastAsia="新宋体" w:cs="新宋体"/>
                <w:b w:val="0"/>
                <w:bCs w:val="0"/>
                <w:color w:val="auto"/>
                <w:sz w:val="22"/>
                <w:szCs w:val="22"/>
                <w:highlight w:val="none"/>
              </w:rPr>
              <w:t>行统计分析，有效保证计数的精确性</w:t>
            </w:r>
          </w:p>
        </w:tc>
      </w:tr>
      <w:tr w14:paraId="05103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7F36179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2.1.11</w:t>
            </w:r>
          </w:p>
        </w:tc>
        <w:tc>
          <w:tcPr>
            <w:tcW w:w="8311" w:type="dxa"/>
            <w:noWrap w:val="0"/>
            <w:vAlign w:val="center"/>
          </w:tcPr>
          <w:p w14:paraId="42F222EB">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计数模式：</w:t>
            </w:r>
            <w:r>
              <w:rPr>
                <w:rFonts w:hint="eastAsia" w:ascii="新宋体" w:hAnsi="新宋体" w:eastAsia="新宋体" w:cs="新宋体"/>
                <w:b w:val="0"/>
                <w:bCs w:val="0"/>
                <w:color w:val="auto"/>
                <w:sz w:val="22"/>
                <w:szCs w:val="22"/>
                <w:highlight w:val="none"/>
                <w:lang w:val="en-US" w:eastAsia="zh-CN"/>
              </w:rPr>
              <w:t>至少</w:t>
            </w:r>
            <w:r>
              <w:rPr>
                <w:rFonts w:hint="eastAsia" w:ascii="新宋体" w:hAnsi="新宋体" w:eastAsia="新宋体" w:cs="新宋体"/>
                <w:b w:val="0"/>
                <w:bCs w:val="0"/>
                <w:color w:val="auto"/>
                <w:sz w:val="22"/>
                <w:szCs w:val="22"/>
                <w:highlight w:val="none"/>
              </w:rPr>
              <w:t>支持AO（吖啶橙）/PI（碘化丙啶）双荧光染色以及明场台盼蓝染色和非台盼蓝染色3种计数功能</w:t>
            </w:r>
          </w:p>
        </w:tc>
      </w:tr>
      <w:tr w14:paraId="6090F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E6A334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2.1.12</w:t>
            </w:r>
          </w:p>
        </w:tc>
        <w:tc>
          <w:tcPr>
            <w:tcW w:w="8311" w:type="dxa"/>
            <w:noWrap w:val="0"/>
            <w:vAlign w:val="center"/>
          </w:tcPr>
          <w:p w14:paraId="7FEBE79B">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细胞直径测量范围：2μm</w:t>
            </w:r>
            <w:r>
              <w:rPr>
                <w:rFonts w:hint="eastAsia" w:ascii="新宋体" w:hAnsi="新宋体" w:eastAsia="新宋体" w:cs="新宋体"/>
                <w:b w:val="0"/>
                <w:bCs w:val="0"/>
                <w:color w:val="auto"/>
                <w:sz w:val="22"/>
                <w:szCs w:val="22"/>
                <w:highlight w:val="none"/>
                <w:lang w:val="en-US" w:eastAsia="zh-CN"/>
              </w:rPr>
              <w:t>-</w:t>
            </w:r>
            <w:r>
              <w:rPr>
                <w:rFonts w:hint="eastAsia" w:ascii="新宋体" w:hAnsi="新宋体" w:eastAsia="新宋体" w:cs="新宋体"/>
                <w:b w:val="0"/>
                <w:bCs w:val="0"/>
                <w:color w:val="auto"/>
                <w:sz w:val="22"/>
                <w:szCs w:val="22"/>
                <w:highlight w:val="none"/>
              </w:rPr>
              <w:t>200μm</w:t>
            </w:r>
          </w:p>
        </w:tc>
      </w:tr>
      <w:tr w14:paraId="230E9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8849225">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2.1.13</w:t>
            </w:r>
          </w:p>
        </w:tc>
        <w:tc>
          <w:tcPr>
            <w:tcW w:w="8311" w:type="dxa"/>
            <w:noWrap w:val="0"/>
            <w:vAlign w:val="center"/>
          </w:tcPr>
          <w:p w14:paraId="74E60EF5">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细胞浓度测量范围：1×10</w:t>
            </w:r>
            <w:r>
              <w:rPr>
                <w:rFonts w:hint="eastAsia" w:ascii="新宋体" w:hAnsi="新宋体" w:eastAsia="新宋体" w:cs="新宋体"/>
                <w:b w:val="0"/>
                <w:bCs w:val="0"/>
                <w:color w:val="auto"/>
                <w:sz w:val="22"/>
                <w:szCs w:val="22"/>
                <w:highlight w:val="none"/>
                <w:vertAlign w:val="superscript"/>
              </w:rPr>
              <w:t>5</w:t>
            </w:r>
            <w:r>
              <w:rPr>
                <w:rFonts w:hint="eastAsia" w:ascii="新宋体" w:hAnsi="新宋体" w:eastAsia="新宋体" w:cs="新宋体"/>
                <w:b w:val="0"/>
                <w:bCs w:val="0"/>
                <w:color w:val="auto"/>
                <w:sz w:val="22"/>
                <w:szCs w:val="22"/>
                <w:highlight w:val="none"/>
                <w:vertAlign w:val="baseline"/>
                <w:lang w:eastAsia="zh-CN"/>
              </w:rPr>
              <w:t>-</w:t>
            </w:r>
            <w:r>
              <w:rPr>
                <w:rFonts w:hint="eastAsia" w:ascii="新宋体" w:hAnsi="新宋体" w:eastAsia="新宋体" w:cs="新宋体"/>
                <w:b w:val="0"/>
                <w:bCs w:val="0"/>
                <w:color w:val="auto"/>
                <w:sz w:val="22"/>
                <w:szCs w:val="22"/>
                <w:highlight w:val="none"/>
              </w:rPr>
              <w:t>3×10</w:t>
            </w:r>
            <w:r>
              <w:rPr>
                <w:rFonts w:hint="eastAsia" w:ascii="新宋体" w:hAnsi="新宋体" w:eastAsia="新宋体" w:cs="新宋体"/>
                <w:b w:val="0"/>
                <w:bCs w:val="0"/>
                <w:color w:val="auto"/>
                <w:sz w:val="22"/>
                <w:szCs w:val="22"/>
                <w:highlight w:val="none"/>
                <w:vertAlign w:val="superscript"/>
              </w:rPr>
              <w:t>7</w:t>
            </w:r>
            <w:r>
              <w:rPr>
                <w:rFonts w:hint="eastAsia" w:ascii="新宋体" w:hAnsi="新宋体" w:eastAsia="新宋体" w:cs="新宋体"/>
                <w:b w:val="0"/>
                <w:bCs w:val="0"/>
                <w:color w:val="auto"/>
                <w:sz w:val="22"/>
                <w:szCs w:val="22"/>
                <w:highlight w:val="none"/>
              </w:rPr>
              <w:t>个/mL</w:t>
            </w:r>
          </w:p>
        </w:tc>
      </w:tr>
      <w:tr w14:paraId="5FAC5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DE1C391">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2.1.14</w:t>
            </w:r>
          </w:p>
        </w:tc>
        <w:tc>
          <w:tcPr>
            <w:tcW w:w="8311" w:type="dxa"/>
            <w:noWrap w:val="0"/>
            <w:vAlign w:val="center"/>
          </w:tcPr>
          <w:p w14:paraId="71663D79">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耗材：细胞计数板，一次性耗材，无需重复清洗，避免交叉污染</w:t>
            </w:r>
            <w:r>
              <w:rPr>
                <w:rFonts w:hint="eastAsia" w:ascii="新宋体" w:hAnsi="新宋体" w:eastAsia="新宋体" w:cs="新宋体"/>
                <w:b w:val="0"/>
                <w:bCs w:val="0"/>
                <w:color w:val="auto"/>
                <w:sz w:val="22"/>
                <w:szCs w:val="22"/>
                <w:highlight w:val="none"/>
                <w:lang w:val="en-US" w:eastAsia="zh-CN"/>
              </w:rPr>
              <w:t>（提供产品说明书或技术白皮书）</w:t>
            </w:r>
          </w:p>
        </w:tc>
      </w:tr>
      <w:tr w14:paraId="371E5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B39B6C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2.1.15</w:t>
            </w:r>
          </w:p>
        </w:tc>
        <w:tc>
          <w:tcPr>
            <w:tcW w:w="8311" w:type="dxa"/>
            <w:noWrap w:val="0"/>
            <w:vAlign w:val="center"/>
          </w:tcPr>
          <w:p w14:paraId="296258AE">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上样体积：</w:t>
            </w:r>
            <w:r>
              <w:rPr>
                <w:rFonts w:hint="eastAsia" w:ascii="新宋体" w:hAnsi="新宋体" w:eastAsia="新宋体" w:cs="新宋体"/>
                <w:b w:val="0"/>
                <w:bCs w:val="0"/>
                <w:color w:val="auto"/>
                <w:sz w:val="22"/>
                <w:szCs w:val="22"/>
                <w:highlight w:val="none"/>
                <w:lang w:val="en-US" w:eastAsia="zh-CN"/>
              </w:rPr>
              <w:t>≤</w:t>
            </w:r>
            <w:r>
              <w:rPr>
                <w:rFonts w:hint="eastAsia" w:ascii="新宋体" w:hAnsi="新宋体" w:eastAsia="新宋体" w:cs="新宋体"/>
                <w:b w:val="0"/>
                <w:bCs w:val="0"/>
                <w:color w:val="auto"/>
                <w:sz w:val="22"/>
                <w:szCs w:val="22"/>
                <w:highlight w:val="none"/>
              </w:rPr>
              <w:t>10μL</w:t>
            </w:r>
            <w:r>
              <w:rPr>
                <w:rFonts w:hint="eastAsia" w:ascii="新宋体" w:hAnsi="新宋体" w:eastAsia="新宋体" w:cs="新宋体"/>
                <w:b w:val="0"/>
                <w:bCs w:val="0"/>
                <w:color w:val="auto"/>
                <w:sz w:val="22"/>
                <w:szCs w:val="22"/>
                <w:highlight w:val="none"/>
                <w:lang w:val="en-US" w:eastAsia="zh-CN"/>
              </w:rPr>
              <w:t>（提供产品说明书或技术白皮书）</w:t>
            </w:r>
          </w:p>
        </w:tc>
      </w:tr>
      <w:tr w14:paraId="3C8C0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68" w:type="dxa"/>
            <w:noWrap w:val="0"/>
            <w:vAlign w:val="center"/>
          </w:tcPr>
          <w:p w14:paraId="5363690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2.1.16</w:t>
            </w:r>
          </w:p>
        </w:tc>
        <w:tc>
          <w:tcPr>
            <w:tcW w:w="8311" w:type="dxa"/>
            <w:noWrap w:val="0"/>
            <w:vAlign w:val="center"/>
          </w:tcPr>
          <w:p w14:paraId="0622E1C1">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检测耗时：单样品计数时间&lt;20s，6个样品计数</w:t>
            </w:r>
            <w:r>
              <w:rPr>
                <w:rFonts w:hint="eastAsia" w:ascii="新宋体" w:hAnsi="新宋体" w:eastAsia="新宋体" w:cs="新宋体"/>
                <w:b w:val="0"/>
                <w:bCs w:val="0"/>
                <w:color w:val="auto"/>
                <w:sz w:val="22"/>
                <w:szCs w:val="22"/>
                <w:highlight w:val="none"/>
                <w:lang w:val="en-US" w:eastAsia="zh-CN"/>
              </w:rPr>
              <w:t>≤</w:t>
            </w:r>
            <w:r>
              <w:rPr>
                <w:rFonts w:hint="eastAsia" w:ascii="新宋体" w:hAnsi="新宋体" w:eastAsia="新宋体" w:cs="新宋体"/>
                <w:b w:val="0"/>
                <w:bCs w:val="0"/>
                <w:color w:val="auto"/>
                <w:sz w:val="22"/>
                <w:szCs w:val="22"/>
                <w:highlight w:val="none"/>
              </w:rPr>
              <w:t>2 min</w:t>
            </w:r>
          </w:p>
        </w:tc>
      </w:tr>
      <w:tr w14:paraId="57C75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3D23E708">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2.1.17</w:t>
            </w:r>
          </w:p>
        </w:tc>
        <w:tc>
          <w:tcPr>
            <w:tcW w:w="8311" w:type="dxa"/>
            <w:noWrap w:val="0"/>
            <w:vAlign w:val="center"/>
          </w:tcPr>
          <w:p w14:paraId="27A29F68">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测量细胞种类：各种传代细胞、原代细胞、干细胞和全血细胞等</w:t>
            </w:r>
          </w:p>
        </w:tc>
      </w:tr>
      <w:tr w14:paraId="1E6CF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38F95E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2.1.18</w:t>
            </w:r>
          </w:p>
        </w:tc>
        <w:tc>
          <w:tcPr>
            <w:tcW w:w="8311" w:type="dxa"/>
            <w:noWrap w:val="0"/>
            <w:vAlign w:val="center"/>
          </w:tcPr>
          <w:p w14:paraId="2F2E95A5">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采样方法：电动调焦、自动选取视角、自动曝光、自动拍摄、多视野成像、多视野计数</w:t>
            </w:r>
            <w:r>
              <w:rPr>
                <w:rFonts w:hint="eastAsia" w:ascii="新宋体" w:hAnsi="新宋体" w:eastAsia="新宋体" w:cs="新宋体"/>
                <w:b w:val="0"/>
                <w:bCs w:val="0"/>
                <w:color w:val="auto"/>
                <w:sz w:val="22"/>
                <w:szCs w:val="22"/>
                <w:highlight w:val="none"/>
                <w:lang w:val="en-US" w:eastAsia="zh-CN"/>
              </w:rPr>
              <w:t>等</w:t>
            </w:r>
          </w:p>
        </w:tc>
      </w:tr>
      <w:tr w14:paraId="0727D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ECEE5B1">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2.1.19</w:t>
            </w:r>
          </w:p>
        </w:tc>
        <w:tc>
          <w:tcPr>
            <w:tcW w:w="8311" w:type="dxa"/>
            <w:noWrap w:val="0"/>
            <w:vAlign w:val="center"/>
          </w:tcPr>
          <w:p w14:paraId="36BB02B6">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分析参数：细胞活率、总细胞浓度、活细胞浓度、死细胞浓度、总细胞个数、活细胞个数、死细胞个数、平均直径等参数</w:t>
            </w:r>
          </w:p>
        </w:tc>
      </w:tr>
      <w:tr w14:paraId="249EC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F9B1F4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2.1.20</w:t>
            </w:r>
          </w:p>
        </w:tc>
        <w:tc>
          <w:tcPr>
            <w:tcW w:w="8311" w:type="dxa"/>
            <w:noWrap w:val="0"/>
            <w:vAlign w:val="center"/>
          </w:tcPr>
          <w:p w14:paraId="3BC4B230">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分析精度： CV值≤5%</w:t>
            </w:r>
          </w:p>
        </w:tc>
      </w:tr>
      <w:tr w14:paraId="218EA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32D519A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4"/>
                <w:szCs w:val="24"/>
                <w:highlight w:val="none"/>
                <w:lang w:val="en-US" w:eastAsia="zh-CN"/>
              </w:rPr>
            </w:pPr>
            <w:r>
              <w:rPr>
                <w:rFonts w:hint="eastAsia" w:ascii="新宋体" w:hAnsi="新宋体" w:eastAsia="新宋体" w:cs="新宋体"/>
                <w:b w:val="0"/>
                <w:bCs w:val="0"/>
                <w:color w:val="auto"/>
                <w:sz w:val="24"/>
                <w:szCs w:val="24"/>
                <w:highlight w:val="none"/>
                <w:lang w:val="en-US" w:eastAsia="zh-CN"/>
              </w:rPr>
              <w:t>2.1.21</w:t>
            </w:r>
          </w:p>
        </w:tc>
        <w:tc>
          <w:tcPr>
            <w:tcW w:w="8311" w:type="dxa"/>
            <w:noWrap w:val="0"/>
            <w:vAlign w:val="center"/>
          </w:tcPr>
          <w:p w14:paraId="45F39E76">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4"/>
                <w:szCs w:val="24"/>
                <w:highlight w:val="none"/>
              </w:rPr>
            </w:pPr>
            <w:r>
              <w:rPr>
                <w:rFonts w:hint="eastAsia" w:ascii="新宋体" w:hAnsi="新宋体" w:eastAsia="新宋体" w:cs="新宋体"/>
                <w:b w:val="0"/>
                <w:bCs w:val="0"/>
                <w:color w:val="auto"/>
                <w:sz w:val="24"/>
                <w:szCs w:val="24"/>
                <w:highlight w:val="none"/>
              </w:rPr>
              <w:t>数据呈现：Excel、PDF</w:t>
            </w:r>
          </w:p>
        </w:tc>
      </w:tr>
      <w:tr w14:paraId="28FDB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33E3A03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2.1.22</w:t>
            </w:r>
          </w:p>
        </w:tc>
        <w:tc>
          <w:tcPr>
            <w:tcW w:w="8311" w:type="dxa"/>
            <w:noWrap w:val="0"/>
            <w:vAlign w:val="center"/>
          </w:tcPr>
          <w:p w14:paraId="57454FD6">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数据导出：Excel、PDF自由导出</w:t>
            </w:r>
          </w:p>
        </w:tc>
      </w:tr>
      <w:tr w14:paraId="4B735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87E60A9">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2.1.23</w:t>
            </w:r>
          </w:p>
        </w:tc>
        <w:tc>
          <w:tcPr>
            <w:tcW w:w="8311" w:type="dxa"/>
            <w:noWrap w:val="0"/>
            <w:vAlign w:val="center"/>
          </w:tcPr>
          <w:p w14:paraId="4FAA70C8">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预设多种实验类型：细胞计数，颗粒计数、台盼蓝计数、AO/PI双荧光计数、细胞转染等</w:t>
            </w:r>
          </w:p>
        </w:tc>
      </w:tr>
      <w:tr w14:paraId="4B007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70C053FD">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2.1.24</w:t>
            </w:r>
          </w:p>
        </w:tc>
        <w:tc>
          <w:tcPr>
            <w:tcW w:w="8311" w:type="dxa"/>
            <w:noWrap w:val="0"/>
            <w:vAlign w:val="center"/>
          </w:tcPr>
          <w:p w14:paraId="31C046F2">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明场计数功能：细胞总浓度和细胞总数；活细胞浓度和活细胞数；细胞活率分析(台盼蓝染色法)</w:t>
            </w:r>
          </w:p>
        </w:tc>
      </w:tr>
      <w:tr w14:paraId="56AEB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D0A358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2.1.25</w:t>
            </w:r>
          </w:p>
        </w:tc>
        <w:tc>
          <w:tcPr>
            <w:tcW w:w="8311" w:type="dxa"/>
            <w:noWrap w:val="0"/>
            <w:vAlign w:val="center"/>
          </w:tcPr>
          <w:p w14:paraId="4886C2AA">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荧光功能：GEP/RFP细胞转染分析；AO/Pl进行细胞活率的精确分析；有核细胞的精确计数：通过AO染料，精确计数所有有核细胞，排除了血小板、红细胞的污染</w:t>
            </w:r>
          </w:p>
        </w:tc>
      </w:tr>
      <w:tr w14:paraId="7A2F1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53E95A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2.1.26</w:t>
            </w:r>
          </w:p>
        </w:tc>
        <w:tc>
          <w:tcPr>
            <w:tcW w:w="8311" w:type="dxa"/>
            <w:noWrap w:val="0"/>
            <w:vAlign w:val="center"/>
          </w:tcPr>
          <w:p w14:paraId="3C193557">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强大的数据分析功能：支持数据检索、编辑和数据再分析功能，可进行细胞增殖曲线（细胞浓度分析、活率分析和直径分析）以及细胞大小直方图等分析功能</w:t>
            </w:r>
          </w:p>
        </w:tc>
      </w:tr>
      <w:tr w14:paraId="5FD16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428C39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2.1.27</w:t>
            </w:r>
          </w:p>
        </w:tc>
        <w:tc>
          <w:tcPr>
            <w:tcW w:w="8311" w:type="dxa"/>
            <w:noWrap w:val="0"/>
            <w:vAlign w:val="center"/>
          </w:tcPr>
          <w:p w14:paraId="77304C90">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用户权限管理：系统实现用户分级权限管理和电子签名；系统自带审计追踪功能</w:t>
            </w:r>
            <w:r>
              <w:rPr>
                <w:rFonts w:hint="eastAsia" w:ascii="新宋体" w:hAnsi="新宋体" w:eastAsia="新宋体" w:cs="新宋体"/>
                <w:b w:val="0"/>
                <w:bCs w:val="0"/>
                <w:color w:val="auto"/>
                <w:sz w:val="22"/>
                <w:szCs w:val="22"/>
                <w:highlight w:val="none"/>
                <w:lang w:val="en-US" w:eastAsia="zh-CN"/>
              </w:rPr>
              <w:t>（提供产品说明书或技术白皮书）</w:t>
            </w:r>
          </w:p>
        </w:tc>
      </w:tr>
      <w:tr w14:paraId="370F6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742E24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2.1.28</w:t>
            </w:r>
          </w:p>
        </w:tc>
        <w:tc>
          <w:tcPr>
            <w:tcW w:w="8311" w:type="dxa"/>
            <w:noWrap w:val="0"/>
            <w:vAlign w:val="center"/>
          </w:tcPr>
          <w:p w14:paraId="1C00AEB7">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验证：提供IQ/OQ/PQ验证</w:t>
            </w:r>
          </w:p>
        </w:tc>
      </w:tr>
      <w:tr w14:paraId="68B2F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1592E2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2.1.29</w:t>
            </w:r>
          </w:p>
        </w:tc>
        <w:tc>
          <w:tcPr>
            <w:tcW w:w="8311" w:type="dxa"/>
            <w:noWrap w:val="0"/>
            <w:vAlign w:val="center"/>
          </w:tcPr>
          <w:p w14:paraId="79247FEC">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输出端口：对外USB3.0接口，外接端口使数据输出更便捷</w:t>
            </w:r>
          </w:p>
        </w:tc>
      </w:tr>
      <w:tr w14:paraId="60FFA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31C8517">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2.1.30</w:t>
            </w:r>
          </w:p>
        </w:tc>
        <w:tc>
          <w:tcPr>
            <w:tcW w:w="8311" w:type="dxa"/>
            <w:noWrap w:val="0"/>
            <w:vAlign w:val="center"/>
          </w:tcPr>
          <w:p w14:paraId="3BBF11AC">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存储：4G内存，500G硬盘(内含用户使用手册)，可存储近2万次检测数据</w:t>
            </w:r>
          </w:p>
        </w:tc>
      </w:tr>
      <w:tr w14:paraId="68E14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F976E25">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2.1.31</w:t>
            </w:r>
          </w:p>
        </w:tc>
        <w:tc>
          <w:tcPr>
            <w:tcW w:w="8311" w:type="dxa"/>
            <w:noWrap w:val="0"/>
            <w:vAlign w:val="center"/>
          </w:tcPr>
          <w:p w14:paraId="676AAA1C">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可提供技术服务培训和安装服务，以及线上远程协助功能</w:t>
            </w:r>
          </w:p>
        </w:tc>
      </w:tr>
      <w:tr w14:paraId="269B7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8C93CF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2.2</w:t>
            </w:r>
          </w:p>
        </w:tc>
        <w:tc>
          <w:tcPr>
            <w:tcW w:w="8311" w:type="dxa"/>
            <w:noWrap w:val="0"/>
            <w:vAlign w:val="center"/>
          </w:tcPr>
          <w:p w14:paraId="02C2C51D">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lang w:val="en-US"/>
              </w:rPr>
            </w:pPr>
            <w:r>
              <w:rPr>
                <w:rFonts w:hint="eastAsia" w:ascii="新宋体" w:hAnsi="新宋体" w:eastAsia="新宋体" w:cs="新宋体"/>
                <w:b w:val="0"/>
                <w:bCs w:val="0"/>
                <w:color w:val="auto"/>
                <w:sz w:val="22"/>
                <w:szCs w:val="22"/>
                <w:highlight w:val="none"/>
                <w:lang w:val="en-US" w:eastAsia="zh-CN"/>
              </w:rPr>
              <w:t>配置：主机 1台、细胞冻存程序降温装置 1套、说明书 1套、细胞计数板 100个、掌上离心机2台、电动移液器1把。</w:t>
            </w:r>
          </w:p>
        </w:tc>
      </w:tr>
      <w:tr w14:paraId="7C07E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6AD2438">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w:t>
            </w:r>
          </w:p>
        </w:tc>
        <w:tc>
          <w:tcPr>
            <w:tcW w:w="8311" w:type="dxa"/>
            <w:noWrap w:val="0"/>
            <w:vAlign w:val="center"/>
          </w:tcPr>
          <w:p w14:paraId="73791EE7">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color w:val="auto"/>
                <w:sz w:val="22"/>
                <w:szCs w:val="22"/>
                <w:highlight w:val="none"/>
                <w:u w:val="none"/>
                <w:lang w:val="en-US" w:eastAsia="zh-CN"/>
              </w:rPr>
              <w:t>荧光定量PCR仪（1台）</w:t>
            </w:r>
          </w:p>
        </w:tc>
      </w:tr>
      <w:tr w14:paraId="532A5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E6BBDF7">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3.1</w:t>
            </w:r>
          </w:p>
        </w:tc>
        <w:tc>
          <w:tcPr>
            <w:tcW w:w="8311" w:type="dxa"/>
            <w:noWrap w:val="0"/>
            <w:vAlign w:val="center"/>
          </w:tcPr>
          <w:p w14:paraId="3166F512">
            <w:pPr>
              <w:pStyle w:val="9"/>
              <w:keepNext w:val="0"/>
              <w:keepLines w:val="0"/>
              <w:pageBreakBefore w:val="0"/>
              <w:widowControl w:val="0"/>
              <w:kinsoku/>
              <w:wordWrap/>
              <w:overflowPunct/>
              <w:topLinePunct w:val="0"/>
              <w:autoSpaceDE/>
              <w:autoSpaceDN/>
              <w:bidi w:val="0"/>
              <w:snapToGrid/>
              <w:spacing w:line="460" w:lineRule="exact"/>
              <w:ind w:firstLine="0"/>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仪器工作环境要求</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电源：100–240 VAC, 50–60Hz</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环境温度：15-30℃</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相对湿度：≤80%</w:t>
            </w:r>
          </w:p>
        </w:tc>
      </w:tr>
      <w:tr w14:paraId="36B00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027AB9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w:t>
            </w:r>
          </w:p>
        </w:tc>
        <w:tc>
          <w:tcPr>
            <w:tcW w:w="8311" w:type="dxa"/>
            <w:noWrap w:val="0"/>
            <w:vAlign w:val="center"/>
          </w:tcPr>
          <w:p w14:paraId="127E2227">
            <w:pPr>
              <w:pStyle w:val="9"/>
              <w:keepNext w:val="0"/>
              <w:keepLines w:val="0"/>
              <w:pageBreakBefore w:val="0"/>
              <w:widowControl w:val="0"/>
              <w:kinsoku/>
              <w:wordWrap/>
              <w:overflowPunct/>
              <w:topLinePunct w:val="0"/>
              <w:autoSpaceDE/>
              <w:autoSpaceDN/>
              <w:bidi w:val="0"/>
              <w:snapToGrid/>
              <w:spacing w:line="460" w:lineRule="exact"/>
              <w:ind w:firstLine="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技术指标</w:t>
            </w:r>
          </w:p>
        </w:tc>
      </w:tr>
      <w:tr w14:paraId="4C890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6ACF5C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w:t>
            </w:r>
          </w:p>
        </w:tc>
        <w:tc>
          <w:tcPr>
            <w:tcW w:w="8311" w:type="dxa"/>
            <w:noWrap w:val="0"/>
            <w:vAlign w:val="center"/>
          </w:tcPr>
          <w:p w14:paraId="3A76469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加热模块规格≥4个：至少包含标准96 孔样品模块，微流体芯片模块，快速96孔模块和384孔模块。（提供产品说明书或具有CMA认证的第三方检测报告）</w:t>
            </w:r>
          </w:p>
        </w:tc>
      </w:tr>
      <w:tr w14:paraId="25647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BB12FD2">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★3.2.2</w:t>
            </w:r>
          </w:p>
        </w:tc>
        <w:tc>
          <w:tcPr>
            <w:tcW w:w="8311" w:type="dxa"/>
            <w:noWrap w:val="0"/>
            <w:vAlign w:val="center"/>
          </w:tcPr>
          <w:p w14:paraId="651A9EA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加热模块可自行更换，无需工程师上门服务；（提供产品说明书或技术白皮书）</w:t>
            </w:r>
          </w:p>
        </w:tc>
      </w:tr>
      <w:tr w14:paraId="201AA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60AD16D">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3.2.3</w:t>
            </w:r>
          </w:p>
        </w:tc>
        <w:tc>
          <w:tcPr>
            <w:tcW w:w="8311" w:type="dxa"/>
            <w:noWrap w:val="0"/>
            <w:vAlign w:val="center"/>
          </w:tcPr>
          <w:p w14:paraId="5EF8020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反应体积：标准96孔模块反应体积10μl-100μl，微流体芯片模快：≤2μL，标准384孔模块反应体积5μl-20μl，快速96孔模式：10μl-30μL；</w:t>
            </w:r>
          </w:p>
        </w:tc>
      </w:tr>
      <w:tr w14:paraId="3E1D5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9218B1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★3.2.4</w:t>
            </w:r>
          </w:p>
        </w:tc>
        <w:tc>
          <w:tcPr>
            <w:tcW w:w="8311" w:type="dxa"/>
            <w:noWrap w:val="0"/>
            <w:vAlign w:val="center"/>
          </w:tcPr>
          <w:p w14:paraId="3ACAD39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试剂耗材：试剂和耗材完全开放，可使用国产或进口的各品牌试剂和耗材，支持PCR单管、8联管、96孔板、384孔板（提供产品说明书或具有CMA认证的第三方检测报告）</w:t>
            </w:r>
          </w:p>
        </w:tc>
      </w:tr>
      <w:tr w14:paraId="5A005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3BD87E6D">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3.2.5</w:t>
            </w:r>
          </w:p>
        </w:tc>
        <w:tc>
          <w:tcPr>
            <w:tcW w:w="8311" w:type="dxa"/>
            <w:noWrap w:val="0"/>
            <w:vAlign w:val="center"/>
          </w:tcPr>
          <w:p w14:paraId="4E2D6B12">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光学系统：高能量合金卤素灯或LED灯；</w:t>
            </w:r>
          </w:p>
        </w:tc>
      </w:tr>
      <w:tr w14:paraId="60BCF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710648E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★3.2.6</w:t>
            </w:r>
          </w:p>
        </w:tc>
        <w:tc>
          <w:tcPr>
            <w:tcW w:w="8311" w:type="dxa"/>
            <w:noWrap w:val="0"/>
            <w:vAlign w:val="center"/>
          </w:tcPr>
          <w:p w14:paraId="64CFB2D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荧光通道数：激发光通道≥6，检测光通道≥6；检测≥21种不同的荧光，而且适用染料开放；（提供产品说明书或具有CMA认证的第三方检测报告）</w:t>
            </w:r>
          </w:p>
        </w:tc>
      </w:tr>
      <w:tr w14:paraId="577A6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0CC66A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3.2.7</w:t>
            </w:r>
          </w:p>
        </w:tc>
        <w:tc>
          <w:tcPr>
            <w:tcW w:w="8311" w:type="dxa"/>
            <w:noWrap w:val="0"/>
            <w:vAlign w:val="center"/>
          </w:tcPr>
          <w:p w14:paraId="7139EFB2">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温控范围：4-100℃；反应后可降温至5度保存；</w:t>
            </w:r>
          </w:p>
        </w:tc>
      </w:tr>
      <w:tr w14:paraId="1D54A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73A1AC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3.2.8</w:t>
            </w:r>
          </w:p>
        </w:tc>
        <w:tc>
          <w:tcPr>
            <w:tcW w:w="8311" w:type="dxa"/>
            <w:noWrap w:val="0"/>
            <w:vAlign w:val="center"/>
          </w:tcPr>
          <w:p w14:paraId="179F344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温度精确度：≤±0.3℃；温度均一性：≤±0.6℃；</w:t>
            </w:r>
          </w:p>
        </w:tc>
      </w:tr>
      <w:tr w14:paraId="14DB9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40FE53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3.2.9</w:t>
            </w:r>
          </w:p>
        </w:tc>
        <w:tc>
          <w:tcPr>
            <w:tcW w:w="8311" w:type="dxa"/>
            <w:noWrap w:val="0"/>
            <w:vAlign w:val="center"/>
          </w:tcPr>
          <w:p w14:paraId="2CD4CF0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加热模块最高升、降温速度：≥6.0℃/秒；</w:t>
            </w:r>
          </w:p>
        </w:tc>
      </w:tr>
      <w:tr w14:paraId="30BC1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377C22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3.2.10</w:t>
            </w:r>
          </w:p>
        </w:tc>
        <w:tc>
          <w:tcPr>
            <w:tcW w:w="8311" w:type="dxa"/>
            <w:noWrap w:val="0"/>
            <w:vAlign w:val="center"/>
          </w:tcPr>
          <w:p w14:paraId="0DBDA20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检测系统：一体化设计，冷CCD检测器，支持ROX校准；</w:t>
            </w:r>
          </w:p>
        </w:tc>
      </w:tr>
      <w:tr w14:paraId="7D229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59A16B5">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3.2.11</w:t>
            </w:r>
          </w:p>
        </w:tc>
        <w:tc>
          <w:tcPr>
            <w:tcW w:w="8311" w:type="dxa"/>
            <w:noWrap w:val="0"/>
            <w:vAlign w:val="center"/>
          </w:tcPr>
          <w:p w14:paraId="1181ABB6">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检测灵敏度：能检测到单拷贝数的模板，置信度≥99.5%，最低可分辨≤1.5倍拷贝数差异；（提供产品说明书或具有CMA认证的第三方检测报告）。</w:t>
            </w:r>
          </w:p>
        </w:tc>
      </w:tr>
      <w:tr w14:paraId="7C8BC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4CCA8E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3.2.12</w:t>
            </w:r>
          </w:p>
        </w:tc>
        <w:tc>
          <w:tcPr>
            <w:tcW w:w="8311" w:type="dxa"/>
            <w:noWrap w:val="0"/>
            <w:vAlign w:val="center"/>
          </w:tcPr>
          <w:p w14:paraId="7A450C6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线性范围：不少于8个数量级；</w:t>
            </w:r>
          </w:p>
        </w:tc>
      </w:tr>
      <w:tr w14:paraId="7E079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D8F69D6">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3.2.13</w:t>
            </w:r>
          </w:p>
        </w:tc>
        <w:tc>
          <w:tcPr>
            <w:tcW w:w="8311" w:type="dxa"/>
            <w:noWrap w:val="0"/>
            <w:vAlign w:val="center"/>
          </w:tcPr>
          <w:p w14:paraId="2BB07D56">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数据采集：同时对所有反应孔收集所有检测通道的数据，试验结束后反应板设置可修改。</w:t>
            </w:r>
          </w:p>
        </w:tc>
      </w:tr>
      <w:tr w14:paraId="750CE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70587048">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3.2.14</w:t>
            </w:r>
          </w:p>
        </w:tc>
        <w:tc>
          <w:tcPr>
            <w:tcW w:w="8311" w:type="dxa"/>
            <w:noWrap w:val="0"/>
            <w:vAlign w:val="center"/>
          </w:tcPr>
          <w:p w14:paraId="0B03E21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操作界面：大屏幕彩色触屏，内置定量软件操作系统。也可外接台式电脑，可备份还原超过100次的实验数据，提供一键式的实验方案，可快速地设置多种应用；</w:t>
            </w:r>
          </w:p>
        </w:tc>
      </w:tr>
      <w:tr w14:paraId="74A86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3158170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3.2.15</w:t>
            </w:r>
          </w:p>
        </w:tc>
        <w:tc>
          <w:tcPr>
            <w:tcW w:w="8311" w:type="dxa"/>
            <w:noWrap w:val="0"/>
            <w:vAlign w:val="center"/>
          </w:tcPr>
          <w:p w14:paraId="383C6102">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软件支持应用：至少包含绝对定量、相对标准曲线、相对定量、内置基因表达相对定量分析功能；软件终身免费升级。</w:t>
            </w:r>
          </w:p>
        </w:tc>
      </w:tr>
      <w:tr w14:paraId="53372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285DE5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3.2.16</w:t>
            </w:r>
          </w:p>
        </w:tc>
        <w:tc>
          <w:tcPr>
            <w:tcW w:w="8311" w:type="dxa"/>
            <w:noWrap w:val="0"/>
            <w:vAlign w:val="center"/>
          </w:tcPr>
          <w:p w14:paraId="7A196C9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远程监控功能：最多可通过网络监测</w:t>
            </w:r>
            <w:bookmarkStart w:id="58" w:name="OLE_LINK1"/>
            <w:r>
              <w:rPr>
                <w:rFonts w:hint="eastAsia" w:ascii="新宋体" w:hAnsi="新宋体" w:eastAsia="新宋体" w:cs="新宋体"/>
                <w:b w:val="0"/>
                <w:bCs w:val="0"/>
                <w:color w:val="auto"/>
                <w:sz w:val="22"/>
                <w:szCs w:val="22"/>
                <w:highlight w:val="none"/>
                <w:lang w:val="en-US" w:eastAsia="zh-CN"/>
              </w:rPr>
              <w:t>≥</w:t>
            </w:r>
            <w:bookmarkEnd w:id="58"/>
            <w:r>
              <w:rPr>
                <w:rFonts w:hint="eastAsia" w:ascii="新宋体" w:hAnsi="新宋体" w:eastAsia="新宋体" w:cs="新宋体"/>
                <w:b w:val="0"/>
                <w:bCs w:val="0"/>
                <w:color w:val="auto"/>
                <w:sz w:val="22"/>
                <w:szCs w:val="22"/>
                <w:highlight w:val="none"/>
                <w:lang w:val="en-US" w:eastAsia="zh-CN"/>
              </w:rPr>
              <w:t>10台机器，并控制≥2台机器；</w:t>
            </w:r>
          </w:p>
        </w:tc>
      </w:tr>
      <w:tr w14:paraId="64F1A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5922C3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3.2.17</w:t>
            </w:r>
          </w:p>
        </w:tc>
        <w:tc>
          <w:tcPr>
            <w:tcW w:w="8311" w:type="dxa"/>
            <w:noWrap w:val="0"/>
            <w:vAlign w:val="center"/>
          </w:tcPr>
          <w:p w14:paraId="5893670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开放的应用程序界面允许整合第三方系统，如LIMS（实验室综合管理系统）或定制的自动化平台；</w:t>
            </w:r>
          </w:p>
        </w:tc>
      </w:tr>
      <w:tr w14:paraId="73F6D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79E06AE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3.3</w:t>
            </w:r>
          </w:p>
        </w:tc>
        <w:tc>
          <w:tcPr>
            <w:tcW w:w="8311" w:type="dxa"/>
            <w:noWrap w:val="0"/>
            <w:vAlign w:val="center"/>
          </w:tcPr>
          <w:p w14:paraId="3BED0D1E">
            <w:pPr>
              <w:pStyle w:val="9"/>
              <w:keepNext w:val="0"/>
              <w:keepLines w:val="0"/>
              <w:pageBreakBefore w:val="0"/>
              <w:widowControl w:val="0"/>
              <w:kinsoku/>
              <w:wordWrap/>
              <w:overflowPunct/>
              <w:topLinePunct w:val="0"/>
              <w:autoSpaceDE/>
              <w:autoSpaceDN/>
              <w:bidi w:val="0"/>
              <w:snapToGrid/>
              <w:spacing w:line="460" w:lineRule="exact"/>
              <w:ind w:firstLine="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配置清单</w:t>
            </w:r>
          </w:p>
          <w:p w14:paraId="06F3D542">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 xml:space="preserve">全自动荧光定量PCR系统  </w:t>
            </w:r>
            <w:r>
              <w:rPr>
                <w:rFonts w:hint="eastAsia" w:ascii="新宋体" w:hAnsi="新宋体" w:eastAsia="新宋体" w:cs="新宋体"/>
                <w:b w:val="0"/>
                <w:bCs w:val="0"/>
                <w:color w:val="auto"/>
                <w:sz w:val="22"/>
                <w:szCs w:val="22"/>
                <w:highlight w:val="none"/>
                <w:lang w:val="en-US" w:eastAsia="zh-CN"/>
              </w:rPr>
              <w:t>1套</w:t>
            </w: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 xml:space="preserve">含96孔快速模块 </w:t>
            </w:r>
            <w:r>
              <w:rPr>
                <w:rFonts w:hint="eastAsia" w:ascii="新宋体" w:hAnsi="新宋体" w:eastAsia="新宋体" w:cs="新宋体"/>
                <w:color w:val="auto"/>
                <w:sz w:val="22"/>
                <w:szCs w:val="22"/>
                <w:highlight w:val="none"/>
                <w:lang w:val="en-US" w:eastAsia="zh-CN"/>
              </w:rPr>
              <w:t xml:space="preserve">1个 </w:t>
            </w:r>
            <w:r>
              <w:rPr>
                <w:rFonts w:hint="eastAsia" w:ascii="新宋体" w:hAnsi="新宋体" w:eastAsia="新宋体" w:cs="新宋体"/>
                <w:b w:val="0"/>
                <w:bCs w:val="0"/>
                <w:color w:val="auto"/>
                <w:sz w:val="22"/>
                <w:szCs w:val="22"/>
                <w:highlight w:val="none"/>
              </w:rPr>
              <w:t>）</w:t>
            </w:r>
          </w:p>
          <w:p w14:paraId="174778B6">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 xml:space="preserve">最新版操作软件（含绝对定量、相对定量、HRM等功能） </w:t>
            </w:r>
            <w:r>
              <w:rPr>
                <w:rFonts w:hint="eastAsia" w:ascii="新宋体" w:hAnsi="新宋体" w:eastAsia="新宋体" w:cs="新宋体"/>
                <w:b w:val="0"/>
                <w:bCs w:val="0"/>
                <w:color w:val="auto"/>
                <w:sz w:val="22"/>
                <w:szCs w:val="22"/>
                <w:highlight w:val="none"/>
                <w:lang w:val="en-US" w:eastAsia="zh-CN"/>
              </w:rPr>
              <w:t>1</w:t>
            </w:r>
            <w:r>
              <w:rPr>
                <w:rFonts w:hint="eastAsia" w:ascii="新宋体" w:hAnsi="新宋体" w:eastAsia="新宋体" w:cs="新宋体"/>
                <w:b w:val="0"/>
                <w:bCs w:val="0"/>
                <w:color w:val="auto"/>
                <w:sz w:val="22"/>
                <w:szCs w:val="22"/>
                <w:highlight w:val="none"/>
              </w:rPr>
              <w:t>套</w:t>
            </w:r>
          </w:p>
          <w:p w14:paraId="6A8F747A">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中英文操作手册 2份</w:t>
            </w:r>
          </w:p>
          <w:p w14:paraId="61EA6995">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备用光源  4个</w:t>
            </w:r>
          </w:p>
          <w:p w14:paraId="6ACF7CD6">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UPS</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2小时</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1</w:t>
            </w:r>
            <w:r>
              <w:rPr>
                <w:rFonts w:hint="eastAsia" w:ascii="新宋体" w:hAnsi="新宋体" w:eastAsia="新宋体" w:cs="新宋体"/>
                <w:b w:val="0"/>
                <w:bCs w:val="0"/>
                <w:color w:val="auto"/>
                <w:sz w:val="22"/>
                <w:szCs w:val="22"/>
                <w:highlight w:val="none"/>
              </w:rPr>
              <w:t>台</w:t>
            </w:r>
          </w:p>
          <w:p w14:paraId="0B1FFA3C">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 xml:space="preserve">压膜板 2件 </w:t>
            </w:r>
          </w:p>
          <w:p w14:paraId="517EEC83">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金属浴</w:t>
            </w:r>
            <w:r>
              <w:rPr>
                <w:rFonts w:hint="eastAsia" w:ascii="新宋体" w:hAnsi="新宋体" w:eastAsia="新宋体" w:cs="新宋体"/>
                <w:b w:val="0"/>
                <w:bCs w:val="0"/>
                <w:color w:val="auto"/>
                <w:sz w:val="22"/>
                <w:szCs w:val="22"/>
                <w:highlight w:val="none"/>
              </w:rPr>
              <w:t xml:space="preserve">     </w:t>
            </w:r>
            <w:r>
              <w:rPr>
                <w:rFonts w:hint="eastAsia" w:ascii="新宋体" w:hAnsi="新宋体" w:eastAsia="新宋体" w:cs="新宋体"/>
                <w:b w:val="0"/>
                <w:bCs w:val="0"/>
                <w:color w:val="auto"/>
                <w:sz w:val="22"/>
                <w:szCs w:val="22"/>
                <w:highlight w:val="none"/>
                <w:lang w:val="en-US" w:eastAsia="zh-CN"/>
              </w:rPr>
              <w:t>2</w:t>
            </w:r>
            <w:r>
              <w:rPr>
                <w:rFonts w:hint="eastAsia" w:ascii="新宋体" w:hAnsi="新宋体" w:eastAsia="新宋体" w:cs="新宋体"/>
                <w:b w:val="0"/>
                <w:bCs w:val="0"/>
                <w:color w:val="auto"/>
                <w:sz w:val="22"/>
                <w:szCs w:val="22"/>
                <w:highlight w:val="none"/>
              </w:rPr>
              <w:t>个</w:t>
            </w:r>
          </w:p>
          <w:p w14:paraId="6CFA83A7">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96孔板</w:t>
            </w:r>
            <w:r>
              <w:rPr>
                <w:rFonts w:hint="eastAsia" w:ascii="新宋体" w:hAnsi="新宋体" w:eastAsia="新宋体" w:cs="新宋体"/>
                <w:b w:val="0"/>
                <w:bCs w:val="0"/>
                <w:color w:val="auto"/>
                <w:sz w:val="22"/>
                <w:szCs w:val="22"/>
                <w:highlight w:val="none"/>
              </w:rPr>
              <w:t xml:space="preserve">离心机   </w:t>
            </w:r>
            <w:r>
              <w:rPr>
                <w:rFonts w:hint="eastAsia" w:ascii="新宋体" w:hAnsi="新宋体" w:eastAsia="新宋体" w:cs="新宋体"/>
                <w:b w:val="0"/>
                <w:bCs w:val="0"/>
                <w:color w:val="auto"/>
                <w:sz w:val="22"/>
                <w:szCs w:val="22"/>
                <w:highlight w:val="none"/>
                <w:lang w:val="en-US" w:eastAsia="zh-CN"/>
              </w:rPr>
              <w:t>2</w:t>
            </w:r>
            <w:r>
              <w:rPr>
                <w:rFonts w:hint="eastAsia" w:ascii="新宋体" w:hAnsi="新宋体" w:eastAsia="新宋体" w:cs="新宋体"/>
                <w:b w:val="0"/>
                <w:bCs w:val="0"/>
                <w:color w:val="auto"/>
                <w:sz w:val="22"/>
                <w:szCs w:val="22"/>
                <w:highlight w:val="none"/>
              </w:rPr>
              <w:t>个</w:t>
            </w:r>
          </w:p>
          <w:p w14:paraId="5044BE08">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rPr>
              <w:t>多功能彩色激光打印</w:t>
            </w:r>
            <w:r>
              <w:rPr>
                <w:rFonts w:hint="eastAsia" w:ascii="新宋体" w:hAnsi="新宋体" w:eastAsia="新宋体" w:cs="新宋体"/>
                <w:b w:val="0"/>
                <w:bCs w:val="0"/>
                <w:color w:val="auto"/>
                <w:sz w:val="22"/>
                <w:szCs w:val="22"/>
                <w:highlight w:val="none"/>
                <w:lang w:val="en-US" w:eastAsia="zh-CN"/>
              </w:rPr>
              <w:t>复印</w:t>
            </w:r>
            <w:r>
              <w:rPr>
                <w:rFonts w:hint="eastAsia" w:ascii="新宋体" w:hAnsi="新宋体" w:eastAsia="新宋体" w:cs="新宋体"/>
                <w:b w:val="0"/>
                <w:bCs w:val="0"/>
                <w:color w:val="auto"/>
                <w:sz w:val="22"/>
                <w:szCs w:val="22"/>
                <w:highlight w:val="none"/>
              </w:rPr>
              <w:t>一体机</w:t>
            </w:r>
            <w:r>
              <w:rPr>
                <w:rFonts w:hint="eastAsia" w:ascii="新宋体" w:hAnsi="新宋体" w:eastAsia="新宋体" w:cs="新宋体"/>
                <w:b w:val="0"/>
                <w:bCs w:val="0"/>
                <w:color w:val="auto"/>
                <w:sz w:val="22"/>
                <w:szCs w:val="22"/>
                <w:highlight w:val="none"/>
                <w:lang w:val="en-US" w:eastAsia="zh-CN"/>
              </w:rPr>
              <w:t xml:space="preserve"> </w:t>
            </w:r>
            <w:r>
              <w:rPr>
                <w:rFonts w:hint="eastAsia" w:ascii="新宋体" w:hAnsi="新宋体" w:eastAsia="新宋体" w:cs="新宋体"/>
                <w:b w:val="0"/>
                <w:bCs w:val="0"/>
                <w:color w:val="auto"/>
                <w:sz w:val="22"/>
                <w:szCs w:val="22"/>
                <w:highlight w:val="none"/>
              </w:rPr>
              <w:t xml:space="preserve"> 1台</w:t>
            </w:r>
          </w:p>
        </w:tc>
      </w:tr>
    </w:tbl>
    <w:p w14:paraId="7B302AB0">
      <w:pPr>
        <w:keepNext w:val="0"/>
        <w:keepLines w:val="0"/>
        <w:pageBreakBefore w:val="0"/>
        <w:widowControl w:val="0"/>
        <w:kinsoku/>
        <w:wordWrap/>
        <w:overflowPunct/>
        <w:topLinePunct w:val="0"/>
        <w:bidi w:val="0"/>
        <w:snapToGrid w:val="0"/>
        <w:spacing w:line="460" w:lineRule="exact"/>
        <w:textAlignment w:val="auto"/>
        <w:rPr>
          <w:rFonts w:hint="default" w:eastAsia="新宋体" w:cs="Times New Roman"/>
          <w:b/>
          <w:bCs/>
          <w:color w:val="auto"/>
          <w:sz w:val="22"/>
          <w:szCs w:val="22"/>
          <w:highlight w:val="none"/>
          <w:lang w:val="en-US" w:eastAsia="zh-CN"/>
        </w:rPr>
      </w:pPr>
      <w:r>
        <w:rPr>
          <w:rFonts w:hint="eastAsia" w:eastAsia="新宋体" w:cs="Times New Roman"/>
          <w:b/>
          <w:bCs/>
          <w:color w:val="auto"/>
          <w:sz w:val="22"/>
          <w:szCs w:val="22"/>
          <w:highlight w:val="none"/>
          <w:lang w:val="en-US" w:eastAsia="zh-CN"/>
        </w:rPr>
        <w:t>四、售后及商务要求</w:t>
      </w:r>
    </w:p>
    <w:tbl>
      <w:tblPr>
        <w:tblStyle w:val="53"/>
        <w:tblW w:w="9679"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8311"/>
      </w:tblGrid>
      <w:tr w14:paraId="39CE6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868B468">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w:t>
            </w:r>
          </w:p>
        </w:tc>
        <w:tc>
          <w:tcPr>
            <w:tcW w:w="8311" w:type="dxa"/>
            <w:noWrap w:val="0"/>
            <w:vAlign w:val="center"/>
          </w:tcPr>
          <w:p w14:paraId="7E9C55F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流式细胞仪</w:t>
            </w:r>
          </w:p>
        </w:tc>
      </w:tr>
      <w:tr w14:paraId="1898F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3EF6BDA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1.1</w:t>
            </w:r>
          </w:p>
        </w:tc>
        <w:tc>
          <w:tcPr>
            <w:tcW w:w="8311" w:type="dxa"/>
            <w:noWrap w:val="0"/>
            <w:vAlign w:val="center"/>
          </w:tcPr>
          <w:p w14:paraId="5E3DC317">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中标机型供货时生产日期不超过6个月</w:t>
            </w:r>
          </w:p>
        </w:tc>
      </w:tr>
      <w:tr w14:paraId="48FB9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D4A9BAD">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1.2</w:t>
            </w:r>
          </w:p>
        </w:tc>
        <w:tc>
          <w:tcPr>
            <w:tcW w:w="8311" w:type="dxa"/>
            <w:noWrap w:val="0"/>
            <w:vAlign w:val="center"/>
          </w:tcPr>
          <w:p w14:paraId="58412AC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根据要求对客户进行培训，确保用户能够独立操作。</w:t>
            </w:r>
          </w:p>
        </w:tc>
      </w:tr>
      <w:tr w14:paraId="717D3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0DCB106">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1.3</w:t>
            </w:r>
          </w:p>
        </w:tc>
        <w:tc>
          <w:tcPr>
            <w:tcW w:w="8311" w:type="dxa"/>
            <w:noWrap w:val="0"/>
            <w:vAlign w:val="center"/>
          </w:tcPr>
          <w:p w14:paraId="0CB849C5">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kern w:val="0"/>
                <w:sz w:val="22"/>
                <w:szCs w:val="22"/>
                <w:highlight w:val="none"/>
                <w:lang w:eastAsia="zh-CN"/>
              </w:rPr>
              <w:t>提供</w:t>
            </w:r>
            <w:r>
              <w:rPr>
                <w:rFonts w:hint="eastAsia" w:ascii="新宋体" w:hAnsi="新宋体" w:eastAsia="新宋体" w:cs="新宋体"/>
                <w:b w:val="0"/>
                <w:bCs w:val="0"/>
                <w:color w:val="auto"/>
                <w:kern w:val="0"/>
                <w:sz w:val="22"/>
                <w:szCs w:val="22"/>
                <w:highlight w:val="none"/>
                <w:lang w:val="en-US" w:eastAsia="zh-CN"/>
              </w:rPr>
              <w:t>至少2</w:t>
            </w:r>
            <w:r>
              <w:rPr>
                <w:rFonts w:hint="eastAsia" w:ascii="新宋体" w:hAnsi="新宋体" w:eastAsia="新宋体" w:cs="新宋体"/>
                <w:b w:val="0"/>
                <w:bCs w:val="0"/>
                <w:color w:val="auto"/>
                <w:kern w:val="0"/>
                <w:sz w:val="22"/>
                <w:szCs w:val="22"/>
                <w:highlight w:val="none"/>
              </w:rPr>
              <w:t>次</w:t>
            </w:r>
            <w:r>
              <w:rPr>
                <w:rFonts w:hint="eastAsia" w:ascii="新宋体" w:hAnsi="新宋体" w:eastAsia="新宋体" w:cs="新宋体"/>
                <w:b w:val="0"/>
                <w:bCs w:val="0"/>
                <w:color w:val="auto"/>
                <w:kern w:val="0"/>
                <w:sz w:val="22"/>
                <w:szCs w:val="22"/>
                <w:highlight w:val="none"/>
                <w:lang w:val="en-US" w:eastAsia="zh-CN"/>
              </w:rPr>
              <w:t>厂家3-5天相关内容</w:t>
            </w:r>
            <w:r>
              <w:rPr>
                <w:rFonts w:hint="eastAsia" w:ascii="新宋体" w:hAnsi="新宋体" w:eastAsia="新宋体" w:cs="新宋体"/>
                <w:b w:val="0"/>
                <w:bCs w:val="0"/>
                <w:color w:val="auto"/>
                <w:kern w:val="0"/>
                <w:sz w:val="22"/>
                <w:szCs w:val="22"/>
                <w:highlight w:val="none"/>
              </w:rPr>
              <w:t>培训</w:t>
            </w:r>
            <w:r>
              <w:rPr>
                <w:rFonts w:hint="eastAsia" w:ascii="新宋体" w:hAnsi="新宋体" w:eastAsia="新宋体" w:cs="新宋体"/>
                <w:b w:val="0"/>
                <w:bCs w:val="0"/>
                <w:color w:val="auto"/>
                <w:kern w:val="0"/>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厂家安排专业工程师</w:t>
            </w:r>
            <w:r>
              <w:rPr>
                <w:rFonts w:hint="eastAsia" w:ascii="新宋体" w:hAnsi="新宋体" w:eastAsia="新宋体" w:cs="新宋体"/>
                <w:b w:val="0"/>
                <w:bCs w:val="0"/>
                <w:color w:val="auto"/>
                <w:sz w:val="22"/>
                <w:szCs w:val="22"/>
                <w:highlight w:val="none"/>
              </w:rPr>
              <w:t>至少每年1次的免费上门保养</w:t>
            </w:r>
            <w:r>
              <w:rPr>
                <w:rFonts w:hint="eastAsia" w:ascii="新宋体" w:hAnsi="新宋体" w:eastAsia="新宋体" w:cs="新宋体"/>
                <w:b w:val="0"/>
                <w:bCs w:val="0"/>
                <w:color w:val="auto"/>
                <w:sz w:val="22"/>
                <w:szCs w:val="22"/>
                <w:highlight w:val="none"/>
                <w:lang w:val="en-US" w:eastAsia="zh-CN"/>
              </w:rPr>
              <w:t>校准</w:t>
            </w:r>
            <w:r>
              <w:rPr>
                <w:rFonts w:hint="eastAsia" w:ascii="新宋体" w:hAnsi="新宋体" w:eastAsia="新宋体" w:cs="新宋体"/>
                <w:b w:val="0"/>
                <w:bCs w:val="0"/>
                <w:color w:val="auto"/>
                <w:sz w:val="22"/>
                <w:szCs w:val="22"/>
                <w:highlight w:val="none"/>
              </w:rPr>
              <w:t>服务，并出具</w:t>
            </w:r>
            <w:r>
              <w:rPr>
                <w:rFonts w:hint="eastAsia" w:ascii="新宋体" w:hAnsi="新宋体" w:eastAsia="新宋体" w:cs="新宋体"/>
                <w:b w:val="0"/>
                <w:bCs w:val="0"/>
                <w:color w:val="auto"/>
                <w:sz w:val="22"/>
                <w:szCs w:val="22"/>
                <w:highlight w:val="none"/>
                <w:lang w:val="en-US" w:eastAsia="zh-CN"/>
              </w:rPr>
              <w:t>校准</w:t>
            </w:r>
            <w:r>
              <w:rPr>
                <w:rFonts w:hint="eastAsia" w:ascii="新宋体" w:hAnsi="新宋体" w:eastAsia="新宋体" w:cs="新宋体"/>
                <w:b w:val="0"/>
                <w:bCs w:val="0"/>
                <w:color w:val="auto"/>
                <w:sz w:val="22"/>
                <w:szCs w:val="22"/>
                <w:highlight w:val="none"/>
              </w:rPr>
              <w:t>报告；</w:t>
            </w:r>
          </w:p>
        </w:tc>
      </w:tr>
      <w:tr w14:paraId="310FA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453EED4">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1.4</w:t>
            </w:r>
          </w:p>
        </w:tc>
        <w:tc>
          <w:tcPr>
            <w:tcW w:w="8311" w:type="dxa"/>
            <w:noWrap w:val="0"/>
            <w:vAlign w:val="center"/>
          </w:tcPr>
          <w:p w14:paraId="6E91D6AE">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主机质保</w:t>
            </w:r>
            <w:r>
              <w:rPr>
                <w:rFonts w:hint="eastAsia" w:ascii="新宋体" w:hAnsi="新宋体" w:eastAsia="新宋体" w:cs="新宋体"/>
                <w:color w:val="auto"/>
                <w:sz w:val="22"/>
                <w:szCs w:val="22"/>
                <w:highlight w:val="none"/>
                <w:lang w:val="en-US" w:eastAsia="zh-CN"/>
              </w:rPr>
              <w:t>为验收之日起3年</w:t>
            </w:r>
            <w:r>
              <w:rPr>
                <w:rFonts w:hint="eastAsia" w:ascii="新宋体" w:hAnsi="新宋体" w:eastAsia="新宋体" w:cs="新宋体"/>
                <w:b w:val="0"/>
                <w:bCs w:val="0"/>
                <w:color w:val="auto"/>
                <w:sz w:val="22"/>
                <w:szCs w:val="22"/>
                <w:highlight w:val="none"/>
              </w:rPr>
              <w:t>，超出质保期上门只收取配件费用。</w:t>
            </w:r>
          </w:p>
        </w:tc>
      </w:tr>
      <w:tr w14:paraId="25044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42EE008E">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1.5</w:t>
            </w:r>
          </w:p>
        </w:tc>
        <w:tc>
          <w:tcPr>
            <w:tcW w:w="8311" w:type="dxa"/>
            <w:noWrap w:val="0"/>
            <w:vAlign w:val="center"/>
          </w:tcPr>
          <w:p w14:paraId="749DA4D2">
            <w:pPr>
              <w:pStyle w:val="329"/>
              <w:keepNext w:val="0"/>
              <w:keepLines w:val="0"/>
              <w:pageBreakBefore w:val="0"/>
              <w:widowControl w:val="0"/>
              <w:numPr>
                <w:ilvl w:val="0"/>
                <w:numId w:val="0"/>
              </w:numPr>
              <w:kinsoku/>
              <w:wordWrap/>
              <w:overflowPunct/>
              <w:topLinePunct w:val="0"/>
              <w:autoSpaceDE/>
              <w:autoSpaceDN/>
              <w:bidi w:val="0"/>
              <w:snapToGrid/>
              <w:spacing w:after="0"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操作及分析软件终身免费升级。</w:t>
            </w:r>
          </w:p>
        </w:tc>
      </w:tr>
      <w:tr w14:paraId="015C9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0AF11B6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1.6</w:t>
            </w:r>
          </w:p>
        </w:tc>
        <w:tc>
          <w:tcPr>
            <w:tcW w:w="8311" w:type="dxa"/>
            <w:noWrap w:val="0"/>
            <w:vAlign w:val="center"/>
          </w:tcPr>
          <w:p w14:paraId="6D8631F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供货期：</w:t>
            </w:r>
            <w:r>
              <w:rPr>
                <w:rFonts w:hint="eastAsia" w:ascii="新宋体" w:hAnsi="新宋体" w:eastAsia="新宋体" w:cs="新宋体"/>
                <w:b w:val="0"/>
                <w:bCs w:val="0"/>
                <w:color w:val="auto"/>
                <w:sz w:val="22"/>
                <w:szCs w:val="22"/>
                <w:highlight w:val="none"/>
                <w:lang w:val="en-US" w:eastAsia="zh-CN"/>
              </w:rPr>
              <w:t>3个月</w:t>
            </w:r>
            <w:r>
              <w:rPr>
                <w:rFonts w:hint="eastAsia" w:ascii="新宋体" w:hAnsi="新宋体" w:eastAsia="新宋体" w:cs="新宋体"/>
                <w:b w:val="0"/>
                <w:bCs w:val="0"/>
                <w:color w:val="auto"/>
                <w:sz w:val="22"/>
                <w:szCs w:val="22"/>
                <w:highlight w:val="none"/>
              </w:rPr>
              <w:t>内完成设备安装调试</w:t>
            </w:r>
          </w:p>
        </w:tc>
      </w:tr>
      <w:tr w14:paraId="10D0B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1B73C8B">
            <w:pPr>
              <w:keepNext w:val="0"/>
              <w:keepLines w:val="0"/>
              <w:pageBreakBefore w:val="0"/>
              <w:widowControl w:val="0"/>
              <w:kinsoku/>
              <w:wordWrap/>
              <w:overflowPunct/>
              <w:topLinePunct w:val="0"/>
              <w:autoSpaceDE/>
              <w:autoSpaceDN/>
              <w:bidi w:val="0"/>
              <w:snapToGrid/>
              <w:spacing w:line="460" w:lineRule="exact"/>
              <w:rPr>
                <w:rFonts w:hint="default"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w:t>
            </w:r>
          </w:p>
        </w:tc>
        <w:tc>
          <w:tcPr>
            <w:tcW w:w="8311" w:type="dxa"/>
            <w:noWrap w:val="0"/>
            <w:vAlign w:val="center"/>
          </w:tcPr>
          <w:p w14:paraId="752E2326">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vertAlign w:val="baseline"/>
                <w:lang w:val="en-US" w:eastAsia="zh-CN"/>
              </w:rPr>
              <w:t>细胞计数仪</w:t>
            </w:r>
          </w:p>
        </w:tc>
      </w:tr>
      <w:tr w14:paraId="4ABD7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5D64187B">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2.1</w:t>
            </w:r>
          </w:p>
        </w:tc>
        <w:tc>
          <w:tcPr>
            <w:tcW w:w="8311" w:type="dxa"/>
            <w:noWrap w:val="0"/>
            <w:vAlign w:val="center"/>
          </w:tcPr>
          <w:p w14:paraId="6C3D79F9">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 xml:space="preserve">设备验收合格后整机保修5年，终身维修。 </w:t>
            </w:r>
          </w:p>
        </w:tc>
      </w:tr>
      <w:tr w14:paraId="71C1E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9755686">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2.2</w:t>
            </w:r>
          </w:p>
        </w:tc>
        <w:tc>
          <w:tcPr>
            <w:tcW w:w="8311" w:type="dxa"/>
            <w:noWrap w:val="0"/>
            <w:vAlign w:val="center"/>
          </w:tcPr>
          <w:p w14:paraId="2005570D">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 xml:space="preserve">每年至少上门保养1-2次。 </w:t>
            </w:r>
          </w:p>
        </w:tc>
      </w:tr>
      <w:tr w14:paraId="04DED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A03E11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2.3</w:t>
            </w:r>
          </w:p>
        </w:tc>
        <w:tc>
          <w:tcPr>
            <w:tcW w:w="8311" w:type="dxa"/>
            <w:noWrap w:val="0"/>
            <w:vAlign w:val="center"/>
          </w:tcPr>
          <w:p w14:paraId="029AC28B">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 xml:space="preserve">提供操作培训和维修培训。 </w:t>
            </w:r>
          </w:p>
        </w:tc>
      </w:tr>
      <w:tr w14:paraId="3EB0C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0F9782F">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2.4</w:t>
            </w:r>
          </w:p>
        </w:tc>
        <w:tc>
          <w:tcPr>
            <w:tcW w:w="8311" w:type="dxa"/>
            <w:noWrap w:val="0"/>
            <w:vAlign w:val="center"/>
          </w:tcPr>
          <w:p w14:paraId="710A425B">
            <w:pPr>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leftChars="0"/>
              <w:jc w:val="both"/>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细胞培养专业书籍5套</w:t>
            </w:r>
          </w:p>
        </w:tc>
      </w:tr>
      <w:tr w14:paraId="734A6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7BFA64D3">
            <w:pPr>
              <w:keepNext w:val="0"/>
              <w:keepLines w:val="0"/>
              <w:pageBreakBefore w:val="0"/>
              <w:widowControl w:val="0"/>
              <w:kinsoku/>
              <w:wordWrap/>
              <w:overflowPunct/>
              <w:topLinePunct w:val="0"/>
              <w:autoSpaceDE/>
              <w:autoSpaceDN/>
              <w:bidi w:val="0"/>
              <w:snapToGrid/>
              <w:spacing w:line="460" w:lineRule="exact"/>
              <w:rPr>
                <w:rFonts w:hint="default"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w:t>
            </w:r>
          </w:p>
        </w:tc>
        <w:tc>
          <w:tcPr>
            <w:tcW w:w="8311" w:type="dxa"/>
            <w:noWrap w:val="0"/>
            <w:vAlign w:val="center"/>
          </w:tcPr>
          <w:p w14:paraId="1D76837A">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rPr>
            </w:pPr>
            <w:r>
              <w:rPr>
                <w:rFonts w:hint="eastAsia" w:ascii="新宋体" w:hAnsi="新宋体" w:eastAsia="新宋体" w:cs="新宋体"/>
                <w:color w:val="auto"/>
                <w:sz w:val="22"/>
                <w:szCs w:val="22"/>
                <w:highlight w:val="none"/>
                <w:u w:val="none"/>
                <w:lang w:val="en-US" w:eastAsia="zh-CN"/>
              </w:rPr>
              <w:t>荧光定量PCR仪</w:t>
            </w:r>
          </w:p>
        </w:tc>
      </w:tr>
      <w:tr w14:paraId="18FBA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62FEDAE0">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3.1</w:t>
            </w:r>
          </w:p>
        </w:tc>
        <w:tc>
          <w:tcPr>
            <w:tcW w:w="8311" w:type="dxa"/>
            <w:noWrap w:val="0"/>
            <w:vAlign w:val="center"/>
          </w:tcPr>
          <w:p w14:paraId="4E5672B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供货期：签订合同后</w:t>
            </w:r>
            <w:r>
              <w:rPr>
                <w:rFonts w:hint="eastAsia" w:ascii="新宋体" w:hAnsi="新宋体" w:eastAsia="新宋体" w:cs="新宋体"/>
                <w:b w:val="0"/>
                <w:bCs w:val="0"/>
                <w:color w:val="auto"/>
                <w:sz w:val="22"/>
                <w:szCs w:val="22"/>
                <w:highlight w:val="none"/>
                <w:lang w:val="en-US" w:eastAsia="zh-CN"/>
              </w:rPr>
              <w:t>6</w:t>
            </w:r>
            <w:r>
              <w:rPr>
                <w:rFonts w:hint="eastAsia" w:ascii="新宋体" w:hAnsi="新宋体" w:eastAsia="新宋体" w:cs="新宋体"/>
                <w:b w:val="0"/>
                <w:bCs w:val="0"/>
                <w:color w:val="auto"/>
                <w:sz w:val="22"/>
                <w:szCs w:val="22"/>
                <w:highlight w:val="none"/>
              </w:rPr>
              <w:t>个月内完成供货。</w:t>
            </w:r>
          </w:p>
        </w:tc>
      </w:tr>
      <w:tr w14:paraId="5CCF7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5244ABC">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3.2.</w:t>
            </w:r>
          </w:p>
        </w:tc>
        <w:tc>
          <w:tcPr>
            <w:tcW w:w="8311" w:type="dxa"/>
            <w:noWrap w:val="0"/>
            <w:vAlign w:val="center"/>
          </w:tcPr>
          <w:p w14:paraId="122301F2">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厂家免费校准服务≥2次。</w:t>
            </w:r>
          </w:p>
        </w:tc>
      </w:tr>
      <w:tr w14:paraId="720B9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11CAD51">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3.3</w:t>
            </w:r>
          </w:p>
        </w:tc>
        <w:tc>
          <w:tcPr>
            <w:tcW w:w="8311" w:type="dxa"/>
            <w:noWrap w:val="0"/>
            <w:vAlign w:val="center"/>
          </w:tcPr>
          <w:p w14:paraId="0C81B490">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bookmarkStart w:id="59" w:name="OLE_LINK40"/>
            <w:bookmarkStart w:id="60" w:name="OLE_LINK41"/>
            <w:r>
              <w:rPr>
                <w:rFonts w:hint="eastAsia" w:ascii="新宋体" w:hAnsi="新宋体" w:eastAsia="新宋体" w:cs="新宋体"/>
                <w:b w:val="0"/>
                <w:bCs w:val="0"/>
                <w:color w:val="auto"/>
                <w:sz w:val="22"/>
                <w:szCs w:val="22"/>
                <w:highlight w:val="none"/>
              </w:rPr>
              <w:t>用户所在地对用户进行客户要求的培训，</w:t>
            </w:r>
            <w:r>
              <w:rPr>
                <w:rFonts w:hint="eastAsia" w:ascii="新宋体" w:hAnsi="新宋体" w:eastAsia="新宋体" w:cs="新宋体"/>
                <w:b w:val="0"/>
                <w:bCs w:val="0"/>
                <w:color w:val="auto"/>
                <w:sz w:val="22"/>
                <w:szCs w:val="22"/>
                <w:highlight w:val="none"/>
                <w:lang w:val="en-US" w:eastAsia="zh-CN"/>
              </w:rPr>
              <w:t>或根据客户需求提供厂家现场免费培训，</w:t>
            </w:r>
            <w:r>
              <w:rPr>
                <w:rFonts w:hint="eastAsia" w:ascii="新宋体" w:hAnsi="新宋体" w:eastAsia="新宋体" w:cs="新宋体"/>
                <w:b w:val="0"/>
                <w:bCs w:val="0"/>
                <w:color w:val="auto"/>
                <w:sz w:val="22"/>
                <w:szCs w:val="22"/>
                <w:highlight w:val="none"/>
              </w:rPr>
              <w:t>内容包括仪器的技术原理、操作、数据处理、基本维护等</w:t>
            </w:r>
            <w:bookmarkEnd w:id="59"/>
            <w:bookmarkEnd w:id="60"/>
          </w:p>
        </w:tc>
      </w:tr>
      <w:tr w14:paraId="1B048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150D3C43">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3.4</w:t>
            </w:r>
          </w:p>
        </w:tc>
        <w:tc>
          <w:tcPr>
            <w:tcW w:w="8311" w:type="dxa"/>
            <w:noWrap w:val="0"/>
            <w:vAlign w:val="center"/>
          </w:tcPr>
          <w:p w14:paraId="5C063F97">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设备维修厂家工程师和技术支持提供每年1次免费上门</w:t>
            </w:r>
            <w:r>
              <w:rPr>
                <w:rFonts w:hint="eastAsia" w:ascii="新宋体" w:hAnsi="新宋体" w:eastAsia="新宋体" w:cs="新宋体"/>
                <w:b w:val="0"/>
                <w:bCs w:val="0"/>
                <w:color w:val="auto"/>
                <w:sz w:val="22"/>
                <w:szCs w:val="22"/>
                <w:highlight w:val="none"/>
                <w:lang w:val="en-US" w:eastAsia="zh-CN"/>
              </w:rPr>
              <w:t>维护</w:t>
            </w:r>
            <w:r>
              <w:rPr>
                <w:rFonts w:hint="eastAsia" w:ascii="新宋体" w:hAnsi="新宋体" w:eastAsia="新宋体" w:cs="新宋体"/>
                <w:b w:val="0"/>
                <w:bCs w:val="0"/>
                <w:color w:val="auto"/>
                <w:sz w:val="22"/>
                <w:szCs w:val="22"/>
                <w:highlight w:val="none"/>
              </w:rPr>
              <w:t>保养服务；</w:t>
            </w:r>
          </w:p>
        </w:tc>
      </w:tr>
      <w:tr w14:paraId="5D95F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noWrap w:val="0"/>
            <w:vAlign w:val="center"/>
          </w:tcPr>
          <w:p w14:paraId="274CDB21">
            <w:pPr>
              <w:keepNext w:val="0"/>
              <w:keepLines w:val="0"/>
              <w:pageBreakBefore w:val="0"/>
              <w:widowControl w:val="0"/>
              <w:kinsoku/>
              <w:wordWrap/>
              <w:overflowPunct/>
              <w:topLinePunct w:val="0"/>
              <w:autoSpaceDE/>
              <w:autoSpaceDN/>
              <w:bidi w:val="0"/>
              <w:snapToGrid/>
              <w:spacing w:line="460" w:lineRule="exact"/>
              <w:rPr>
                <w:rFonts w:hint="eastAsia" w:ascii="新宋体" w:hAnsi="新宋体" w:eastAsia="新宋体" w:cs="新宋体"/>
                <w:b w:val="0"/>
                <w:bCs w:val="0"/>
                <w:color w:val="auto"/>
                <w:sz w:val="22"/>
                <w:szCs w:val="22"/>
                <w:highlight w:val="none"/>
                <w:lang w:val="en-US" w:eastAsia="zh-CN"/>
              </w:rPr>
            </w:pPr>
            <w:r>
              <w:rPr>
                <w:rFonts w:hint="eastAsia" w:ascii="新宋体" w:hAnsi="新宋体" w:eastAsia="新宋体" w:cs="新宋体"/>
                <w:b w:val="0"/>
                <w:bCs w:val="0"/>
                <w:color w:val="auto"/>
                <w:sz w:val="22"/>
                <w:szCs w:val="22"/>
                <w:highlight w:val="none"/>
                <w:lang w:val="en-US" w:eastAsia="zh-CN"/>
              </w:rPr>
              <w:t>3.5</w:t>
            </w:r>
          </w:p>
        </w:tc>
        <w:tc>
          <w:tcPr>
            <w:tcW w:w="8311" w:type="dxa"/>
            <w:noWrap w:val="0"/>
            <w:vAlign w:val="center"/>
          </w:tcPr>
          <w:p w14:paraId="77881905">
            <w:pPr>
              <w:keepNext w:val="0"/>
              <w:keepLines w:val="0"/>
              <w:pageBreakBefore w:val="0"/>
              <w:widowControl w:val="0"/>
              <w:numPr>
                <w:ilvl w:val="0"/>
                <w:numId w:val="0"/>
              </w:numPr>
              <w:kinsoku/>
              <w:wordWrap/>
              <w:overflowPunct/>
              <w:topLinePunct w:val="0"/>
              <w:autoSpaceDE/>
              <w:autoSpaceDN/>
              <w:bidi w:val="0"/>
              <w:snapToGrid/>
              <w:spacing w:line="460" w:lineRule="exact"/>
              <w:ind w:leftChars="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质保</w:t>
            </w:r>
            <w:r>
              <w:rPr>
                <w:rFonts w:hint="eastAsia" w:ascii="新宋体" w:hAnsi="新宋体" w:eastAsia="新宋体" w:cs="新宋体"/>
                <w:color w:val="auto"/>
                <w:sz w:val="22"/>
                <w:szCs w:val="22"/>
                <w:highlight w:val="none"/>
                <w:lang w:val="en-US" w:eastAsia="zh-CN"/>
              </w:rPr>
              <w:t>为验收之日起3年</w:t>
            </w:r>
          </w:p>
        </w:tc>
      </w:tr>
    </w:tbl>
    <w:p w14:paraId="122C7AAC">
      <w:pPr>
        <w:keepNext w:val="0"/>
        <w:keepLines w:val="0"/>
        <w:pageBreakBefore w:val="0"/>
        <w:widowControl w:val="0"/>
        <w:kinsoku/>
        <w:wordWrap/>
        <w:overflowPunct/>
        <w:topLinePunct w:val="0"/>
        <w:bidi w:val="0"/>
        <w:snapToGrid w:val="0"/>
        <w:spacing w:line="460" w:lineRule="exact"/>
        <w:textAlignment w:val="auto"/>
        <w:rPr>
          <w:rFonts w:hint="default" w:ascii="Times New Roman" w:hAnsi="Times New Roman" w:eastAsia="新宋体" w:cs="Times New Roman"/>
          <w:color w:val="auto"/>
          <w:sz w:val="22"/>
          <w:szCs w:val="22"/>
          <w:highlight w:val="none"/>
        </w:rPr>
      </w:pPr>
      <w:r>
        <w:rPr>
          <w:rFonts w:hint="eastAsia" w:eastAsia="新宋体" w:cs="Times New Roman"/>
          <w:b/>
          <w:bCs/>
          <w:color w:val="auto"/>
          <w:sz w:val="22"/>
          <w:szCs w:val="22"/>
          <w:highlight w:val="none"/>
          <w:lang w:val="en-US" w:eastAsia="zh-CN"/>
        </w:rPr>
        <w:t>五</w:t>
      </w:r>
      <w:r>
        <w:rPr>
          <w:rFonts w:hint="default" w:ascii="Times New Roman" w:hAnsi="Times New Roman" w:eastAsia="新宋体" w:cs="Times New Roman"/>
          <w:b/>
          <w:bCs/>
          <w:color w:val="auto"/>
          <w:sz w:val="22"/>
          <w:szCs w:val="22"/>
          <w:highlight w:val="none"/>
        </w:rPr>
        <w:t>、</w:t>
      </w:r>
      <w:r>
        <w:rPr>
          <w:rFonts w:hint="default" w:ascii="Times New Roman" w:hAnsi="Times New Roman" w:eastAsia="新宋体" w:cs="Times New Roman"/>
          <w:b/>
          <w:bCs/>
          <w:color w:val="auto"/>
          <w:sz w:val="22"/>
          <w:szCs w:val="22"/>
          <w:highlight w:val="none"/>
          <w:lang w:val="en-US" w:eastAsia="zh-CN"/>
        </w:rPr>
        <w:t>其他要求：</w:t>
      </w:r>
    </w:p>
    <w:p w14:paraId="5F9F9F97">
      <w:pPr>
        <w:keepNext w:val="0"/>
        <w:keepLines w:val="0"/>
        <w:pageBreakBefore w:val="0"/>
        <w:widowControl w:val="0"/>
        <w:kinsoku/>
        <w:wordWrap/>
        <w:overflowPunct/>
        <w:topLinePunct w:val="0"/>
        <w:autoSpaceDE/>
        <w:autoSpaceDN/>
        <w:bidi w:val="0"/>
        <w:adjustRightInd/>
        <w:snapToGrid w:val="0"/>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val="0"/>
          <w:bCs w:val="0"/>
          <w:color w:val="auto"/>
          <w:sz w:val="22"/>
          <w:szCs w:val="22"/>
          <w:highlight w:val="none"/>
        </w:rPr>
        <w:t>1、</w:t>
      </w:r>
      <w:r>
        <w:rPr>
          <w:rFonts w:hint="eastAsia" w:ascii="新宋体" w:hAnsi="新宋体" w:eastAsia="新宋体" w:cs="新宋体"/>
          <w:color w:val="auto"/>
          <w:sz w:val="22"/>
          <w:szCs w:val="22"/>
          <w:highlight w:val="none"/>
        </w:rPr>
        <w:t>中标供应商按政府采购线上履约验收流程操作并承当（政府采购项目）履约验收费用。</w:t>
      </w:r>
    </w:p>
    <w:p w14:paraId="58CAE2EC">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2、交货地点：采购人指定地点</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交货时间：</w:t>
      </w:r>
      <w:r>
        <w:rPr>
          <w:rFonts w:hint="eastAsia" w:ascii="新宋体" w:hAnsi="新宋体" w:eastAsia="新宋体" w:cs="新宋体"/>
          <w:color w:val="auto"/>
          <w:sz w:val="22"/>
          <w:szCs w:val="22"/>
          <w:highlight w:val="none"/>
          <w:lang w:val="en-US" w:eastAsia="zh-CN"/>
        </w:rPr>
        <w:t>合同签订后</w:t>
      </w:r>
      <w:r>
        <w:rPr>
          <w:rFonts w:hint="eastAsia" w:ascii="新宋体" w:hAnsi="新宋体" w:eastAsia="新宋体" w:cs="新宋体"/>
          <w:color w:val="auto"/>
          <w:sz w:val="22"/>
          <w:szCs w:val="22"/>
          <w:highlight w:val="none"/>
        </w:rPr>
        <w:t>30天内完成设备安装调试。</w:t>
      </w:r>
    </w:p>
    <w:p w14:paraId="3733EAF6">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付款方式：合同签订后7个工作日，甲方支付全部货款的40%作为预付款（乙方应先开具同等金额的国家税务发票，否则因此造成的责任由供应商自行承担，如乙方能提供全部货款剩余60%金额的银行、保险机构或其他金融机构（包括融资担保公司）保函并开具同等金额的国家税务发票，甲方将支付该款项，待验收合格后无息退还该保函），无保函待全部货物验收合格后7个工作日内甲方支付全部货款剩余的60%（乙方应先开具同等金额的发票，否则因此造成的责任由乙方自行承担）。</w:t>
      </w:r>
    </w:p>
    <w:p w14:paraId="2173D9A3">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4、产品标准和规范应符合最新版本的中华人民共和国国家标准/规范，或相应的国际标准/规范，或厂家标准/规范。</w:t>
      </w:r>
    </w:p>
    <w:p w14:paraId="23F7FC5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本标书中的技术要求不得被认为是详尽无遗的，无论规定与否，投标供应商应提供所有投标文件没有规定但投标供应商认为完成本项目必要或必须的设备和材料，应在技术标表中一一列明并在商务标分项报价表中列出对应价格。</w:t>
      </w:r>
    </w:p>
    <w:p w14:paraId="6360812C">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6、本次标书所列的技术性能及配置均为最低要求，投标供应商可以按技术性能及配置要求选用的设备功能、配置、技术性能等于或高于</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 xml:space="preserve">文件要求，并完全满足采购需要，否则将可能作出对投标供应商不利的评定。 </w:t>
      </w:r>
    </w:p>
    <w:p w14:paraId="1D96860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7、保证所供货物、服务或其任何一部分不受第三方提出侵犯其专利权、商标权、版权和工业设计权的指控。</w:t>
      </w:r>
    </w:p>
    <w:p w14:paraId="630DEC8D">
      <w:pPr>
        <w:rPr>
          <w:rFonts w:hint="eastAsia" w:ascii="新宋体" w:hAnsi="新宋体" w:eastAsia="新宋体" w:cs="新宋体"/>
          <w:color w:val="auto"/>
          <w:highlight w:val="none"/>
        </w:rPr>
      </w:pPr>
      <w:r>
        <w:rPr>
          <w:rFonts w:hint="eastAsia" w:ascii="新宋体" w:hAnsi="新宋体" w:eastAsia="新宋体" w:cs="新宋体"/>
          <w:color w:val="auto"/>
          <w:highlight w:val="none"/>
        </w:rPr>
        <w:br w:type="page"/>
      </w:r>
    </w:p>
    <w:p w14:paraId="064C1F77">
      <w:pPr>
        <w:pStyle w:val="3"/>
        <w:rPr>
          <w:rFonts w:hint="eastAsia" w:ascii="新宋体" w:hAnsi="新宋体" w:eastAsia="新宋体" w:cs="新宋体"/>
          <w:color w:val="auto"/>
          <w:highlight w:val="none"/>
        </w:rPr>
      </w:pPr>
      <w:bookmarkStart w:id="61" w:name="_Toc29737"/>
      <w:r>
        <w:rPr>
          <w:rFonts w:hint="eastAsia" w:ascii="新宋体" w:hAnsi="新宋体" w:eastAsia="新宋体" w:cs="新宋体"/>
          <w:color w:val="auto"/>
          <w:highlight w:val="none"/>
        </w:rPr>
        <w:t>第五部分   评标原则及方法</w:t>
      </w:r>
      <w:bookmarkEnd w:id="54"/>
      <w:bookmarkEnd w:id="61"/>
    </w:p>
    <w:p w14:paraId="0B0C10C2">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根据《中华人民共和国政府采购法》、《政府采购货物和服务招标投标管理办法》、《中华人民共和国政府采购法实施条例》和《关于进一步规范政府采购活动的若干意见》等相关法规特制定以下评标办法。</w:t>
      </w:r>
    </w:p>
    <w:p w14:paraId="3C1417D5">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62" w:name="_Toc4407"/>
      <w:bookmarkStart w:id="63" w:name="_Toc19351"/>
      <w:r>
        <w:rPr>
          <w:rFonts w:hint="eastAsia" w:ascii="新宋体" w:hAnsi="新宋体" w:eastAsia="新宋体" w:cs="新宋体"/>
          <w:b/>
          <w:color w:val="auto"/>
          <w:sz w:val="22"/>
          <w:szCs w:val="22"/>
          <w:highlight w:val="none"/>
        </w:rPr>
        <w:t>一、总 则</w:t>
      </w:r>
      <w:bookmarkEnd w:id="62"/>
      <w:bookmarkEnd w:id="63"/>
    </w:p>
    <w:p w14:paraId="1148A9D1">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评标工作遵循公平、公正、科学、择优原则和诚实、信誉、效率的服务原则。本着科学、严谨的态度，认真进行评标。择优选用，推进技术进步，确保质量、交货期，节约投资，最大限度的保护当事人权益，严格按照</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的商务、技术要求，对投标文件进行综合评定，提出优选方案，编写评标报告。对落标单位，评委会不作任何落标解释。投标人不得以任何方式干扰招投标工作的进行，一经发现其投标文件将被拒绝。</w:t>
      </w:r>
    </w:p>
    <w:p w14:paraId="3233E550">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64" w:name="_Toc24468"/>
      <w:bookmarkStart w:id="65" w:name="_Toc31083"/>
      <w:r>
        <w:rPr>
          <w:rFonts w:hint="eastAsia" w:ascii="新宋体" w:hAnsi="新宋体" w:eastAsia="新宋体" w:cs="新宋体"/>
          <w:b/>
          <w:color w:val="auto"/>
          <w:sz w:val="22"/>
          <w:szCs w:val="22"/>
          <w:highlight w:val="none"/>
        </w:rPr>
        <w:t>二、评标组织</w:t>
      </w:r>
      <w:bookmarkEnd w:id="64"/>
      <w:bookmarkEnd w:id="65"/>
    </w:p>
    <w:p w14:paraId="5C0218B6">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评标工作由</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组建的评标委员会负责，评标全过程由有关部门指导监督。</w:t>
      </w:r>
    </w:p>
    <w:p w14:paraId="11EDF05C">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66" w:name="_Toc26694"/>
      <w:bookmarkStart w:id="67" w:name="_Toc15153"/>
      <w:r>
        <w:rPr>
          <w:rFonts w:hint="eastAsia" w:ascii="新宋体" w:hAnsi="新宋体" w:eastAsia="新宋体" w:cs="新宋体"/>
          <w:b/>
          <w:color w:val="auto"/>
          <w:sz w:val="22"/>
          <w:szCs w:val="22"/>
          <w:highlight w:val="none"/>
        </w:rPr>
        <w:t>三、评标程序</w:t>
      </w:r>
      <w:bookmarkEnd w:id="66"/>
      <w:bookmarkEnd w:id="67"/>
    </w:p>
    <w:p w14:paraId="663F9A3F">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lang w:val="en-US" w:eastAsia="zh-CN"/>
        </w:rPr>
        <w:t>1、</w:t>
      </w:r>
      <w:r>
        <w:rPr>
          <w:rFonts w:hint="eastAsia" w:ascii="新宋体" w:hAnsi="新宋体" w:eastAsia="新宋体" w:cs="新宋体"/>
          <w:bCs/>
          <w:color w:val="auto"/>
          <w:sz w:val="22"/>
          <w:szCs w:val="22"/>
          <w:highlight w:val="none"/>
        </w:rPr>
        <w:t>评标委员按照</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中规定的评标方法和标准，对投标文件进行商务和技术评估，综合比较与评价</w:t>
      </w:r>
      <w:r>
        <w:rPr>
          <w:rFonts w:hint="eastAsia" w:ascii="新宋体" w:hAnsi="新宋体" w:eastAsia="新宋体" w:cs="新宋体"/>
          <w:color w:val="auto"/>
          <w:sz w:val="22"/>
          <w:szCs w:val="22"/>
          <w:highlight w:val="none"/>
        </w:rPr>
        <w:t>，根据综合评审结果，提交评审报告。</w:t>
      </w:r>
    </w:p>
    <w:p w14:paraId="3570C8EC">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2、提供相同品牌产品且通过资格审查、符合性审查的不同投标人参加同一合同项下投标的,按一家投标人计算,评审后综合得分最高的同品牌投标人获得中标人推荐资格；综合得分相同的,报价最低一家供应商获得中标人推荐资格；均相同时采取随机抽取方式确认一个投标人获得中标人推荐资格,其他同品牌投标人不作为中标候选人。</w:t>
      </w:r>
    </w:p>
    <w:p w14:paraId="797C7F22">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u w:val="single"/>
        </w:rPr>
        <w:t>非单一产品采购项目，应当根据采购项目技术构成、产品价格比重等合理确定核心产品。多家投标人提供的核心产品品牌相同的，按前款规定处理。</w:t>
      </w:r>
    </w:p>
    <w:p w14:paraId="31853A8E">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68" w:name="_Toc11306"/>
      <w:bookmarkStart w:id="69" w:name="_Toc13471"/>
      <w:r>
        <w:rPr>
          <w:rFonts w:hint="eastAsia" w:ascii="新宋体" w:hAnsi="新宋体" w:eastAsia="新宋体" w:cs="新宋体"/>
          <w:b/>
          <w:color w:val="auto"/>
          <w:sz w:val="22"/>
          <w:szCs w:val="22"/>
          <w:highlight w:val="none"/>
        </w:rPr>
        <w:t>四、评标办法</w:t>
      </w:r>
      <w:bookmarkEnd w:id="68"/>
      <w:bookmarkEnd w:id="69"/>
    </w:p>
    <w:p w14:paraId="1D5B5CD5">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本次采购采用百分制综合评分法，即投标人最大限度地满足</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实质性要求的基础上，按照</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的各项因素进行综合评审后，以评标总得分最高的投标人和次高的投标人作为第一和第二排序的中标候选人的评标方法。根据采购要求，</w:t>
      </w:r>
      <w:r>
        <w:rPr>
          <w:rFonts w:hint="eastAsia" w:ascii="新宋体" w:hAnsi="新宋体" w:eastAsia="新宋体" w:cs="新宋体"/>
          <w:b/>
          <w:color w:val="auto"/>
          <w:sz w:val="22"/>
          <w:szCs w:val="22"/>
          <w:highlight w:val="none"/>
        </w:rPr>
        <w:t>总分设定为100分：技术标</w:t>
      </w:r>
      <w:r>
        <w:rPr>
          <w:rFonts w:hint="eastAsia" w:ascii="新宋体" w:hAnsi="新宋体" w:eastAsia="新宋体" w:cs="新宋体"/>
          <w:b/>
          <w:color w:val="auto"/>
          <w:sz w:val="22"/>
          <w:szCs w:val="22"/>
          <w:highlight w:val="none"/>
          <w:lang w:val="en-US" w:eastAsia="zh-CN"/>
        </w:rPr>
        <w:t>70</w:t>
      </w:r>
      <w:r>
        <w:rPr>
          <w:rFonts w:hint="eastAsia" w:ascii="新宋体" w:hAnsi="新宋体" w:eastAsia="新宋体" w:cs="新宋体"/>
          <w:b/>
          <w:color w:val="auto"/>
          <w:sz w:val="22"/>
          <w:szCs w:val="22"/>
          <w:highlight w:val="none"/>
        </w:rPr>
        <w:t>分（权值</w:t>
      </w:r>
      <w:r>
        <w:rPr>
          <w:rFonts w:hint="eastAsia" w:ascii="新宋体" w:hAnsi="新宋体" w:eastAsia="新宋体" w:cs="新宋体"/>
          <w:b/>
          <w:color w:val="auto"/>
          <w:sz w:val="22"/>
          <w:szCs w:val="22"/>
          <w:highlight w:val="none"/>
          <w:lang w:val="en-US" w:eastAsia="zh-CN"/>
        </w:rPr>
        <w:t>70</w:t>
      </w:r>
      <w:r>
        <w:rPr>
          <w:rFonts w:hint="eastAsia" w:ascii="新宋体" w:hAnsi="新宋体" w:eastAsia="新宋体" w:cs="新宋体"/>
          <w:b/>
          <w:color w:val="auto"/>
          <w:sz w:val="22"/>
          <w:szCs w:val="22"/>
          <w:highlight w:val="none"/>
        </w:rPr>
        <w:t>%），商务标（报价）</w:t>
      </w:r>
      <w:r>
        <w:rPr>
          <w:rFonts w:hint="eastAsia" w:ascii="新宋体" w:hAnsi="新宋体" w:eastAsia="新宋体" w:cs="新宋体"/>
          <w:b/>
          <w:color w:val="auto"/>
          <w:sz w:val="22"/>
          <w:szCs w:val="22"/>
          <w:highlight w:val="none"/>
          <w:lang w:val="en-US" w:eastAsia="zh-CN"/>
        </w:rPr>
        <w:t>30</w:t>
      </w:r>
      <w:r>
        <w:rPr>
          <w:rFonts w:hint="eastAsia" w:ascii="新宋体" w:hAnsi="新宋体" w:eastAsia="新宋体" w:cs="新宋体"/>
          <w:b/>
          <w:color w:val="auto"/>
          <w:sz w:val="22"/>
          <w:szCs w:val="22"/>
          <w:highlight w:val="none"/>
        </w:rPr>
        <w:t>分（权值</w:t>
      </w:r>
      <w:r>
        <w:rPr>
          <w:rFonts w:hint="eastAsia" w:ascii="新宋体" w:hAnsi="新宋体" w:eastAsia="新宋体" w:cs="新宋体"/>
          <w:b/>
          <w:color w:val="auto"/>
          <w:sz w:val="22"/>
          <w:szCs w:val="22"/>
          <w:highlight w:val="none"/>
          <w:lang w:val="en-US" w:eastAsia="zh-CN"/>
        </w:rPr>
        <w:t>30</w:t>
      </w:r>
      <w:r>
        <w:rPr>
          <w:rFonts w:hint="eastAsia" w:ascii="新宋体" w:hAnsi="新宋体" w:eastAsia="新宋体" w:cs="新宋体"/>
          <w:b/>
          <w:color w:val="auto"/>
          <w:sz w:val="22"/>
          <w:szCs w:val="22"/>
          <w:highlight w:val="none"/>
        </w:rPr>
        <w:t>%）。</w:t>
      </w:r>
    </w:p>
    <w:p w14:paraId="330D331B">
      <w:pPr>
        <w:keepNext w:val="0"/>
        <w:keepLines w:val="0"/>
        <w:pageBreakBefore w:val="0"/>
        <w:numPr>
          <w:ilvl w:val="0"/>
          <w:numId w:val="0"/>
        </w:numPr>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70" w:name="_Toc16138"/>
      <w:bookmarkStart w:id="71" w:name="_Toc1535"/>
      <w:r>
        <w:rPr>
          <w:rFonts w:hint="eastAsia" w:ascii="新宋体" w:hAnsi="新宋体" w:eastAsia="新宋体" w:cs="新宋体"/>
          <w:b/>
          <w:color w:val="auto"/>
          <w:sz w:val="22"/>
          <w:szCs w:val="22"/>
          <w:highlight w:val="none"/>
          <w:lang w:val="en-US" w:eastAsia="zh-CN"/>
        </w:rPr>
        <w:t>五、</w:t>
      </w:r>
      <w:r>
        <w:rPr>
          <w:rFonts w:hint="eastAsia" w:ascii="新宋体" w:hAnsi="新宋体" w:eastAsia="新宋体" w:cs="新宋体"/>
          <w:b/>
          <w:color w:val="auto"/>
          <w:sz w:val="22"/>
          <w:szCs w:val="22"/>
          <w:highlight w:val="none"/>
        </w:rPr>
        <w:t>评分细则</w:t>
      </w:r>
      <w:bookmarkEnd w:id="70"/>
      <w:bookmarkEnd w:id="71"/>
    </w:p>
    <w:p w14:paraId="7A80AC6F">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1、技术分的评定：技术标</w:t>
      </w:r>
      <w:r>
        <w:rPr>
          <w:rFonts w:hint="eastAsia" w:ascii="新宋体" w:hAnsi="新宋体" w:eastAsia="新宋体" w:cs="新宋体"/>
          <w:b/>
          <w:color w:val="auto"/>
          <w:sz w:val="22"/>
          <w:szCs w:val="22"/>
          <w:highlight w:val="none"/>
          <w:lang w:val="en-US" w:eastAsia="zh-CN"/>
        </w:rPr>
        <w:t>70</w:t>
      </w:r>
      <w:r>
        <w:rPr>
          <w:rFonts w:hint="eastAsia" w:ascii="新宋体" w:hAnsi="新宋体" w:eastAsia="新宋体" w:cs="新宋体"/>
          <w:b/>
          <w:color w:val="auto"/>
          <w:sz w:val="22"/>
          <w:szCs w:val="22"/>
          <w:highlight w:val="none"/>
        </w:rPr>
        <w:t>分（权值</w:t>
      </w:r>
      <w:r>
        <w:rPr>
          <w:rFonts w:hint="eastAsia" w:ascii="新宋体" w:hAnsi="新宋体" w:eastAsia="新宋体" w:cs="新宋体"/>
          <w:b/>
          <w:color w:val="auto"/>
          <w:sz w:val="22"/>
          <w:szCs w:val="22"/>
          <w:highlight w:val="none"/>
          <w:lang w:val="en-US" w:eastAsia="zh-CN"/>
        </w:rPr>
        <w:t>70</w:t>
      </w:r>
      <w:r>
        <w:rPr>
          <w:rFonts w:hint="eastAsia" w:ascii="新宋体" w:hAnsi="新宋体" w:eastAsia="新宋体" w:cs="新宋体"/>
          <w:b/>
          <w:color w:val="auto"/>
          <w:sz w:val="22"/>
          <w:szCs w:val="22"/>
          <w:highlight w:val="none"/>
        </w:rPr>
        <w:t>%）</w:t>
      </w:r>
    </w:p>
    <w:p w14:paraId="4B33A53C">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各评委成员按下列评分项目进行评判，每人一张评分计算票，并记名。投标文件各项评分内容由评标委员会成员各自评分，如某张票的一个因素项目超过规定的范围，则该张票无效。各评标委员会成员对各投标人的各项评分内容评分的算术平均值为各投标人技术分得分（小数点后按四舍五入保留2位）。</w:t>
      </w:r>
    </w:p>
    <w:tbl>
      <w:tblPr>
        <w:tblStyle w:val="5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4"/>
        <w:gridCol w:w="1622"/>
        <w:gridCol w:w="923"/>
        <w:gridCol w:w="6400"/>
      </w:tblGrid>
      <w:tr w14:paraId="60D73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74" w:type="dxa"/>
            <w:vAlign w:val="center"/>
          </w:tcPr>
          <w:p w14:paraId="7F8CB9C0">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序号</w:t>
            </w:r>
          </w:p>
        </w:tc>
        <w:tc>
          <w:tcPr>
            <w:tcW w:w="1622" w:type="dxa"/>
            <w:vAlign w:val="center"/>
          </w:tcPr>
          <w:p w14:paraId="6F6035D8">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评分项目</w:t>
            </w:r>
          </w:p>
        </w:tc>
        <w:tc>
          <w:tcPr>
            <w:tcW w:w="923" w:type="dxa"/>
            <w:vAlign w:val="center"/>
          </w:tcPr>
          <w:p w14:paraId="3288CC1D">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分值</w:t>
            </w:r>
          </w:p>
        </w:tc>
        <w:tc>
          <w:tcPr>
            <w:tcW w:w="6400" w:type="dxa"/>
            <w:vAlign w:val="center"/>
          </w:tcPr>
          <w:p w14:paraId="436229EB">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评分细则</w:t>
            </w:r>
          </w:p>
        </w:tc>
      </w:tr>
      <w:tr w14:paraId="674CA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550F9998">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1</w:t>
            </w:r>
          </w:p>
        </w:tc>
        <w:tc>
          <w:tcPr>
            <w:tcW w:w="1622" w:type="dxa"/>
            <w:vAlign w:val="center"/>
          </w:tcPr>
          <w:p w14:paraId="292C9A58">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产品技术指标及功能响应程度</w:t>
            </w:r>
          </w:p>
        </w:tc>
        <w:tc>
          <w:tcPr>
            <w:tcW w:w="923" w:type="dxa"/>
            <w:vAlign w:val="center"/>
          </w:tcPr>
          <w:p w14:paraId="186E1373">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lang w:val="en-US" w:eastAsia="zh-CN"/>
              </w:rPr>
              <w:t>44.5</w:t>
            </w:r>
            <w:r>
              <w:rPr>
                <w:rFonts w:hint="eastAsia" w:ascii="新宋体" w:hAnsi="新宋体" w:eastAsia="新宋体" w:cs="新宋体"/>
                <w:color w:val="auto"/>
                <w:sz w:val="22"/>
                <w:szCs w:val="22"/>
                <w:highlight w:val="none"/>
              </w:rPr>
              <w:t>分</w:t>
            </w:r>
          </w:p>
        </w:tc>
        <w:tc>
          <w:tcPr>
            <w:tcW w:w="6400" w:type="dxa"/>
            <w:vAlign w:val="center"/>
          </w:tcPr>
          <w:p w14:paraId="286557AC">
            <w:pPr>
              <w:keepNext w:val="0"/>
              <w:keepLines w:val="0"/>
              <w:pageBreakBefore w:val="0"/>
              <w:kinsoku/>
              <w:wordWrap/>
              <w:overflowPunct/>
              <w:topLinePunct w:val="0"/>
              <w:autoSpaceDE/>
              <w:autoSpaceDN/>
              <w:bidi w:val="0"/>
              <w:adjustRightInd w:val="0"/>
              <w:snapToGrid w:val="0"/>
              <w:spacing w:line="440" w:lineRule="exact"/>
              <w:textAlignment w:val="baseline"/>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根据所投产品技术指标及功能描述的详细程度及响应（满足）程度进行评分：标注“★”的重要技术指标（条款、参数），需按要求提供证明材料，否则视为负偏离。</w:t>
            </w:r>
          </w:p>
          <w:p w14:paraId="62C67B22">
            <w:pPr>
              <w:keepNext w:val="0"/>
              <w:keepLines w:val="0"/>
              <w:pageBreakBefore w:val="0"/>
              <w:kinsoku/>
              <w:wordWrap/>
              <w:overflowPunct/>
              <w:topLinePunct w:val="0"/>
              <w:autoSpaceDE/>
              <w:autoSpaceDN/>
              <w:bidi w:val="0"/>
              <w:adjustRightInd w:val="0"/>
              <w:snapToGrid w:val="0"/>
              <w:spacing w:line="440" w:lineRule="exact"/>
              <w:textAlignment w:val="baseline"/>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标注“★”的指标</w:t>
            </w:r>
            <w:r>
              <w:rPr>
                <w:rFonts w:hint="eastAsia" w:ascii="新宋体" w:hAnsi="新宋体" w:eastAsia="新宋体" w:cs="新宋体"/>
                <w:color w:val="auto"/>
                <w:sz w:val="22"/>
                <w:szCs w:val="22"/>
                <w:highlight w:val="none"/>
                <w:lang w:val="en-US" w:eastAsia="zh-CN"/>
              </w:rPr>
              <w:t>共17项</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不满足招标文件要求（负偏离）的，每一项扣减</w:t>
            </w: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分；</w:t>
            </w:r>
          </w:p>
          <w:p w14:paraId="35A26353">
            <w:pPr>
              <w:keepNext w:val="0"/>
              <w:keepLines w:val="0"/>
              <w:pageBreakBefore w:val="0"/>
              <w:kinsoku/>
              <w:wordWrap/>
              <w:overflowPunct/>
              <w:topLinePunct w:val="0"/>
              <w:autoSpaceDE/>
              <w:autoSpaceDN/>
              <w:bidi w:val="0"/>
              <w:adjustRightInd w:val="0"/>
              <w:snapToGrid w:val="0"/>
              <w:spacing w:line="440" w:lineRule="exact"/>
              <w:textAlignment w:val="baseline"/>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其他技术指标响应共</w:t>
            </w:r>
            <w:r>
              <w:rPr>
                <w:rFonts w:hint="eastAsia" w:ascii="新宋体" w:hAnsi="新宋体" w:eastAsia="新宋体" w:cs="新宋体"/>
                <w:color w:val="auto"/>
                <w:sz w:val="22"/>
                <w:szCs w:val="22"/>
                <w:highlight w:val="none"/>
                <w:lang w:val="en-US" w:eastAsia="zh-CN"/>
              </w:rPr>
              <w:t>55</w:t>
            </w:r>
            <w:r>
              <w:rPr>
                <w:rFonts w:hint="eastAsia" w:ascii="新宋体" w:hAnsi="新宋体" w:eastAsia="新宋体" w:cs="新宋体"/>
                <w:color w:val="auto"/>
                <w:sz w:val="22"/>
                <w:szCs w:val="22"/>
                <w:highlight w:val="none"/>
              </w:rPr>
              <w:t>项，不满足招标文件要求（负偏离）的，每一项扣减</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w:t>
            </w:r>
          </w:p>
          <w:p w14:paraId="5A22ACAB">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注：供应商须在技术偏离表（格式见附件</w:t>
            </w:r>
            <w:r>
              <w:rPr>
                <w:rFonts w:hint="eastAsia" w:ascii="新宋体" w:hAnsi="新宋体" w:eastAsia="新宋体" w:cs="新宋体"/>
                <w:color w:val="auto"/>
                <w:sz w:val="22"/>
                <w:szCs w:val="22"/>
                <w:highlight w:val="none"/>
                <w:lang w:val="en-US" w:eastAsia="zh-CN"/>
              </w:rPr>
              <w:t>三-8</w:t>
            </w:r>
            <w:r>
              <w:rPr>
                <w:rFonts w:hint="eastAsia" w:ascii="新宋体" w:hAnsi="新宋体" w:eastAsia="新宋体" w:cs="新宋体"/>
                <w:color w:val="auto"/>
                <w:sz w:val="22"/>
                <w:szCs w:val="22"/>
                <w:highlight w:val="none"/>
              </w:rPr>
              <w:t>）中对技术指标（条款、参数）进行逐项响应，并注明偏离情况，不得虚假响应。每条（项）中凡标有最低一级序号的指标项即为一项技术指标（条款、参数），无论是否隶属于上一级编号。</w:t>
            </w:r>
          </w:p>
        </w:tc>
      </w:tr>
      <w:tr w14:paraId="5C759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06F21B0B">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2</w:t>
            </w:r>
          </w:p>
        </w:tc>
        <w:tc>
          <w:tcPr>
            <w:tcW w:w="1622" w:type="dxa"/>
            <w:vAlign w:val="center"/>
          </w:tcPr>
          <w:p w14:paraId="18C8450C">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lang w:val="zh-CN"/>
              </w:rPr>
              <w:t>产品配置的完整性和适用性</w:t>
            </w:r>
          </w:p>
        </w:tc>
        <w:tc>
          <w:tcPr>
            <w:tcW w:w="923" w:type="dxa"/>
            <w:vAlign w:val="center"/>
          </w:tcPr>
          <w:p w14:paraId="376B6ABB">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分</w:t>
            </w:r>
          </w:p>
        </w:tc>
        <w:tc>
          <w:tcPr>
            <w:tcW w:w="6400" w:type="dxa"/>
            <w:vAlign w:val="center"/>
          </w:tcPr>
          <w:p w14:paraId="4E812104">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lang w:val="zh-CN"/>
              </w:rPr>
              <w:t>所投产品配置完整，无缺漏，完全能满足采购人的使用要求的得3</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val="zh-CN"/>
              </w:rPr>
              <w:t>分；所投产品配置基本完整、基本能满足采购人的使用要求的得1分；所投产品配置的完整性较差或未描述完整的得0分。</w:t>
            </w:r>
          </w:p>
        </w:tc>
      </w:tr>
      <w:tr w14:paraId="60365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1DE79980">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3</w:t>
            </w:r>
          </w:p>
        </w:tc>
        <w:tc>
          <w:tcPr>
            <w:tcW w:w="1622" w:type="dxa"/>
            <w:vAlign w:val="center"/>
          </w:tcPr>
          <w:p w14:paraId="5A35045F">
            <w:pPr>
              <w:keepNext w:val="0"/>
              <w:keepLines w:val="0"/>
              <w:pageBreakBefore w:val="0"/>
              <w:kinsoku/>
              <w:wordWrap/>
              <w:overflowPunct/>
              <w:topLinePunct w:val="0"/>
              <w:autoSpaceDE/>
              <w:autoSpaceDN/>
              <w:bidi w:val="0"/>
              <w:spacing w:line="440" w:lineRule="exact"/>
              <w:jc w:val="lef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kern w:val="0"/>
                <w:sz w:val="22"/>
                <w:szCs w:val="22"/>
                <w:highlight w:val="none"/>
              </w:rPr>
              <w:t>产品相关认证证书</w:t>
            </w:r>
          </w:p>
        </w:tc>
        <w:tc>
          <w:tcPr>
            <w:tcW w:w="923" w:type="dxa"/>
            <w:vAlign w:val="center"/>
          </w:tcPr>
          <w:p w14:paraId="43830739">
            <w:pPr>
              <w:keepNext w:val="0"/>
              <w:keepLines w:val="0"/>
              <w:pageBreakBefore w:val="0"/>
              <w:widowControl/>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3分</w:t>
            </w:r>
          </w:p>
        </w:tc>
        <w:tc>
          <w:tcPr>
            <w:tcW w:w="6400" w:type="dxa"/>
            <w:vAlign w:val="center"/>
          </w:tcPr>
          <w:p w14:paraId="5DD643E8">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所投产品制造厂商具有有效的ISO9001质量管理体系认证证书、ISO14001环境管理体系认证证书、ISO45001职业健康安全管理体系认证证书，每个证书得1分，本项最高得3分。（提供证书扫描件及全国认证认可信息公共服务平台网页证书查询截图，否则不得分。）</w:t>
            </w:r>
          </w:p>
        </w:tc>
      </w:tr>
      <w:tr w14:paraId="2090D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40C122CD">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4</w:t>
            </w:r>
          </w:p>
        </w:tc>
        <w:tc>
          <w:tcPr>
            <w:tcW w:w="1622" w:type="dxa"/>
            <w:vAlign w:val="center"/>
          </w:tcPr>
          <w:p w14:paraId="6AFD1E9A">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产品总体性能及质量水平评价</w:t>
            </w:r>
          </w:p>
        </w:tc>
        <w:tc>
          <w:tcPr>
            <w:tcW w:w="923" w:type="dxa"/>
            <w:vAlign w:val="center"/>
          </w:tcPr>
          <w:p w14:paraId="514316ED">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5分</w:t>
            </w:r>
          </w:p>
        </w:tc>
        <w:tc>
          <w:tcPr>
            <w:tcW w:w="6400" w:type="dxa"/>
            <w:vAlign w:val="center"/>
          </w:tcPr>
          <w:p w14:paraId="5D7D7217">
            <w:pPr>
              <w:keepNext w:val="0"/>
              <w:keepLines w:val="0"/>
              <w:pageBreakBefore w:val="0"/>
              <w:kinsoku/>
              <w:wordWrap/>
              <w:overflowPunct/>
              <w:topLinePunct w:val="0"/>
              <w:autoSpaceDE/>
              <w:autoSpaceDN/>
              <w:bidi w:val="0"/>
              <w:spacing w:line="440" w:lineRule="exact"/>
              <w:jc w:val="lef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根据所投</w:t>
            </w:r>
            <w:r>
              <w:rPr>
                <w:rFonts w:hint="eastAsia" w:ascii="新宋体" w:hAnsi="新宋体" w:eastAsia="新宋体" w:cs="新宋体"/>
                <w:color w:val="auto"/>
                <w:sz w:val="22"/>
                <w:szCs w:val="22"/>
                <w:highlight w:val="none"/>
                <w:lang w:val="zh-CN"/>
              </w:rPr>
              <w:t>产品总体</w:t>
            </w:r>
            <w:r>
              <w:rPr>
                <w:rFonts w:hint="eastAsia" w:ascii="新宋体" w:hAnsi="新宋体" w:eastAsia="新宋体" w:cs="新宋体"/>
                <w:color w:val="auto"/>
                <w:sz w:val="22"/>
                <w:szCs w:val="22"/>
                <w:highlight w:val="none"/>
              </w:rPr>
              <w:t>设计、技</w:t>
            </w:r>
            <w:r>
              <w:rPr>
                <w:rFonts w:hint="eastAsia" w:ascii="新宋体" w:hAnsi="新宋体" w:eastAsia="新宋体" w:cs="新宋体"/>
                <w:color w:val="auto"/>
                <w:sz w:val="22"/>
                <w:szCs w:val="22"/>
                <w:highlight w:val="none"/>
                <w:lang w:val="zh-CN"/>
              </w:rPr>
              <w:t>术、</w:t>
            </w:r>
            <w:r>
              <w:rPr>
                <w:rFonts w:hint="eastAsia" w:ascii="新宋体" w:hAnsi="新宋体" w:eastAsia="新宋体" w:cs="新宋体"/>
                <w:color w:val="auto"/>
                <w:sz w:val="22"/>
                <w:szCs w:val="22"/>
                <w:highlight w:val="none"/>
              </w:rPr>
              <w:t>性能特点、质量水平</w:t>
            </w:r>
            <w:r>
              <w:rPr>
                <w:rFonts w:hint="eastAsia" w:ascii="新宋体" w:hAnsi="新宋体" w:eastAsia="新宋体" w:cs="新宋体"/>
                <w:color w:val="auto"/>
                <w:sz w:val="22"/>
                <w:szCs w:val="22"/>
                <w:highlight w:val="none"/>
                <w:lang w:val="zh-CN"/>
              </w:rPr>
              <w:t>、</w:t>
            </w:r>
            <w:r>
              <w:rPr>
                <w:rFonts w:hint="eastAsia" w:ascii="新宋体" w:hAnsi="新宋体" w:eastAsia="新宋体" w:cs="新宋体"/>
                <w:color w:val="auto"/>
                <w:sz w:val="22"/>
                <w:szCs w:val="22"/>
                <w:highlight w:val="none"/>
              </w:rPr>
              <w:t>全周期寿命</w:t>
            </w:r>
            <w:r>
              <w:rPr>
                <w:rFonts w:hint="eastAsia" w:ascii="新宋体" w:hAnsi="新宋体" w:eastAsia="新宋体" w:cs="新宋体"/>
                <w:color w:val="auto"/>
                <w:sz w:val="22"/>
                <w:szCs w:val="22"/>
                <w:highlight w:val="none"/>
                <w:lang w:val="zh-CN"/>
              </w:rPr>
              <w:t>等方面</w:t>
            </w:r>
            <w:r>
              <w:rPr>
                <w:rFonts w:hint="eastAsia" w:ascii="新宋体" w:hAnsi="新宋体" w:eastAsia="新宋体" w:cs="新宋体"/>
                <w:color w:val="auto"/>
                <w:sz w:val="22"/>
                <w:szCs w:val="22"/>
                <w:highlight w:val="none"/>
              </w:rPr>
              <w:t>的描述情况</w:t>
            </w:r>
            <w:r>
              <w:rPr>
                <w:rFonts w:hint="eastAsia" w:ascii="新宋体" w:hAnsi="新宋体" w:eastAsia="新宋体" w:cs="新宋体"/>
                <w:color w:val="auto"/>
                <w:sz w:val="22"/>
                <w:szCs w:val="22"/>
                <w:highlight w:val="none"/>
                <w:lang w:val="zh-CN"/>
              </w:rPr>
              <w:t>进行综合比较打分。</w:t>
            </w:r>
          </w:p>
          <w:p w14:paraId="287FEBAB">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所投</w:t>
            </w:r>
            <w:r>
              <w:rPr>
                <w:rFonts w:hint="eastAsia" w:ascii="新宋体" w:hAnsi="新宋体" w:eastAsia="新宋体" w:cs="新宋体"/>
                <w:color w:val="auto"/>
                <w:sz w:val="22"/>
                <w:szCs w:val="22"/>
                <w:highlight w:val="none"/>
                <w:lang w:val="zh-CN"/>
              </w:rPr>
              <w:t>产品</w:t>
            </w:r>
            <w:r>
              <w:rPr>
                <w:rFonts w:hint="eastAsia" w:ascii="新宋体" w:hAnsi="新宋体" w:eastAsia="新宋体" w:cs="新宋体"/>
                <w:color w:val="auto"/>
                <w:sz w:val="22"/>
                <w:szCs w:val="22"/>
                <w:highlight w:val="none"/>
              </w:rPr>
              <w:t>总体设计</w:t>
            </w:r>
            <w:r>
              <w:rPr>
                <w:rFonts w:hint="eastAsia" w:ascii="新宋体" w:hAnsi="新宋体" w:eastAsia="新宋体" w:cs="新宋体"/>
                <w:color w:val="auto"/>
                <w:sz w:val="22"/>
                <w:szCs w:val="22"/>
                <w:highlight w:val="none"/>
                <w:lang w:val="zh-CN"/>
              </w:rPr>
              <w:t>成熟，</w:t>
            </w:r>
            <w:r>
              <w:rPr>
                <w:rFonts w:hint="eastAsia" w:ascii="新宋体" w:hAnsi="新宋体" w:eastAsia="新宋体" w:cs="新宋体"/>
                <w:color w:val="auto"/>
                <w:sz w:val="22"/>
                <w:szCs w:val="22"/>
                <w:highlight w:val="none"/>
              </w:rPr>
              <w:t>技术特点鲜明、优势突出，质量稳定</w:t>
            </w:r>
            <w:r>
              <w:rPr>
                <w:rFonts w:hint="eastAsia" w:ascii="新宋体" w:hAnsi="新宋体" w:eastAsia="新宋体" w:cs="新宋体"/>
                <w:color w:val="auto"/>
                <w:sz w:val="22"/>
                <w:szCs w:val="22"/>
                <w:highlight w:val="none"/>
                <w:lang w:val="zh-CN"/>
              </w:rPr>
              <w:t>可靠、</w:t>
            </w:r>
            <w:r>
              <w:rPr>
                <w:rFonts w:hint="eastAsia" w:ascii="新宋体" w:hAnsi="新宋体" w:eastAsia="新宋体" w:cs="新宋体"/>
                <w:color w:val="auto"/>
                <w:sz w:val="22"/>
                <w:szCs w:val="22"/>
                <w:highlight w:val="none"/>
              </w:rPr>
              <w:t>全周期寿命长</w:t>
            </w:r>
            <w:r>
              <w:rPr>
                <w:rFonts w:hint="eastAsia" w:ascii="新宋体" w:hAnsi="新宋体" w:eastAsia="新宋体" w:cs="新宋体"/>
                <w:color w:val="auto"/>
                <w:sz w:val="22"/>
                <w:szCs w:val="22"/>
                <w:highlight w:val="none"/>
                <w:lang w:val="zh-CN"/>
              </w:rPr>
              <w:t>的</w:t>
            </w:r>
            <w:r>
              <w:rPr>
                <w:rFonts w:hint="eastAsia" w:ascii="新宋体" w:hAnsi="新宋体" w:eastAsia="新宋体" w:cs="新宋体"/>
                <w:color w:val="auto"/>
                <w:sz w:val="22"/>
                <w:szCs w:val="22"/>
                <w:highlight w:val="none"/>
              </w:rPr>
              <w:t>得5</w:t>
            </w:r>
            <w:r>
              <w:rPr>
                <w:rFonts w:hint="eastAsia" w:ascii="新宋体" w:hAnsi="新宋体" w:eastAsia="新宋体" w:cs="新宋体"/>
                <w:color w:val="auto"/>
                <w:sz w:val="22"/>
                <w:szCs w:val="22"/>
                <w:highlight w:val="none"/>
                <w:lang w:val="zh-CN"/>
              </w:rPr>
              <w:t>分；</w:t>
            </w:r>
            <w:r>
              <w:rPr>
                <w:rFonts w:hint="eastAsia" w:ascii="新宋体" w:hAnsi="新宋体" w:eastAsia="新宋体" w:cs="新宋体"/>
                <w:color w:val="auto"/>
                <w:sz w:val="22"/>
                <w:szCs w:val="22"/>
                <w:highlight w:val="none"/>
              </w:rPr>
              <w:t>所投</w:t>
            </w:r>
            <w:r>
              <w:rPr>
                <w:rFonts w:hint="eastAsia" w:ascii="新宋体" w:hAnsi="新宋体" w:eastAsia="新宋体" w:cs="新宋体"/>
                <w:color w:val="auto"/>
                <w:sz w:val="22"/>
                <w:szCs w:val="22"/>
                <w:highlight w:val="none"/>
                <w:lang w:val="zh-CN"/>
              </w:rPr>
              <w:t>产品</w:t>
            </w:r>
            <w:r>
              <w:rPr>
                <w:rFonts w:hint="eastAsia" w:ascii="新宋体" w:hAnsi="新宋体" w:eastAsia="新宋体" w:cs="新宋体"/>
                <w:color w:val="auto"/>
                <w:sz w:val="22"/>
                <w:szCs w:val="22"/>
                <w:highlight w:val="none"/>
              </w:rPr>
              <w:t>总体设计比较</w:t>
            </w:r>
            <w:r>
              <w:rPr>
                <w:rFonts w:hint="eastAsia" w:ascii="新宋体" w:hAnsi="新宋体" w:eastAsia="新宋体" w:cs="新宋体"/>
                <w:color w:val="auto"/>
                <w:sz w:val="22"/>
                <w:szCs w:val="22"/>
                <w:highlight w:val="none"/>
                <w:lang w:val="zh-CN"/>
              </w:rPr>
              <w:t>成熟，</w:t>
            </w:r>
            <w:r>
              <w:rPr>
                <w:rFonts w:hint="eastAsia" w:ascii="新宋体" w:hAnsi="新宋体" w:eastAsia="新宋体" w:cs="新宋体"/>
                <w:color w:val="auto"/>
                <w:sz w:val="22"/>
                <w:szCs w:val="22"/>
                <w:highlight w:val="none"/>
              </w:rPr>
              <w:t>有一定的技术性能特点，质量较稳定</w:t>
            </w:r>
            <w:r>
              <w:rPr>
                <w:rFonts w:hint="eastAsia" w:ascii="新宋体" w:hAnsi="新宋体" w:eastAsia="新宋体" w:cs="新宋体"/>
                <w:color w:val="auto"/>
                <w:sz w:val="22"/>
                <w:szCs w:val="22"/>
                <w:highlight w:val="none"/>
                <w:lang w:val="zh-CN"/>
              </w:rPr>
              <w:t>可靠，</w:t>
            </w:r>
            <w:r>
              <w:rPr>
                <w:rFonts w:hint="eastAsia" w:ascii="新宋体" w:hAnsi="新宋体" w:eastAsia="新宋体" w:cs="新宋体"/>
                <w:color w:val="auto"/>
                <w:sz w:val="22"/>
                <w:szCs w:val="22"/>
                <w:highlight w:val="none"/>
              </w:rPr>
              <w:t>全周期寿命较长的得3</w:t>
            </w:r>
            <w:r>
              <w:rPr>
                <w:rFonts w:hint="eastAsia" w:ascii="新宋体" w:hAnsi="新宋体" w:eastAsia="新宋体" w:cs="新宋体"/>
                <w:color w:val="auto"/>
                <w:sz w:val="22"/>
                <w:szCs w:val="22"/>
                <w:highlight w:val="none"/>
                <w:lang w:val="zh-CN"/>
              </w:rPr>
              <w:t>分</w:t>
            </w:r>
            <w:r>
              <w:rPr>
                <w:rFonts w:hint="eastAsia" w:ascii="新宋体" w:hAnsi="新宋体" w:eastAsia="新宋体" w:cs="新宋体"/>
                <w:color w:val="auto"/>
                <w:sz w:val="22"/>
                <w:szCs w:val="22"/>
                <w:highlight w:val="none"/>
              </w:rPr>
              <w:t>；所投</w:t>
            </w:r>
            <w:r>
              <w:rPr>
                <w:rFonts w:hint="eastAsia" w:ascii="新宋体" w:hAnsi="新宋体" w:eastAsia="新宋体" w:cs="新宋体"/>
                <w:color w:val="auto"/>
                <w:sz w:val="22"/>
                <w:szCs w:val="22"/>
                <w:highlight w:val="none"/>
                <w:lang w:val="zh-CN"/>
              </w:rPr>
              <w:t>产品</w:t>
            </w:r>
            <w:r>
              <w:rPr>
                <w:rFonts w:hint="eastAsia" w:ascii="新宋体" w:hAnsi="新宋体" w:eastAsia="新宋体" w:cs="新宋体"/>
                <w:color w:val="auto"/>
                <w:sz w:val="22"/>
                <w:szCs w:val="22"/>
                <w:highlight w:val="none"/>
              </w:rPr>
              <w:t>总体设计基本成熟</w:t>
            </w:r>
            <w:r>
              <w:rPr>
                <w:rFonts w:hint="eastAsia" w:ascii="新宋体" w:hAnsi="新宋体" w:eastAsia="新宋体" w:cs="新宋体"/>
                <w:color w:val="auto"/>
                <w:sz w:val="22"/>
                <w:szCs w:val="22"/>
                <w:highlight w:val="none"/>
                <w:lang w:val="zh-CN"/>
              </w:rPr>
              <w:t>，</w:t>
            </w:r>
            <w:r>
              <w:rPr>
                <w:rFonts w:hint="eastAsia" w:ascii="新宋体" w:hAnsi="新宋体" w:eastAsia="新宋体" w:cs="新宋体"/>
                <w:color w:val="auto"/>
                <w:sz w:val="22"/>
                <w:szCs w:val="22"/>
                <w:highlight w:val="none"/>
              </w:rPr>
              <w:t>技术性能特点较普通，质量及全周期寿命一般的得1</w:t>
            </w:r>
            <w:r>
              <w:rPr>
                <w:rFonts w:hint="eastAsia" w:ascii="新宋体" w:hAnsi="新宋体" w:eastAsia="新宋体" w:cs="新宋体"/>
                <w:color w:val="auto"/>
                <w:sz w:val="22"/>
                <w:szCs w:val="22"/>
                <w:highlight w:val="none"/>
                <w:lang w:val="zh-CN"/>
              </w:rPr>
              <w:t>分</w:t>
            </w:r>
            <w:r>
              <w:rPr>
                <w:rFonts w:hint="eastAsia" w:ascii="新宋体" w:hAnsi="新宋体" w:eastAsia="新宋体" w:cs="新宋体"/>
                <w:color w:val="auto"/>
                <w:sz w:val="22"/>
                <w:szCs w:val="22"/>
                <w:highlight w:val="none"/>
              </w:rPr>
              <w:t>；未提供相关内容或产品设计及技术质量有明显缺陷或瑕疵的不得分。</w:t>
            </w:r>
          </w:p>
        </w:tc>
      </w:tr>
      <w:tr w14:paraId="079B9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10BC36C4">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5</w:t>
            </w:r>
          </w:p>
        </w:tc>
        <w:tc>
          <w:tcPr>
            <w:tcW w:w="1622" w:type="dxa"/>
            <w:vAlign w:val="center"/>
          </w:tcPr>
          <w:p w14:paraId="5C7DAFF1">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产品供货验收方案</w:t>
            </w:r>
          </w:p>
        </w:tc>
        <w:tc>
          <w:tcPr>
            <w:tcW w:w="923" w:type="dxa"/>
            <w:vAlign w:val="center"/>
          </w:tcPr>
          <w:p w14:paraId="25A51D86">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分</w:t>
            </w:r>
          </w:p>
        </w:tc>
        <w:tc>
          <w:tcPr>
            <w:tcW w:w="6400" w:type="dxa"/>
            <w:vAlign w:val="center"/>
          </w:tcPr>
          <w:p w14:paraId="42A5D533">
            <w:pPr>
              <w:keepNext w:val="0"/>
              <w:keepLines w:val="0"/>
              <w:pageBreakBefore w:val="0"/>
              <w:widowControl/>
              <w:kinsoku/>
              <w:wordWrap/>
              <w:overflowPunct/>
              <w:topLinePunct w:val="0"/>
              <w:autoSpaceDE/>
              <w:autoSpaceDN/>
              <w:bidi w:val="0"/>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根据产品供货验收方案，包括供货、安装、调试、测试、试运行及验收，质量保障措施等内容进行综合评审：</w:t>
            </w:r>
          </w:p>
          <w:p w14:paraId="204BD2B2">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kern w:val="0"/>
                <w:sz w:val="22"/>
                <w:szCs w:val="22"/>
                <w:highlight w:val="none"/>
              </w:rPr>
              <w:t>方案</w:t>
            </w:r>
            <w:r>
              <w:rPr>
                <w:rFonts w:hint="eastAsia" w:ascii="新宋体" w:hAnsi="新宋体" w:eastAsia="新宋体" w:cs="新宋体"/>
                <w:color w:val="auto"/>
                <w:sz w:val="22"/>
                <w:szCs w:val="22"/>
                <w:highlight w:val="none"/>
              </w:rPr>
              <w:t>内容全面详细、质量保障措施完善可行，针对性强，能完全满足项目需求的得</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分；</w:t>
            </w:r>
            <w:r>
              <w:rPr>
                <w:rFonts w:hint="eastAsia" w:ascii="新宋体" w:hAnsi="新宋体" w:eastAsia="新宋体" w:cs="新宋体"/>
                <w:color w:val="auto"/>
                <w:kern w:val="0"/>
                <w:sz w:val="22"/>
                <w:szCs w:val="22"/>
                <w:highlight w:val="none"/>
              </w:rPr>
              <w:t>方案</w:t>
            </w:r>
            <w:r>
              <w:rPr>
                <w:rFonts w:hint="eastAsia" w:ascii="新宋体" w:hAnsi="新宋体" w:eastAsia="新宋体" w:cs="新宋体"/>
                <w:color w:val="auto"/>
                <w:sz w:val="22"/>
                <w:szCs w:val="22"/>
                <w:highlight w:val="none"/>
              </w:rPr>
              <w:t>基本完整，质量保障措施基本可行，有针对性，基本满足采购需求的得1分；</w:t>
            </w:r>
            <w:r>
              <w:rPr>
                <w:rFonts w:hint="eastAsia" w:ascii="新宋体" w:hAnsi="新宋体" w:eastAsia="新宋体" w:cs="新宋体"/>
                <w:color w:val="auto"/>
                <w:kern w:val="0"/>
                <w:sz w:val="22"/>
                <w:szCs w:val="22"/>
                <w:highlight w:val="none"/>
              </w:rPr>
              <w:t>方案</w:t>
            </w:r>
            <w:r>
              <w:rPr>
                <w:rFonts w:hint="eastAsia" w:ascii="新宋体" w:hAnsi="新宋体" w:eastAsia="新宋体" w:cs="新宋体"/>
                <w:color w:val="auto"/>
                <w:sz w:val="22"/>
                <w:szCs w:val="22"/>
                <w:highlight w:val="none"/>
              </w:rPr>
              <w:t>内容简单不全，有明显欠缺不足的得0.5分；未提供不得分。</w:t>
            </w:r>
          </w:p>
        </w:tc>
      </w:tr>
      <w:tr w14:paraId="4D6FE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017201E1">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6</w:t>
            </w:r>
          </w:p>
        </w:tc>
        <w:tc>
          <w:tcPr>
            <w:tcW w:w="1622" w:type="dxa"/>
            <w:vAlign w:val="center"/>
          </w:tcPr>
          <w:p w14:paraId="63D89DAB">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运行维护成本</w:t>
            </w:r>
          </w:p>
        </w:tc>
        <w:tc>
          <w:tcPr>
            <w:tcW w:w="923" w:type="dxa"/>
            <w:vAlign w:val="center"/>
          </w:tcPr>
          <w:p w14:paraId="45FE10E6">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2分</w:t>
            </w:r>
          </w:p>
        </w:tc>
        <w:tc>
          <w:tcPr>
            <w:tcW w:w="6400" w:type="dxa"/>
            <w:vAlign w:val="center"/>
          </w:tcPr>
          <w:p w14:paraId="3E5AE721">
            <w:pPr>
              <w:pStyle w:val="21"/>
              <w:keepNext w:val="0"/>
              <w:keepLines w:val="0"/>
              <w:pageBreakBefore w:val="0"/>
              <w:kinsoku/>
              <w:wordWrap/>
              <w:overflowPunct/>
              <w:topLinePunct w:val="0"/>
              <w:autoSpaceDE/>
              <w:autoSpaceDN/>
              <w:bidi w:val="0"/>
              <w:spacing w:after="0" w:line="44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根据供应商提供的所投产品运行维护成本分析（包括消耗成本、维修成本、保养成本）及耗材配件报价等进行综合比较打分。</w:t>
            </w:r>
          </w:p>
          <w:p w14:paraId="1F75F720">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运行维护成本低且耗材配件报价合理的得2分；运行维护成本较低且耗材配件报价较合理的得1分，运行维护成本和耗材配件报价较高的得0.5分，未提供的不得分。</w:t>
            </w:r>
          </w:p>
        </w:tc>
      </w:tr>
      <w:tr w14:paraId="0EE7B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Merge w:val="restart"/>
            <w:vAlign w:val="center"/>
          </w:tcPr>
          <w:p w14:paraId="2848B60F">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7</w:t>
            </w:r>
          </w:p>
        </w:tc>
        <w:tc>
          <w:tcPr>
            <w:tcW w:w="1622" w:type="dxa"/>
            <w:vMerge w:val="restart"/>
            <w:vAlign w:val="center"/>
          </w:tcPr>
          <w:p w14:paraId="68B7A92A">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售后服务及培训能力</w:t>
            </w:r>
          </w:p>
        </w:tc>
        <w:tc>
          <w:tcPr>
            <w:tcW w:w="923" w:type="dxa"/>
            <w:vAlign w:val="center"/>
          </w:tcPr>
          <w:p w14:paraId="19FF2D21">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3分</w:t>
            </w:r>
          </w:p>
        </w:tc>
        <w:tc>
          <w:tcPr>
            <w:tcW w:w="6400" w:type="dxa"/>
            <w:shd w:val="clear" w:color="auto" w:fill="auto"/>
            <w:vAlign w:val="center"/>
          </w:tcPr>
          <w:p w14:paraId="49000D4C">
            <w:pPr>
              <w:keepNext w:val="0"/>
              <w:keepLines w:val="0"/>
              <w:pageBreakBefore w:val="0"/>
              <w:widowControl/>
              <w:kinsoku/>
              <w:wordWrap/>
              <w:overflowPunct/>
              <w:topLinePunct w:val="0"/>
              <w:autoSpaceDE/>
              <w:autoSpaceDN/>
              <w:bidi w:val="0"/>
              <w:spacing w:line="44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售后服务承诺（包括售后服务内容、服务措施、定期维护、维修承诺、故障响应、人员配置、应急措施、备品备件供应保障措施、质保期外售后维护等）</w:t>
            </w:r>
          </w:p>
          <w:p w14:paraId="4D9CE79D">
            <w:pPr>
              <w:keepNext w:val="0"/>
              <w:keepLines w:val="0"/>
              <w:pageBreakBefore w:val="0"/>
              <w:widowControl/>
              <w:kinsoku/>
              <w:wordWrap/>
              <w:overflowPunct/>
              <w:topLinePunct w:val="0"/>
              <w:autoSpaceDE/>
              <w:autoSpaceDN/>
              <w:bidi w:val="0"/>
              <w:spacing w:line="440" w:lineRule="exact"/>
              <w:jc w:val="left"/>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售后服务承诺详细、完整，针对性强，能较好地满足采购人需求的得3分；售后服务承诺基本完整，有一定的针对性，基本能满足采购人需求的得1分；售后服务承诺简单不全，有明显欠缺不足的得0.5分；未提供不得分。</w:t>
            </w:r>
          </w:p>
        </w:tc>
      </w:tr>
      <w:tr w14:paraId="714E1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Merge w:val="continue"/>
            <w:vAlign w:val="center"/>
          </w:tcPr>
          <w:p w14:paraId="104AEA78">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p>
        </w:tc>
        <w:tc>
          <w:tcPr>
            <w:tcW w:w="1622" w:type="dxa"/>
            <w:vMerge w:val="continue"/>
            <w:vAlign w:val="center"/>
          </w:tcPr>
          <w:p w14:paraId="31FEFFE1">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p>
        </w:tc>
        <w:tc>
          <w:tcPr>
            <w:tcW w:w="923" w:type="dxa"/>
            <w:vAlign w:val="center"/>
          </w:tcPr>
          <w:p w14:paraId="5560B27D">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2分</w:t>
            </w:r>
          </w:p>
        </w:tc>
        <w:tc>
          <w:tcPr>
            <w:tcW w:w="6400" w:type="dxa"/>
            <w:shd w:val="clear" w:color="auto" w:fill="auto"/>
            <w:vAlign w:val="center"/>
          </w:tcPr>
          <w:p w14:paraId="1E8D7AD3">
            <w:pPr>
              <w:keepNext w:val="0"/>
              <w:keepLines w:val="0"/>
              <w:pageBreakBefore w:val="0"/>
              <w:kinsoku/>
              <w:wordWrap/>
              <w:overflowPunct/>
              <w:topLinePunct w:val="0"/>
              <w:autoSpaceDE/>
              <w:autoSpaceDN/>
              <w:bidi w:val="0"/>
              <w:spacing w:line="440" w:lineRule="exact"/>
              <w:ind w:left="-2" w:leftChars="-6" w:hanging="11" w:hangingChars="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技术培训方案（包括但不限于培训计划安排、培训内容、培训形式、培训人员、培训目标等）</w:t>
            </w:r>
          </w:p>
          <w:p w14:paraId="1CF9C451">
            <w:pPr>
              <w:keepNext w:val="0"/>
              <w:keepLines w:val="0"/>
              <w:pageBreakBefore w:val="0"/>
              <w:kinsoku/>
              <w:wordWrap/>
              <w:overflowPunct/>
              <w:topLinePunct w:val="0"/>
              <w:autoSpaceDE/>
              <w:autoSpaceDN/>
              <w:bidi w:val="0"/>
              <w:spacing w:line="440" w:lineRule="exact"/>
              <w:ind w:left="-2" w:leftChars="-6" w:hanging="11" w:hangingChars="5"/>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技术培训方案详细、完整，针对性强，能较好地满足采购人需求的得2分；技术培训方案基本完整，有一定的针对性，基本能满足采购人需求的得1分；技术培训方案简单不全，有明显欠缺不足的得0.5分；未提供不得分。</w:t>
            </w:r>
          </w:p>
        </w:tc>
      </w:tr>
      <w:tr w14:paraId="1FBBC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3FC370E8">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8</w:t>
            </w:r>
          </w:p>
        </w:tc>
        <w:tc>
          <w:tcPr>
            <w:tcW w:w="1622" w:type="dxa"/>
            <w:vAlign w:val="center"/>
          </w:tcPr>
          <w:p w14:paraId="5F01B34B">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保修服务</w:t>
            </w:r>
          </w:p>
        </w:tc>
        <w:tc>
          <w:tcPr>
            <w:tcW w:w="923" w:type="dxa"/>
            <w:vAlign w:val="center"/>
          </w:tcPr>
          <w:p w14:paraId="6C47BB82">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vertAlign w:val="baseline"/>
                <w:lang w:val="en-US" w:eastAsia="zh-CN"/>
              </w:rPr>
              <w:t>1</w:t>
            </w:r>
            <w:r>
              <w:rPr>
                <w:rFonts w:hint="eastAsia" w:ascii="新宋体" w:hAnsi="新宋体" w:eastAsia="新宋体" w:cs="新宋体"/>
                <w:color w:val="auto"/>
                <w:sz w:val="22"/>
                <w:szCs w:val="22"/>
                <w:highlight w:val="none"/>
                <w:vertAlign w:val="baseline"/>
              </w:rPr>
              <w:t>分</w:t>
            </w:r>
          </w:p>
        </w:tc>
        <w:tc>
          <w:tcPr>
            <w:tcW w:w="6400" w:type="dxa"/>
            <w:shd w:val="clear" w:color="auto" w:fill="auto"/>
            <w:vAlign w:val="center"/>
          </w:tcPr>
          <w:p w14:paraId="4953F206">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vertAlign w:val="baseline"/>
                <w:lang w:val="en-US" w:eastAsia="zh-CN"/>
              </w:rPr>
              <w:t>核心设备</w:t>
            </w:r>
            <w:r>
              <w:rPr>
                <w:rFonts w:hint="eastAsia" w:ascii="新宋体" w:hAnsi="新宋体" w:eastAsia="新宋体" w:cs="新宋体"/>
                <w:color w:val="auto"/>
                <w:sz w:val="22"/>
                <w:szCs w:val="22"/>
                <w:highlight w:val="none"/>
                <w:vertAlign w:val="baseline"/>
              </w:rPr>
              <w:t>设备免费保修期</w:t>
            </w:r>
            <w:r>
              <w:rPr>
                <w:rFonts w:hint="eastAsia" w:ascii="新宋体" w:hAnsi="新宋体" w:eastAsia="新宋体" w:cs="新宋体"/>
                <w:color w:val="auto"/>
                <w:sz w:val="22"/>
                <w:szCs w:val="22"/>
                <w:highlight w:val="none"/>
                <w:vertAlign w:val="baseline"/>
                <w:lang w:eastAsia="zh-CN"/>
              </w:rPr>
              <w:t>（</w:t>
            </w:r>
            <w:r>
              <w:rPr>
                <w:rFonts w:hint="eastAsia" w:ascii="新宋体" w:hAnsi="新宋体" w:eastAsia="新宋体" w:cs="新宋体"/>
                <w:color w:val="auto"/>
                <w:sz w:val="22"/>
                <w:szCs w:val="22"/>
                <w:highlight w:val="none"/>
              </w:rPr>
              <w:t>免费质保期</w:t>
            </w:r>
            <w:r>
              <w:rPr>
                <w:rFonts w:hint="eastAsia" w:ascii="新宋体" w:hAnsi="新宋体" w:eastAsia="新宋体" w:cs="新宋体"/>
                <w:color w:val="auto"/>
                <w:sz w:val="22"/>
                <w:szCs w:val="22"/>
                <w:highlight w:val="none"/>
                <w:vertAlign w:val="baseline"/>
                <w:lang w:eastAsia="zh-CN"/>
              </w:rPr>
              <w:t>）</w:t>
            </w:r>
            <w:r>
              <w:rPr>
                <w:rFonts w:hint="eastAsia" w:ascii="新宋体" w:hAnsi="新宋体" w:eastAsia="新宋体" w:cs="新宋体"/>
                <w:color w:val="auto"/>
                <w:sz w:val="22"/>
                <w:szCs w:val="22"/>
                <w:highlight w:val="none"/>
                <w:vertAlign w:val="baseline"/>
                <w:lang w:val="en-US" w:eastAsia="zh-CN"/>
              </w:rPr>
              <w:t>同时满足</w:t>
            </w:r>
            <w:r>
              <w:rPr>
                <w:rFonts w:hint="eastAsia" w:ascii="新宋体" w:hAnsi="新宋体" w:eastAsia="新宋体" w:cs="新宋体"/>
                <w:color w:val="auto"/>
                <w:sz w:val="22"/>
                <w:szCs w:val="22"/>
                <w:highlight w:val="none"/>
                <w:vertAlign w:val="baseline"/>
              </w:rPr>
              <w:t>超过</w:t>
            </w:r>
            <w:r>
              <w:rPr>
                <w:rFonts w:hint="eastAsia" w:ascii="新宋体" w:hAnsi="新宋体" w:eastAsia="新宋体" w:cs="新宋体"/>
                <w:color w:val="auto"/>
                <w:sz w:val="22"/>
                <w:szCs w:val="22"/>
                <w:highlight w:val="none"/>
                <w:vertAlign w:val="baseline"/>
                <w:lang w:val="en-US" w:eastAsia="zh-CN"/>
              </w:rPr>
              <w:t>采购</w:t>
            </w:r>
            <w:r>
              <w:rPr>
                <w:rFonts w:hint="eastAsia" w:ascii="新宋体" w:hAnsi="新宋体" w:eastAsia="新宋体" w:cs="新宋体"/>
                <w:color w:val="auto"/>
                <w:sz w:val="22"/>
                <w:szCs w:val="22"/>
                <w:highlight w:val="none"/>
                <w:vertAlign w:val="baseline"/>
              </w:rPr>
              <w:t>文件要求的，每增加1年加</w:t>
            </w:r>
            <w:r>
              <w:rPr>
                <w:rFonts w:hint="eastAsia" w:ascii="新宋体" w:hAnsi="新宋体" w:eastAsia="新宋体" w:cs="新宋体"/>
                <w:color w:val="auto"/>
                <w:sz w:val="22"/>
                <w:szCs w:val="22"/>
                <w:highlight w:val="none"/>
                <w:vertAlign w:val="baseline"/>
                <w:lang w:val="en-US" w:eastAsia="zh-CN"/>
              </w:rPr>
              <w:t>0.5</w:t>
            </w:r>
            <w:r>
              <w:rPr>
                <w:rFonts w:hint="eastAsia" w:ascii="新宋体" w:hAnsi="新宋体" w:eastAsia="新宋体" w:cs="新宋体"/>
                <w:color w:val="auto"/>
                <w:sz w:val="22"/>
                <w:szCs w:val="22"/>
                <w:highlight w:val="none"/>
                <w:vertAlign w:val="baseline"/>
              </w:rPr>
              <w:t>分，增加部分不足1年的不计分，最多得</w:t>
            </w:r>
            <w:r>
              <w:rPr>
                <w:rFonts w:hint="eastAsia" w:ascii="新宋体" w:hAnsi="新宋体" w:eastAsia="新宋体" w:cs="新宋体"/>
                <w:color w:val="auto"/>
                <w:sz w:val="22"/>
                <w:szCs w:val="22"/>
                <w:highlight w:val="none"/>
                <w:vertAlign w:val="baseline"/>
                <w:lang w:val="en-US" w:eastAsia="zh-CN"/>
              </w:rPr>
              <w:t>1</w:t>
            </w:r>
            <w:r>
              <w:rPr>
                <w:rFonts w:hint="eastAsia" w:ascii="新宋体" w:hAnsi="新宋体" w:eastAsia="新宋体" w:cs="新宋体"/>
                <w:color w:val="auto"/>
                <w:sz w:val="22"/>
                <w:szCs w:val="22"/>
                <w:highlight w:val="none"/>
                <w:vertAlign w:val="baseline"/>
              </w:rPr>
              <w:t>分。</w:t>
            </w:r>
          </w:p>
        </w:tc>
      </w:tr>
      <w:tr w14:paraId="547FC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785B2032">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9</w:t>
            </w:r>
          </w:p>
        </w:tc>
        <w:tc>
          <w:tcPr>
            <w:tcW w:w="1622" w:type="dxa"/>
            <w:vAlign w:val="center"/>
          </w:tcPr>
          <w:p w14:paraId="1FC78E29">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所投产品业绩</w:t>
            </w:r>
          </w:p>
        </w:tc>
        <w:tc>
          <w:tcPr>
            <w:tcW w:w="923" w:type="dxa"/>
            <w:vAlign w:val="center"/>
          </w:tcPr>
          <w:p w14:paraId="7534F8D4">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3分</w:t>
            </w:r>
          </w:p>
        </w:tc>
        <w:tc>
          <w:tcPr>
            <w:tcW w:w="6400" w:type="dxa"/>
            <w:vAlign w:val="center"/>
          </w:tcPr>
          <w:p w14:paraId="62B99B4F">
            <w:pPr>
              <w:keepNext w:val="0"/>
              <w:keepLines w:val="0"/>
              <w:pageBreakBefore w:val="0"/>
              <w:widowControl/>
              <w:kinsoku/>
              <w:wordWrap/>
              <w:overflowPunct/>
              <w:topLinePunct w:val="0"/>
              <w:autoSpaceDE/>
              <w:autoSpaceDN/>
              <w:bidi w:val="0"/>
              <w:spacing w:line="44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所投同品牌同型号产品202</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年1月1日以来（以合同签署日期为准）的销售业绩，每提供1个合同业绩得1分，最高3分。</w:t>
            </w:r>
          </w:p>
          <w:p w14:paraId="6CBEBE67">
            <w:pPr>
              <w:keepNext w:val="0"/>
              <w:keepLines w:val="0"/>
              <w:pageBreakBefore w:val="0"/>
              <w:kinsoku/>
              <w:wordWrap/>
              <w:overflowPunct/>
              <w:topLinePunct w:val="0"/>
              <w:autoSpaceDE/>
              <w:autoSpaceDN/>
              <w:bidi w:val="0"/>
              <w:spacing w:line="440" w:lineRule="exact"/>
              <w:ind w:left="-2" w:leftChars="-6" w:hanging="11" w:hangingChars="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（业绩以合同文件和销售发票证明为准，须同时提供合同扫描件和销售发票证明扫描件作为业绩证明，二者缺一不得分。）</w:t>
            </w:r>
          </w:p>
          <w:p w14:paraId="06E1FF1E">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注：根据浙财采监〔2022〕8号文要求，对省级以上主管部门认定的首台套产品，自纳入《省推广应用指导目录》起三年内参加政府采购活动，视同已具备相应销售业绩，该产品业绩分为满分。（供应商须提供相关证明）</w:t>
            </w:r>
          </w:p>
        </w:tc>
      </w:tr>
      <w:tr w14:paraId="5B196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7B28D449">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10</w:t>
            </w:r>
          </w:p>
        </w:tc>
        <w:tc>
          <w:tcPr>
            <w:tcW w:w="1622" w:type="dxa"/>
            <w:vAlign w:val="center"/>
          </w:tcPr>
          <w:p w14:paraId="09D01F90">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lang w:eastAsia="zh-CN"/>
              </w:rPr>
            </w:pPr>
            <w:r>
              <w:rPr>
                <w:rFonts w:hint="eastAsia" w:ascii="新宋体" w:hAnsi="新宋体" w:eastAsia="新宋体" w:cs="新宋体"/>
                <w:color w:val="auto"/>
                <w:kern w:val="0"/>
                <w:sz w:val="22"/>
                <w:szCs w:val="22"/>
                <w:highlight w:val="none"/>
              </w:rPr>
              <w:t>产品节能环保情况</w:t>
            </w:r>
          </w:p>
        </w:tc>
        <w:tc>
          <w:tcPr>
            <w:tcW w:w="923" w:type="dxa"/>
            <w:vAlign w:val="center"/>
          </w:tcPr>
          <w:p w14:paraId="4A18E835">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1分</w:t>
            </w:r>
          </w:p>
        </w:tc>
        <w:tc>
          <w:tcPr>
            <w:tcW w:w="6400" w:type="dxa"/>
            <w:vAlign w:val="center"/>
          </w:tcPr>
          <w:p w14:paraId="45EA0D67">
            <w:pPr>
              <w:keepNext w:val="0"/>
              <w:keepLines w:val="0"/>
              <w:pageBreakBefore w:val="0"/>
              <w:kinsoku/>
              <w:wordWrap/>
              <w:overflowPunct/>
              <w:topLinePunct w:val="0"/>
              <w:autoSpaceDE/>
              <w:autoSpaceDN/>
              <w:bidi w:val="0"/>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所投产品属于“节能产品政府采购品目清单”或“环境标志产品政府采购品目清单”范围，具有国家确定的认证机构出具的处于有效期内的节能产品、环境标志产品认证证书。</w:t>
            </w:r>
          </w:p>
          <w:p w14:paraId="01AC1483">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所投产品中具有符合上述要求的节能产品得0.5分，具有符合上述要求的环境标志产品得0.5分，满分1分。（提供相关采购品目清单及认证证书原件扫描件，由评委确认打分。）</w:t>
            </w:r>
          </w:p>
        </w:tc>
      </w:tr>
    </w:tbl>
    <w:p w14:paraId="41E938FA">
      <w:pPr>
        <w:pStyle w:val="22"/>
        <w:keepNext w:val="0"/>
        <w:keepLines w:val="0"/>
        <w:pageBreakBefore w:val="0"/>
        <w:kinsoku/>
        <w:wordWrap/>
        <w:overflowPunct/>
        <w:topLinePunct w:val="0"/>
        <w:autoSpaceDE/>
        <w:autoSpaceDN/>
        <w:bidi w:val="0"/>
        <w:spacing w:line="440" w:lineRule="exact"/>
        <w:ind w:left="439" w:leftChars="209" w:firstLine="0" w:firstLineChars="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2、报价评分（</w:t>
      </w:r>
      <w:r>
        <w:rPr>
          <w:rFonts w:hint="eastAsia" w:ascii="新宋体" w:hAnsi="新宋体" w:eastAsia="新宋体" w:cs="新宋体"/>
          <w:b/>
          <w:color w:val="auto"/>
          <w:sz w:val="22"/>
          <w:szCs w:val="22"/>
          <w:highlight w:val="none"/>
          <w:lang w:val="en-US" w:eastAsia="zh-CN"/>
        </w:rPr>
        <w:t>30</w:t>
      </w:r>
      <w:r>
        <w:rPr>
          <w:rFonts w:hint="eastAsia" w:ascii="新宋体" w:hAnsi="新宋体" w:eastAsia="新宋体" w:cs="新宋体"/>
          <w:b/>
          <w:color w:val="auto"/>
          <w:sz w:val="22"/>
          <w:szCs w:val="22"/>
          <w:highlight w:val="none"/>
        </w:rPr>
        <w:t>分）（权值</w:t>
      </w:r>
      <w:r>
        <w:rPr>
          <w:rFonts w:hint="eastAsia" w:ascii="新宋体" w:hAnsi="新宋体" w:eastAsia="新宋体" w:cs="新宋体"/>
          <w:b/>
          <w:color w:val="auto"/>
          <w:sz w:val="22"/>
          <w:szCs w:val="22"/>
          <w:highlight w:val="none"/>
          <w:lang w:val="en-US" w:eastAsia="zh-CN"/>
        </w:rPr>
        <w:t>30</w:t>
      </w:r>
      <w:r>
        <w:rPr>
          <w:rFonts w:hint="eastAsia" w:ascii="新宋体" w:hAnsi="新宋体" w:eastAsia="新宋体" w:cs="新宋体"/>
          <w:b/>
          <w:color w:val="auto"/>
          <w:sz w:val="22"/>
          <w:szCs w:val="22"/>
          <w:highlight w:val="none"/>
        </w:rPr>
        <w:t>%）：</w:t>
      </w:r>
    </w:p>
    <w:p w14:paraId="14A9F586">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满足</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要求且投标报价最低的投标报价为评标基准价，其余投标人投标报价与该基准价对比，计算出商务报价评分值（保留小数2位）：</w:t>
      </w:r>
    </w:p>
    <w:p w14:paraId="26D96FFD">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1）有效投标人的投标报价等于评标基准价时其报价分为满分</w:t>
      </w:r>
      <w:r>
        <w:rPr>
          <w:rFonts w:hint="eastAsia" w:ascii="新宋体" w:hAnsi="新宋体" w:eastAsia="新宋体" w:cs="新宋体"/>
          <w:color w:val="auto"/>
          <w:sz w:val="22"/>
          <w:szCs w:val="22"/>
          <w:highlight w:val="none"/>
          <w:lang w:val="en-US" w:eastAsia="zh-CN"/>
        </w:rPr>
        <w:t>30</w:t>
      </w:r>
      <w:r>
        <w:rPr>
          <w:rFonts w:hint="eastAsia" w:ascii="新宋体" w:hAnsi="新宋体" w:eastAsia="新宋体" w:cs="新宋体"/>
          <w:color w:val="auto"/>
          <w:sz w:val="22"/>
          <w:szCs w:val="22"/>
          <w:highlight w:val="none"/>
        </w:rPr>
        <w:t>分；</w:t>
      </w:r>
    </w:p>
    <w:p w14:paraId="0BB198D2">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2）其他投标人的价格分按以下公式计算：</w:t>
      </w:r>
    </w:p>
    <w:p w14:paraId="776993B8">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投标报价得分=（评分基准价/投标人投标报价）× 价格权值 ×100（保留小数2位）</w:t>
      </w:r>
    </w:p>
    <w:p w14:paraId="7171F44A">
      <w:pPr>
        <w:keepNext w:val="0"/>
        <w:keepLines w:val="0"/>
        <w:pageBreakBefore w:val="0"/>
        <w:widowControl w:val="0"/>
        <w:kinsoku/>
        <w:wordWrap/>
        <w:overflowPunct/>
        <w:topLinePunct w:val="0"/>
        <w:autoSpaceDE/>
        <w:autoSpaceDN/>
        <w:bidi w:val="0"/>
        <w:adjustRightInd/>
        <w:spacing w:line="460" w:lineRule="exact"/>
        <w:ind w:firstLine="440" w:firstLineChars="200"/>
        <w:textAlignment w:val="auto"/>
        <w:rPr>
          <w:rFonts w:hint="eastAsia" w:ascii="新宋体" w:hAnsi="新宋体" w:eastAsia="新宋体" w:cs="新宋体"/>
          <w:b w:val="0"/>
          <w:bCs w:val="0"/>
          <w:color w:val="auto"/>
          <w:sz w:val="22"/>
          <w:szCs w:val="22"/>
          <w:highlight w:val="none"/>
          <w:lang w:val="zh-CN"/>
        </w:rPr>
      </w:pPr>
      <w:r>
        <w:rPr>
          <w:rFonts w:hint="eastAsia" w:ascii="新宋体" w:hAnsi="新宋体" w:eastAsia="新宋体" w:cs="新宋体"/>
          <w:b w:val="0"/>
          <w:bCs w:val="0"/>
          <w:color w:val="auto"/>
          <w:sz w:val="22"/>
          <w:szCs w:val="22"/>
          <w:highlight w:val="none"/>
          <w:lang w:val="zh-CN"/>
        </w:rPr>
        <w:t>根据</w:t>
      </w:r>
      <w:r>
        <w:rPr>
          <w:rFonts w:hint="eastAsia" w:ascii="新宋体" w:hAnsi="新宋体" w:eastAsia="新宋体" w:cs="新宋体"/>
          <w:b w:val="0"/>
          <w:bCs w:val="0"/>
          <w:color w:val="auto"/>
          <w:kern w:val="0"/>
          <w:sz w:val="22"/>
          <w:szCs w:val="22"/>
          <w:highlight w:val="none"/>
        </w:rPr>
        <w:t>《政府采购促进中小企业发展管理办法》（财库〔2020〕46号）</w:t>
      </w:r>
      <w:r>
        <w:rPr>
          <w:rFonts w:hint="eastAsia" w:ascii="新宋体" w:hAnsi="新宋体" w:eastAsia="新宋体" w:cs="新宋体"/>
          <w:b w:val="0"/>
          <w:bCs w:val="0"/>
          <w:color w:val="auto"/>
          <w:kern w:val="0"/>
          <w:sz w:val="22"/>
          <w:szCs w:val="22"/>
          <w:highlight w:val="none"/>
          <w:lang w:eastAsia="zh-CN"/>
        </w:rPr>
        <w:t>、</w:t>
      </w:r>
      <w:r>
        <w:rPr>
          <w:rFonts w:hint="eastAsia" w:ascii="新宋体" w:hAnsi="新宋体" w:eastAsia="新宋体" w:cs="新宋体"/>
          <w:b w:val="0"/>
          <w:bCs w:val="0"/>
          <w:color w:val="auto"/>
          <w:kern w:val="0"/>
          <w:sz w:val="22"/>
          <w:szCs w:val="22"/>
          <w:highlight w:val="none"/>
        </w:rPr>
        <w:t>《财政部关于进一步加大政府采购支持中小企业力度的通知》（财库〔2022〕19号）</w:t>
      </w:r>
      <w:r>
        <w:rPr>
          <w:rFonts w:hint="eastAsia" w:ascii="新宋体" w:hAnsi="新宋体" w:eastAsia="新宋体" w:cs="新宋体"/>
          <w:b w:val="0"/>
          <w:bCs w:val="0"/>
          <w:color w:val="auto"/>
          <w:kern w:val="0"/>
          <w:sz w:val="22"/>
          <w:szCs w:val="22"/>
          <w:highlight w:val="none"/>
          <w:lang w:val="en-US" w:eastAsia="zh-CN"/>
        </w:rPr>
        <w:t>等</w:t>
      </w:r>
      <w:r>
        <w:rPr>
          <w:rFonts w:hint="eastAsia" w:ascii="新宋体" w:hAnsi="新宋体" w:eastAsia="新宋体" w:cs="新宋体"/>
          <w:b w:val="0"/>
          <w:bCs w:val="0"/>
          <w:color w:val="auto"/>
          <w:kern w:val="0"/>
          <w:sz w:val="22"/>
          <w:szCs w:val="22"/>
          <w:highlight w:val="none"/>
        </w:rPr>
        <w:t>有关规定</w:t>
      </w:r>
      <w:r>
        <w:rPr>
          <w:rFonts w:hint="eastAsia" w:ascii="新宋体" w:hAnsi="新宋体" w:eastAsia="新宋体" w:cs="新宋体"/>
          <w:b w:val="0"/>
          <w:bCs w:val="0"/>
          <w:color w:val="auto"/>
          <w:sz w:val="22"/>
          <w:szCs w:val="22"/>
          <w:highlight w:val="none"/>
          <w:lang w:val="zh-CN"/>
        </w:rPr>
        <w:t>，对</w:t>
      </w:r>
      <w:r>
        <w:rPr>
          <w:rFonts w:hint="eastAsia" w:ascii="新宋体" w:hAnsi="新宋体" w:eastAsia="新宋体" w:cs="新宋体"/>
          <w:b w:val="0"/>
          <w:bCs w:val="0"/>
          <w:color w:val="auto"/>
          <w:sz w:val="22"/>
          <w:szCs w:val="22"/>
          <w:highlight w:val="none"/>
          <w:lang w:val="en-US" w:eastAsia="zh-CN"/>
        </w:rPr>
        <w:t>货物类项目</w:t>
      </w:r>
      <w:r>
        <w:rPr>
          <w:rFonts w:hint="eastAsia" w:ascii="新宋体" w:hAnsi="新宋体" w:eastAsia="新宋体" w:cs="新宋体"/>
          <w:b w:val="0"/>
          <w:bCs w:val="0"/>
          <w:color w:val="auto"/>
          <w:sz w:val="22"/>
          <w:szCs w:val="22"/>
          <w:highlight w:val="none"/>
          <w:lang w:val="zh-CN"/>
        </w:rPr>
        <w:t>投标产品为小型或微型企业生产的，</w:t>
      </w:r>
      <w:r>
        <w:rPr>
          <w:rFonts w:hint="eastAsia" w:ascii="新宋体" w:hAnsi="新宋体" w:eastAsia="新宋体" w:cs="新宋体"/>
          <w:b w:val="0"/>
          <w:bCs w:val="0"/>
          <w:color w:val="auto"/>
          <w:sz w:val="22"/>
          <w:szCs w:val="22"/>
          <w:highlight w:val="none"/>
          <w:u w:val="single"/>
          <w:lang w:val="zh-CN"/>
        </w:rPr>
        <w:t>价格给予</w:t>
      </w:r>
      <w:r>
        <w:rPr>
          <w:rFonts w:hint="eastAsia" w:ascii="新宋体" w:hAnsi="新宋体" w:eastAsia="新宋体" w:cs="新宋体"/>
          <w:b w:val="0"/>
          <w:bCs w:val="0"/>
          <w:color w:val="auto"/>
          <w:sz w:val="22"/>
          <w:szCs w:val="22"/>
          <w:highlight w:val="none"/>
          <w:u w:val="single"/>
          <w:lang w:val="en-US" w:eastAsia="zh-CN"/>
        </w:rPr>
        <w:t>1</w:t>
      </w:r>
      <w:r>
        <w:rPr>
          <w:rFonts w:hint="eastAsia" w:ascii="新宋体" w:hAnsi="新宋体" w:eastAsia="新宋体" w:cs="新宋体"/>
          <w:b w:val="0"/>
          <w:bCs w:val="0"/>
          <w:color w:val="auto"/>
          <w:sz w:val="22"/>
          <w:szCs w:val="22"/>
          <w:highlight w:val="none"/>
          <w:u w:val="single"/>
        </w:rPr>
        <w:t>0</w:t>
      </w:r>
      <w:r>
        <w:rPr>
          <w:rFonts w:hint="eastAsia" w:ascii="新宋体" w:hAnsi="新宋体" w:eastAsia="新宋体" w:cs="新宋体"/>
          <w:b w:val="0"/>
          <w:bCs w:val="0"/>
          <w:color w:val="auto"/>
          <w:sz w:val="22"/>
          <w:szCs w:val="22"/>
          <w:highlight w:val="none"/>
          <w:u w:val="single"/>
          <w:lang w:val="zh-CN"/>
        </w:rPr>
        <w:t>%的扣除</w:t>
      </w:r>
      <w:r>
        <w:rPr>
          <w:rFonts w:hint="eastAsia" w:ascii="新宋体" w:hAnsi="新宋体" w:eastAsia="新宋体" w:cs="新宋体"/>
          <w:b w:val="0"/>
          <w:bCs w:val="0"/>
          <w:color w:val="auto"/>
          <w:sz w:val="22"/>
          <w:szCs w:val="22"/>
          <w:highlight w:val="none"/>
          <w:lang w:val="zh-CN"/>
        </w:rPr>
        <w:t>，用扣除后的价格参与价格评分。</w:t>
      </w:r>
    </w:p>
    <w:p w14:paraId="06FB468E">
      <w:pPr>
        <w:keepNext w:val="0"/>
        <w:keepLines w:val="0"/>
        <w:pageBreakBefore w:val="0"/>
        <w:widowControl w:val="0"/>
        <w:kinsoku/>
        <w:wordWrap/>
        <w:overflowPunct/>
        <w:topLinePunct w:val="0"/>
        <w:autoSpaceDE/>
        <w:autoSpaceDN/>
        <w:bidi w:val="0"/>
        <w:adjustRightInd/>
        <w:spacing w:line="460" w:lineRule="exact"/>
        <w:ind w:firstLine="440" w:firstLineChars="200"/>
        <w:textAlignment w:val="auto"/>
        <w:rPr>
          <w:rFonts w:hint="eastAsia" w:ascii="新宋体" w:hAnsi="新宋体" w:eastAsia="新宋体" w:cs="新宋体"/>
          <w:b w:val="0"/>
          <w:bCs w:val="0"/>
          <w:color w:val="auto"/>
          <w:sz w:val="22"/>
          <w:szCs w:val="22"/>
          <w:highlight w:val="none"/>
          <w:lang w:val="zh-CN"/>
        </w:rPr>
      </w:pPr>
      <w:r>
        <w:rPr>
          <w:rFonts w:hint="eastAsia" w:ascii="新宋体" w:hAnsi="新宋体" w:eastAsia="新宋体" w:cs="新宋体"/>
          <w:b w:val="0"/>
          <w:bCs w:val="0"/>
          <w:color w:val="auto"/>
          <w:sz w:val="22"/>
          <w:szCs w:val="22"/>
          <w:highlight w:val="none"/>
          <w:lang w:val="zh-CN"/>
        </w:rPr>
        <w:t>监狱企业视同小微企业，其产品参加本项目投标的，享受小微企业同等的价格扣除。</w:t>
      </w:r>
    </w:p>
    <w:p w14:paraId="33BE3E89">
      <w:pPr>
        <w:spacing w:line="460" w:lineRule="exact"/>
        <w:ind w:firstLine="440" w:firstLineChars="200"/>
        <w:rPr>
          <w:rFonts w:hint="eastAsia" w:ascii="新宋体" w:hAnsi="新宋体" w:eastAsia="新宋体" w:cs="新宋体"/>
          <w:color w:val="auto"/>
          <w:sz w:val="22"/>
          <w:szCs w:val="22"/>
          <w:highlight w:val="none"/>
        </w:rPr>
      </w:pPr>
      <w:r>
        <w:rPr>
          <w:rFonts w:hint="eastAsia" w:ascii="宋体" w:hAnsi="宋体" w:cs="黑体"/>
          <w:color w:val="auto"/>
          <w:sz w:val="22"/>
          <w:szCs w:val="22"/>
          <w:highlight w:val="none"/>
        </w:rPr>
        <w:t>满足</w:t>
      </w:r>
      <w:r>
        <w:rPr>
          <w:rFonts w:hint="eastAsia" w:ascii="宋体" w:hAnsi="宋体" w:cs="黑体"/>
          <w:color w:val="auto"/>
          <w:sz w:val="22"/>
          <w:szCs w:val="22"/>
          <w:highlight w:val="none"/>
          <w:lang w:val="en-US" w:eastAsia="zh-CN"/>
        </w:rPr>
        <w:t>小微企业</w:t>
      </w:r>
      <w:r>
        <w:rPr>
          <w:rFonts w:hint="eastAsia" w:ascii="宋体" w:hAnsi="宋体" w:cs="黑体"/>
          <w:color w:val="auto"/>
          <w:sz w:val="22"/>
          <w:szCs w:val="22"/>
          <w:highlight w:val="none"/>
        </w:rPr>
        <w:t>折扣条件的</w:t>
      </w:r>
      <w:r>
        <w:rPr>
          <w:rFonts w:hint="eastAsia" w:ascii="新宋体" w:hAnsi="新宋体" w:eastAsia="新宋体" w:cs="新宋体"/>
          <w:color w:val="auto"/>
          <w:sz w:val="22"/>
          <w:szCs w:val="22"/>
          <w:highlight w:val="none"/>
        </w:rPr>
        <w:t>价格得分</w:t>
      </w:r>
      <w:r>
        <w:rPr>
          <w:rFonts w:hint="eastAsia" w:ascii="宋体" w:hAnsi="宋体" w:cs="黑体"/>
          <w:color w:val="auto"/>
          <w:sz w:val="22"/>
          <w:szCs w:val="22"/>
          <w:highlight w:val="none"/>
        </w:rPr>
        <w:t>=[评标基准价/(投标报价*</w:t>
      </w:r>
      <w:r>
        <w:rPr>
          <w:rFonts w:hint="eastAsia" w:ascii="宋体" w:hAnsi="宋体" w:cs="黑体"/>
          <w:color w:val="auto"/>
          <w:sz w:val="22"/>
          <w:szCs w:val="22"/>
          <w:highlight w:val="none"/>
          <w:lang w:val="en-US" w:eastAsia="zh-CN"/>
        </w:rPr>
        <w:t>9</w:t>
      </w:r>
      <w:r>
        <w:rPr>
          <w:rFonts w:hint="eastAsia" w:ascii="宋体" w:hAnsi="宋体" w:cs="黑体"/>
          <w:color w:val="auto"/>
          <w:sz w:val="22"/>
          <w:szCs w:val="22"/>
          <w:highlight w:val="none"/>
        </w:rPr>
        <w:t>0%)]×</w:t>
      </w:r>
      <w:r>
        <w:rPr>
          <w:rFonts w:hint="eastAsia" w:ascii="宋体" w:hAnsi="宋体" w:cs="黑体"/>
          <w:color w:val="auto"/>
          <w:sz w:val="22"/>
          <w:szCs w:val="22"/>
          <w:highlight w:val="none"/>
          <w:lang w:val="en-US" w:eastAsia="zh-CN"/>
        </w:rPr>
        <w:t>30</w:t>
      </w:r>
      <w:r>
        <w:rPr>
          <w:rFonts w:hint="eastAsia" w:ascii="宋体" w:hAnsi="宋体" w:cs="黑体"/>
          <w:color w:val="auto"/>
          <w:sz w:val="22"/>
          <w:szCs w:val="22"/>
          <w:highlight w:val="none"/>
        </w:rPr>
        <w:t>。</w:t>
      </w:r>
    </w:p>
    <w:p w14:paraId="3D0CDB0D">
      <w:pPr>
        <w:spacing w:line="460" w:lineRule="exact"/>
        <w:ind w:firstLine="440" w:firstLineChars="200"/>
        <w:rPr>
          <w:rFonts w:hint="eastAsia" w:ascii="新宋体" w:hAnsi="新宋体" w:eastAsia="新宋体" w:cs="新宋体"/>
          <w:color w:val="auto"/>
          <w:sz w:val="22"/>
          <w:szCs w:val="22"/>
          <w:highlight w:val="none"/>
        </w:rPr>
      </w:pPr>
      <w:r>
        <w:rPr>
          <w:rFonts w:hint="eastAsia" w:ascii="宋体" w:hAnsi="宋体" w:cs="黑体"/>
          <w:color w:val="auto"/>
          <w:sz w:val="22"/>
          <w:szCs w:val="22"/>
          <w:highlight w:val="none"/>
        </w:rPr>
        <w:t>满足</w:t>
      </w:r>
      <w:r>
        <w:rPr>
          <w:rFonts w:hint="eastAsia" w:ascii="宋体" w:hAnsi="宋体" w:cs="黑体"/>
          <w:color w:val="auto"/>
          <w:sz w:val="22"/>
          <w:szCs w:val="22"/>
          <w:highlight w:val="none"/>
          <w:lang w:val="en-US" w:eastAsia="zh-CN"/>
        </w:rPr>
        <w:t>联合体</w:t>
      </w:r>
      <w:r>
        <w:rPr>
          <w:rFonts w:hint="eastAsia" w:ascii="宋体" w:hAnsi="宋体" w:cs="黑体"/>
          <w:color w:val="auto"/>
          <w:sz w:val="22"/>
          <w:szCs w:val="22"/>
          <w:highlight w:val="none"/>
        </w:rPr>
        <w:t>折扣条件的</w:t>
      </w:r>
      <w:r>
        <w:rPr>
          <w:rFonts w:hint="eastAsia" w:ascii="新宋体" w:hAnsi="新宋体" w:eastAsia="新宋体" w:cs="新宋体"/>
          <w:color w:val="auto"/>
          <w:sz w:val="22"/>
          <w:szCs w:val="22"/>
          <w:highlight w:val="none"/>
        </w:rPr>
        <w:t>价格得分</w:t>
      </w:r>
      <w:r>
        <w:rPr>
          <w:rFonts w:hint="eastAsia" w:ascii="宋体" w:hAnsi="宋体" w:cs="黑体"/>
          <w:color w:val="auto"/>
          <w:sz w:val="22"/>
          <w:szCs w:val="22"/>
          <w:highlight w:val="none"/>
        </w:rPr>
        <w:t>=[评标基准价/(投标报价*</w:t>
      </w:r>
      <w:r>
        <w:rPr>
          <w:rFonts w:hint="eastAsia" w:ascii="宋体" w:hAnsi="宋体" w:cs="黑体"/>
          <w:color w:val="auto"/>
          <w:sz w:val="22"/>
          <w:szCs w:val="22"/>
          <w:highlight w:val="none"/>
          <w:lang w:val="en-US" w:eastAsia="zh-CN"/>
        </w:rPr>
        <w:t>96</w:t>
      </w:r>
      <w:r>
        <w:rPr>
          <w:rFonts w:hint="eastAsia" w:ascii="宋体" w:hAnsi="宋体" w:cs="黑体"/>
          <w:color w:val="auto"/>
          <w:sz w:val="22"/>
          <w:szCs w:val="22"/>
          <w:highlight w:val="none"/>
        </w:rPr>
        <w:t>%)]×</w:t>
      </w:r>
      <w:r>
        <w:rPr>
          <w:rFonts w:hint="eastAsia" w:ascii="宋体" w:hAnsi="宋体" w:cs="黑体"/>
          <w:color w:val="auto"/>
          <w:sz w:val="22"/>
          <w:szCs w:val="22"/>
          <w:highlight w:val="none"/>
          <w:lang w:val="en-US" w:eastAsia="zh-CN"/>
        </w:rPr>
        <w:t>30</w:t>
      </w:r>
      <w:r>
        <w:rPr>
          <w:rFonts w:hint="eastAsia" w:ascii="宋体" w:hAnsi="宋体" w:cs="黑体"/>
          <w:color w:val="auto"/>
          <w:sz w:val="22"/>
          <w:szCs w:val="22"/>
          <w:highlight w:val="none"/>
        </w:rPr>
        <w:t>。</w:t>
      </w:r>
    </w:p>
    <w:p w14:paraId="6184E528">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3、有效投标人的综合得分为技术分和商务（报价）分的总和。</w:t>
      </w:r>
    </w:p>
    <w:p w14:paraId="021A7097">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lang w:val="en-US" w:eastAsia="zh-CN"/>
        </w:rPr>
        <w:t>4</w:t>
      </w:r>
      <w:r>
        <w:rPr>
          <w:rFonts w:hint="eastAsia" w:ascii="新宋体" w:hAnsi="新宋体" w:eastAsia="新宋体" w:cs="新宋体"/>
          <w:b/>
          <w:bCs/>
          <w:color w:val="auto"/>
          <w:sz w:val="22"/>
          <w:szCs w:val="22"/>
          <w:highlight w:val="none"/>
          <w:u w:val="singl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748D4F4">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bCs/>
          <w:color w:val="auto"/>
          <w:sz w:val="22"/>
          <w:szCs w:val="22"/>
          <w:highlight w:val="none"/>
        </w:rPr>
      </w:pPr>
      <w:bookmarkStart w:id="72" w:name="_Toc25303"/>
      <w:bookmarkStart w:id="73" w:name="_Toc2482"/>
      <w:r>
        <w:rPr>
          <w:rFonts w:hint="eastAsia" w:ascii="新宋体" w:hAnsi="新宋体" w:eastAsia="新宋体" w:cs="新宋体"/>
          <w:b/>
          <w:bCs/>
          <w:color w:val="auto"/>
          <w:sz w:val="22"/>
          <w:szCs w:val="22"/>
          <w:highlight w:val="none"/>
        </w:rPr>
        <w:t>六、定标办法</w:t>
      </w:r>
      <w:bookmarkEnd w:id="72"/>
      <w:bookmarkEnd w:id="73"/>
    </w:p>
    <w:p w14:paraId="09A42A29">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确定中标候选人</w:t>
      </w:r>
    </w:p>
    <w:p w14:paraId="0F657B91">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1.1由评标委员会确定中标候选人。</w:t>
      </w:r>
    </w:p>
    <w:p w14:paraId="7CF587D6">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1.2评标委员会依据法律、法规及</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有关规定按评审后得分（即商务技术分与报价得分之和）由高到低顺序排序，得分前二名的投标人确定为该项目的第一和第二中标候选人（得分相同的，按投标报价由低到高顺序排列。得分且投标报价相同的并列。）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推荐。</w:t>
      </w:r>
    </w:p>
    <w:p w14:paraId="656DFB36">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2、确定中标人</w:t>
      </w:r>
    </w:p>
    <w:p w14:paraId="156EBCCB">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2.1</w:t>
      </w:r>
      <w:r>
        <w:rPr>
          <w:rFonts w:hint="eastAsia" w:ascii="新宋体" w:hAnsi="新宋体" w:eastAsia="新宋体" w:cs="新宋体"/>
          <w:b/>
          <w:bCs/>
          <w:color w:val="auto"/>
          <w:sz w:val="22"/>
          <w:szCs w:val="22"/>
          <w:highlight w:val="none"/>
          <w:lang w:eastAsia="zh-CN"/>
        </w:rPr>
        <w:t>采购人</w:t>
      </w:r>
      <w:r>
        <w:rPr>
          <w:rFonts w:hint="eastAsia" w:ascii="新宋体" w:hAnsi="新宋体" w:eastAsia="新宋体" w:cs="新宋体"/>
          <w:b/>
          <w:bCs/>
          <w:color w:val="auto"/>
          <w:sz w:val="22"/>
          <w:szCs w:val="22"/>
          <w:highlight w:val="none"/>
        </w:rPr>
        <w:t>按照评标报告中推荐的中标候选供应商顺序确定中标人；中标候选人并列的，由评标委员会全体成员记名投票按少数服从多数的原则确定排名。</w:t>
      </w:r>
    </w:p>
    <w:p w14:paraId="6E20B711">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2.2如中标人放弃中标；或未能在规定时间内与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签订合同的；或者经质疑，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审查后，确因排名第一的候选人在本次采购活动中存在违法违规行为或其他原因使质疑成立的，</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可以视情况直接确定排名第二的候选人为中标人或重新组织招标。</w:t>
      </w:r>
    </w:p>
    <w:p w14:paraId="3D6A9C49">
      <w:pPr>
        <w:keepNext w:val="0"/>
        <w:keepLines w:val="0"/>
        <w:pageBreakBefore w:val="0"/>
        <w:widowControl w:val="0"/>
        <w:kinsoku/>
        <w:wordWrap/>
        <w:overflowPunct/>
        <w:topLinePunct w:val="0"/>
        <w:autoSpaceDE/>
        <w:autoSpaceDN/>
        <w:bidi w:val="0"/>
        <w:adjustRightInd/>
        <w:snapToGrid/>
        <w:spacing w:line="44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中标人确定后，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将在指定媒体公告中标结果，</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向中标人发出中标通知书。</w:t>
      </w:r>
    </w:p>
    <w:p w14:paraId="389DAA23">
      <w:pPr>
        <w:keepNext w:val="0"/>
        <w:keepLines w:val="0"/>
        <w:pageBreakBefore w:val="0"/>
        <w:widowControl w:val="0"/>
        <w:kinsoku/>
        <w:wordWrap/>
        <w:overflowPunct/>
        <w:topLinePunct w:val="0"/>
        <w:autoSpaceDE/>
        <w:autoSpaceDN/>
        <w:bidi w:val="0"/>
        <w:adjustRightInd/>
        <w:snapToGrid/>
        <w:spacing w:line="440" w:lineRule="exact"/>
        <w:ind w:firstLine="442" w:firstLineChars="200"/>
        <w:textAlignment w:val="auto"/>
        <w:outlineLvl w:val="1"/>
        <w:rPr>
          <w:rFonts w:hint="eastAsia" w:ascii="新宋体" w:hAnsi="新宋体" w:eastAsia="新宋体" w:cs="新宋体"/>
          <w:b/>
          <w:color w:val="auto"/>
          <w:sz w:val="22"/>
          <w:szCs w:val="22"/>
          <w:highlight w:val="none"/>
        </w:rPr>
      </w:pPr>
      <w:bookmarkStart w:id="74" w:name="_Toc14834"/>
      <w:bookmarkStart w:id="75" w:name="_Toc17587"/>
      <w:r>
        <w:rPr>
          <w:rFonts w:hint="eastAsia" w:ascii="新宋体" w:hAnsi="新宋体" w:eastAsia="新宋体" w:cs="新宋体"/>
          <w:b/>
          <w:color w:val="auto"/>
          <w:sz w:val="22"/>
          <w:szCs w:val="22"/>
          <w:highlight w:val="none"/>
        </w:rPr>
        <w:t>七、投标人义务</w:t>
      </w:r>
      <w:bookmarkEnd w:id="74"/>
      <w:bookmarkEnd w:id="75"/>
    </w:p>
    <w:p w14:paraId="240CA50B">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投标人应随时接受评标委员会的询标，解答包括有关的商务、技术问题等。评标结束，所有评标资料存</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lang w:val="en-US" w:eastAsia="zh-CN"/>
        </w:rPr>
        <w:t>代理</w:t>
      </w:r>
      <w:r>
        <w:rPr>
          <w:rFonts w:hint="eastAsia" w:ascii="新宋体" w:hAnsi="新宋体" w:eastAsia="新宋体" w:cs="新宋体"/>
          <w:color w:val="auto"/>
          <w:sz w:val="22"/>
          <w:szCs w:val="22"/>
          <w:highlight w:val="none"/>
        </w:rPr>
        <w:t>机构备查。</w:t>
      </w:r>
    </w:p>
    <w:p w14:paraId="05C19808">
      <w:pPr>
        <w:keepNext w:val="0"/>
        <w:keepLines w:val="0"/>
        <w:pageBreakBefore w:val="0"/>
        <w:widowControl w:val="0"/>
        <w:kinsoku/>
        <w:wordWrap/>
        <w:overflowPunct/>
        <w:topLinePunct w:val="0"/>
        <w:autoSpaceDE/>
        <w:autoSpaceDN/>
        <w:bidi w:val="0"/>
        <w:adjustRightInd/>
        <w:snapToGrid/>
        <w:spacing w:line="44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val="en-US" w:eastAsia="zh-CN"/>
        </w:rPr>
        <w:t>2、中标供应商须提供纸质投标响应文件并加盖单位公章一份，送至代理公司。</w:t>
      </w:r>
    </w:p>
    <w:sectPr>
      <w:headerReference r:id="rId6" w:type="default"/>
      <w:footerReference r:id="rId7" w:type="default"/>
      <w:pgSz w:w="11906" w:h="16838"/>
      <w:pgMar w:top="1134" w:right="1134" w:bottom="1134" w:left="1134" w:header="850" w:footer="992" w:gutter="0"/>
      <w:cols w:space="720" w:num="1"/>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Wingdings 2">
    <w:panose1 w:val="05020102010507070707"/>
    <w:charset w:val="02"/>
    <w:family w:val="roman"/>
    <w:pitch w:val="default"/>
    <w:sig w:usb0="00000000" w:usb1="00000000" w:usb2="00000000" w:usb3="00000000" w:csb0="80000000" w:csb1="0000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auto"/>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Arial Unicode MS">
    <w:panose1 w:val="020B0604020202020204"/>
    <w:charset w:val="86"/>
    <w:family w:val="auto"/>
    <w:pitch w:val="default"/>
    <w:sig w:usb0="FFFFFFFF" w:usb1="E9FFFFFF"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Helvetica">
    <w:altName w:val="Arial"/>
    <w:panose1 w:val="020B0604020202020204"/>
    <w:charset w:val="00"/>
    <w:family w:val="swiss"/>
    <w:pitch w:val="default"/>
    <w:sig w:usb0="00000000" w:usb1="00000000" w:usb2="00000000" w:usb3="00000000" w:csb0="00000001"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E144C">
    <w:pPr>
      <w:pStyle w:val="34"/>
      <w:framePr w:wrap="around" w:vAnchor="text" w:hAnchor="margin" w:xAlign="center" w:y="1"/>
      <w:rPr>
        <w:rStyle w:val="57"/>
      </w:rPr>
    </w:pPr>
    <w:r>
      <w:fldChar w:fldCharType="begin"/>
    </w:r>
    <w:r>
      <w:rPr>
        <w:rStyle w:val="57"/>
      </w:rPr>
      <w:instrText xml:space="preserve">PAGE  </w:instrText>
    </w:r>
    <w:r>
      <w:fldChar w:fldCharType="separate"/>
    </w:r>
    <w:r>
      <w:rPr>
        <w:rStyle w:val="57"/>
      </w:rPr>
      <w:t>56</w:t>
    </w:r>
    <w:r>
      <w:fldChar w:fldCharType="end"/>
    </w:r>
  </w:p>
  <w:p w14:paraId="2E917B7C">
    <w:pPr>
      <w:pStyle w:val="34"/>
      <w:ind w:right="360" w:firstLine="4500" w:firstLineChars="25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4F52B7">
    <w:pPr>
      <w:pStyle w:val="34"/>
      <w:framePr w:wrap="around" w:vAnchor="text" w:hAnchor="margin" w:xAlign="center" w:y="1"/>
      <w:rPr>
        <w:rStyle w:val="57"/>
      </w:rPr>
    </w:pPr>
    <w:r>
      <w:fldChar w:fldCharType="begin"/>
    </w:r>
    <w:r>
      <w:rPr>
        <w:rStyle w:val="57"/>
      </w:rPr>
      <w:instrText xml:space="preserve">PAGE  </w:instrText>
    </w:r>
    <w:r>
      <w:fldChar w:fldCharType="separate"/>
    </w:r>
    <w:r>
      <w:rPr>
        <w:rStyle w:val="57"/>
      </w:rPr>
      <w:t>76</w:t>
    </w:r>
    <w:r>
      <w:fldChar w:fldCharType="end"/>
    </w:r>
  </w:p>
  <w:p w14:paraId="77EFA4F2">
    <w:pPr>
      <w:pStyle w:val="34"/>
      <w:ind w:right="360" w:firstLine="4500" w:firstLineChars="250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8BCC0">
    <w:pPr>
      <w:pStyle w:val="35"/>
      <w:pBdr>
        <w:bottom w:val="single" w:color="auto" w:sz="6" w:space="0"/>
      </w:pBdr>
      <w:jc w:val="both"/>
      <w:rPr>
        <w:rFonts w:hint="eastAsia" w:eastAsia="宋体"/>
        <w:lang w:eastAsia="zh-CN"/>
      </w:rPr>
    </w:pPr>
    <w:r>
      <w:rPr>
        <w:rFonts w:hint="eastAsia" w:ascii="新宋体" w:hAnsi="新宋体" w:eastAsia="新宋体" w:cs="新宋体"/>
      </w:rPr>
      <w:t>温州市政府（分散）采购</w:t>
    </w:r>
    <w:r>
      <w:rPr>
        <w:rFonts w:hint="eastAsia" w:ascii="新宋体" w:hAnsi="新宋体" w:eastAsia="新宋体" w:cs="新宋体"/>
        <w:lang w:eastAsia="zh-CN"/>
      </w:rPr>
      <w:t>采购文件</w:t>
    </w:r>
    <w:r>
      <w:rPr>
        <w:rFonts w:hint="eastAsia" w:ascii="新宋体" w:hAnsi="新宋体" w:eastAsia="新宋体" w:cs="新宋体"/>
      </w:rPr>
      <w:t xml:space="preserve">                                     项目编号：</w:t>
    </w:r>
    <w:r>
      <w:rPr>
        <w:rFonts w:hint="eastAsia" w:ascii="新宋体" w:hAnsi="新宋体" w:eastAsia="新宋体" w:cs="新宋体"/>
        <w:lang w:eastAsia="zh-CN"/>
      </w:rPr>
      <w:t>WZLCZB（L）-2025-04126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F94F9">
    <w:pPr>
      <w:pStyle w:val="3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A959D">
    <w:pPr>
      <w:pStyle w:val="35"/>
      <w:pBdr>
        <w:bottom w:val="single" w:color="auto" w:sz="6" w:space="0"/>
      </w:pBdr>
      <w:jc w:val="both"/>
      <w:rPr>
        <w:rFonts w:hint="eastAsia" w:eastAsia="宋体"/>
        <w:lang w:eastAsia="zh-CN"/>
      </w:rPr>
    </w:pPr>
    <w:r>
      <w:rPr>
        <w:rFonts w:hint="eastAsia" w:ascii="新宋体" w:hAnsi="新宋体" w:eastAsia="新宋体" w:cs="新宋体"/>
      </w:rPr>
      <w:t>温州市政府（分散）采购</w:t>
    </w:r>
    <w:r>
      <w:rPr>
        <w:rFonts w:hint="eastAsia" w:ascii="新宋体" w:hAnsi="新宋体" w:eastAsia="新宋体" w:cs="新宋体"/>
        <w:lang w:eastAsia="zh-CN"/>
      </w:rPr>
      <w:t>采购文件</w:t>
    </w:r>
    <w:r>
      <w:rPr>
        <w:rFonts w:hint="eastAsia" w:ascii="新宋体" w:hAnsi="新宋体" w:eastAsia="新宋体" w:cs="新宋体"/>
      </w:rPr>
      <w:t xml:space="preserve">                                     项目编号：</w:t>
    </w:r>
    <w:r>
      <w:rPr>
        <w:rFonts w:hint="eastAsia" w:ascii="新宋体" w:hAnsi="新宋体" w:eastAsia="新宋体" w:cs="新宋体"/>
        <w:lang w:eastAsia="zh-CN"/>
      </w:rPr>
      <w:t>WZLCZB（L）-2025-04126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2D4FE1"/>
    <w:multiLevelType w:val="multilevel"/>
    <w:tmpl w:val="1E2D4FE1"/>
    <w:lvl w:ilvl="0" w:tentative="0">
      <w:start w:val="4"/>
      <w:numFmt w:val="decimal"/>
      <w:lvlText w:val="%1."/>
      <w:lvlJc w:val="left"/>
      <w:pPr>
        <w:tabs>
          <w:tab w:val="left" w:pos="555"/>
        </w:tabs>
        <w:ind w:left="555" w:hanging="555"/>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52D7A3B6"/>
    <w:multiLevelType w:val="singleLevel"/>
    <w:tmpl w:val="52D7A3B6"/>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forms" w:enforcement="0"/>
  <w:defaultTabStop w:val="420"/>
  <w:drawingGridHorizontalSpacing w:val="210"/>
  <w:drawingGridVerticalSpacing w:val="16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zM2JkNDhjZjM1ZDA0OTYyYzExNzBlMGM3MmIzMGEifQ=="/>
  </w:docVars>
  <w:rsids>
    <w:rsidRoot w:val="00172A27"/>
    <w:rsid w:val="000149E3"/>
    <w:rsid w:val="00020693"/>
    <w:rsid w:val="000217C7"/>
    <w:rsid w:val="00026A46"/>
    <w:rsid w:val="00027D0D"/>
    <w:rsid w:val="00031F49"/>
    <w:rsid w:val="00037B6F"/>
    <w:rsid w:val="000474B4"/>
    <w:rsid w:val="00063600"/>
    <w:rsid w:val="000A6326"/>
    <w:rsid w:val="000B2878"/>
    <w:rsid w:val="0010260A"/>
    <w:rsid w:val="00121549"/>
    <w:rsid w:val="0013451B"/>
    <w:rsid w:val="00146E35"/>
    <w:rsid w:val="00172A27"/>
    <w:rsid w:val="00176791"/>
    <w:rsid w:val="0018007B"/>
    <w:rsid w:val="0019644F"/>
    <w:rsid w:val="001B0F17"/>
    <w:rsid w:val="001B2275"/>
    <w:rsid w:val="001D4048"/>
    <w:rsid w:val="001D49A1"/>
    <w:rsid w:val="001E7897"/>
    <w:rsid w:val="001F5D2B"/>
    <w:rsid w:val="002018F6"/>
    <w:rsid w:val="002044B9"/>
    <w:rsid w:val="00212172"/>
    <w:rsid w:val="00223CC1"/>
    <w:rsid w:val="00227214"/>
    <w:rsid w:val="00230913"/>
    <w:rsid w:val="00243D5B"/>
    <w:rsid w:val="002447E7"/>
    <w:rsid w:val="00261F3C"/>
    <w:rsid w:val="00270294"/>
    <w:rsid w:val="00271C2D"/>
    <w:rsid w:val="002843F3"/>
    <w:rsid w:val="00296547"/>
    <w:rsid w:val="002A31D6"/>
    <w:rsid w:val="002B5782"/>
    <w:rsid w:val="002C08AE"/>
    <w:rsid w:val="002C09AD"/>
    <w:rsid w:val="002D20EE"/>
    <w:rsid w:val="002D2D3D"/>
    <w:rsid w:val="002E7DAB"/>
    <w:rsid w:val="00303CC3"/>
    <w:rsid w:val="003058EA"/>
    <w:rsid w:val="00327AB8"/>
    <w:rsid w:val="00350DF6"/>
    <w:rsid w:val="00351F86"/>
    <w:rsid w:val="00352124"/>
    <w:rsid w:val="0035435E"/>
    <w:rsid w:val="00357388"/>
    <w:rsid w:val="00357A7B"/>
    <w:rsid w:val="003654EF"/>
    <w:rsid w:val="00372FCF"/>
    <w:rsid w:val="00373BB2"/>
    <w:rsid w:val="00380B23"/>
    <w:rsid w:val="00383F1F"/>
    <w:rsid w:val="003B0A15"/>
    <w:rsid w:val="003B1471"/>
    <w:rsid w:val="003B5050"/>
    <w:rsid w:val="003C713C"/>
    <w:rsid w:val="003F3276"/>
    <w:rsid w:val="00405F28"/>
    <w:rsid w:val="0041137E"/>
    <w:rsid w:val="00430AB9"/>
    <w:rsid w:val="00441256"/>
    <w:rsid w:val="0045663E"/>
    <w:rsid w:val="00461389"/>
    <w:rsid w:val="0046542D"/>
    <w:rsid w:val="00481BD3"/>
    <w:rsid w:val="004B66F1"/>
    <w:rsid w:val="004C013A"/>
    <w:rsid w:val="004C7034"/>
    <w:rsid w:val="005001D6"/>
    <w:rsid w:val="00522EF2"/>
    <w:rsid w:val="005238A3"/>
    <w:rsid w:val="00526065"/>
    <w:rsid w:val="00532669"/>
    <w:rsid w:val="00533C40"/>
    <w:rsid w:val="00555FA3"/>
    <w:rsid w:val="00561E5D"/>
    <w:rsid w:val="0056534C"/>
    <w:rsid w:val="00565E01"/>
    <w:rsid w:val="005674BB"/>
    <w:rsid w:val="00572B8A"/>
    <w:rsid w:val="00582AEF"/>
    <w:rsid w:val="00586839"/>
    <w:rsid w:val="00587A14"/>
    <w:rsid w:val="005A1DD3"/>
    <w:rsid w:val="005A3AA2"/>
    <w:rsid w:val="005A65DF"/>
    <w:rsid w:val="005B3595"/>
    <w:rsid w:val="005C388F"/>
    <w:rsid w:val="00607A59"/>
    <w:rsid w:val="00631E7A"/>
    <w:rsid w:val="0064398C"/>
    <w:rsid w:val="00644CD7"/>
    <w:rsid w:val="00647AB1"/>
    <w:rsid w:val="00654A9F"/>
    <w:rsid w:val="00665E12"/>
    <w:rsid w:val="00692D32"/>
    <w:rsid w:val="00696C82"/>
    <w:rsid w:val="006A1CF7"/>
    <w:rsid w:val="006B3E1C"/>
    <w:rsid w:val="006C06F0"/>
    <w:rsid w:val="006D6C7C"/>
    <w:rsid w:val="006E2672"/>
    <w:rsid w:val="007068AC"/>
    <w:rsid w:val="00722BB3"/>
    <w:rsid w:val="00725254"/>
    <w:rsid w:val="00740E65"/>
    <w:rsid w:val="00753072"/>
    <w:rsid w:val="007546B0"/>
    <w:rsid w:val="007671B7"/>
    <w:rsid w:val="00774E3F"/>
    <w:rsid w:val="00776F48"/>
    <w:rsid w:val="00780CBF"/>
    <w:rsid w:val="00781B95"/>
    <w:rsid w:val="007A21E8"/>
    <w:rsid w:val="007A62BD"/>
    <w:rsid w:val="007B564B"/>
    <w:rsid w:val="007B769B"/>
    <w:rsid w:val="007E29D6"/>
    <w:rsid w:val="007E6E86"/>
    <w:rsid w:val="007F2164"/>
    <w:rsid w:val="00800A72"/>
    <w:rsid w:val="00804ACD"/>
    <w:rsid w:val="0080543D"/>
    <w:rsid w:val="00817CE2"/>
    <w:rsid w:val="00831C7B"/>
    <w:rsid w:val="00832D9C"/>
    <w:rsid w:val="00836E00"/>
    <w:rsid w:val="00846CC5"/>
    <w:rsid w:val="00850622"/>
    <w:rsid w:val="00870DFA"/>
    <w:rsid w:val="00871EBE"/>
    <w:rsid w:val="00873949"/>
    <w:rsid w:val="00875629"/>
    <w:rsid w:val="00877499"/>
    <w:rsid w:val="00892732"/>
    <w:rsid w:val="00893202"/>
    <w:rsid w:val="0089599B"/>
    <w:rsid w:val="008A127E"/>
    <w:rsid w:val="008B2FA9"/>
    <w:rsid w:val="008C2D7B"/>
    <w:rsid w:val="008C31BC"/>
    <w:rsid w:val="008D62C9"/>
    <w:rsid w:val="008D75C3"/>
    <w:rsid w:val="008E0B76"/>
    <w:rsid w:val="008E26D5"/>
    <w:rsid w:val="008F4E37"/>
    <w:rsid w:val="008F7BE3"/>
    <w:rsid w:val="008F7D27"/>
    <w:rsid w:val="009016FC"/>
    <w:rsid w:val="00902AA2"/>
    <w:rsid w:val="009254A6"/>
    <w:rsid w:val="0093089E"/>
    <w:rsid w:val="00933974"/>
    <w:rsid w:val="00936127"/>
    <w:rsid w:val="00945DCB"/>
    <w:rsid w:val="009652E5"/>
    <w:rsid w:val="00973F7A"/>
    <w:rsid w:val="0097671D"/>
    <w:rsid w:val="00977673"/>
    <w:rsid w:val="00987F54"/>
    <w:rsid w:val="00991B38"/>
    <w:rsid w:val="00996305"/>
    <w:rsid w:val="009C748F"/>
    <w:rsid w:val="009E4D45"/>
    <w:rsid w:val="00A24A5C"/>
    <w:rsid w:val="00A42424"/>
    <w:rsid w:val="00A45873"/>
    <w:rsid w:val="00A56219"/>
    <w:rsid w:val="00A61866"/>
    <w:rsid w:val="00A77176"/>
    <w:rsid w:val="00A92B83"/>
    <w:rsid w:val="00A957CF"/>
    <w:rsid w:val="00AA3DA6"/>
    <w:rsid w:val="00AA7C87"/>
    <w:rsid w:val="00AD31D4"/>
    <w:rsid w:val="00AD66E6"/>
    <w:rsid w:val="00AE4B39"/>
    <w:rsid w:val="00AF7BEB"/>
    <w:rsid w:val="00B06E43"/>
    <w:rsid w:val="00B2584A"/>
    <w:rsid w:val="00B41362"/>
    <w:rsid w:val="00B43A9E"/>
    <w:rsid w:val="00B44537"/>
    <w:rsid w:val="00B5466C"/>
    <w:rsid w:val="00B74039"/>
    <w:rsid w:val="00B87E26"/>
    <w:rsid w:val="00B9767A"/>
    <w:rsid w:val="00BA78D1"/>
    <w:rsid w:val="00BB0805"/>
    <w:rsid w:val="00BC0A13"/>
    <w:rsid w:val="00BC2B54"/>
    <w:rsid w:val="00BC4AC5"/>
    <w:rsid w:val="00BC66D1"/>
    <w:rsid w:val="00BF1399"/>
    <w:rsid w:val="00BF32BD"/>
    <w:rsid w:val="00C12358"/>
    <w:rsid w:val="00C232C8"/>
    <w:rsid w:val="00C41455"/>
    <w:rsid w:val="00C468B7"/>
    <w:rsid w:val="00C67C97"/>
    <w:rsid w:val="00C70CE6"/>
    <w:rsid w:val="00C758F7"/>
    <w:rsid w:val="00C816DD"/>
    <w:rsid w:val="00C95163"/>
    <w:rsid w:val="00CB584C"/>
    <w:rsid w:val="00CC06DE"/>
    <w:rsid w:val="00CC3B91"/>
    <w:rsid w:val="00CE590D"/>
    <w:rsid w:val="00CF5C76"/>
    <w:rsid w:val="00D00FFE"/>
    <w:rsid w:val="00D13A1C"/>
    <w:rsid w:val="00D224FF"/>
    <w:rsid w:val="00D27DB2"/>
    <w:rsid w:val="00D3078D"/>
    <w:rsid w:val="00D30E82"/>
    <w:rsid w:val="00D47AC2"/>
    <w:rsid w:val="00D56369"/>
    <w:rsid w:val="00D70EBE"/>
    <w:rsid w:val="00D73718"/>
    <w:rsid w:val="00D7763D"/>
    <w:rsid w:val="00D844F8"/>
    <w:rsid w:val="00DB09B7"/>
    <w:rsid w:val="00DB2DE0"/>
    <w:rsid w:val="00DB41D0"/>
    <w:rsid w:val="00DF073C"/>
    <w:rsid w:val="00DF0B3F"/>
    <w:rsid w:val="00E02244"/>
    <w:rsid w:val="00E05AD1"/>
    <w:rsid w:val="00E11D98"/>
    <w:rsid w:val="00E15CD1"/>
    <w:rsid w:val="00E22045"/>
    <w:rsid w:val="00E248CD"/>
    <w:rsid w:val="00E36483"/>
    <w:rsid w:val="00E53874"/>
    <w:rsid w:val="00E5643F"/>
    <w:rsid w:val="00E56BD4"/>
    <w:rsid w:val="00E57D1E"/>
    <w:rsid w:val="00E72ABC"/>
    <w:rsid w:val="00E74DBC"/>
    <w:rsid w:val="00E76E5A"/>
    <w:rsid w:val="00EC182D"/>
    <w:rsid w:val="00EC6C26"/>
    <w:rsid w:val="00EC7DF8"/>
    <w:rsid w:val="00ED2873"/>
    <w:rsid w:val="00ED3B24"/>
    <w:rsid w:val="00ED7497"/>
    <w:rsid w:val="00EE45C7"/>
    <w:rsid w:val="00EF4A4C"/>
    <w:rsid w:val="00F03D32"/>
    <w:rsid w:val="00F06ABE"/>
    <w:rsid w:val="00F270F8"/>
    <w:rsid w:val="00F27576"/>
    <w:rsid w:val="00F36312"/>
    <w:rsid w:val="00F5082C"/>
    <w:rsid w:val="00F52CCB"/>
    <w:rsid w:val="00F52CD3"/>
    <w:rsid w:val="00F52E99"/>
    <w:rsid w:val="00F60DCB"/>
    <w:rsid w:val="00F80AAA"/>
    <w:rsid w:val="00F93BBA"/>
    <w:rsid w:val="00F95280"/>
    <w:rsid w:val="00FA662A"/>
    <w:rsid w:val="00FB0E0C"/>
    <w:rsid w:val="00FB1229"/>
    <w:rsid w:val="00FB62B3"/>
    <w:rsid w:val="00FC44CE"/>
    <w:rsid w:val="00FD52B1"/>
    <w:rsid w:val="00FF3A66"/>
    <w:rsid w:val="00FF6977"/>
    <w:rsid w:val="0116709E"/>
    <w:rsid w:val="01606883"/>
    <w:rsid w:val="017E2EFE"/>
    <w:rsid w:val="019C0F58"/>
    <w:rsid w:val="020D29B1"/>
    <w:rsid w:val="021F634E"/>
    <w:rsid w:val="021F7DAD"/>
    <w:rsid w:val="02201D8C"/>
    <w:rsid w:val="0224444B"/>
    <w:rsid w:val="022D7429"/>
    <w:rsid w:val="02451328"/>
    <w:rsid w:val="027D25C0"/>
    <w:rsid w:val="02841565"/>
    <w:rsid w:val="02B3222E"/>
    <w:rsid w:val="02CB2CD8"/>
    <w:rsid w:val="02F63BA4"/>
    <w:rsid w:val="03134011"/>
    <w:rsid w:val="031D0871"/>
    <w:rsid w:val="03283281"/>
    <w:rsid w:val="03331487"/>
    <w:rsid w:val="03400B54"/>
    <w:rsid w:val="034456E0"/>
    <w:rsid w:val="034A64CB"/>
    <w:rsid w:val="037D10FB"/>
    <w:rsid w:val="039714E5"/>
    <w:rsid w:val="03BE392F"/>
    <w:rsid w:val="03E13A1E"/>
    <w:rsid w:val="04156ACE"/>
    <w:rsid w:val="042A5AFC"/>
    <w:rsid w:val="043D6DF1"/>
    <w:rsid w:val="043F2279"/>
    <w:rsid w:val="044865A2"/>
    <w:rsid w:val="048D46D7"/>
    <w:rsid w:val="04A01243"/>
    <w:rsid w:val="04BA38D0"/>
    <w:rsid w:val="04C27070"/>
    <w:rsid w:val="04CB3EEB"/>
    <w:rsid w:val="04E23C80"/>
    <w:rsid w:val="04FD6D0A"/>
    <w:rsid w:val="050751FC"/>
    <w:rsid w:val="05166806"/>
    <w:rsid w:val="0529508C"/>
    <w:rsid w:val="053A30CA"/>
    <w:rsid w:val="05594E8C"/>
    <w:rsid w:val="057D25F0"/>
    <w:rsid w:val="05936339"/>
    <w:rsid w:val="05A864BD"/>
    <w:rsid w:val="05D76F02"/>
    <w:rsid w:val="062F7E7F"/>
    <w:rsid w:val="0650016B"/>
    <w:rsid w:val="06535B8C"/>
    <w:rsid w:val="06695ADA"/>
    <w:rsid w:val="067F52AB"/>
    <w:rsid w:val="06843699"/>
    <w:rsid w:val="06931F1F"/>
    <w:rsid w:val="06CF774B"/>
    <w:rsid w:val="06E17425"/>
    <w:rsid w:val="06E81491"/>
    <w:rsid w:val="07081502"/>
    <w:rsid w:val="072046E3"/>
    <w:rsid w:val="07373C8C"/>
    <w:rsid w:val="074234A9"/>
    <w:rsid w:val="0747552D"/>
    <w:rsid w:val="07592C30"/>
    <w:rsid w:val="075C0A46"/>
    <w:rsid w:val="07791E20"/>
    <w:rsid w:val="078177D5"/>
    <w:rsid w:val="07924879"/>
    <w:rsid w:val="079A3116"/>
    <w:rsid w:val="079C0E64"/>
    <w:rsid w:val="07D60F62"/>
    <w:rsid w:val="07F01CB1"/>
    <w:rsid w:val="082A6B76"/>
    <w:rsid w:val="08621901"/>
    <w:rsid w:val="0873007F"/>
    <w:rsid w:val="08911C02"/>
    <w:rsid w:val="08913549"/>
    <w:rsid w:val="08A026E0"/>
    <w:rsid w:val="08B53A61"/>
    <w:rsid w:val="08E76FD5"/>
    <w:rsid w:val="08FD20E7"/>
    <w:rsid w:val="09101BCD"/>
    <w:rsid w:val="091751CA"/>
    <w:rsid w:val="09257549"/>
    <w:rsid w:val="09315C91"/>
    <w:rsid w:val="09324E46"/>
    <w:rsid w:val="09453417"/>
    <w:rsid w:val="09510BFE"/>
    <w:rsid w:val="095E5D5B"/>
    <w:rsid w:val="097E368B"/>
    <w:rsid w:val="09816EE6"/>
    <w:rsid w:val="099757EE"/>
    <w:rsid w:val="09A34824"/>
    <w:rsid w:val="09B85302"/>
    <w:rsid w:val="09B94936"/>
    <w:rsid w:val="09BE20F9"/>
    <w:rsid w:val="09CA2D09"/>
    <w:rsid w:val="09CA7E31"/>
    <w:rsid w:val="09D26DBF"/>
    <w:rsid w:val="09DB53D8"/>
    <w:rsid w:val="09F65854"/>
    <w:rsid w:val="0A07422F"/>
    <w:rsid w:val="0A1B49C1"/>
    <w:rsid w:val="0A214154"/>
    <w:rsid w:val="0A3D0590"/>
    <w:rsid w:val="0A7416D8"/>
    <w:rsid w:val="0A7A04B3"/>
    <w:rsid w:val="0A8455AD"/>
    <w:rsid w:val="0A8945EB"/>
    <w:rsid w:val="0AED28DB"/>
    <w:rsid w:val="0AF972EB"/>
    <w:rsid w:val="0B077661"/>
    <w:rsid w:val="0BAC1F4C"/>
    <w:rsid w:val="0BAD28E2"/>
    <w:rsid w:val="0BBB1356"/>
    <w:rsid w:val="0BBE4F63"/>
    <w:rsid w:val="0BD1763E"/>
    <w:rsid w:val="0BDA530A"/>
    <w:rsid w:val="0BFA07E4"/>
    <w:rsid w:val="0C0247C0"/>
    <w:rsid w:val="0C0506D0"/>
    <w:rsid w:val="0C186C57"/>
    <w:rsid w:val="0C353302"/>
    <w:rsid w:val="0C496297"/>
    <w:rsid w:val="0C660E5E"/>
    <w:rsid w:val="0C9A109E"/>
    <w:rsid w:val="0CA74D09"/>
    <w:rsid w:val="0CA75583"/>
    <w:rsid w:val="0CA943CD"/>
    <w:rsid w:val="0CA9483B"/>
    <w:rsid w:val="0CC47DEB"/>
    <w:rsid w:val="0CC51217"/>
    <w:rsid w:val="0CF12CA2"/>
    <w:rsid w:val="0D082A75"/>
    <w:rsid w:val="0D0A01F7"/>
    <w:rsid w:val="0D1F1C9D"/>
    <w:rsid w:val="0D735BCC"/>
    <w:rsid w:val="0D7C2119"/>
    <w:rsid w:val="0D920730"/>
    <w:rsid w:val="0DE33D9A"/>
    <w:rsid w:val="0DF2282E"/>
    <w:rsid w:val="0E022677"/>
    <w:rsid w:val="0E064CB1"/>
    <w:rsid w:val="0E2021E3"/>
    <w:rsid w:val="0E255A66"/>
    <w:rsid w:val="0E39220B"/>
    <w:rsid w:val="0E4706D1"/>
    <w:rsid w:val="0E4B6575"/>
    <w:rsid w:val="0E5C2643"/>
    <w:rsid w:val="0E6537C4"/>
    <w:rsid w:val="0E701E1B"/>
    <w:rsid w:val="0E750CB0"/>
    <w:rsid w:val="0E8E6882"/>
    <w:rsid w:val="0ED9462C"/>
    <w:rsid w:val="0EE50D43"/>
    <w:rsid w:val="0EF26D17"/>
    <w:rsid w:val="0F0377AE"/>
    <w:rsid w:val="0F0E6EE3"/>
    <w:rsid w:val="0F706416"/>
    <w:rsid w:val="0F9D0EBF"/>
    <w:rsid w:val="0FCD5779"/>
    <w:rsid w:val="0FD03A0D"/>
    <w:rsid w:val="10381F40"/>
    <w:rsid w:val="104869BA"/>
    <w:rsid w:val="10575CC4"/>
    <w:rsid w:val="105C5B5E"/>
    <w:rsid w:val="106164CC"/>
    <w:rsid w:val="10867034"/>
    <w:rsid w:val="10A25D7C"/>
    <w:rsid w:val="10A834AA"/>
    <w:rsid w:val="10B5773E"/>
    <w:rsid w:val="10D10E21"/>
    <w:rsid w:val="10F47168"/>
    <w:rsid w:val="1102285D"/>
    <w:rsid w:val="110264F1"/>
    <w:rsid w:val="1104198D"/>
    <w:rsid w:val="1105049E"/>
    <w:rsid w:val="112717A7"/>
    <w:rsid w:val="112E2296"/>
    <w:rsid w:val="11397FB3"/>
    <w:rsid w:val="115434FF"/>
    <w:rsid w:val="115D3896"/>
    <w:rsid w:val="11697CFE"/>
    <w:rsid w:val="11B62E53"/>
    <w:rsid w:val="11F9036B"/>
    <w:rsid w:val="12103D4D"/>
    <w:rsid w:val="12245EF7"/>
    <w:rsid w:val="12345EA5"/>
    <w:rsid w:val="124027F2"/>
    <w:rsid w:val="125A673E"/>
    <w:rsid w:val="12775E6D"/>
    <w:rsid w:val="12A01322"/>
    <w:rsid w:val="12AB0828"/>
    <w:rsid w:val="12B25142"/>
    <w:rsid w:val="12E05DF5"/>
    <w:rsid w:val="12F56CE7"/>
    <w:rsid w:val="133616DD"/>
    <w:rsid w:val="133868DC"/>
    <w:rsid w:val="13582BF6"/>
    <w:rsid w:val="13583E3E"/>
    <w:rsid w:val="135856EF"/>
    <w:rsid w:val="137A011A"/>
    <w:rsid w:val="138356B4"/>
    <w:rsid w:val="13884680"/>
    <w:rsid w:val="13996DA4"/>
    <w:rsid w:val="13A56966"/>
    <w:rsid w:val="13A73C91"/>
    <w:rsid w:val="13B56A40"/>
    <w:rsid w:val="13D309B3"/>
    <w:rsid w:val="13E2070F"/>
    <w:rsid w:val="13EC3F05"/>
    <w:rsid w:val="13F8202D"/>
    <w:rsid w:val="14077D57"/>
    <w:rsid w:val="14342819"/>
    <w:rsid w:val="14904D9F"/>
    <w:rsid w:val="14965811"/>
    <w:rsid w:val="149C4D8A"/>
    <w:rsid w:val="14C904F8"/>
    <w:rsid w:val="14D92610"/>
    <w:rsid w:val="14FE78F7"/>
    <w:rsid w:val="15001500"/>
    <w:rsid w:val="154A25D7"/>
    <w:rsid w:val="15522008"/>
    <w:rsid w:val="15525604"/>
    <w:rsid w:val="156E5828"/>
    <w:rsid w:val="15B36E57"/>
    <w:rsid w:val="15B43A33"/>
    <w:rsid w:val="15C02CFA"/>
    <w:rsid w:val="15D02588"/>
    <w:rsid w:val="16077F5E"/>
    <w:rsid w:val="163004AD"/>
    <w:rsid w:val="164356BB"/>
    <w:rsid w:val="16696D72"/>
    <w:rsid w:val="166F777C"/>
    <w:rsid w:val="169C21B8"/>
    <w:rsid w:val="169C6B59"/>
    <w:rsid w:val="16BB60A4"/>
    <w:rsid w:val="16C872C2"/>
    <w:rsid w:val="16D604C4"/>
    <w:rsid w:val="16D71FDF"/>
    <w:rsid w:val="173A5387"/>
    <w:rsid w:val="17484EA6"/>
    <w:rsid w:val="174F00A2"/>
    <w:rsid w:val="17725C57"/>
    <w:rsid w:val="17755246"/>
    <w:rsid w:val="17800AEC"/>
    <w:rsid w:val="18061B0D"/>
    <w:rsid w:val="18071853"/>
    <w:rsid w:val="18121892"/>
    <w:rsid w:val="18245E40"/>
    <w:rsid w:val="182A3E5C"/>
    <w:rsid w:val="186B461D"/>
    <w:rsid w:val="188B4950"/>
    <w:rsid w:val="18C7387D"/>
    <w:rsid w:val="18C76564"/>
    <w:rsid w:val="18DC4207"/>
    <w:rsid w:val="18F04591"/>
    <w:rsid w:val="18F9585A"/>
    <w:rsid w:val="19087A11"/>
    <w:rsid w:val="191B4BBD"/>
    <w:rsid w:val="191B7534"/>
    <w:rsid w:val="19267572"/>
    <w:rsid w:val="193463F1"/>
    <w:rsid w:val="19594DA9"/>
    <w:rsid w:val="196C6250"/>
    <w:rsid w:val="196E2C37"/>
    <w:rsid w:val="1974690A"/>
    <w:rsid w:val="19C072D3"/>
    <w:rsid w:val="19E632E0"/>
    <w:rsid w:val="1A25720B"/>
    <w:rsid w:val="1A510684"/>
    <w:rsid w:val="1A6171B2"/>
    <w:rsid w:val="1A66082C"/>
    <w:rsid w:val="1A7A3206"/>
    <w:rsid w:val="1AA65F2A"/>
    <w:rsid w:val="1AA666F2"/>
    <w:rsid w:val="1AC000B4"/>
    <w:rsid w:val="1ADC340E"/>
    <w:rsid w:val="1AED2C78"/>
    <w:rsid w:val="1AEF15D5"/>
    <w:rsid w:val="1B1F6B22"/>
    <w:rsid w:val="1B257957"/>
    <w:rsid w:val="1B343FD0"/>
    <w:rsid w:val="1B356551"/>
    <w:rsid w:val="1B377F92"/>
    <w:rsid w:val="1B3E4ABA"/>
    <w:rsid w:val="1B677902"/>
    <w:rsid w:val="1B9D2D2C"/>
    <w:rsid w:val="1BAB13EA"/>
    <w:rsid w:val="1BE02644"/>
    <w:rsid w:val="1BEE40C9"/>
    <w:rsid w:val="1BF27CE6"/>
    <w:rsid w:val="1BF57F17"/>
    <w:rsid w:val="1BFC6DBC"/>
    <w:rsid w:val="1C13053F"/>
    <w:rsid w:val="1C162BF5"/>
    <w:rsid w:val="1C212DFA"/>
    <w:rsid w:val="1C3065A1"/>
    <w:rsid w:val="1C32514E"/>
    <w:rsid w:val="1C753733"/>
    <w:rsid w:val="1C8449C2"/>
    <w:rsid w:val="1C8676F7"/>
    <w:rsid w:val="1C8B5EF5"/>
    <w:rsid w:val="1C957C12"/>
    <w:rsid w:val="1C9B7764"/>
    <w:rsid w:val="1C9C37E6"/>
    <w:rsid w:val="1CA3081A"/>
    <w:rsid w:val="1CB81673"/>
    <w:rsid w:val="1CEB7EC5"/>
    <w:rsid w:val="1D0A50BD"/>
    <w:rsid w:val="1D2A3DAB"/>
    <w:rsid w:val="1D361153"/>
    <w:rsid w:val="1D46542E"/>
    <w:rsid w:val="1D6359BB"/>
    <w:rsid w:val="1D664936"/>
    <w:rsid w:val="1D6D740C"/>
    <w:rsid w:val="1D71729C"/>
    <w:rsid w:val="1D7373B4"/>
    <w:rsid w:val="1D981331"/>
    <w:rsid w:val="1DAB3C89"/>
    <w:rsid w:val="1DBC130B"/>
    <w:rsid w:val="1DBE6139"/>
    <w:rsid w:val="1DC06E93"/>
    <w:rsid w:val="1DCC77C2"/>
    <w:rsid w:val="1DCF4890"/>
    <w:rsid w:val="1DF52813"/>
    <w:rsid w:val="1DFB57EB"/>
    <w:rsid w:val="1E0062C5"/>
    <w:rsid w:val="1E1A4A5E"/>
    <w:rsid w:val="1E4F15C4"/>
    <w:rsid w:val="1E5B441F"/>
    <w:rsid w:val="1E665E93"/>
    <w:rsid w:val="1E6D0B8E"/>
    <w:rsid w:val="1E7012E8"/>
    <w:rsid w:val="1E740910"/>
    <w:rsid w:val="1E8A1B7B"/>
    <w:rsid w:val="1EAF32E5"/>
    <w:rsid w:val="1ED05FDD"/>
    <w:rsid w:val="1EDA4565"/>
    <w:rsid w:val="1F0115E6"/>
    <w:rsid w:val="1F0A1D41"/>
    <w:rsid w:val="1F192511"/>
    <w:rsid w:val="1F43063A"/>
    <w:rsid w:val="1F5417D9"/>
    <w:rsid w:val="1F607217"/>
    <w:rsid w:val="1F8B73B9"/>
    <w:rsid w:val="1FB06AB2"/>
    <w:rsid w:val="1FBF3F6B"/>
    <w:rsid w:val="1FC0508F"/>
    <w:rsid w:val="1FD17519"/>
    <w:rsid w:val="1FDB3B9B"/>
    <w:rsid w:val="1FDE37FF"/>
    <w:rsid w:val="1FE77E87"/>
    <w:rsid w:val="1FE87CF6"/>
    <w:rsid w:val="20142293"/>
    <w:rsid w:val="202875D1"/>
    <w:rsid w:val="203B6405"/>
    <w:rsid w:val="204042C4"/>
    <w:rsid w:val="204434A6"/>
    <w:rsid w:val="20716543"/>
    <w:rsid w:val="208E2CB0"/>
    <w:rsid w:val="20C7192F"/>
    <w:rsid w:val="20C94ACB"/>
    <w:rsid w:val="20DA4942"/>
    <w:rsid w:val="20F3606E"/>
    <w:rsid w:val="20FA2C9D"/>
    <w:rsid w:val="21145E7C"/>
    <w:rsid w:val="213009EF"/>
    <w:rsid w:val="213D75BE"/>
    <w:rsid w:val="213F7AB1"/>
    <w:rsid w:val="215726A0"/>
    <w:rsid w:val="217A33A1"/>
    <w:rsid w:val="218710D4"/>
    <w:rsid w:val="21872636"/>
    <w:rsid w:val="218F2648"/>
    <w:rsid w:val="21AB5C9B"/>
    <w:rsid w:val="21B427AB"/>
    <w:rsid w:val="21BD46E0"/>
    <w:rsid w:val="21E274F2"/>
    <w:rsid w:val="22067C29"/>
    <w:rsid w:val="22134C1B"/>
    <w:rsid w:val="22206C77"/>
    <w:rsid w:val="222C39A3"/>
    <w:rsid w:val="22314D0B"/>
    <w:rsid w:val="22657A47"/>
    <w:rsid w:val="227C0C68"/>
    <w:rsid w:val="227D1F07"/>
    <w:rsid w:val="22837314"/>
    <w:rsid w:val="229E355B"/>
    <w:rsid w:val="22AE5DFE"/>
    <w:rsid w:val="22C82C18"/>
    <w:rsid w:val="22DE7DE0"/>
    <w:rsid w:val="22DF19C7"/>
    <w:rsid w:val="22F24251"/>
    <w:rsid w:val="23025E80"/>
    <w:rsid w:val="235C31B0"/>
    <w:rsid w:val="2360341B"/>
    <w:rsid w:val="238447CD"/>
    <w:rsid w:val="238D0EEE"/>
    <w:rsid w:val="23916DF4"/>
    <w:rsid w:val="23B93239"/>
    <w:rsid w:val="23C16FD2"/>
    <w:rsid w:val="24106BD2"/>
    <w:rsid w:val="242C445B"/>
    <w:rsid w:val="247E04BE"/>
    <w:rsid w:val="248B6BF0"/>
    <w:rsid w:val="24975A35"/>
    <w:rsid w:val="24A451C8"/>
    <w:rsid w:val="24A95A92"/>
    <w:rsid w:val="24B0777F"/>
    <w:rsid w:val="24B21E7E"/>
    <w:rsid w:val="24B80E3D"/>
    <w:rsid w:val="24BA3A6C"/>
    <w:rsid w:val="24C14262"/>
    <w:rsid w:val="24DB11B1"/>
    <w:rsid w:val="24DB1DC1"/>
    <w:rsid w:val="254579AD"/>
    <w:rsid w:val="254C6870"/>
    <w:rsid w:val="25550995"/>
    <w:rsid w:val="256B13EC"/>
    <w:rsid w:val="257F66CF"/>
    <w:rsid w:val="25916749"/>
    <w:rsid w:val="25D9375F"/>
    <w:rsid w:val="25E5097B"/>
    <w:rsid w:val="25ED1CE2"/>
    <w:rsid w:val="260366CA"/>
    <w:rsid w:val="2612386C"/>
    <w:rsid w:val="26190B1E"/>
    <w:rsid w:val="261954E5"/>
    <w:rsid w:val="26232D49"/>
    <w:rsid w:val="26251690"/>
    <w:rsid w:val="26360630"/>
    <w:rsid w:val="263D4CDE"/>
    <w:rsid w:val="26647088"/>
    <w:rsid w:val="26B25A04"/>
    <w:rsid w:val="26DA1D14"/>
    <w:rsid w:val="26E86A48"/>
    <w:rsid w:val="27101EDB"/>
    <w:rsid w:val="272E26D1"/>
    <w:rsid w:val="27360181"/>
    <w:rsid w:val="27450F96"/>
    <w:rsid w:val="27A03254"/>
    <w:rsid w:val="27A230C5"/>
    <w:rsid w:val="27A851CF"/>
    <w:rsid w:val="27B93B4C"/>
    <w:rsid w:val="27EC18B9"/>
    <w:rsid w:val="27F6755B"/>
    <w:rsid w:val="2835156C"/>
    <w:rsid w:val="28451D51"/>
    <w:rsid w:val="285E7742"/>
    <w:rsid w:val="285F589C"/>
    <w:rsid w:val="2860075F"/>
    <w:rsid w:val="288E7537"/>
    <w:rsid w:val="28957DF4"/>
    <w:rsid w:val="28D51CE9"/>
    <w:rsid w:val="28E0382C"/>
    <w:rsid w:val="28FB2940"/>
    <w:rsid w:val="28FF661A"/>
    <w:rsid w:val="2935387C"/>
    <w:rsid w:val="29421A86"/>
    <w:rsid w:val="294A5E97"/>
    <w:rsid w:val="295642C7"/>
    <w:rsid w:val="29923BE6"/>
    <w:rsid w:val="29A83CFF"/>
    <w:rsid w:val="29A85B4A"/>
    <w:rsid w:val="29C00AAE"/>
    <w:rsid w:val="29D70027"/>
    <w:rsid w:val="29E4565C"/>
    <w:rsid w:val="2A217644"/>
    <w:rsid w:val="2A5522DC"/>
    <w:rsid w:val="2A6D7AE4"/>
    <w:rsid w:val="2A81126C"/>
    <w:rsid w:val="2A9A509F"/>
    <w:rsid w:val="2AA4448B"/>
    <w:rsid w:val="2ABE75C5"/>
    <w:rsid w:val="2AC54EDF"/>
    <w:rsid w:val="2AD0715B"/>
    <w:rsid w:val="2ADE1592"/>
    <w:rsid w:val="2AE72478"/>
    <w:rsid w:val="2AFE6BB2"/>
    <w:rsid w:val="2AFF3B73"/>
    <w:rsid w:val="2AFF547A"/>
    <w:rsid w:val="2B0F5BE3"/>
    <w:rsid w:val="2B113208"/>
    <w:rsid w:val="2B194010"/>
    <w:rsid w:val="2B1A0A86"/>
    <w:rsid w:val="2B3544FB"/>
    <w:rsid w:val="2B63640B"/>
    <w:rsid w:val="2B766889"/>
    <w:rsid w:val="2B927FEA"/>
    <w:rsid w:val="2B9864EF"/>
    <w:rsid w:val="2BB62C14"/>
    <w:rsid w:val="2BB82208"/>
    <w:rsid w:val="2BB86F96"/>
    <w:rsid w:val="2BBA1AC6"/>
    <w:rsid w:val="2BC1544C"/>
    <w:rsid w:val="2BF45826"/>
    <w:rsid w:val="2BF83122"/>
    <w:rsid w:val="2C1F1A7F"/>
    <w:rsid w:val="2C4D4422"/>
    <w:rsid w:val="2C61592A"/>
    <w:rsid w:val="2C635B6D"/>
    <w:rsid w:val="2C7A7FEE"/>
    <w:rsid w:val="2C836BD0"/>
    <w:rsid w:val="2CAA1EE8"/>
    <w:rsid w:val="2CF23348"/>
    <w:rsid w:val="2D0212AF"/>
    <w:rsid w:val="2D0721CE"/>
    <w:rsid w:val="2D2D0FB8"/>
    <w:rsid w:val="2D401D7D"/>
    <w:rsid w:val="2D5369A4"/>
    <w:rsid w:val="2D553E12"/>
    <w:rsid w:val="2D563294"/>
    <w:rsid w:val="2D572DE8"/>
    <w:rsid w:val="2D7657B0"/>
    <w:rsid w:val="2D880354"/>
    <w:rsid w:val="2D8E0951"/>
    <w:rsid w:val="2DA66D99"/>
    <w:rsid w:val="2DA92533"/>
    <w:rsid w:val="2DC542FD"/>
    <w:rsid w:val="2DED783E"/>
    <w:rsid w:val="2E027319"/>
    <w:rsid w:val="2E70692E"/>
    <w:rsid w:val="2E740C9C"/>
    <w:rsid w:val="2E912614"/>
    <w:rsid w:val="2E9510EF"/>
    <w:rsid w:val="2EB82B9B"/>
    <w:rsid w:val="2EDB211E"/>
    <w:rsid w:val="2EFC610A"/>
    <w:rsid w:val="2F2105FF"/>
    <w:rsid w:val="2F3802F5"/>
    <w:rsid w:val="2F4C21DE"/>
    <w:rsid w:val="2F5C1DA5"/>
    <w:rsid w:val="2FAB4DBA"/>
    <w:rsid w:val="2FAF734F"/>
    <w:rsid w:val="2FB74538"/>
    <w:rsid w:val="2FF16930"/>
    <w:rsid w:val="30116EA5"/>
    <w:rsid w:val="30255652"/>
    <w:rsid w:val="302A5959"/>
    <w:rsid w:val="305B0C4B"/>
    <w:rsid w:val="306F34C7"/>
    <w:rsid w:val="3098320D"/>
    <w:rsid w:val="30E71C81"/>
    <w:rsid w:val="31024AE6"/>
    <w:rsid w:val="31232744"/>
    <w:rsid w:val="313F60CD"/>
    <w:rsid w:val="316C164E"/>
    <w:rsid w:val="31AC33EA"/>
    <w:rsid w:val="31B469D0"/>
    <w:rsid w:val="31D64F96"/>
    <w:rsid w:val="32017181"/>
    <w:rsid w:val="3202578C"/>
    <w:rsid w:val="32110C25"/>
    <w:rsid w:val="326D3B31"/>
    <w:rsid w:val="327021FA"/>
    <w:rsid w:val="327B1627"/>
    <w:rsid w:val="329C1DF0"/>
    <w:rsid w:val="329E2BA3"/>
    <w:rsid w:val="32AE7A75"/>
    <w:rsid w:val="32E032B1"/>
    <w:rsid w:val="32EF11A3"/>
    <w:rsid w:val="32EF2028"/>
    <w:rsid w:val="32F81DE5"/>
    <w:rsid w:val="33011C41"/>
    <w:rsid w:val="33227172"/>
    <w:rsid w:val="333C6A3D"/>
    <w:rsid w:val="33585FF5"/>
    <w:rsid w:val="33644CFD"/>
    <w:rsid w:val="33774568"/>
    <w:rsid w:val="33A0028D"/>
    <w:rsid w:val="33A570FA"/>
    <w:rsid w:val="33D32C1C"/>
    <w:rsid w:val="33D92429"/>
    <w:rsid w:val="33E0226A"/>
    <w:rsid w:val="33FA3B34"/>
    <w:rsid w:val="343B3818"/>
    <w:rsid w:val="343C1893"/>
    <w:rsid w:val="34854716"/>
    <w:rsid w:val="34B01D27"/>
    <w:rsid w:val="34BE4682"/>
    <w:rsid w:val="34DD3449"/>
    <w:rsid w:val="35160D6B"/>
    <w:rsid w:val="351D3779"/>
    <w:rsid w:val="357911C3"/>
    <w:rsid w:val="358526AE"/>
    <w:rsid w:val="35B54B22"/>
    <w:rsid w:val="35DF0F8E"/>
    <w:rsid w:val="35E623C9"/>
    <w:rsid w:val="35E83CBD"/>
    <w:rsid w:val="35EF293B"/>
    <w:rsid w:val="35F13A2A"/>
    <w:rsid w:val="360453EB"/>
    <w:rsid w:val="361633A9"/>
    <w:rsid w:val="362C0965"/>
    <w:rsid w:val="364564E9"/>
    <w:rsid w:val="36495F37"/>
    <w:rsid w:val="36523501"/>
    <w:rsid w:val="366A6E58"/>
    <w:rsid w:val="37282883"/>
    <w:rsid w:val="37366041"/>
    <w:rsid w:val="373D0F4E"/>
    <w:rsid w:val="37625DAE"/>
    <w:rsid w:val="37685F13"/>
    <w:rsid w:val="377717B0"/>
    <w:rsid w:val="378C5758"/>
    <w:rsid w:val="37905D43"/>
    <w:rsid w:val="37922808"/>
    <w:rsid w:val="379D7A74"/>
    <w:rsid w:val="37A03DDA"/>
    <w:rsid w:val="37AF57BC"/>
    <w:rsid w:val="37DC389E"/>
    <w:rsid w:val="37E41DF1"/>
    <w:rsid w:val="37FC364E"/>
    <w:rsid w:val="382206B3"/>
    <w:rsid w:val="38463090"/>
    <w:rsid w:val="3882116E"/>
    <w:rsid w:val="388234B9"/>
    <w:rsid w:val="38973473"/>
    <w:rsid w:val="38A56CC9"/>
    <w:rsid w:val="38C05F24"/>
    <w:rsid w:val="38D750B8"/>
    <w:rsid w:val="38F2240C"/>
    <w:rsid w:val="38F741FC"/>
    <w:rsid w:val="39171CC0"/>
    <w:rsid w:val="3937023C"/>
    <w:rsid w:val="393F39C1"/>
    <w:rsid w:val="3941283A"/>
    <w:rsid w:val="3950742F"/>
    <w:rsid w:val="395212E1"/>
    <w:rsid w:val="395765D1"/>
    <w:rsid w:val="39654761"/>
    <w:rsid w:val="398E0DAD"/>
    <w:rsid w:val="39976574"/>
    <w:rsid w:val="39A165F9"/>
    <w:rsid w:val="39A22205"/>
    <w:rsid w:val="39B72706"/>
    <w:rsid w:val="39C84E5A"/>
    <w:rsid w:val="39DE0D55"/>
    <w:rsid w:val="39FA0921"/>
    <w:rsid w:val="3A1E1EAB"/>
    <w:rsid w:val="3A3457E8"/>
    <w:rsid w:val="3A3F0320"/>
    <w:rsid w:val="3A536E24"/>
    <w:rsid w:val="3A565A98"/>
    <w:rsid w:val="3A810ECA"/>
    <w:rsid w:val="3A871F8A"/>
    <w:rsid w:val="3A9832FF"/>
    <w:rsid w:val="3AA31206"/>
    <w:rsid w:val="3AB57780"/>
    <w:rsid w:val="3AC37DF0"/>
    <w:rsid w:val="3AC65AD2"/>
    <w:rsid w:val="3ACF5A26"/>
    <w:rsid w:val="3AD35612"/>
    <w:rsid w:val="3AE76371"/>
    <w:rsid w:val="3AE80991"/>
    <w:rsid w:val="3B1B509F"/>
    <w:rsid w:val="3B3018E2"/>
    <w:rsid w:val="3B3575B2"/>
    <w:rsid w:val="3B4764C1"/>
    <w:rsid w:val="3B4A51A8"/>
    <w:rsid w:val="3B54731C"/>
    <w:rsid w:val="3B67428D"/>
    <w:rsid w:val="3B713350"/>
    <w:rsid w:val="3B7A26BE"/>
    <w:rsid w:val="3B8406BA"/>
    <w:rsid w:val="3BA471B6"/>
    <w:rsid w:val="3BE767A5"/>
    <w:rsid w:val="3C073099"/>
    <w:rsid w:val="3C1701DB"/>
    <w:rsid w:val="3C2E25AC"/>
    <w:rsid w:val="3C33699A"/>
    <w:rsid w:val="3C41291B"/>
    <w:rsid w:val="3C447C27"/>
    <w:rsid w:val="3C4E3440"/>
    <w:rsid w:val="3C97031E"/>
    <w:rsid w:val="3CF96EA3"/>
    <w:rsid w:val="3D01778A"/>
    <w:rsid w:val="3D5F1707"/>
    <w:rsid w:val="3E225ED0"/>
    <w:rsid w:val="3E23342E"/>
    <w:rsid w:val="3E29108F"/>
    <w:rsid w:val="3E584ECA"/>
    <w:rsid w:val="3E5C659E"/>
    <w:rsid w:val="3E763568"/>
    <w:rsid w:val="3E932732"/>
    <w:rsid w:val="3EB341AB"/>
    <w:rsid w:val="3EC20226"/>
    <w:rsid w:val="3EC33FD7"/>
    <w:rsid w:val="3EC451E1"/>
    <w:rsid w:val="3EC47F80"/>
    <w:rsid w:val="3EE2622E"/>
    <w:rsid w:val="3EE91017"/>
    <w:rsid w:val="3F1E63B0"/>
    <w:rsid w:val="3F2226EC"/>
    <w:rsid w:val="3F601C75"/>
    <w:rsid w:val="3F863EB4"/>
    <w:rsid w:val="3FA11709"/>
    <w:rsid w:val="3FAC6CE4"/>
    <w:rsid w:val="3FDA48AC"/>
    <w:rsid w:val="3FDD4106"/>
    <w:rsid w:val="400C759D"/>
    <w:rsid w:val="4018038B"/>
    <w:rsid w:val="402A3DD6"/>
    <w:rsid w:val="402E363B"/>
    <w:rsid w:val="40375320"/>
    <w:rsid w:val="403A7A13"/>
    <w:rsid w:val="40490124"/>
    <w:rsid w:val="40556CB7"/>
    <w:rsid w:val="40562031"/>
    <w:rsid w:val="4064171F"/>
    <w:rsid w:val="4080695A"/>
    <w:rsid w:val="40883F9A"/>
    <w:rsid w:val="40A6403B"/>
    <w:rsid w:val="40A92971"/>
    <w:rsid w:val="40C31767"/>
    <w:rsid w:val="40CD678D"/>
    <w:rsid w:val="40D11C13"/>
    <w:rsid w:val="40D14228"/>
    <w:rsid w:val="40D25C2C"/>
    <w:rsid w:val="40E32648"/>
    <w:rsid w:val="41133374"/>
    <w:rsid w:val="413F338F"/>
    <w:rsid w:val="415D3A83"/>
    <w:rsid w:val="418E0B2C"/>
    <w:rsid w:val="41A50FA5"/>
    <w:rsid w:val="41CC07BC"/>
    <w:rsid w:val="41DD5AAF"/>
    <w:rsid w:val="41E40AD4"/>
    <w:rsid w:val="41E53E7C"/>
    <w:rsid w:val="420569A4"/>
    <w:rsid w:val="422E01F2"/>
    <w:rsid w:val="4246080B"/>
    <w:rsid w:val="42CE24FD"/>
    <w:rsid w:val="42F302DD"/>
    <w:rsid w:val="430B5EBA"/>
    <w:rsid w:val="43260C43"/>
    <w:rsid w:val="438034F8"/>
    <w:rsid w:val="4388321A"/>
    <w:rsid w:val="43940D48"/>
    <w:rsid w:val="43953319"/>
    <w:rsid w:val="43C04933"/>
    <w:rsid w:val="43EA37DE"/>
    <w:rsid w:val="441A31FF"/>
    <w:rsid w:val="446A3759"/>
    <w:rsid w:val="446B4961"/>
    <w:rsid w:val="449428DA"/>
    <w:rsid w:val="449D218D"/>
    <w:rsid w:val="449D552C"/>
    <w:rsid w:val="44BD0248"/>
    <w:rsid w:val="44E86A19"/>
    <w:rsid w:val="45132E7E"/>
    <w:rsid w:val="451A172D"/>
    <w:rsid w:val="455C5806"/>
    <w:rsid w:val="45A046DF"/>
    <w:rsid w:val="45AC020B"/>
    <w:rsid w:val="45B15EF6"/>
    <w:rsid w:val="45B457B1"/>
    <w:rsid w:val="45B725A0"/>
    <w:rsid w:val="45D22078"/>
    <w:rsid w:val="45F468CD"/>
    <w:rsid w:val="462E25CA"/>
    <w:rsid w:val="46303A17"/>
    <w:rsid w:val="465A58CC"/>
    <w:rsid w:val="467E5DD2"/>
    <w:rsid w:val="46931FE6"/>
    <w:rsid w:val="46D637ED"/>
    <w:rsid w:val="46DD3F38"/>
    <w:rsid w:val="46EC5442"/>
    <w:rsid w:val="46F16F1D"/>
    <w:rsid w:val="46FD2CBF"/>
    <w:rsid w:val="47040E65"/>
    <w:rsid w:val="472346A6"/>
    <w:rsid w:val="472910BD"/>
    <w:rsid w:val="47322F35"/>
    <w:rsid w:val="47553E8E"/>
    <w:rsid w:val="475C108B"/>
    <w:rsid w:val="477C293C"/>
    <w:rsid w:val="47980FDC"/>
    <w:rsid w:val="47A02A41"/>
    <w:rsid w:val="47CA2F97"/>
    <w:rsid w:val="47CA63D4"/>
    <w:rsid w:val="47D84675"/>
    <w:rsid w:val="47E17B3A"/>
    <w:rsid w:val="481379C4"/>
    <w:rsid w:val="481947FE"/>
    <w:rsid w:val="48366669"/>
    <w:rsid w:val="483B043E"/>
    <w:rsid w:val="4853266E"/>
    <w:rsid w:val="486B0826"/>
    <w:rsid w:val="486B1D8E"/>
    <w:rsid w:val="489A7399"/>
    <w:rsid w:val="48A93D74"/>
    <w:rsid w:val="48B1679E"/>
    <w:rsid w:val="48D139F6"/>
    <w:rsid w:val="48D96FD7"/>
    <w:rsid w:val="48F56DD6"/>
    <w:rsid w:val="49153D93"/>
    <w:rsid w:val="491916C6"/>
    <w:rsid w:val="4957394D"/>
    <w:rsid w:val="49573AC8"/>
    <w:rsid w:val="4961628B"/>
    <w:rsid w:val="49AA7971"/>
    <w:rsid w:val="49B515B1"/>
    <w:rsid w:val="49FE240E"/>
    <w:rsid w:val="4A0A7CBB"/>
    <w:rsid w:val="4A141151"/>
    <w:rsid w:val="4A316318"/>
    <w:rsid w:val="4A643B84"/>
    <w:rsid w:val="4A6574CD"/>
    <w:rsid w:val="4A6A50D1"/>
    <w:rsid w:val="4A777A6A"/>
    <w:rsid w:val="4AC9062D"/>
    <w:rsid w:val="4AE52C42"/>
    <w:rsid w:val="4AF2187D"/>
    <w:rsid w:val="4AF4011B"/>
    <w:rsid w:val="4AFC3953"/>
    <w:rsid w:val="4B1E385E"/>
    <w:rsid w:val="4B301047"/>
    <w:rsid w:val="4B6870F9"/>
    <w:rsid w:val="4B6C2969"/>
    <w:rsid w:val="4B6F1B21"/>
    <w:rsid w:val="4B7A2609"/>
    <w:rsid w:val="4BCF6DCB"/>
    <w:rsid w:val="4BD06B38"/>
    <w:rsid w:val="4BDF321A"/>
    <w:rsid w:val="4BEE1D43"/>
    <w:rsid w:val="4C0065CE"/>
    <w:rsid w:val="4C18241E"/>
    <w:rsid w:val="4C227943"/>
    <w:rsid w:val="4C286B5D"/>
    <w:rsid w:val="4C4373DD"/>
    <w:rsid w:val="4C472142"/>
    <w:rsid w:val="4C5F22C4"/>
    <w:rsid w:val="4CB407AC"/>
    <w:rsid w:val="4CF80F08"/>
    <w:rsid w:val="4CFC3DF0"/>
    <w:rsid w:val="4D2C2C5D"/>
    <w:rsid w:val="4D563E01"/>
    <w:rsid w:val="4D822399"/>
    <w:rsid w:val="4DC43B09"/>
    <w:rsid w:val="4DC86CD0"/>
    <w:rsid w:val="4DD62C1F"/>
    <w:rsid w:val="4DF46D27"/>
    <w:rsid w:val="4E367509"/>
    <w:rsid w:val="4E5211BA"/>
    <w:rsid w:val="4E76149E"/>
    <w:rsid w:val="4E762A71"/>
    <w:rsid w:val="4E7F6390"/>
    <w:rsid w:val="4E90713C"/>
    <w:rsid w:val="4E911651"/>
    <w:rsid w:val="4E935AF8"/>
    <w:rsid w:val="4E9D1D1E"/>
    <w:rsid w:val="4EBB3EDA"/>
    <w:rsid w:val="4EEE65AD"/>
    <w:rsid w:val="4F0E0B1D"/>
    <w:rsid w:val="4F3A3567"/>
    <w:rsid w:val="4F6C41E3"/>
    <w:rsid w:val="4F8A0B61"/>
    <w:rsid w:val="4F9C55BF"/>
    <w:rsid w:val="4FB410CF"/>
    <w:rsid w:val="4FBD41CA"/>
    <w:rsid w:val="4FD246D2"/>
    <w:rsid w:val="50077D56"/>
    <w:rsid w:val="50131451"/>
    <w:rsid w:val="50245755"/>
    <w:rsid w:val="503600B3"/>
    <w:rsid w:val="507D4F01"/>
    <w:rsid w:val="50831BFE"/>
    <w:rsid w:val="50922478"/>
    <w:rsid w:val="50B52FE4"/>
    <w:rsid w:val="50BF2E54"/>
    <w:rsid w:val="50E34B62"/>
    <w:rsid w:val="510252D6"/>
    <w:rsid w:val="51051F22"/>
    <w:rsid w:val="51305EE3"/>
    <w:rsid w:val="51390BE4"/>
    <w:rsid w:val="51893AFA"/>
    <w:rsid w:val="51975E1F"/>
    <w:rsid w:val="51BC697B"/>
    <w:rsid w:val="51C804DE"/>
    <w:rsid w:val="51CF0D4C"/>
    <w:rsid w:val="51E10471"/>
    <w:rsid w:val="51E12FF8"/>
    <w:rsid w:val="51E33826"/>
    <w:rsid w:val="51E71C22"/>
    <w:rsid w:val="520C6B50"/>
    <w:rsid w:val="522E62F3"/>
    <w:rsid w:val="5293590B"/>
    <w:rsid w:val="52967C7B"/>
    <w:rsid w:val="52A33960"/>
    <w:rsid w:val="52B476CE"/>
    <w:rsid w:val="52B67E93"/>
    <w:rsid w:val="52F47A95"/>
    <w:rsid w:val="53070B86"/>
    <w:rsid w:val="530D6D8F"/>
    <w:rsid w:val="531645CA"/>
    <w:rsid w:val="531F2A96"/>
    <w:rsid w:val="53262EC9"/>
    <w:rsid w:val="53734149"/>
    <w:rsid w:val="5391219B"/>
    <w:rsid w:val="53915C12"/>
    <w:rsid w:val="53932760"/>
    <w:rsid w:val="539873E7"/>
    <w:rsid w:val="53A17D41"/>
    <w:rsid w:val="53B46D0C"/>
    <w:rsid w:val="53F171B7"/>
    <w:rsid w:val="53F87A3F"/>
    <w:rsid w:val="54087353"/>
    <w:rsid w:val="54375044"/>
    <w:rsid w:val="544232E7"/>
    <w:rsid w:val="54557110"/>
    <w:rsid w:val="545D6CB6"/>
    <w:rsid w:val="547A48F8"/>
    <w:rsid w:val="549661B6"/>
    <w:rsid w:val="54A34D96"/>
    <w:rsid w:val="54D24E79"/>
    <w:rsid w:val="54F430A2"/>
    <w:rsid w:val="5503429F"/>
    <w:rsid w:val="551027C6"/>
    <w:rsid w:val="552F7315"/>
    <w:rsid w:val="55440F33"/>
    <w:rsid w:val="554B0FDD"/>
    <w:rsid w:val="55631D2D"/>
    <w:rsid w:val="55AA6F28"/>
    <w:rsid w:val="55BB1E97"/>
    <w:rsid w:val="55C8709D"/>
    <w:rsid w:val="560509A3"/>
    <w:rsid w:val="56250237"/>
    <w:rsid w:val="56450A3C"/>
    <w:rsid w:val="564569EB"/>
    <w:rsid w:val="565D603F"/>
    <w:rsid w:val="56921A85"/>
    <w:rsid w:val="56941C16"/>
    <w:rsid w:val="56AB5944"/>
    <w:rsid w:val="56F645A2"/>
    <w:rsid w:val="57214861"/>
    <w:rsid w:val="572B4616"/>
    <w:rsid w:val="57541EAD"/>
    <w:rsid w:val="577465D8"/>
    <w:rsid w:val="577A658F"/>
    <w:rsid w:val="57A14827"/>
    <w:rsid w:val="57A5627A"/>
    <w:rsid w:val="57A91DD2"/>
    <w:rsid w:val="57AE5029"/>
    <w:rsid w:val="57C23486"/>
    <w:rsid w:val="57CE4606"/>
    <w:rsid w:val="57D123D3"/>
    <w:rsid w:val="57DF3814"/>
    <w:rsid w:val="5807247D"/>
    <w:rsid w:val="58117CC1"/>
    <w:rsid w:val="582C3384"/>
    <w:rsid w:val="584D1267"/>
    <w:rsid w:val="58624A55"/>
    <w:rsid w:val="59137642"/>
    <w:rsid w:val="59216A89"/>
    <w:rsid w:val="59A175DF"/>
    <w:rsid w:val="59B819C2"/>
    <w:rsid w:val="59C7668D"/>
    <w:rsid w:val="59F7428A"/>
    <w:rsid w:val="59FC4729"/>
    <w:rsid w:val="59FF697B"/>
    <w:rsid w:val="5A0A04BC"/>
    <w:rsid w:val="5A0B75E4"/>
    <w:rsid w:val="5A15685D"/>
    <w:rsid w:val="5A323EDC"/>
    <w:rsid w:val="5A36378A"/>
    <w:rsid w:val="5A4E7FD5"/>
    <w:rsid w:val="5A575BFF"/>
    <w:rsid w:val="5A706551"/>
    <w:rsid w:val="5A77586F"/>
    <w:rsid w:val="5A974FD0"/>
    <w:rsid w:val="5AA12CBD"/>
    <w:rsid w:val="5AB40905"/>
    <w:rsid w:val="5ACA65CD"/>
    <w:rsid w:val="5ACC7A53"/>
    <w:rsid w:val="5AE51758"/>
    <w:rsid w:val="5B237EEB"/>
    <w:rsid w:val="5B4F6A8E"/>
    <w:rsid w:val="5B581F93"/>
    <w:rsid w:val="5B6B529B"/>
    <w:rsid w:val="5B93247B"/>
    <w:rsid w:val="5BAB667D"/>
    <w:rsid w:val="5BB250E2"/>
    <w:rsid w:val="5BB3320D"/>
    <w:rsid w:val="5BBFEE14"/>
    <w:rsid w:val="5BC31A45"/>
    <w:rsid w:val="5BC772C9"/>
    <w:rsid w:val="5BF00094"/>
    <w:rsid w:val="5BF50377"/>
    <w:rsid w:val="5C270EC2"/>
    <w:rsid w:val="5C465FA2"/>
    <w:rsid w:val="5C544090"/>
    <w:rsid w:val="5C726BB6"/>
    <w:rsid w:val="5C7322D1"/>
    <w:rsid w:val="5C870F46"/>
    <w:rsid w:val="5CBC3B9B"/>
    <w:rsid w:val="5CC91C52"/>
    <w:rsid w:val="5CEF4070"/>
    <w:rsid w:val="5CFC28A8"/>
    <w:rsid w:val="5D246FFC"/>
    <w:rsid w:val="5D331782"/>
    <w:rsid w:val="5D36426B"/>
    <w:rsid w:val="5D7A3B33"/>
    <w:rsid w:val="5D955C26"/>
    <w:rsid w:val="5D9A103A"/>
    <w:rsid w:val="5DC818E3"/>
    <w:rsid w:val="5DDA696A"/>
    <w:rsid w:val="5DF52A7C"/>
    <w:rsid w:val="5E410FFD"/>
    <w:rsid w:val="5E544606"/>
    <w:rsid w:val="5E8E05EA"/>
    <w:rsid w:val="5EFB61FA"/>
    <w:rsid w:val="5F2C7D02"/>
    <w:rsid w:val="5F59269F"/>
    <w:rsid w:val="5F7663E9"/>
    <w:rsid w:val="5FB656F9"/>
    <w:rsid w:val="5FBC2CFA"/>
    <w:rsid w:val="5FC53466"/>
    <w:rsid w:val="5FD13015"/>
    <w:rsid w:val="5FD8053F"/>
    <w:rsid w:val="60190EE3"/>
    <w:rsid w:val="601D48F2"/>
    <w:rsid w:val="601E31F8"/>
    <w:rsid w:val="602832C7"/>
    <w:rsid w:val="60307BB1"/>
    <w:rsid w:val="603D1F50"/>
    <w:rsid w:val="603F673E"/>
    <w:rsid w:val="605467C6"/>
    <w:rsid w:val="60C03693"/>
    <w:rsid w:val="60D605A1"/>
    <w:rsid w:val="60E23609"/>
    <w:rsid w:val="613D1565"/>
    <w:rsid w:val="61464F6C"/>
    <w:rsid w:val="61515A7F"/>
    <w:rsid w:val="61633E93"/>
    <w:rsid w:val="61A4558D"/>
    <w:rsid w:val="61C32B70"/>
    <w:rsid w:val="61D46DD9"/>
    <w:rsid w:val="61E045CD"/>
    <w:rsid w:val="61E23930"/>
    <w:rsid w:val="61FD4A0F"/>
    <w:rsid w:val="62016875"/>
    <w:rsid w:val="62100B67"/>
    <w:rsid w:val="623E052A"/>
    <w:rsid w:val="6241319E"/>
    <w:rsid w:val="6242484B"/>
    <w:rsid w:val="628B7263"/>
    <w:rsid w:val="628D49EE"/>
    <w:rsid w:val="62902D58"/>
    <w:rsid w:val="6290385D"/>
    <w:rsid w:val="62AE4BDA"/>
    <w:rsid w:val="62C97640"/>
    <w:rsid w:val="62D27C48"/>
    <w:rsid w:val="62E13D2D"/>
    <w:rsid w:val="6307315E"/>
    <w:rsid w:val="63184211"/>
    <w:rsid w:val="631B5AD9"/>
    <w:rsid w:val="632E7764"/>
    <w:rsid w:val="635C575B"/>
    <w:rsid w:val="63627C7B"/>
    <w:rsid w:val="636863CF"/>
    <w:rsid w:val="63691740"/>
    <w:rsid w:val="63752C12"/>
    <w:rsid w:val="638C1080"/>
    <w:rsid w:val="63B413CF"/>
    <w:rsid w:val="63D4721A"/>
    <w:rsid w:val="63DE703D"/>
    <w:rsid w:val="63FF6C27"/>
    <w:rsid w:val="6405263C"/>
    <w:rsid w:val="642454D9"/>
    <w:rsid w:val="642D1013"/>
    <w:rsid w:val="64385AB8"/>
    <w:rsid w:val="64557DB3"/>
    <w:rsid w:val="6464336B"/>
    <w:rsid w:val="646D65C4"/>
    <w:rsid w:val="648D360B"/>
    <w:rsid w:val="64D33EFF"/>
    <w:rsid w:val="64F72C41"/>
    <w:rsid w:val="653C5193"/>
    <w:rsid w:val="655C7828"/>
    <w:rsid w:val="656524D9"/>
    <w:rsid w:val="65CB1350"/>
    <w:rsid w:val="65FD7F1B"/>
    <w:rsid w:val="66053308"/>
    <w:rsid w:val="66291C05"/>
    <w:rsid w:val="66330E7B"/>
    <w:rsid w:val="66351622"/>
    <w:rsid w:val="665A2304"/>
    <w:rsid w:val="669C6349"/>
    <w:rsid w:val="66A80AC6"/>
    <w:rsid w:val="66AB1097"/>
    <w:rsid w:val="66CF3F7F"/>
    <w:rsid w:val="67144976"/>
    <w:rsid w:val="67202357"/>
    <w:rsid w:val="67603F26"/>
    <w:rsid w:val="67670D0C"/>
    <w:rsid w:val="67A9330C"/>
    <w:rsid w:val="67B36B6E"/>
    <w:rsid w:val="67D3264E"/>
    <w:rsid w:val="67E863C4"/>
    <w:rsid w:val="68024DD3"/>
    <w:rsid w:val="680F332B"/>
    <w:rsid w:val="6810271B"/>
    <w:rsid w:val="6832253F"/>
    <w:rsid w:val="685C3C4D"/>
    <w:rsid w:val="685F19E3"/>
    <w:rsid w:val="687102AD"/>
    <w:rsid w:val="68724B40"/>
    <w:rsid w:val="68902798"/>
    <w:rsid w:val="68D62901"/>
    <w:rsid w:val="68E553F0"/>
    <w:rsid w:val="69005EFB"/>
    <w:rsid w:val="690C7142"/>
    <w:rsid w:val="69412846"/>
    <w:rsid w:val="695907E9"/>
    <w:rsid w:val="6964290E"/>
    <w:rsid w:val="69794BD2"/>
    <w:rsid w:val="698304CD"/>
    <w:rsid w:val="69932BAE"/>
    <w:rsid w:val="69A16FDB"/>
    <w:rsid w:val="69BA6060"/>
    <w:rsid w:val="69BE3E28"/>
    <w:rsid w:val="69F73D8C"/>
    <w:rsid w:val="6A041525"/>
    <w:rsid w:val="6A085957"/>
    <w:rsid w:val="6A223F21"/>
    <w:rsid w:val="6A4771F0"/>
    <w:rsid w:val="6A641277"/>
    <w:rsid w:val="6A985E45"/>
    <w:rsid w:val="6AAD0001"/>
    <w:rsid w:val="6ACC3B62"/>
    <w:rsid w:val="6AE24654"/>
    <w:rsid w:val="6AE30427"/>
    <w:rsid w:val="6B1B05C6"/>
    <w:rsid w:val="6B232223"/>
    <w:rsid w:val="6B2C0FBC"/>
    <w:rsid w:val="6B35684E"/>
    <w:rsid w:val="6B6C1D6A"/>
    <w:rsid w:val="6B6D666B"/>
    <w:rsid w:val="6B706DFD"/>
    <w:rsid w:val="6B735145"/>
    <w:rsid w:val="6B76701F"/>
    <w:rsid w:val="6B8073B0"/>
    <w:rsid w:val="6B972EBA"/>
    <w:rsid w:val="6BAF67DE"/>
    <w:rsid w:val="6BB64940"/>
    <w:rsid w:val="6BBA5ABD"/>
    <w:rsid w:val="6BC04151"/>
    <w:rsid w:val="6BFF6B53"/>
    <w:rsid w:val="6C161EDD"/>
    <w:rsid w:val="6C17534B"/>
    <w:rsid w:val="6C52384A"/>
    <w:rsid w:val="6C5F577B"/>
    <w:rsid w:val="6C5F6B13"/>
    <w:rsid w:val="6C710D22"/>
    <w:rsid w:val="6C831486"/>
    <w:rsid w:val="6C8C7141"/>
    <w:rsid w:val="6C903E5F"/>
    <w:rsid w:val="6C92595F"/>
    <w:rsid w:val="6CA31D11"/>
    <w:rsid w:val="6CE513BE"/>
    <w:rsid w:val="6CEE595E"/>
    <w:rsid w:val="6CF82160"/>
    <w:rsid w:val="6D094BFA"/>
    <w:rsid w:val="6D1D7324"/>
    <w:rsid w:val="6D283EB3"/>
    <w:rsid w:val="6D476F5C"/>
    <w:rsid w:val="6D524D35"/>
    <w:rsid w:val="6D57260A"/>
    <w:rsid w:val="6D59569C"/>
    <w:rsid w:val="6D5E7E22"/>
    <w:rsid w:val="6D631E8B"/>
    <w:rsid w:val="6D691E34"/>
    <w:rsid w:val="6D921ACC"/>
    <w:rsid w:val="6DA45721"/>
    <w:rsid w:val="6DD45692"/>
    <w:rsid w:val="6DDA08E3"/>
    <w:rsid w:val="6DEF5724"/>
    <w:rsid w:val="6E2D7396"/>
    <w:rsid w:val="6E3F2A1C"/>
    <w:rsid w:val="6E555DD6"/>
    <w:rsid w:val="6E73203B"/>
    <w:rsid w:val="6E977E1E"/>
    <w:rsid w:val="6E9A083E"/>
    <w:rsid w:val="6EB81533"/>
    <w:rsid w:val="6EC54012"/>
    <w:rsid w:val="6F1013D6"/>
    <w:rsid w:val="6F1830F3"/>
    <w:rsid w:val="6F2C4E6B"/>
    <w:rsid w:val="6F6E6E2B"/>
    <w:rsid w:val="6F7502BE"/>
    <w:rsid w:val="6F8E346E"/>
    <w:rsid w:val="6F922D77"/>
    <w:rsid w:val="6F9E073A"/>
    <w:rsid w:val="6FA85985"/>
    <w:rsid w:val="6FEA2DEF"/>
    <w:rsid w:val="6FF03DFF"/>
    <w:rsid w:val="70231C9D"/>
    <w:rsid w:val="703E7AC3"/>
    <w:rsid w:val="70411BFE"/>
    <w:rsid w:val="707B5C7D"/>
    <w:rsid w:val="708C386D"/>
    <w:rsid w:val="7093353E"/>
    <w:rsid w:val="70A25D2A"/>
    <w:rsid w:val="70EC15F1"/>
    <w:rsid w:val="70F606D1"/>
    <w:rsid w:val="710B3229"/>
    <w:rsid w:val="710C3141"/>
    <w:rsid w:val="71104E62"/>
    <w:rsid w:val="713927A1"/>
    <w:rsid w:val="713C57D0"/>
    <w:rsid w:val="71426CAF"/>
    <w:rsid w:val="7150636D"/>
    <w:rsid w:val="715F2EF4"/>
    <w:rsid w:val="716D4921"/>
    <w:rsid w:val="718F25AD"/>
    <w:rsid w:val="719525E5"/>
    <w:rsid w:val="71C43EDF"/>
    <w:rsid w:val="71D12B7B"/>
    <w:rsid w:val="72047D57"/>
    <w:rsid w:val="72114EBD"/>
    <w:rsid w:val="722E4A91"/>
    <w:rsid w:val="724B7048"/>
    <w:rsid w:val="72563FB1"/>
    <w:rsid w:val="726E28BC"/>
    <w:rsid w:val="729701F7"/>
    <w:rsid w:val="72C13435"/>
    <w:rsid w:val="72EF6B00"/>
    <w:rsid w:val="731F1F0A"/>
    <w:rsid w:val="7332304C"/>
    <w:rsid w:val="73460DCF"/>
    <w:rsid w:val="73655299"/>
    <w:rsid w:val="736F51CC"/>
    <w:rsid w:val="73765DF7"/>
    <w:rsid w:val="73845AD3"/>
    <w:rsid w:val="738B40F8"/>
    <w:rsid w:val="739C093C"/>
    <w:rsid w:val="739D0315"/>
    <w:rsid w:val="73CE4F10"/>
    <w:rsid w:val="73D27643"/>
    <w:rsid w:val="73DE0BF4"/>
    <w:rsid w:val="73EF72A5"/>
    <w:rsid w:val="73F12089"/>
    <w:rsid w:val="740166CA"/>
    <w:rsid w:val="741606DE"/>
    <w:rsid w:val="74677303"/>
    <w:rsid w:val="746B4618"/>
    <w:rsid w:val="747D0D73"/>
    <w:rsid w:val="748E187D"/>
    <w:rsid w:val="74A9176B"/>
    <w:rsid w:val="74D612A7"/>
    <w:rsid w:val="74F727ED"/>
    <w:rsid w:val="75165209"/>
    <w:rsid w:val="75176D76"/>
    <w:rsid w:val="75395A4F"/>
    <w:rsid w:val="75402693"/>
    <w:rsid w:val="75A62599"/>
    <w:rsid w:val="75C718AC"/>
    <w:rsid w:val="75E5168E"/>
    <w:rsid w:val="75E65018"/>
    <w:rsid w:val="75FB3847"/>
    <w:rsid w:val="75FD7923"/>
    <w:rsid w:val="760E48DA"/>
    <w:rsid w:val="764536B8"/>
    <w:rsid w:val="764C1E95"/>
    <w:rsid w:val="765340BE"/>
    <w:rsid w:val="76540A77"/>
    <w:rsid w:val="76600B0B"/>
    <w:rsid w:val="769040A2"/>
    <w:rsid w:val="76EC025F"/>
    <w:rsid w:val="76F00E8F"/>
    <w:rsid w:val="77104195"/>
    <w:rsid w:val="773106E6"/>
    <w:rsid w:val="7739357A"/>
    <w:rsid w:val="77532B5B"/>
    <w:rsid w:val="778F5B0D"/>
    <w:rsid w:val="77A72B49"/>
    <w:rsid w:val="77BA48A1"/>
    <w:rsid w:val="77C16DBC"/>
    <w:rsid w:val="77D13BA9"/>
    <w:rsid w:val="77EA45C3"/>
    <w:rsid w:val="77F1105C"/>
    <w:rsid w:val="77F3515D"/>
    <w:rsid w:val="77F537AF"/>
    <w:rsid w:val="78147FF6"/>
    <w:rsid w:val="78366808"/>
    <w:rsid w:val="78427D95"/>
    <w:rsid w:val="785505CD"/>
    <w:rsid w:val="785F7D92"/>
    <w:rsid w:val="787273D3"/>
    <w:rsid w:val="78942820"/>
    <w:rsid w:val="789C3C45"/>
    <w:rsid w:val="78A31F75"/>
    <w:rsid w:val="78B2018D"/>
    <w:rsid w:val="78CE3373"/>
    <w:rsid w:val="78EA06B1"/>
    <w:rsid w:val="79303653"/>
    <w:rsid w:val="79332894"/>
    <w:rsid w:val="79432FDA"/>
    <w:rsid w:val="794E031B"/>
    <w:rsid w:val="795A1679"/>
    <w:rsid w:val="796340FE"/>
    <w:rsid w:val="79CD580C"/>
    <w:rsid w:val="79D941C5"/>
    <w:rsid w:val="79F651E3"/>
    <w:rsid w:val="7A041E00"/>
    <w:rsid w:val="7A17628C"/>
    <w:rsid w:val="7A4A0DFD"/>
    <w:rsid w:val="7A552236"/>
    <w:rsid w:val="7A616556"/>
    <w:rsid w:val="7A735659"/>
    <w:rsid w:val="7A7E0068"/>
    <w:rsid w:val="7AB60141"/>
    <w:rsid w:val="7AB817D3"/>
    <w:rsid w:val="7AC17447"/>
    <w:rsid w:val="7AD70C9B"/>
    <w:rsid w:val="7ADA5B3C"/>
    <w:rsid w:val="7ADC203B"/>
    <w:rsid w:val="7AF44B79"/>
    <w:rsid w:val="7B3856F0"/>
    <w:rsid w:val="7B4531F1"/>
    <w:rsid w:val="7B4D07FD"/>
    <w:rsid w:val="7B62386D"/>
    <w:rsid w:val="7B6A15AB"/>
    <w:rsid w:val="7BAB3DF5"/>
    <w:rsid w:val="7BBD17C9"/>
    <w:rsid w:val="7BD26364"/>
    <w:rsid w:val="7BD36C7F"/>
    <w:rsid w:val="7BDB29F1"/>
    <w:rsid w:val="7BF1074D"/>
    <w:rsid w:val="7C2F53CB"/>
    <w:rsid w:val="7C3A3603"/>
    <w:rsid w:val="7C461D0D"/>
    <w:rsid w:val="7C485C63"/>
    <w:rsid w:val="7C556F97"/>
    <w:rsid w:val="7C722C91"/>
    <w:rsid w:val="7CA27DFF"/>
    <w:rsid w:val="7CA834CE"/>
    <w:rsid w:val="7CB9036C"/>
    <w:rsid w:val="7D047631"/>
    <w:rsid w:val="7D220123"/>
    <w:rsid w:val="7D3475DB"/>
    <w:rsid w:val="7D417EE1"/>
    <w:rsid w:val="7D771F95"/>
    <w:rsid w:val="7D7BA450"/>
    <w:rsid w:val="7D942460"/>
    <w:rsid w:val="7DDD5D1F"/>
    <w:rsid w:val="7E0B3754"/>
    <w:rsid w:val="7E3C4D54"/>
    <w:rsid w:val="7E470D98"/>
    <w:rsid w:val="7E563F68"/>
    <w:rsid w:val="7E582D05"/>
    <w:rsid w:val="7E5A6E88"/>
    <w:rsid w:val="7E750639"/>
    <w:rsid w:val="7EA55CBC"/>
    <w:rsid w:val="7EBB2CEC"/>
    <w:rsid w:val="7EC40A24"/>
    <w:rsid w:val="7EF100A0"/>
    <w:rsid w:val="7F435763"/>
    <w:rsid w:val="7F5F072D"/>
    <w:rsid w:val="7F711C25"/>
    <w:rsid w:val="7FB40554"/>
    <w:rsid w:val="7FBA1359"/>
    <w:rsid w:val="7FF41FF0"/>
    <w:rsid w:val="E7F328BB"/>
    <w:rsid w:val="EAFF4C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29"/>
    <w:qFormat/>
    <w:uiPriority w:val="0"/>
    <w:pPr>
      <w:keepNext/>
      <w:jc w:val="center"/>
      <w:outlineLvl w:val="0"/>
    </w:pPr>
    <w:rPr>
      <w:rFonts w:eastAsia="黑体"/>
      <w:b/>
      <w:sz w:val="32"/>
      <w:szCs w:val="20"/>
    </w:rPr>
  </w:style>
  <w:style w:type="paragraph" w:styleId="4">
    <w:name w:val="heading 2"/>
    <w:basedOn w:val="1"/>
    <w:next w:val="1"/>
    <w:link w:val="67"/>
    <w:qFormat/>
    <w:uiPriority w:val="0"/>
    <w:pPr>
      <w:keepNext/>
      <w:outlineLvl w:val="1"/>
    </w:pPr>
    <w:rPr>
      <w:rFonts w:ascii="仿宋_GB2312"/>
      <w:b/>
      <w:sz w:val="28"/>
      <w:szCs w:val="32"/>
    </w:rPr>
  </w:style>
  <w:style w:type="paragraph" w:styleId="5">
    <w:name w:val="heading 3"/>
    <w:basedOn w:val="1"/>
    <w:next w:val="1"/>
    <w:link w:val="152"/>
    <w:qFormat/>
    <w:uiPriority w:val="0"/>
    <w:pPr>
      <w:keepNext/>
      <w:keepLines/>
      <w:spacing w:line="540" w:lineRule="atLeast"/>
      <w:outlineLvl w:val="2"/>
    </w:pPr>
    <w:rPr>
      <w:rFonts w:eastAsia="黑体"/>
      <w:b/>
      <w:sz w:val="28"/>
      <w:szCs w:val="20"/>
    </w:rPr>
  </w:style>
  <w:style w:type="paragraph" w:styleId="6">
    <w:name w:val="heading 4"/>
    <w:basedOn w:val="1"/>
    <w:next w:val="1"/>
    <w:link w:val="149"/>
    <w:qFormat/>
    <w:uiPriority w:val="0"/>
    <w:pPr>
      <w:keepNext/>
      <w:keepLines/>
      <w:spacing w:line="540" w:lineRule="atLeast"/>
      <w:outlineLvl w:val="3"/>
    </w:pPr>
    <w:rPr>
      <w:sz w:val="28"/>
      <w:szCs w:val="28"/>
    </w:rPr>
  </w:style>
  <w:style w:type="paragraph" w:styleId="7">
    <w:name w:val="heading 5"/>
    <w:basedOn w:val="1"/>
    <w:next w:val="1"/>
    <w:link w:val="132"/>
    <w:qFormat/>
    <w:uiPriority w:val="0"/>
    <w:pPr>
      <w:keepNext/>
      <w:keepLines/>
      <w:spacing w:before="280" w:after="290" w:line="372" w:lineRule="auto"/>
      <w:outlineLvl w:val="4"/>
    </w:pPr>
    <w:rPr>
      <w:b/>
      <w:bCs/>
      <w:kern w:val="0"/>
      <w:sz w:val="28"/>
      <w:szCs w:val="28"/>
    </w:rPr>
  </w:style>
  <w:style w:type="paragraph" w:styleId="8">
    <w:name w:val="heading 6"/>
    <w:basedOn w:val="1"/>
    <w:next w:val="9"/>
    <w:link w:val="173"/>
    <w:qFormat/>
    <w:uiPriority w:val="0"/>
    <w:pPr>
      <w:keepNext/>
      <w:keepLines/>
      <w:spacing w:before="240" w:after="64" w:line="317" w:lineRule="auto"/>
      <w:outlineLvl w:val="5"/>
    </w:pPr>
    <w:rPr>
      <w:rFonts w:ascii="Arial" w:hAnsi="Arial" w:eastAsia="黑体"/>
      <w:b/>
      <w:sz w:val="24"/>
      <w:szCs w:val="20"/>
    </w:rPr>
  </w:style>
  <w:style w:type="paragraph" w:styleId="10">
    <w:name w:val="heading 7"/>
    <w:basedOn w:val="1"/>
    <w:next w:val="9"/>
    <w:link w:val="70"/>
    <w:qFormat/>
    <w:uiPriority w:val="0"/>
    <w:pPr>
      <w:keepNext/>
      <w:keepLines/>
      <w:spacing w:before="240" w:after="64" w:line="317" w:lineRule="auto"/>
      <w:outlineLvl w:val="6"/>
    </w:pPr>
    <w:rPr>
      <w:b/>
      <w:sz w:val="24"/>
      <w:szCs w:val="20"/>
    </w:rPr>
  </w:style>
  <w:style w:type="paragraph" w:styleId="11">
    <w:name w:val="heading 8"/>
    <w:basedOn w:val="1"/>
    <w:next w:val="9"/>
    <w:link w:val="176"/>
    <w:qFormat/>
    <w:uiPriority w:val="0"/>
    <w:pPr>
      <w:keepNext/>
      <w:keepLines/>
      <w:spacing w:before="240" w:after="64" w:line="317" w:lineRule="auto"/>
      <w:outlineLvl w:val="7"/>
    </w:pPr>
    <w:rPr>
      <w:rFonts w:ascii="Arial" w:hAnsi="Arial" w:eastAsia="黑体"/>
      <w:sz w:val="24"/>
      <w:szCs w:val="20"/>
    </w:rPr>
  </w:style>
  <w:style w:type="paragraph" w:styleId="12">
    <w:name w:val="heading 9"/>
    <w:basedOn w:val="1"/>
    <w:next w:val="9"/>
    <w:link w:val="163"/>
    <w:qFormat/>
    <w:uiPriority w:val="0"/>
    <w:pPr>
      <w:keepNext/>
      <w:keepLines/>
      <w:spacing w:before="240" w:after="64" w:line="317" w:lineRule="auto"/>
      <w:outlineLvl w:val="8"/>
    </w:pPr>
    <w:rPr>
      <w:rFonts w:ascii="Arial" w:hAnsi="Arial" w:eastAsia="黑体"/>
      <w:szCs w:val="20"/>
    </w:rPr>
  </w:style>
  <w:style w:type="character" w:default="1" w:styleId="55">
    <w:name w:val="Default Paragraph Font"/>
    <w:semiHidden/>
    <w:unhideWhenUsed/>
    <w:qFormat/>
    <w:uiPriority w:val="1"/>
  </w:style>
  <w:style w:type="table" w:default="1" w:styleId="53">
    <w:name w:val="Normal Table"/>
    <w:semiHidden/>
    <w:unhideWhenUsed/>
    <w:qFormat/>
    <w:uiPriority w:val="99"/>
    <w:tblPr>
      <w:tblCellMar>
        <w:top w:w="0" w:type="dxa"/>
        <w:left w:w="108" w:type="dxa"/>
        <w:bottom w:w="0" w:type="dxa"/>
        <w:right w:w="108" w:type="dxa"/>
      </w:tblCellMar>
    </w:tblPr>
  </w:style>
  <w:style w:type="paragraph" w:styleId="2">
    <w:name w:val="macro"/>
    <w:link w:val="118"/>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Times New Roman"/>
      <w:kern w:val="2"/>
      <w:sz w:val="24"/>
      <w:szCs w:val="24"/>
      <w:lang w:val="en-US" w:eastAsia="zh-CN" w:bidi="ar-SA"/>
    </w:rPr>
  </w:style>
  <w:style w:type="paragraph" w:styleId="9">
    <w:name w:val="Normal Indent"/>
    <w:basedOn w:val="1"/>
    <w:link w:val="105"/>
    <w:qFormat/>
    <w:uiPriority w:val="0"/>
    <w:pPr>
      <w:adjustRightInd w:val="0"/>
      <w:spacing w:line="312" w:lineRule="atLeast"/>
      <w:ind w:firstLine="420"/>
      <w:textAlignment w:val="baseline"/>
    </w:pPr>
    <w:rPr>
      <w:rFonts w:ascii="仿宋_GB2312"/>
      <w:b/>
      <w:kern w:val="0"/>
      <w:szCs w:val="32"/>
    </w:rPr>
  </w:style>
  <w:style w:type="paragraph" w:styleId="13">
    <w:name w:val="toc 7"/>
    <w:basedOn w:val="1"/>
    <w:next w:val="1"/>
    <w:qFormat/>
    <w:uiPriority w:val="0"/>
    <w:pPr>
      <w:autoSpaceDE w:val="0"/>
      <w:autoSpaceDN w:val="0"/>
      <w:adjustRightInd w:val="0"/>
      <w:ind w:left="2520" w:leftChars="1200"/>
      <w:jc w:val="left"/>
    </w:pPr>
    <w:rPr>
      <w:kern w:val="0"/>
      <w:sz w:val="20"/>
      <w:szCs w:val="20"/>
    </w:rPr>
  </w:style>
  <w:style w:type="paragraph" w:styleId="14">
    <w:name w:val="List Number"/>
    <w:basedOn w:val="1"/>
    <w:qFormat/>
    <w:uiPriority w:val="0"/>
    <w:pPr>
      <w:tabs>
        <w:tab w:val="left" w:pos="360"/>
      </w:tabs>
      <w:ind w:left="360" w:hanging="360" w:hangingChars="200"/>
    </w:pPr>
  </w:style>
  <w:style w:type="paragraph" w:styleId="15">
    <w:name w:val="caption"/>
    <w:basedOn w:val="1"/>
    <w:next w:val="1"/>
    <w:qFormat/>
    <w:uiPriority w:val="0"/>
    <w:pPr>
      <w:autoSpaceDE w:val="0"/>
      <w:autoSpaceDN w:val="0"/>
      <w:adjustRightInd w:val="0"/>
      <w:jc w:val="left"/>
    </w:pPr>
    <w:rPr>
      <w:rFonts w:ascii="Arial" w:hAnsi="Arial" w:eastAsia="黑体" w:cs="Arial"/>
      <w:kern w:val="0"/>
      <w:sz w:val="20"/>
      <w:szCs w:val="20"/>
    </w:rPr>
  </w:style>
  <w:style w:type="paragraph" w:styleId="16">
    <w:name w:val="List Bullet"/>
    <w:basedOn w:val="1"/>
    <w:qFormat/>
    <w:uiPriority w:val="0"/>
    <w:pPr>
      <w:tabs>
        <w:tab w:val="left" w:pos="360"/>
      </w:tabs>
    </w:pPr>
    <w:rPr>
      <w:rFonts w:ascii="Calibri" w:hAnsi="Calibri"/>
      <w:szCs w:val="22"/>
    </w:rPr>
  </w:style>
  <w:style w:type="paragraph" w:styleId="17">
    <w:name w:val="Document Map"/>
    <w:basedOn w:val="1"/>
    <w:link w:val="131"/>
    <w:qFormat/>
    <w:uiPriority w:val="0"/>
    <w:pPr>
      <w:shd w:val="clear" w:color="auto" w:fill="000080"/>
    </w:pPr>
  </w:style>
  <w:style w:type="paragraph" w:styleId="18">
    <w:name w:val="annotation text"/>
    <w:basedOn w:val="1"/>
    <w:link w:val="91"/>
    <w:qFormat/>
    <w:uiPriority w:val="0"/>
    <w:pPr>
      <w:jc w:val="left"/>
    </w:pPr>
  </w:style>
  <w:style w:type="paragraph" w:styleId="19">
    <w:name w:val="Salutation"/>
    <w:basedOn w:val="1"/>
    <w:next w:val="1"/>
    <w:link w:val="79"/>
    <w:qFormat/>
    <w:uiPriority w:val="0"/>
    <w:pPr>
      <w:tabs>
        <w:tab w:val="left" w:pos="840"/>
      </w:tabs>
      <w:autoSpaceDE w:val="0"/>
      <w:autoSpaceDN w:val="0"/>
      <w:adjustRightInd w:val="0"/>
      <w:jc w:val="left"/>
    </w:pPr>
    <w:rPr>
      <w:rFonts w:ascii="仿宋_GB2312" w:eastAsia="仿宋_GB2312"/>
      <w:b/>
      <w:kern w:val="0"/>
      <w:sz w:val="24"/>
      <w:szCs w:val="32"/>
    </w:rPr>
  </w:style>
  <w:style w:type="paragraph" w:styleId="20">
    <w:name w:val="Body Text 3"/>
    <w:basedOn w:val="1"/>
    <w:link w:val="95"/>
    <w:qFormat/>
    <w:uiPriority w:val="0"/>
    <w:pPr>
      <w:autoSpaceDE w:val="0"/>
      <w:autoSpaceDN w:val="0"/>
      <w:adjustRightInd w:val="0"/>
      <w:jc w:val="center"/>
    </w:pPr>
  </w:style>
  <w:style w:type="paragraph" w:styleId="21">
    <w:name w:val="Body Text"/>
    <w:basedOn w:val="1"/>
    <w:link w:val="164"/>
    <w:qFormat/>
    <w:uiPriority w:val="0"/>
    <w:pPr>
      <w:spacing w:after="120"/>
    </w:pPr>
    <w:rPr>
      <w:rFonts w:ascii="仿宋_GB2312"/>
      <w:b/>
    </w:rPr>
  </w:style>
  <w:style w:type="paragraph" w:styleId="22">
    <w:name w:val="Body Text Indent"/>
    <w:basedOn w:val="1"/>
    <w:link w:val="144"/>
    <w:qFormat/>
    <w:uiPriority w:val="0"/>
    <w:pPr>
      <w:ind w:left="480" w:hanging="480" w:hangingChars="200"/>
    </w:pPr>
    <w:rPr>
      <w:sz w:val="24"/>
    </w:rPr>
  </w:style>
  <w:style w:type="paragraph" w:styleId="23">
    <w:name w:val="List Number 3"/>
    <w:basedOn w:val="1"/>
    <w:qFormat/>
    <w:uiPriority w:val="0"/>
    <w:pPr>
      <w:tabs>
        <w:tab w:val="left" w:pos="1200"/>
      </w:tabs>
      <w:ind w:left="1200" w:leftChars="400" w:hanging="360" w:hangingChars="200"/>
    </w:pPr>
  </w:style>
  <w:style w:type="paragraph" w:styleId="24">
    <w:name w:val="Block Text"/>
    <w:basedOn w:val="1"/>
    <w:qFormat/>
    <w:uiPriority w:val="0"/>
    <w:pPr>
      <w:spacing w:line="520" w:lineRule="exact"/>
      <w:ind w:left="540" w:leftChars="257" w:right="-514"/>
    </w:pPr>
    <w:rPr>
      <w:rFonts w:ascii="宋体" w:hAnsi="宋体"/>
      <w:sz w:val="24"/>
    </w:rPr>
  </w:style>
  <w:style w:type="paragraph" w:styleId="25">
    <w:name w:val="List Bullet 2"/>
    <w:basedOn w:val="1"/>
    <w:qFormat/>
    <w:uiPriority w:val="0"/>
    <w:pPr>
      <w:tabs>
        <w:tab w:val="left" w:pos="780"/>
      </w:tabs>
      <w:spacing w:line="360" w:lineRule="auto"/>
      <w:ind w:left="780" w:leftChars="200" w:hanging="360" w:hangingChars="200"/>
    </w:pPr>
  </w:style>
  <w:style w:type="paragraph" w:styleId="26">
    <w:name w:val="toc 5"/>
    <w:basedOn w:val="1"/>
    <w:next w:val="1"/>
    <w:qFormat/>
    <w:uiPriority w:val="0"/>
    <w:pPr>
      <w:autoSpaceDE w:val="0"/>
      <w:autoSpaceDN w:val="0"/>
      <w:adjustRightInd w:val="0"/>
      <w:ind w:left="1680" w:leftChars="800"/>
      <w:jc w:val="left"/>
    </w:pPr>
    <w:rPr>
      <w:kern w:val="0"/>
      <w:sz w:val="20"/>
      <w:szCs w:val="20"/>
    </w:rPr>
  </w:style>
  <w:style w:type="paragraph" w:styleId="27">
    <w:name w:val="toc 3"/>
    <w:basedOn w:val="1"/>
    <w:next w:val="1"/>
    <w:qFormat/>
    <w:uiPriority w:val="0"/>
    <w:pPr>
      <w:ind w:left="840" w:leftChars="400"/>
    </w:pPr>
  </w:style>
  <w:style w:type="paragraph" w:styleId="28">
    <w:name w:val="Plain Text"/>
    <w:basedOn w:val="1"/>
    <w:link w:val="192"/>
    <w:qFormat/>
    <w:uiPriority w:val="0"/>
    <w:pPr>
      <w:widowControl/>
      <w:overflowPunct w:val="0"/>
      <w:autoSpaceDE w:val="0"/>
      <w:autoSpaceDN w:val="0"/>
      <w:adjustRightInd w:val="0"/>
      <w:jc w:val="left"/>
      <w:textAlignment w:val="baseline"/>
    </w:pPr>
    <w:rPr>
      <w:rFonts w:ascii="宋体" w:hAnsi="Courier New"/>
      <w:b/>
      <w:kern w:val="0"/>
      <w:szCs w:val="21"/>
    </w:rPr>
  </w:style>
  <w:style w:type="paragraph" w:styleId="29">
    <w:name w:val="List Number 4"/>
    <w:basedOn w:val="1"/>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0">
    <w:name w:val="toc 8"/>
    <w:basedOn w:val="1"/>
    <w:next w:val="1"/>
    <w:qFormat/>
    <w:uiPriority w:val="0"/>
    <w:pPr>
      <w:autoSpaceDE w:val="0"/>
      <w:autoSpaceDN w:val="0"/>
      <w:adjustRightInd w:val="0"/>
      <w:ind w:left="2940" w:leftChars="1400"/>
      <w:jc w:val="left"/>
    </w:pPr>
    <w:rPr>
      <w:kern w:val="0"/>
      <w:sz w:val="20"/>
      <w:szCs w:val="20"/>
    </w:rPr>
  </w:style>
  <w:style w:type="paragraph" w:styleId="31">
    <w:name w:val="Date"/>
    <w:basedOn w:val="1"/>
    <w:next w:val="1"/>
    <w:link w:val="133"/>
    <w:qFormat/>
    <w:uiPriority w:val="0"/>
    <w:pPr>
      <w:ind w:left="100" w:leftChars="2500"/>
    </w:pPr>
  </w:style>
  <w:style w:type="paragraph" w:styleId="32">
    <w:name w:val="Body Text Indent 2"/>
    <w:basedOn w:val="1"/>
    <w:link w:val="178"/>
    <w:qFormat/>
    <w:uiPriority w:val="0"/>
    <w:pPr>
      <w:spacing w:line="500" w:lineRule="exact"/>
      <w:ind w:firstLine="511" w:firstLineChars="213"/>
    </w:pPr>
    <w:rPr>
      <w:sz w:val="24"/>
    </w:rPr>
  </w:style>
  <w:style w:type="paragraph" w:styleId="33">
    <w:name w:val="Balloon Text"/>
    <w:basedOn w:val="1"/>
    <w:link w:val="151"/>
    <w:qFormat/>
    <w:uiPriority w:val="0"/>
    <w:rPr>
      <w:sz w:val="18"/>
      <w:szCs w:val="18"/>
    </w:rPr>
  </w:style>
  <w:style w:type="paragraph" w:styleId="34">
    <w:name w:val="footer"/>
    <w:basedOn w:val="1"/>
    <w:link w:val="120"/>
    <w:qFormat/>
    <w:uiPriority w:val="0"/>
    <w:pPr>
      <w:tabs>
        <w:tab w:val="center" w:pos="4153"/>
        <w:tab w:val="right" w:pos="8306"/>
      </w:tabs>
      <w:snapToGrid w:val="0"/>
      <w:jc w:val="left"/>
    </w:pPr>
    <w:rPr>
      <w:sz w:val="18"/>
      <w:szCs w:val="18"/>
    </w:rPr>
  </w:style>
  <w:style w:type="paragraph" w:styleId="35">
    <w:name w:val="header"/>
    <w:basedOn w:val="1"/>
    <w:link w:val="135"/>
    <w:qFormat/>
    <w:uiPriority w:val="0"/>
    <w:pPr>
      <w:pBdr>
        <w:bottom w:val="single" w:color="auto" w:sz="6" w:space="1"/>
      </w:pBdr>
      <w:tabs>
        <w:tab w:val="center" w:pos="4153"/>
        <w:tab w:val="right" w:pos="8306"/>
      </w:tabs>
      <w:snapToGrid w:val="0"/>
      <w:jc w:val="center"/>
    </w:pPr>
    <w:rPr>
      <w:sz w:val="18"/>
      <w:szCs w:val="18"/>
    </w:rPr>
  </w:style>
  <w:style w:type="paragraph" w:styleId="36">
    <w:name w:val="Signature"/>
    <w:basedOn w:val="1"/>
    <w:link w:val="154"/>
    <w:qFormat/>
    <w:uiPriority w:val="0"/>
    <w:pPr>
      <w:autoSpaceDE w:val="0"/>
      <w:autoSpaceDN w:val="0"/>
      <w:adjustRightInd w:val="0"/>
      <w:spacing w:after="600" w:line="312" w:lineRule="atLeast"/>
      <w:jc w:val="center"/>
      <w:textAlignment w:val="baseline"/>
    </w:pPr>
    <w:rPr>
      <w:rFonts w:ascii="仿宋_GB2312" w:eastAsia="仿宋_GB2312"/>
      <w:b/>
      <w:kern w:val="0"/>
      <w:sz w:val="24"/>
      <w:szCs w:val="32"/>
    </w:rPr>
  </w:style>
  <w:style w:type="paragraph" w:styleId="37">
    <w:name w:val="toc 1"/>
    <w:basedOn w:val="38"/>
    <w:next w:val="1"/>
    <w:qFormat/>
    <w:uiPriority w:val="0"/>
  </w:style>
  <w:style w:type="paragraph" w:styleId="38">
    <w:name w:val="index 1"/>
    <w:basedOn w:val="1"/>
    <w:next w:val="1"/>
    <w:qFormat/>
    <w:uiPriority w:val="0"/>
  </w:style>
  <w:style w:type="paragraph" w:styleId="39">
    <w:name w:val="toc 4"/>
    <w:basedOn w:val="1"/>
    <w:next w:val="1"/>
    <w:qFormat/>
    <w:uiPriority w:val="0"/>
    <w:pPr>
      <w:autoSpaceDE w:val="0"/>
      <w:autoSpaceDN w:val="0"/>
      <w:adjustRightInd w:val="0"/>
      <w:ind w:left="1260" w:leftChars="600"/>
      <w:jc w:val="left"/>
    </w:pPr>
    <w:rPr>
      <w:kern w:val="0"/>
      <w:sz w:val="20"/>
      <w:szCs w:val="20"/>
    </w:rPr>
  </w:style>
  <w:style w:type="paragraph" w:styleId="40">
    <w:name w:val="Subtitle"/>
    <w:basedOn w:val="1"/>
    <w:next w:val="1"/>
    <w:link w:val="134"/>
    <w:qFormat/>
    <w:uiPriority w:val="0"/>
    <w:pPr>
      <w:spacing w:before="240" w:after="60" w:line="312" w:lineRule="auto"/>
      <w:jc w:val="center"/>
      <w:outlineLvl w:val="1"/>
    </w:pPr>
    <w:rPr>
      <w:rFonts w:ascii="Cambria" w:hAnsi="Cambria"/>
      <w:b/>
      <w:bCs/>
      <w:kern w:val="28"/>
      <w:sz w:val="32"/>
      <w:szCs w:val="32"/>
    </w:rPr>
  </w:style>
  <w:style w:type="paragraph" w:styleId="41">
    <w:name w:val="List Number 5"/>
    <w:basedOn w:val="1"/>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2">
    <w:name w:val="List"/>
    <w:basedOn w:val="1"/>
    <w:qFormat/>
    <w:uiPriority w:val="0"/>
    <w:pPr>
      <w:ind w:left="200" w:hanging="200" w:hangingChars="200"/>
    </w:pPr>
  </w:style>
  <w:style w:type="paragraph" w:styleId="43">
    <w:name w:val="toc 6"/>
    <w:basedOn w:val="1"/>
    <w:next w:val="1"/>
    <w:qFormat/>
    <w:uiPriority w:val="0"/>
    <w:pPr>
      <w:autoSpaceDE w:val="0"/>
      <w:autoSpaceDN w:val="0"/>
      <w:adjustRightInd w:val="0"/>
      <w:ind w:left="2100" w:leftChars="1000"/>
      <w:jc w:val="left"/>
    </w:pPr>
    <w:rPr>
      <w:kern w:val="0"/>
      <w:sz w:val="20"/>
      <w:szCs w:val="20"/>
    </w:rPr>
  </w:style>
  <w:style w:type="paragraph" w:styleId="44">
    <w:name w:val="Body Text Indent 3"/>
    <w:basedOn w:val="1"/>
    <w:link w:val="146"/>
    <w:qFormat/>
    <w:uiPriority w:val="0"/>
    <w:pPr>
      <w:spacing w:line="500" w:lineRule="exact"/>
      <w:ind w:left="511" w:hanging="511" w:hangingChars="213"/>
    </w:pPr>
    <w:rPr>
      <w:sz w:val="24"/>
    </w:rPr>
  </w:style>
  <w:style w:type="paragraph" w:styleId="45">
    <w:name w:val="toc 2"/>
    <w:basedOn w:val="1"/>
    <w:next w:val="1"/>
    <w:qFormat/>
    <w:uiPriority w:val="0"/>
    <w:pPr>
      <w:ind w:left="420" w:leftChars="200"/>
    </w:pPr>
  </w:style>
  <w:style w:type="paragraph" w:styleId="46">
    <w:name w:val="toc 9"/>
    <w:basedOn w:val="1"/>
    <w:next w:val="1"/>
    <w:qFormat/>
    <w:uiPriority w:val="0"/>
    <w:pPr>
      <w:autoSpaceDE w:val="0"/>
      <w:autoSpaceDN w:val="0"/>
      <w:adjustRightInd w:val="0"/>
      <w:ind w:left="3360" w:leftChars="1600"/>
      <w:jc w:val="left"/>
    </w:pPr>
    <w:rPr>
      <w:kern w:val="0"/>
      <w:sz w:val="20"/>
      <w:szCs w:val="20"/>
    </w:rPr>
  </w:style>
  <w:style w:type="paragraph" w:styleId="47">
    <w:name w:val="Body Text 2"/>
    <w:basedOn w:val="1"/>
    <w:link w:val="198"/>
    <w:qFormat/>
    <w:uiPriority w:val="0"/>
    <w:pPr>
      <w:autoSpaceDE w:val="0"/>
      <w:autoSpaceDN w:val="0"/>
      <w:adjustRightInd w:val="0"/>
      <w:spacing w:after="120" w:line="480" w:lineRule="auto"/>
      <w:jc w:val="left"/>
    </w:pPr>
  </w:style>
  <w:style w:type="paragraph" w:styleId="48">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49">
    <w:name w:val="Title"/>
    <w:basedOn w:val="1"/>
    <w:next w:val="1"/>
    <w:link w:val="111"/>
    <w:qFormat/>
    <w:uiPriority w:val="0"/>
    <w:pPr>
      <w:spacing w:before="240" w:after="60"/>
      <w:jc w:val="center"/>
      <w:outlineLvl w:val="0"/>
    </w:pPr>
    <w:rPr>
      <w:rFonts w:ascii="Cambria" w:hAnsi="Cambria"/>
      <w:b/>
      <w:bCs/>
      <w:sz w:val="32"/>
      <w:szCs w:val="32"/>
    </w:rPr>
  </w:style>
  <w:style w:type="paragraph" w:styleId="50">
    <w:name w:val="annotation subject"/>
    <w:basedOn w:val="18"/>
    <w:next w:val="18"/>
    <w:link w:val="96"/>
    <w:qFormat/>
    <w:uiPriority w:val="0"/>
    <w:rPr>
      <w:b/>
      <w:bCs/>
    </w:rPr>
  </w:style>
  <w:style w:type="paragraph" w:styleId="51">
    <w:name w:val="Body Text First Indent"/>
    <w:basedOn w:val="21"/>
    <w:link w:val="196"/>
    <w:qFormat/>
    <w:uiPriority w:val="0"/>
    <w:pPr>
      <w:autoSpaceDE w:val="0"/>
      <w:autoSpaceDN w:val="0"/>
      <w:adjustRightInd w:val="0"/>
      <w:ind w:firstLine="420" w:firstLineChars="100"/>
      <w:jc w:val="left"/>
    </w:pPr>
    <w:rPr>
      <w:rFonts w:ascii="Times New Roman"/>
      <w:b w:val="0"/>
      <w:kern w:val="0"/>
      <w:sz w:val="20"/>
      <w:szCs w:val="20"/>
    </w:rPr>
  </w:style>
  <w:style w:type="paragraph" w:styleId="52">
    <w:name w:val="Body Text First Indent 2"/>
    <w:basedOn w:val="22"/>
    <w:qFormat/>
    <w:uiPriority w:val="0"/>
    <w:pPr>
      <w:spacing w:after="120"/>
      <w:ind w:left="420" w:leftChars="200" w:firstLine="420"/>
    </w:pPr>
    <w:rPr>
      <w:rFonts w:cs="宋体"/>
      <w:sz w:val="21"/>
      <w:szCs w:val="21"/>
    </w:rPr>
  </w:style>
  <w:style w:type="table" w:styleId="54">
    <w:name w:val="Table Grid"/>
    <w:basedOn w:val="5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6">
    <w:name w:val="Strong"/>
    <w:basedOn w:val="55"/>
    <w:qFormat/>
    <w:uiPriority w:val="0"/>
    <w:rPr>
      <w:rFonts w:ascii="仿宋_GB2312" w:eastAsia="仿宋_GB2312"/>
      <w:bCs/>
      <w:sz w:val="32"/>
      <w:szCs w:val="32"/>
    </w:rPr>
  </w:style>
  <w:style w:type="character" w:styleId="57">
    <w:name w:val="page number"/>
    <w:basedOn w:val="55"/>
    <w:qFormat/>
    <w:uiPriority w:val="0"/>
  </w:style>
  <w:style w:type="character" w:styleId="58">
    <w:name w:val="FollowedHyperlink"/>
    <w:qFormat/>
    <w:uiPriority w:val="0"/>
    <w:rPr>
      <w:rFonts w:ascii="仿宋_GB2312" w:eastAsia="仿宋_GB2312"/>
      <w:b/>
      <w:color w:val="800080"/>
      <w:sz w:val="32"/>
      <w:szCs w:val="32"/>
      <w:u w:val="none"/>
    </w:rPr>
  </w:style>
  <w:style w:type="character" w:styleId="59">
    <w:name w:val="Emphasis"/>
    <w:qFormat/>
    <w:uiPriority w:val="0"/>
    <w:rPr>
      <w:i/>
      <w:iCs/>
    </w:rPr>
  </w:style>
  <w:style w:type="character" w:styleId="60">
    <w:name w:val="line number"/>
    <w:basedOn w:val="55"/>
    <w:qFormat/>
    <w:uiPriority w:val="0"/>
  </w:style>
  <w:style w:type="character" w:styleId="61">
    <w:name w:val="Hyperlink"/>
    <w:qFormat/>
    <w:uiPriority w:val="0"/>
    <w:rPr>
      <w:rFonts w:ascii="仿宋_GB2312" w:eastAsia="仿宋_GB2312"/>
      <w:b/>
      <w:color w:val="0000FF"/>
      <w:sz w:val="32"/>
      <w:szCs w:val="32"/>
      <w:u w:val="none"/>
    </w:rPr>
  </w:style>
  <w:style w:type="character" w:styleId="62">
    <w:name w:val="annotation reference"/>
    <w:qFormat/>
    <w:uiPriority w:val="0"/>
    <w:rPr>
      <w:sz w:val="21"/>
      <w:szCs w:val="21"/>
    </w:rPr>
  </w:style>
  <w:style w:type="character" w:styleId="63">
    <w:name w:val="HTML Cite"/>
    <w:qFormat/>
    <w:uiPriority w:val="0"/>
    <w:rPr>
      <w:color w:val="008000"/>
    </w:rPr>
  </w:style>
  <w:style w:type="paragraph" w:customStyle="1" w:styleId="64">
    <w:name w:val="Char3 Char Char Char"/>
    <w:basedOn w:val="1"/>
    <w:qFormat/>
    <w:uiPriority w:val="0"/>
  </w:style>
  <w:style w:type="character" w:customStyle="1" w:styleId="65">
    <w:name w:val="不明显参考1"/>
    <w:qFormat/>
    <w:uiPriority w:val="0"/>
    <w:rPr>
      <w:smallCaps/>
      <w:color w:val="C0504D"/>
      <w:u w:val="single"/>
    </w:rPr>
  </w:style>
  <w:style w:type="character" w:customStyle="1" w:styleId="66">
    <w:name w:val="PI Char1"/>
    <w:qFormat/>
    <w:uiPriority w:val="0"/>
    <w:rPr>
      <w:rFonts w:eastAsia="宋体"/>
      <w:kern w:val="2"/>
      <w:sz w:val="24"/>
      <w:szCs w:val="24"/>
      <w:lang w:val="en-US" w:eastAsia="zh-CN" w:bidi="ar-SA"/>
    </w:rPr>
  </w:style>
  <w:style w:type="character" w:customStyle="1" w:styleId="67">
    <w:name w:val="标题 2 Char"/>
    <w:link w:val="4"/>
    <w:qFormat/>
    <w:uiPriority w:val="0"/>
    <w:rPr>
      <w:rFonts w:ascii="仿宋_GB2312" w:eastAsia="宋体"/>
      <w:b/>
      <w:kern w:val="2"/>
      <w:sz w:val="28"/>
      <w:szCs w:val="32"/>
      <w:lang w:val="en-US" w:eastAsia="zh-CN" w:bidi="ar-SA"/>
    </w:rPr>
  </w:style>
  <w:style w:type="character" w:customStyle="1" w:styleId="68">
    <w:name w:val="pt141"/>
    <w:qFormat/>
    <w:uiPriority w:val="0"/>
    <w:rPr>
      <w:color w:val="330066"/>
      <w:spacing w:val="450"/>
      <w:sz w:val="22"/>
      <w:szCs w:val="22"/>
    </w:rPr>
  </w:style>
  <w:style w:type="character" w:customStyle="1" w:styleId="69">
    <w:name w:val="Char Char27"/>
    <w:qFormat/>
    <w:uiPriority w:val="0"/>
    <w:rPr>
      <w:rFonts w:eastAsia="宋体"/>
      <w:kern w:val="2"/>
      <w:sz w:val="28"/>
      <w:lang w:val="en-US" w:eastAsia="zh-CN" w:bidi="ar-SA"/>
    </w:rPr>
  </w:style>
  <w:style w:type="character" w:customStyle="1" w:styleId="70">
    <w:name w:val="标题 7 Char"/>
    <w:link w:val="10"/>
    <w:qFormat/>
    <w:uiPriority w:val="0"/>
    <w:rPr>
      <w:rFonts w:eastAsia="宋体"/>
      <w:b/>
      <w:kern w:val="2"/>
      <w:sz w:val="24"/>
      <w:lang w:val="en-US" w:eastAsia="zh-CN" w:bidi="ar-SA"/>
    </w:rPr>
  </w:style>
  <w:style w:type="character" w:customStyle="1" w:styleId="71">
    <w:name w:val="明显参考1"/>
    <w:qFormat/>
    <w:uiPriority w:val="0"/>
    <w:rPr>
      <w:b/>
      <w:bCs/>
      <w:smallCaps/>
      <w:color w:val="C0504D"/>
      <w:spacing w:val="5"/>
      <w:u w:val="single"/>
    </w:rPr>
  </w:style>
  <w:style w:type="character" w:customStyle="1" w:styleId="72">
    <w:name w:val="书籍标题1"/>
    <w:qFormat/>
    <w:uiPriority w:val="0"/>
    <w:rPr>
      <w:b/>
      <w:bCs/>
      <w:smallCaps/>
      <w:spacing w:val="5"/>
    </w:rPr>
  </w:style>
  <w:style w:type="character" w:customStyle="1" w:styleId="73">
    <w:name w:val="Char Char61"/>
    <w:qFormat/>
    <w:uiPriority w:val="0"/>
    <w:rPr>
      <w:rFonts w:ascii="Times New Roman" w:hAnsi="Times New Roman" w:eastAsia="宋体" w:cs="Times New Roman"/>
      <w:szCs w:val="24"/>
    </w:rPr>
  </w:style>
  <w:style w:type="character" w:customStyle="1" w:styleId="74">
    <w:name w:val="Char Char24"/>
    <w:qFormat/>
    <w:uiPriority w:val="0"/>
    <w:rPr>
      <w:rFonts w:eastAsia="宋体"/>
      <w:b/>
      <w:kern w:val="2"/>
      <w:sz w:val="28"/>
      <w:lang w:val="en-US" w:eastAsia="zh-CN" w:bidi="ar-SA"/>
    </w:rPr>
  </w:style>
  <w:style w:type="character" w:customStyle="1" w:styleId="75">
    <w:name w:val="Style4"/>
    <w:qFormat/>
    <w:uiPriority w:val="0"/>
    <w:rPr>
      <w:rFonts w:ascii="Calibri" w:hAnsi="宋体" w:eastAsia="宋体" w:cs="Times New Roman"/>
      <w:szCs w:val="22"/>
      <w:lang w:eastAsia="zh-CN"/>
    </w:rPr>
  </w:style>
  <w:style w:type="character" w:customStyle="1" w:styleId="76">
    <w:name w:val="Style1"/>
    <w:qFormat/>
    <w:uiPriority w:val="0"/>
    <w:rPr>
      <w:rFonts w:ascii="Calibri" w:hAnsi="宋体" w:eastAsia="宋体" w:cs="Times New Roman"/>
      <w:sz w:val="22"/>
      <w:szCs w:val="22"/>
      <w:lang w:eastAsia="zh-CN"/>
    </w:rPr>
  </w:style>
  <w:style w:type="character" w:customStyle="1" w:styleId="77">
    <w:name w:val="heading 1 Char1"/>
    <w:qFormat/>
    <w:uiPriority w:val="0"/>
    <w:rPr>
      <w:rFonts w:eastAsia="宋体"/>
      <w:b/>
      <w:bCs/>
      <w:kern w:val="44"/>
      <w:sz w:val="44"/>
      <w:szCs w:val="44"/>
      <w:lang w:val="en-US" w:eastAsia="zh-CN" w:bidi="ar-SA"/>
    </w:rPr>
  </w:style>
  <w:style w:type="character" w:customStyle="1" w:styleId="78">
    <w:name w:val="Style5"/>
    <w:qFormat/>
    <w:uiPriority w:val="0"/>
    <w:rPr>
      <w:rFonts w:ascii="Calibri" w:hAnsi="宋体" w:eastAsia="宋体" w:cs="Times New Roman"/>
      <w:sz w:val="22"/>
      <w:szCs w:val="22"/>
      <w:lang w:eastAsia="zh-CN"/>
    </w:rPr>
  </w:style>
  <w:style w:type="character" w:customStyle="1" w:styleId="79">
    <w:name w:val="称呼 Char"/>
    <w:link w:val="19"/>
    <w:qFormat/>
    <w:uiPriority w:val="0"/>
    <w:rPr>
      <w:rFonts w:ascii="仿宋_GB2312" w:eastAsia="仿宋_GB2312"/>
      <w:b/>
      <w:sz w:val="24"/>
      <w:szCs w:val="32"/>
    </w:rPr>
  </w:style>
  <w:style w:type="character" w:customStyle="1" w:styleId="80">
    <w:name w:val="Ò³Ã¼ Char Char2"/>
    <w:qFormat/>
    <w:uiPriority w:val="0"/>
    <w:rPr>
      <w:kern w:val="2"/>
      <w:sz w:val="18"/>
      <w:szCs w:val="18"/>
    </w:rPr>
  </w:style>
  <w:style w:type="character" w:customStyle="1" w:styleId="81">
    <w:name w:val="明显强调1"/>
    <w:qFormat/>
    <w:uiPriority w:val="0"/>
    <w:rPr>
      <w:b/>
      <w:bCs/>
      <w:i/>
      <w:iCs/>
      <w:color w:val="4F81BD"/>
    </w:rPr>
  </w:style>
  <w:style w:type="character" w:customStyle="1" w:styleId="82">
    <w:name w:val="样式 标题 3 + 黑体 小四 Char Char"/>
    <w:link w:val="83"/>
    <w:qFormat/>
    <w:uiPriority w:val="0"/>
    <w:rPr>
      <w:rFonts w:ascii="黑体" w:hAnsi="Arial" w:eastAsia="黑体"/>
      <w:bCs/>
      <w:sz w:val="24"/>
      <w:szCs w:val="24"/>
      <w:lang w:bidi="ar-SA"/>
    </w:rPr>
  </w:style>
  <w:style w:type="paragraph" w:customStyle="1" w:styleId="83">
    <w:name w:val="样式 标题 3 + 黑体 小四"/>
    <w:basedOn w:val="5"/>
    <w:link w:val="82"/>
    <w:qFormat/>
    <w:uiPriority w:val="0"/>
    <w:pPr>
      <w:spacing w:before="260" w:after="260" w:line="413" w:lineRule="auto"/>
    </w:pPr>
    <w:rPr>
      <w:rFonts w:ascii="黑体" w:hAnsi="Arial"/>
      <w:b w:val="0"/>
      <w:bCs/>
      <w:kern w:val="0"/>
      <w:sz w:val="24"/>
      <w:szCs w:val="24"/>
    </w:rPr>
  </w:style>
  <w:style w:type="character" w:customStyle="1" w:styleId="84">
    <w:name w:val="heading 7 Char1"/>
    <w:qFormat/>
    <w:uiPriority w:val="0"/>
    <w:rPr>
      <w:rFonts w:ascii="Arial" w:hAnsi="Arial" w:eastAsia="黑体"/>
      <w:sz w:val="21"/>
      <w:szCs w:val="21"/>
      <w:lang w:val="en-US" w:eastAsia="zh-CN" w:bidi="ar-SA"/>
    </w:rPr>
  </w:style>
  <w:style w:type="character" w:customStyle="1" w:styleId="85">
    <w:name w:val="Char Char1"/>
    <w:qFormat/>
    <w:uiPriority w:val="0"/>
    <w:rPr>
      <w:rFonts w:eastAsia="宋体"/>
      <w:sz w:val="21"/>
      <w:lang w:val="en-US" w:eastAsia="zh-CN" w:bidi="ar-SA"/>
    </w:rPr>
  </w:style>
  <w:style w:type="character" w:customStyle="1" w:styleId="86">
    <w:name w:val="Char Char12"/>
    <w:qFormat/>
    <w:uiPriority w:val="0"/>
    <w:rPr>
      <w:rFonts w:eastAsia="宋体"/>
      <w:kern w:val="2"/>
      <w:sz w:val="21"/>
      <w:szCs w:val="24"/>
      <w:lang w:val="en-US" w:eastAsia="zh-CN" w:bidi="ar-SA"/>
    </w:rPr>
  </w:style>
  <w:style w:type="character" w:customStyle="1" w:styleId="87">
    <w:name w:val="Char Char18"/>
    <w:qFormat/>
    <w:uiPriority w:val="0"/>
    <w:rPr>
      <w:b/>
      <w:bCs/>
      <w:kern w:val="2"/>
      <w:sz w:val="32"/>
      <w:szCs w:val="32"/>
    </w:rPr>
  </w:style>
  <w:style w:type="character" w:customStyle="1" w:styleId="88">
    <w:name w:val="Char Char4"/>
    <w:qFormat/>
    <w:uiPriority w:val="0"/>
    <w:rPr>
      <w:rFonts w:ascii="Cambria" w:hAnsi="Cambria" w:eastAsia="宋体"/>
      <w:b/>
      <w:bCs/>
      <w:sz w:val="32"/>
      <w:szCs w:val="32"/>
      <w:lang w:bidi="ar-SA"/>
    </w:rPr>
  </w:style>
  <w:style w:type="character" w:customStyle="1" w:styleId="89">
    <w:name w:val="PI Char"/>
    <w:qFormat/>
    <w:uiPriority w:val="0"/>
    <w:rPr>
      <w:rFonts w:ascii="宋体" w:hAnsi="宋体"/>
      <w:sz w:val="24"/>
    </w:rPr>
  </w:style>
  <w:style w:type="character" w:customStyle="1" w:styleId="90">
    <w:name w:val="明显参考2"/>
    <w:qFormat/>
    <w:uiPriority w:val="0"/>
    <w:rPr>
      <w:b/>
      <w:bCs/>
      <w:smallCaps/>
      <w:color w:val="C0504D"/>
      <w:spacing w:val="5"/>
      <w:u w:val="single"/>
    </w:rPr>
  </w:style>
  <w:style w:type="character" w:customStyle="1" w:styleId="91">
    <w:name w:val="批注文字 Char"/>
    <w:link w:val="18"/>
    <w:qFormat/>
    <w:uiPriority w:val="0"/>
    <w:rPr>
      <w:rFonts w:eastAsia="宋体"/>
      <w:kern w:val="2"/>
      <w:sz w:val="21"/>
      <w:szCs w:val="24"/>
      <w:lang w:val="en-US" w:eastAsia="zh-CN" w:bidi="ar-SA"/>
    </w:rPr>
  </w:style>
  <w:style w:type="character" w:customStyle="1" w:styleId="92">
    <w:name w:val="Style2"/>
    <w:qFormat/>
    <w:uiPriority w:val="0"/>
    <w:rPr>
      <w:rFonts w:ascii="Calibri" w:hAnsi="宋体" w:eastAsia="宋体" w:cs="Times New Roman"/>
      <w:sz w:val="22"/>
      <w:szCs w:val="22"/>
      <w:lang w:eastAsia="zh-CN"/>
    </w:rPr>
  </w:style>
  <w:style w:type="character" w:customStyle="1" w:styleId="93">
    <w:name w:val="Footer-Even Char1"/>
    <w:qFormat/>
    <w:uiPriority w:val="0"/>
    <w:rPr>
      <w:rFonts w:eastAsia="宋体"/>
      <w:kern w:val="2"/>
      <w:sz w:val="18"/>
      <w:szCs w:val="18"/>
      <w:lang w:val="en-US" w:eastAsia="zh-CN" w:bidi="ar-SA"/>
    </w:rPr>
  </w:style>
  <w:style w:type="character" w:customStyle="1" w:styleId="94">
    <w:name w:val="heading 4 Char1"/>
    <w:qFormat/>
    <w:uiPriority w:val="0"/>
    <w:rPr>
      <w:rFonts w:ascii="Cambria" w:hAnsi="Cambria" w:eastAsia="宋体"/>
      <w:b/>
      <w:bCs/>
      <w:kern w:val="2"/>
      <w:sz w:val="28"/>
      <w:szCs w:val="28"/>
      <w:lang w:val="en-US" w:eastAsia="zh-CN" w:bidi="ar-SA"/>
    </w:rPr>
  </w:style>
  <w:style w:type="character" w:customStyle="1" w:styleId="95">
    <w:name w:val="正文文本 3 Char"/>
    <w:basedOn w:val="55"/>
    <w:link w:val="20"/>
    <w:qFormat/>
    <w:uiPriority w:val="0"/>
  </w:style>
  <w:style w:type="character" w:customStyle="1" w:styleId="96">
    <w:name w:val="批注主题 Char"/>
    <w:link w:val="50"/>
    <w:qFormat/>
    <w:uiPriority w:val="0"/>
    <w:rPr>
      <w:rFonts w:eastAsia="宋体"/>
      <w:b/>
      <w:bCs/>
      <w:kern w:val="2"/>
      <w:sz w:val="21"/>
      <w:szCs w:val="24"/>
      <w:lang w:val="en-US" w:eastAsia="zh-CN" w:bidi="ar-SA"/>
    </w:rPr>
  </w:style>
  <w:style w:type="character" w:customStyle="1" w:styleId="97">
    <w:name w:val="不明显参考11"/>
    <w:qFormat/>
    <w:uiPriority w:val="0"/>
    <w:rPr>
      <w:smallCaps/>
      <w:color w:val="C0504D"/>
      <w:u w:val="single"/>
    </w:rPr>
  </w:style>
  <w:style w:type="character" w:customStyle="1" w:styleId="98">
    <w:name w:val="Plain Text Char"/>
    <w:qFormat/>
    <w:uiPriority w:val="0"/>
    <w:rPr>
      <w:rFonts w:ascii="宋体" w:hAnsi="Courier New" w:eastAsia="宋体" w:cs="Times New Roman"/>
      <w:sz w:val="21"/>
      <w:szCs w:val="21"/>
    </w:rPr>
  </w:style>
  <w:style w:type="character" w:customStyle="1" w:styleId="99">
    <w:name w:val="Char Char111"/>
    <w:qFormat/>
    <w:uiPriority w:val="0"/>
    <w:rPr>
      <w:rFonts w:ascii="Times New Roman" w:hAnsi="Times New Roman" w:eastAsia="宋体" w:cs="Times New Roman"/>
      <w:sz w:val="18"/>
      <w:szCs w:val="18"/>
    </w:rPr>
  </w:style>
  <w:style w:type="character" w:customStyle="1" w:styleId="100">
    <w:name w:val="无间距字符"/>
    <w:link w:val="101"/>
    <w:qFormat/>
    <w:uiPriority w:val="0"/>
    <w:rPr>
      <w:rFonts w:eastAsia="Times New Roman"/>
      <w:sz w:val="22"/>
      <w:szCs w:val="22"/>
      <w:lang w:val="en-US" w:eastAsia="zh-CN" w:bidi="ar-SA"/>
    </w:rPr>
  </w:style>
  <w:style w:type="paragraph" w:customStyle="1" w:styleId="101">
    <w:name w:val="无间距"/>
    <w:link w:val="100"/>
    <w:qFormat/>
    <w:uiPriority w:val="0"/>
    <w:rPr>
      <w:rFonts w:ascii="Times New Roman" w:hAnsi="Times New Roman" w:eastAsia="Times New Roman" w:cs="Times New Roman"/>
      <w:sz w:val="22"/>
      <w:szCs w:val="22"/>
      <w:lang w:val="en-US" w:eastAsia="zh-CN" w:bidi="ar-SA"/>
    </w:rPr>
  </w:style>
  <w:style w:type="character" w:customStyle="1" w:styleId="102">
    <w:name w:val="heading 5 Char2"/>
    <w:qFormat/>
    <w:uiPriority w:val="0"/>
    <w:rPr>
      <w:b/>
      <w:bCs/>
      <w:kern w:val="2"/>
      <w:sz w:val="28"/>
      <w:szCs w:val="28"/>
    </w:rPr>
  </w:style>
  <w:style w:type="character" w:customStyle="1" w:styleId="103">
    <w:name w:val="样式2 Char Char"/>
    <w:link w:val="104"/>
    <w:qFormat/>
    <w:uiPriority w:val="0"/>
    <w:rPr>
      <w:rFonts w:ascii="宋体" w:hAnsi="宋体" w:eastAsia="宋体"/>
      <w:bCs/>
      <w:kern w:val="2"/>
      <w:sz w:val="28"/>
      <w:szCs w:val="28"/>
      <w:lang w:val="en-US" w:eastAsia="zh-CN" w:bidi="ar-SA"/>
    </w:rPr>
  </w:style>
  <w:style w:type="paragraph" w:customStyle="1" w:styleId="104">
    <w:name w:val="样式2"/>
    <w:basedOn w:val="4"/>
    <w:link w:val="103"/>
    <w:qFormat/>
    <w:uiPriority w:val="0"/>
    <w:pPr>
      <w:keepLines/>
      <w:snapToGrid w:val="0"/>
      <w:spacing w:before="260" w:afterLines="50" w:line="480" w:lineRule="exact"/>
      <w:ind w:firstLine="556"/>
    </w:pPr>
    <w:rPr>
      <w:rFonts w:ascii="宋体" w:hAnsi="宋体"/>
      <w:b w:val="0"/>
      <w:bCs/>
      <w:szCs w:val="28"/>
    </w:rPr>
  </w:style>
  <w:style w:type="character" w:customStyle="1" w:styleId="105">
    <w:name w:val="正文缩进 Char"/>
    <w:link w:val="9"/>
    <w:qFormat/>
    <w:uiPriority w:val="0"/>
    <w:rPr>
      <w:rFonts w:ascii="仿宋_GB2312" w:eastAsia="宋体"/>
      <w:b/>
      <w:sz w:val="21"/>
      <w:szCs w:val="32"/>
      <w:lang w:val="en-US" w:eastAsia="zh-CN" w:bidi="ar-SA"/>
    </w:rPr>
  </w:style>
  <w:style w:type="character" w:customStyle="1" w:styleId="106">
    <w:name w:val="heading 2 Char1"/>
    <w:qFormat/>
    <w:uiPriority w:val="0"/>
    <w:rPr>
      <w:rFonts w:ascii="Cambria" w:hAnsi="Cambria" w:eastAsia="宋体"/>
      <w:b/>
      <w:bCs/>
      <w:kern w:val="2"/>
      <w:sz w:val="32"/>
      <w:szCs w:val="32"/>
      <w:lang w:val="en-US" w:eastAsia="zh-CN" w:bidi="ar-SA"/>
    </w:rPr>
  </w:style>
  <w:style w:type="character" w:customStyle="1" w:styleId="107">
    <w:name w:val="heading 3 Char1"/>
    <w:qFormat/>
    <w:uiPriority w:val="0"/>
    <w:rPr>
      <w:rFonts w:eastAsia="宋体"/>
      <w:b/>
      <w:bCs/>
      <w:kern w:val="2"/>
      <w:sz w:val="32"/>
      <w:szCs w:val="32"/>
      <w:lang w:val="en-US" w:eastAsia="zh-CN" w:bidi="ar-SA"/>
    </w:rPr>
  </w:style>
  <w:style w:type="character" w:customStyle="1" w:styleId="108">
    <w:name w:val="Char Char15"/>
    <w:qFormat/>
    <w:uiPriority w:val="0"/>
    <w:rPr>
      <w:rFonts w:ascii="Arial" w:hAnsi="Arial" w:eastAsia="黑体"/>
      <w:sz w:val="24"/>
      <w:szCs w:val="24"/>
    </w:rPr>
  </w:style>
  <w:style w:type="character" w:customStyle="1" w:styleId="109">
    <w:name w:val="heading 1 Char"/>
    <w:qFormat/>
    <w:uiPriority w:val="0"/>
    <w:rPr>
      <w:rFonts w:ascii="Arial" w:hAnsi="Arial" w:eastAsia="黑体"/>
      <w:b/>
      <w:sz w:val="36"/>
      <w:szCs w:val="36"/>
    </w:rPr>
  </w:style>
  <w:style w:type="character" w:customStyle="1" w:styleId="110">
    <w:name w:val="ändrad Char"/>
    <w:qFormat/>
    <w:uiPriority w:val="0"/>
    <w:rPr>
      <w:rFonts w:eastAsia="宋体"/>
      <w:kern w:val="2"/>
      <w:sz w:val="21"/>
      <w:szCs w:val="24"/>
      <w:lang w:val="en-US" w:eastAsia="zh-CN" w:bidi="ar-SA"/>
    </w:rPr>
  </w:style>
  <w:style w:type="character" w:customStyle="1" w:styleId="111">
    <w:name w:val="标题 Char"/>
    <w:link w:val="49"/>
    <w:qFormat/>
    <w:uiPriority w:val="0"/>
    <w:rPr>
      <w:rFonts w:ascii="Cambria" w:hAnsi="Cambria" w:eastAsia="宋体"/>
      <w:b/>
      <w:bCs/>
      <w:kern w:val="2"/>
      <w:sz w:val="32"/>
      <w:szCs w:val="32"/>
      <w:lang w:val="en-US" w:eastAsia="zh-CN" w:bidi="ar-SA"/>
    </w:rPr>
  </w:style>
  <w:style w:type="character" w:customStyle="1" w:styleId="112">
    <w:name w:val="Char Char22"/>
    <w:qFormat/>
    <w:uiPriority w:val="0"/>
    <w:rPr>
      <w:rFonts w:ascii="Arial" w:hAnsi="Arial" w:eastAsia="黑体"/>
      <w:b/>
      <w:bCs/>
      <w:kern w:val="44"/>
      <w:sz w:val="30"/>
      <w:szCs w:val="44"/>
      <w:lang w:val="en-US" w:eastAsia="zh-CN" w:bidi="ar-SA"/>
    </w:rPr>
  </w:style>
  <w:style w:type="character" w:customStyle="1" w:styleId="113">
    <w:name w:val="blue1"/>
    <w:basedOn w:val="55"/>
    <w:qFormat/>
    <w:uiPriority w:val="0"/>
  </w:style>
  <w:style w:type="character" w:customStyle="1" w:styleId="114">
    <w:name w:val="样式 宋体"/>
    <w:qFormat/>
    <w:uiPriority w:val="0"/>
    <w:rPr>
      <w:rFonts w:ascii="宋体" w:hAnsi="宋体" w:eastAsia="宋体"/>
      <w:sz w:val="24"/>
      <w:szCs w:val="24"/>
    </w:rPr>
  </w:style>
  <w:style w:type="character" w:customStyle="1" w:styleId="115">
    <w:name w:val="dandyren_title1"/>
    <w:qFormat/>
    <w:uiPriority w:val="0"/>
    <w:rPr>
      <w:b/>
      <w:bCs/>
      <w:color w:val="FF6633"/>
      <w:sz w:val="18"/>
      <w:szCs w:val="18"/>
    </w:rPr>
  </w:style>
  <w:style w:type="character" w:customStyle="1" w:styleId="116">
    <w:name w:val="font21"/>
    <w:basedOn w:val="55"/>
    <w:qFormat/>
    <w:uiPriority w:val="0"/>
    <w:rPr>
      <w:rFonts w:ascii="Wingdings 2" w:hAnsi="Wingdings 2" w:eastAsia="Wingdings 2" w:cs="Wingdings 2"/>
      <w:b/>
      <w:color w:val="000000"/>
      <w:sz w:val="20"/>
      <w:szCs w:val="20"/>
      <w:u w:val="none"/>
    </w:rPr>
  </w:style>
  <w:style w:type="character" w:customStyle="1" w:styleId="117">
    <w:name w:val="Ò³Ã¼ Char Char1"/>
    <w:qFormat/>
    <w:uiPriority w:val="0"/>
    <w:rPr>
      <w:rFonts w:eastAsia="宋体"/>
      <w:kern w:val="2"/>
      <w:sz w:val="18"/>
      <w:szCs w:val="18"/>
      <w:lang w:val="en-US" w:eastAsia="zh-CN" w:bidi="ar-SA"/>
    </w:rPr>
  </w:style>
  <w:style w:type="character" w:customStyle="1" w:styleId="118">
    <w:name w:val="宏文本 Char"/>
    <w:link w:val="2"/>
    <w:qFormat/>
    <w:uiPriority w:val="0"/>
    <w:rPr>
      <w:rFonts w:ascii="Courier New" w:hAnsi="Courier New" w:eastAsia="Times New Roman"/>
      <w:kern w:val="2"/>
      <w:sz w:val="24"/>
      <w:szCs w:val="24"/>
      <w:lang w:val="en-US" w:eastAsia="zh-CN" w:bidi="ar-SA"/>
    </w:rPr>
  </w:style>
  <w:style w:type="character" w:customStyle="1" w:styleId="119">
    <w:name w:val="Footer-Even Char"/>
    <w:qFormat/>
    <w:uiPriority w:val="0"/>
    <w:rPr>
      <w:sz w:val="18"/>
      <w:szCs w:val="18"/>
    </w:rPr>
  </w:style>
  <w:style w:type="character" w:customStyle="1" w:styleId="120">
    <w:name w:val="页脚 Char"/>
    <w:link w:val="34"/>
    <w:qFormat/>
    <w:uiPriority w:val="0"/>
    <w:rPr>
      <w:rFonts w:eastAsia="宋体"/>
      <w:kern w:val="2"/>
      <w:sz w:val="18"/>
      <w:szCs w:val="18"/>
      <w:lang w:val="en-US" w:eastAsia="zh-CN" w:bidi="ar-SA"/>
    </w:rPr>
  </w:style>
  <w:style w:type="character" w:customStyle="1" w:styleId="121">
    <w:name w:val="style111"/>
    <w:qFormat/>
    <w:uiPriority w:val="0"/>
    <w:rPr>
      <w:sz w:val="27"/>
      <w:szCs w:val="27"/>
    </w:rPr>
  </w:style>
  <w:style w:type="character" w:customStyle="1" w:styleId="122">
    <w:name w:val="PI Char2"/>
    <w:qFormat/>
    <w:uiPriority w:val="0"/>
    <w:rPr>
      <w:kern w:val="2"/>
      <w:sz w:val="24"/>
      <w:szCs w:val="24"/>
    </w:rPr>
  </w:style>
  <w:style w:type="character" w:customStyle="1" w:styleId="123">
    <w:name w:val="gray6"/>
    <w:basedOn w:val="55"/>
    <w:qFormat/>
    <w:uiPriority w:val="0"/>
  </w:style>
  <w:style w:type="character" w:customStyle="1" w:styleId="124">
    <w:name w:val="Char Char Char1"/>
    <w:qFormat/>
    <w:uiPriority w:val="0"/>
    <w:rPr>
      <w:rFonts w:ascii="宋体" w:hAnsi="Courier New"/>
      <w:sz w:val="21"/>
      <w:szCs w:val="21"/>
    </w:rPr>
  </w:style>
  <w:style w:type="character" w:customStyle="1" w:styleId="125">
    <w:name w:val="Char Char121"/>
    <w:qFormat/>
    <w:uiPriority w:val="0"/>
    <w:rPr>
      <w:rFonts w:eastAsia="宋体"/>
      <w:kern w:val="2"/>
      <w:sz w:val="21"/>
      <w:szCs w:val="24"/>
      <w:lang w:val="en-US" w:eastAsia="zh-CN" w:bidi="ar-SA"/>
    </w:rPr>
  </w:style>
  <w:style w:type="character" w:customStyle="1" w:styleId="126">
    <w:name w:val="Char Char Char Char Char Char Char Char Char"/>
    <w:qFormat/>
    <w:uiPriority w:val="0"/>
    <w:rPr>
      <w:rFonts w:ascii="宋体" w:hAnsi="Courier New" w:eastAsia="宋体"/>
      <w:sz w:val="21"/>
      <w:szCs w:val="21"/>
      <w:lang w:val="en-US" w:eastAsia="zh-CN" w:bidi="ar-SA"/>
    </w:rPr>
  </w:style>
  <w:style w:type="character" w:customStyle="1" w:styleId="127">
    <w:name w:val="heading 4 Char2"/>
    <w:qFormat/>
    <w:uiPriority w:val="0"/>
    <w:rPr>
      <w:rFonts w:ascii="Cambria" w:hAnsi="Cambria"/>
      <w:b/>
      <w:bCs/>
      <w:kern w:val="2"/>
      <w:sz w:val="28"/>
      <w:szCs w:val="28"/>
    </w:rPr>
  </w:style>
  <w:style w:type="character" w:customStyle="1" w:styleId="128">
    <w:name w:val="heading 3 Char"/>
    <w:qFormat/>
    <w:uiPriority w:val="0"/>
    <w:rPr>
      <w:rFonts w:ascii="Arial" w:hAnsi="Arial" w:eastAsia="黑体"/>
      <w:sz w:val="28"/>
      <w:szCs w:val="24"/>
    </w:rPr>
  </w:style>
  <w:style w:type="character" w:customStyle="1" w:styleId="129">
    <w:name w:val="标题 1 Char"/>
    <w:link w:val="3"/>
    <w:qFormat/>
    <w:uiPriority w:val="0"/>
    <w:rPr>
      <w:rFonts w:eastAsia="黑体"/>
      <w:b/>
      <w:kern w:val="2"/>
      <w:sz w:val="32"/>
      <w:lang w:val="en-US" w:eastAsia="zh-CN" w:bidi="ar-SA"/>
    </w:rPr>
  </w:style>
  <w:style w:type="character" w:customStyle="1" w:styleId="130">
    <w:name w:val="Char Char16"/>
    <w:qFormat/>
    <w:uiPriority w:val="0"/>
    <w:rPr>
      <w:b/>
      <w:bCs/>
      <w:kern w:val="2"/>
      <w:sz w:val="28"/>
      <w:szCs w:val="28"/>
    </w:rPr>
  </w:style>
  <w:style w:type="character" w:customStyle="1" w:styleId="131">
    <w:name w:val="文档结构图 Char"/>
    <w:link w:val="17"/>
    <w:qFormat/>
    <w:uiPriority w:val="0"/>
    <w:rPr>
      <w:rFonts w:eastAsia="宋体"/>
      <w:kern w:val="2"/>
      <w:sz w:val="21"/>
      <w:szCs w:val="24"/>
      <w:lang w:val="en-US" w:eastAsia="zh-CN" w:bidi="ar-SA"/>
    </w:rPr>
  </w:style>
  <w:style w:type="character" w:customStyle="1" w:styleId="132">
    <w:name w:val="标题 5 Char"/>
    <w:link w:val="7"/>
    <w:qFormat/>
    <w:uiPriority w:val="0"/>
    <w:rPr>
      <w:rFonts w:eastAsia="宋体"/>
      <w:b/>
      <w:bCs/>
      <w:sz w:val="28"/>
      <w:szCs w:val="28"/>
      <w:lang w:bidi="ar-SA"/>
    </w:rPr>
  </w:style>
  <w:style w:type="character" w:customStyle="1" w:styleId="133">
    <w:name w:val="日期 Char"/>
    <w:link w:val="31"/>
    <w:qFormat/>
    <w:uiPriority w:val="0"/>
    <w:rPr>
      <w:rFonts w:eastAsia="宋体"/>
      <w:kern w:val="2"/>
      <w:sz w:val="21"/>
      <w:szCs w:val="24"/>
      <w:lang w:val="en-US" w:eastAsia="zh-CN" w:bidi="ar-SA"/>
    </w:rPr>
  </w:style>
  <w:style w:type="character" w:customStyle="1" w:styleId="134">
    <w:name w:val="副标题 Char"/>
    <w:link w:val="40"/>
    <w:qFormat/>
    <w:uiPriority w:val="0"/>
    <w:rPr>
      <w:rFonts w:ascii="Cambria" w:hAnsi="Cambria" w:eastAsia="宋体"/>
      <w:b/>
      <w:bCs/>
      <w:kern w:val="28"/>
      <w:sz w:val="32"/>
      <w:szCs w:val="32"/>
      <w:lang w:val="en-US" w:eastAsia="zh-CN" w:bidi="ar-SA"/>
    </w:rPr>
  </w:style>
  <w:style w:type="character" w:customStyle="1" w:styleId="135">
    <w:name w:val="页眉 Char"/>
    <w:link w:val="35"/>
    <w:qFormat/>
    <w:uiPriority w:val="0"/>
    <w:rPr>
      <w:rFonts w:eastAsia="宋体"/>
      <w:kern w:val="2"/>
      <w:sz w:val="18"/>
      <w:szCs w:val="18"/>
      <w:lang w:val="en-US" w:eastAsia="zh-CN" w:bidi="ar-SA"/>
    </w:rPr>
  </w:style>
  <w:style w:type="character" w:customStyle="1" w:styleId="136">
    <w:name w:val="style13"/>
    <w:basedOn w:val="55"/>
    <w:qFormat/>
    <w:uiPriority w:val="0"/>
  </w:style>
  <w:style w:type="character" w:customStyle="1" w:styleId="137">
    <w:name w:val="textcolor1"/>
    <w:qFormat/>
    <w:uiPriority w:val="0"/>
    <w:rPr>
      <w:rFonts w:ascii="仿宋_GB2312" w:eastAsia="仿宋_GB2312"/>
      <w:b/>
      <w:color w:val="FF6600"/>
      <w:sz w:val="32"/>
      <w:szCs w:val="32"/>
    </w:rPr>
  </w:style>
  <w:style w:type="character" w:customStyle="1" w:styleId="138">
    <w:name w:val="Table Text Char Char"/>
    <w:link w:val="139"/>
    <w:qFormat/>
    <w:uiPriority w:val="0"/>
    <w:rPr>
      <w:sz w:val="21"/>
      <w:lang w:val="en-US" w:eastAsia="en-US" w:bidi="ar-SA"/>
    </w:rPr>
  </w:style>
  <w:style w:type="paragraph" w:customStyle="1" w:styleId="139">
    <w:name w:val="Table Text"/>
    <w:basedOn w:val="1"/>
    <w:link w:val="138"/>
    <w:qFormat/>
    <w:uiPriority w:val="0"/>
    <w:pPr>
      <w:widowControl/>
      <w:tabs>
        <w:tab w:val="decimal" w:pos="0"/>
      </w:tabs>
      <w:overflowPunct w:val="0"/>
      <w:autoSpaceDE w:val="0"/>
      <w:autoSpaceDN w:val="0"/>
      <w:adjustRightInd w:val="0"/>
      <w:jc w:val="left"/>
      <w:textAlignment w:val="baseline"/>
    </w:pPr>
    <w:rPr>
      <w:kern w:val="0"/>
      <w:szCs w:val="20"/>
      <w:lang w:eastAsia="en-US"/>
    </w:rPr>
  </w:style>
  <w:style w:type="character" w:customStyle="1" w:styleId="140">
    <w:name w:val="Ò³Ã¼ Char Char"/>
    <w:qFormat/>
    <w:uiPriority w:val="0"/>
    <w:rPr>
      <w:sz w:val="18"/>
      <w:szCs w:val="18"/>
    </w:rPr>
  </w:style>
  <w:style w:type="character" w:customStyle="1" w:styleId="141">
    <w:name w:val="heading 2 Char2"/>
    <w:qFormat/>
    <w:uiPriority w:val="0"/>
    <w:rPr>
      <w:rFonts w:ascii="Cambria" w:hAnsi="Cambria"/>
      <w:b/>
      <w:bCs/>
      <w:kern w:val="2"/>
      <w:sz w:val="32"/>
      <w:szCs w:val="32"/>
    </w:rPr>
  </w:style>
  <w:style w:type="character" w:customStyle="1" w:styleId="142">
    <w:name w:val="书籍标题11"/>
    <w:qFormat/>
    <w:uiPriority w:val="0"/>
    <w:rPr>
      <w:b/>
      <w:bCs/>
      <w:smallCaps/>
      <w:spacing w:val="5"/>
    </w:rPr>
  </w:style>
  <w:style w:type="character" w:customStyle="1" w:styleId="143">
    <w:name w:val="Char Char21"/>
    <w:qFormat/>
    <w:uiPriority w:val="0"/>
    <w:rPr>
      <w:rFonts w:ascii="Times New Roman" w:hAnsi="Times New Roman" w:eastAsia="宋体" w:cs="Times New Roman"/>
      <w:b/>
      <w:bCs/>
      <w:kern w:val="44"/>
      <w:sz w:val="44"/>
      <w:szCs w:val="44"/>
    </w:rPr>
  </w:style>
  <w:style w:type="character" w:customStyle="1" w:styleId="144">
    <w:name w:val="正文文本缩进 Char"/>
    <w:link w:val="22"/>
    <w:qFormat/>
    <w:uiPriority w:val="0"/>
    <w:rPr>
      <w:rFonts w:eastAsia="宋体"/>
      <w:kern w:val="2"/>
      <w:sz w:val="24"/>
      <w:szCs w:val="24"/>
      <w:lang w:val="en-US" w:eastAsia="zh-CN" w:bidi="ar-SA"/>
    </w:rPr>
  </w:style>
  <w:style w:type="character" w:customStyle="1" w:styleId="145">
    <w:name w:val="不明显强调1"/>
    <w:qFormat/>
    <w:uiPriority w:val="0"/>
    <w:rPr>
      <w:i/>
      <w:iCs/>
      <w:color w:val="808080"/>
    </w:rPr>
  </w:style>
  <w:style w:type="character" w:customStyle="1" w:styleId="146">
    <w:name w:val="正文文本缩进 3 Char"/>
    <w:link w:val="44"/>
    <w:qFormat/>
    <w:uiPriority w:val="0"/>
    <w:rPr>
      <w:rFonts w:eastAsia="宋体"/>
      <w:kern w:val="2"/>
      <w:sz w:val="24"/>
      <w:szCs w:val="24"/>
      <w:lang w:val="en-US" w:eastAsia="zh-CN" w:bidi="ar-SA"/>
    </w:rPr>
  </w:style>
  <w:style w:type="character" w:customStyle="1" w:styleId="147">
    <w:name w:val="heading 5 Char"/>
    <w:qFormat/>
    <w:uiPriority w:val="0"/>
    <w:rPr>
      <w:rFonts w:ascii="Arial" w:hAnsi="Arial" w:eastAsia="黑体"/>
      <w:sz w:val="21"/>
      <w:szCs w:val="21"/>
    </w:rPr>
  </w:style>
  <w:style w:type="character" w:customStyle="1" w:styleId="148">
    <w:name w:val="Style3"/>
    <w:qFormat/>
    <w:uiPriority w:val="0"/>
    <w:rPr>
      <w:rFonts w:ascii="Calibri" w:hAnsi="宋体" w:eastAsia="宋体" w:cs="Times New Roman"/>
      <w:szCs w:val="22"/>
      <w:lang w:eastAsia="zh-CN"/>
    </w:rPr>
  </w:style>
  <w:style w:type="character" w:customStyle="1" w:styleId="149">
    <w:name w:val="标题 4 Char"/>
    <w:link w:val="6"/>
    <w:qFormat/>
    <w:uiPriority w:val="0"/>
    <w:rPr>
      <w:rFonts w:eastAsia="宋体"/>
      <w:kern w:val="2"/>
      <w:sz w:val="28"/>
      <w:szCs w:val="28"/>
      <w:lang w:val="en-US" w:eastAsia="zh-CN" w:bidi="ar-SA"/>
    </w:rPr>
  </w:style>
  <w:style w:type="character" w:customStyle="1" w:styleId="150">
    <w:name w:val="Char Char241"/>
    <w:qFormat/>
    <w:uiPriority w:val="0"/>
    <w:rPr>
      <w:rFonts w:eastAsia="宋体"/>
      <w:b/>
      <w:kern w:val="2"/>
      <w:sz w:val="28"/>
      <w:lang w:val="en-US" w:eastAsia="zh-CN" w:bidi="ar-SA"/>
    </w:rPr>
  </w:style>
  <w:style w:type="character" w:customStyle="1" w:styleId="151">
    <w:name w:val="批注框文本 Char"/>
    <w:link w:val="33"/>
    <w:qFormat/>
    <w:uiPriority w:val="0"/>
    <w:rPr>
      <w:rFonts w:eastAsia="宋体"/>
      <w:kern w:val="2"/>
      <w:sz w:val="18"/>
      <w:szCs w:val="18"/>
      <w:lang w:val="en-US" w:eastAsia="zh-CN" w:bidi="ar-SA"/>
    </w:rPr>
  </w:style>
  <w:style w:type="character" w:customStyle="1" w:styleId="152">
    <w:name w:val="标题 3 Char"/>
    <w:link w:val="5"/>
    <w:qFormat/>
    <w:uiPriority w:val="0"/>
    <w:rPr>
      <w:rFonts w:eastAsia="黑体"/>
      <w:b/>
      <w:kern w:val="2"/>
      <w:sz w:val="28"/>
      <w:lang w:val="en-US" w:eastAsia="zh-CN" w:bidi="ar-SA"/>
    </w:rPr>
  </w:style>
  <w:style w:type="character" w:customStyle="1" w:styleId="153">
    <w:name w:val="明显强调11"/>
    <w:qFormat/>
    <w:uiPriority w:val="0"/>
    <w:rPr>
      <w:b/>
      <w:bCs/>
      <w:i/>
      <w:iCs/>
      <w:color w:val="4F81BD"/>
    </w:rPr>
  </w:style>
  <w:style w:type="character" w:customStyle="1" w:styleId="154">
    <w:name w:val="签名 Char"/>
    <w:link w:val="36"/>
    <w:qFormat/>
    <w:uiPriority w:val="0"/>
    <w:rPr>
      <w:rFonts w:ascii="仿宋_GB2312" w:eastAsia="仿宋_GB2312"/>
      <w:b/>
      <w:sz w:val="24"/>
      <w:szCs w:val="32"/>
    </w:rPr>
  </w:style>
  <w:style w:type="character" w:customStyle="1" w:styleId="155">
    <w:name w:val="heading 3 Char2"/>
    <w:qFormat/>
    <w:uiPriority w:val="0"/>
    <w:rPr>
      <w:b/>
      <w:bCs/>
      <w:kern w:val="2"/>
      <w:sz w:val="32"/>
      <w:szCs w:val="32"/>
    </w:rPr>
  </w:style>
  <w:style w:type="character" w:customStyle="1" w:styleId="156">
    <w:name w:val="style21"/>
    <w:qFormat/>
    <w:uiPriority w:val="0"/>
    <w:rPr>
      <w:sz w:val="15"/>
      <w:szCs w:val="15"/>
    </w:rPr>
  </w:style>
  <w:style w:type="character" w:customStyle="1" w:styleId="157">
    <w:name w:val="Char Char271"/>
    <w:qFormat/>
    <w:uiPriority w:val="0"/>
    <w:rPr>
      <w:rFonts w:eastAsia="宋体"/>
      <w:kern w:val="2"/>
      <w:sz w:val="28"/>
      <w:lang w:val="en-US" w:eastAsia="zh-CN" w:bidi="ar-SA"/>
    </w:rPr>
  </w:style>
  <w:style w:type="character" w:customStyle="1" w:styleId="158">
    <w:name w:val="表格 Char Char"/>
    <w:link w:val="159"/>
    <w:qFormat/>
    <w:uiPriority w:val="0"/>
    <w:rPr>
      <w:rFonts w:ascii="宋体" w:hAnsi="宋体" w:eastAsia="宋体"/>
      <w:lang w:val="en-US" w:eastAsia="zh-CN" w:bidi="ar-SA"/>
    </w:rPr>
  </w:style>
  <w:style w:type="paragraph" w:customStyle="1" w:styleId="159">
    <w:name w:val="表格"/>
    <w:basedOn w:val="1"/>
    <w:link w:val="158"/>
    <w:qFormat/>
    <w:uiPriority w:val="0"/>
    <w:pPr>
      <w:autoSpaceDE w:val="0"/>
      <w:autoSpaceDN w:val="0"/>
      <w:adjustRightInd w:val="0"/>
      <w:snapToGrid w:val="0"/>
      <w:ind w:firstLine="42" w:firstLineChars="21"/>
      <w:jc w:val="left"/>
    </w:pPr>
    <w:rPr>
      <w:rFonts w:ascii="宋体" w:hAnsi="宋体"/>
      <w:kern w:val="0"/>
      <w:sz w:val="20"/>
      <w:szCs w:val="20"/>
    </w:rPr>
  </w:style>
  <w:style w:type="character" w:customStyle="1" w:styleId="160">
    <w:name w:val="heading 6 Char1"/>
    <w:qFormat/>
    <w:uiPriority w:val="0"/>
    <w:rPr>
      <w:rFonts w:ascii="Arial" w:hAnsi="Arial" w:eastAsia="黑体"/>
      <w:kern w:val="2"/>
      <w:sz w:val="24"/>
      <w:szCs w:val="24"/>
      <w:lang w:val="en-US" w:eastAsia="zh-CN" w:bidi="ar-SA"/>
    </w:rPr>
  </w:style>
  <w:style w:type="character" w:customStyle="1" w:styleId="161">
    <w:name w:val="Char Char211"/>
    <w:qFormat/>
    <w:uiPriority w:val="0"/>
    <w:rPr>
      <w:rFonts w:ascii="Times New Roman" w:hAnsi="Times New Roman" w:eastAsia="宋体" w:cs="Times New Roman"/>
      <w:b/>
      <w:bCs/>
      <w:kern w:val="44"/>
      <w:sz w:val="44"/>
      <w:szCs w:val="44"/>
    </w:rPr>
  </w:style>
  <w:style w:type="character" w:customStyle="1" w:styleId="162">
    <w:name w:val="不明显强调11"/>
    <w:qFormat/>
    <w:uiPriority w:val="0"/>
    <w:rPr>
      <w:i/>
      <w:iCs/>
      <w:color w:val="808080"/>
    </w:rPr>
  </w:style>
  <w:style w:type="character" w:customStyle="1" w:styleId="163">
    <w:name w:val="标题 9 Char"/>
    <w:link w:val="12"/>
    <w:qFormat/>
    <w:uiPriority w:val="0"/>
    <w:rPr>
      <w:rFonts w:ascii="Arial" w:hAnsi="Arial" w:eastAsia="黑体"/>
      <w:kern w:val="2"/>
      <w:sz w:val="21"/>
      <w:lang w:val="en-US" w:eastAsia="zh-CN" w:bidi="ar-SA"/>
    </w:rPr>
  </w:style>
  <w:style w:type="character" w:customStyle="1" w:styleId="164">
    <w:name w:val="正文文本 Char"/>
    <w:link w:val="21"/>
    <w:qFormat/>
    <w:uiPriority w:val="0"/>
    <w:rPr>
      <w:rFonts w:ascii="仿宋_GB2312" w:eastAsia="宋体"/>
      <w:b/>
      <w:kern w:val="2"/>
      <w:sz w:val="21"/>
      <w:szCs w:val="24"/>
      <w:lang w:val="en-US" w:eastAsia="zh-CN" w:bidi="ar-SA"/>
    </w:rPr>
  </w:style>
  <w:style w:type="character" w:customStyle="1" w:styleId="165">
    <w:name w:val="明显引用 Char"/>
    <w:link w:val="166"/>
    <w:qFormat/>
    <w:uiPriority w:val="0"/>
    <w:rPr>
      <w:rFonts w:ascii="Calibri" w:hAnsi="Calibri" w:eastAsia="宋体"/>
      <w:b/>
      <w:bCs/>
      <w:i/>
      <w:iCs/>
      <w:color w:val="4F81BD"/>
      <w:lang w:val="en-US" w:eastAsia="zh-CN" w:bidi="ar-SA"/>
    </w:rPr>
  </w:style>
  <w:style w:type="paragraph" w:styleId="166">
    <w:name w:val="Intense Quote"/>
    <w:basedOn w:val="1"/>
    <w:next w:val="1"/>
    <w:link w:val="165"/>
    <w:qFormat/>
    <w:uiPriority w:val="0"/>
    <w:pPr>
      <w:pBdr>
        <w:bottom w:val="single" w:color="4F81BD" w:sz="4" w:space="4"/>
      </w:pBdr>
      <w:spacing w:before="200" w:after="280"/>
      <w:ind w:left="936" w:right="936"/>
    </w:pPr>
    <w:rPr>
      <w:rFonts w:ascii="Calibri" w:hAnsi="Calibri"/>
      <w:b/>
      <w:bCs/>
      <w:i/>
      <w:iCs/>
      <w:color w:val="4F81BD"/>
      <w:kern w:val="0"/>
      <w:sz w:val="20"/>
      <w:szCs w:val="20"/>
    </w:rPr>
  </w:style>
  <w:style w:type="character" w:customStyle="1" w:styleId="167">
    <w:name w:val="heading 5 Char1"/>
    <w:qFormat/>
    <w:uiPriority w:val="0"/>
    <w:rPr>
      <w:rFonts w:eastAsia="宋体"/>
      <w:b/>
      <w:bCs/>
      <w:kern w:val="2"/>
      <w:sz w:val="28"/>
      <w:szCs w:val="28"/>
      <w:lang w:val="en-US" w:eastAsia="zh-CN" w:bidi="ar-SA"/>
    </w:rPr>
  </w:style>
  <w:style w:type="character" w:customStyle="1" w:styleId="168">
    <w:name w:val="Texte Char Char"/>
    <w:qFormat/>
    <w:uiPriority w:val="0"/>
    <w:rPr>
      <w:rFonts w:ascii="宋体" w:hAnsi="Courier New" w:eastAsia="宋体"/>
      <w:sz w:val="21"/>
      <w:szCs w:val="21"/>
      <w:lang w:val="en-US" w:eastAsia="zh-CN" w:bidi="ar-SA"/>
    </w:rPr>
  </w:style>
  <w:style w:type="character" w:customStyle="1" w:styleId="169">
    <w:name w:val="正文1 Char Char"/>
    <w:link w:val="170"/>
    <w:qFormat/>
    <w:uiPriority w:val="0"/>
    <w:rPr>
      <w:rFonts w:ascii="宋体" w:hAnsi="宋体" w:eastAsia="宋体" w:cs="宋体"/>
      <w:sz w:val="21"/>
      <w:lang w:val="en-US" w:eastAsia="zh-CN" w:bidi="ar-SA"/>
    </w:rPr>
  </w:style>
  <w:style w:type="paragraph" w:customStyle="1" w:styleId="170">
    <w:name w:val="正文1"/>
    <w:basedOn w:val="1"/>
    <w:link w:val="169"/>
    <w:qFormat/>
    <w:uiPriority w:val="0"/>
    <w:pPr>
      <w:widowControl/>
      <w:spacing w:line="360" w:lineRule="auto"/>
      <w:ind w:left="360" w:firstLine="420"/>
      <w:jc w:val="left"/>
    </w:pPr>
    <w:rPr>
      <w:rFonts w:ascii="宋体" w:hAnsi="宋体" w:cs="宋体"/>
      <w:kern w:val="0"/>
      <w:szCs w:val="20"/>
    </w:rPr>
  </w:style>
  <w:style w:type="character" w:customStyle="1" w:styleId="171">
    <w:name w:val="heading 8 Char1"/>
    <w:qFormat/>
    <w:uiPriority w:val="0"/>
    <w:rPr>
      <w:rFonts w:ascii="Arial" w:hAnsi="Arial" w:eastAsia="黑体"/>
      <w:sz w:val="24"/>
      <w:lang w:val="en-US" w:eastAsia="zh-CN" w:bidi="ar-SA"/>
    </w:rPr>
  </w:style>
  <w:style w:type="character" w:customStyle="1" w:styleId="172">
    <w:name w:val="heading 9 Char1"/>
    <w:qFormat/>
    <w:uiPriority w:val="0"/>
    <w:rPr>
      <w:rFonts w:ascii="Arial" w:hAnsi="Arial" w:eastAsia="黑体"/>
      <w:sz w:val="21"/>
      <w:lang w:val="en-US" w:eastAsia="zh-CN" w:bidi="ar-SA"/>
    </w:rPr>
  </w:style>
  <w:style w:type="character" w:customStyle="1" w:styleId="173">
    <w:name w:val="标题 6 Char"/>
    <w:link w:val="8"/>
    <w:qFormat/>
    <w:uiPriority w:val="0"/>
    <w:rPr>
      <w:rFonts w:ascii="Arial" w:hAnsi="Arial" w:eastAsia="黑体"/>
      <w:b/>
      <w:kern w:val="2"/>
      <w:sz w:val="24"/>
      <w:lang w:val="en-US" w:eastAsia="zh-CN" w:bidi="ar-SA"/>
    </w:rPr>
  </w:style>
  <w:style w:type="character" w:customStyle="1" w:styleId="174">
    <w:name w:val="ändrad Char1"/>
    <w:qFormat/>
    <w:uiPriority w:val="0"/>
    <w:rPr>
      <w:rFonts w:ascii="仿宋_GB2312" w:eastAsia="宋体"/>
      <w:b/>
      <w:kern w:val="2"/>
      <w:sz w:val="21"/>
      <w:szCs w:val="24"/>
      <w:lang w:val="en-US" w:eastAsia="zh-CN" w:bidi="ar-SA"/>
    </w:rPr>
  </w:style>
  <w:style w:type="character" w:customStyle="1" w:styleId="175">
    <w:name w:val="Char Char41"/>
    <w:qFormat/>
    <w:uiPriority w:val="0"/>
    <w:rPr>
      <w:rFonts w:ascii="Cambria" w:hAnsi="Cambria" w:eastAsia="宋体"/>
      <w:b/>
      <w:bCs/>
      <w:sz w:val="32"/>
      <w:szCs w:val="32"/>
      <w:lang w:bidi="ar-SA"/>
    </w:rPr>
  </w:style>
  <w:style w:type="character" w:customStyle="1" w:styleId="176">
    <w:name w:val="标题 8 Char"/>
    <w:link w:val="11"/>
    <w:qFormat/>
    <w:uiPriority w:val="0"/>
    <w:rPr>
      <w:rFonts w:ascii="Arial" w:hAnsi="Arial" w:eastAsia="黑体"/>
      <w:kern w:val="2"/>
      <w:sz w:val="24"/>
      <w:lang w:val="en-US" w:eastAsia="zh-CN" w:bidi="ar-SA"/>
    </w:rPr>
  </w:style>
  <w:style w:type="character" w:customStyle="1" w:styleId="177">
    <w:name w:val="Char Char11"/>
    <w:qFormat/>
    <w:uiPriority w:val="0"/>
    <w:rPr>
      <w:rFonts w:ascii="Times New Roman" w:hAnsi="Times New Roman" w:eastAsia="宋体" w:cs="Times New Roman"/>
      <w:sz w:val="18"/>
      <w:szCs w:val="18"/>
    </w:rPr>
  </w:style>
  <w:style w:type="character" w:customStyle="1" w:styleId="178">
    <w:name w:val="正文文本缩进 2 Char"/>
    <w:link w:val="32"/>
    <w:qFormat/>
    <w:uiPriority w:val="0"/>
    <w:rPr>
      <w:rFonts w:eastAsia="宋体"/>
      <w:kern w:val="2"/>
      <w:sz w:val="24"/>
      <w:szCs w:val="24"/>
      <w:lang w:val="en-US" w:eastAsia="zh-CN" w:bidi="ar-SA"/>
    </w:rPr>
  </w:style>
  <w:style w:type="character" w:customStyle="1" w:styleId="179">
    <w:name w:val="Char Char6"/>
    <w:qFormat/>
    <w:uiPriority w:val="0"/>
    <w:rPr>
      <w:rFonts w:ascii="Times New Roman" w:hAnsi="Times New Roman" w:eastAsia="宋体" w:cs="Times New Roman"/>
      <w:szCs w:val="24"/>
    </w:rPr>
  </w:style>
  <w:style w:type="character" w:customStyle="1" w:styleId="180">
    <w:name w:val="Char Char Char"/>
    <w:qFormat/>
    <w:uiPriority w:val="0"/>
    <w:rPr>
      <w:rFonts w:ascii="宋体" w:hAnsi="Courier New" w:eastAsia="宋体"/>
      <w:b/>
      <w:sz w:val="21"/>
      <w:szCs w:val="21"/>
      <w:lang w:val="en-US" w:eastAsia="zh-CN" w:bidi="ar-SA"/>
    </w:rPr>
  </w:style>
  <w:style w:type="character" w:customStyle="1" w:styleId="181">
    <w:name w:val="heading 2 Char"/>
    <w:qFormat/>
    <w:uiPriority w:val="0"/>
    <w:rPr>
      <w:rFonts w:ascii="Arial" w:hAnsi="Arial" w:eastAsia="黑体" w:cs="Times New Roman"/>
      <w:sz w:val="30"/>
      <w:szCs w:val="24"/>
    </w:rPr>
  </w:style>
  <w:style w:type="character" w:customStyle="1" w:styleId="182">
    <w:name w:val="Char Char2"/>
    <w:qFormat/>
    <w:uiPriority w:val="0"/>
    <w:rPr>
      <w:rFonts w:ascii="Arial" w:hAnsi="Arial" w:eastAsia="黑体"/>
      <w:b/>
      <w:bCs/>
      <w:kern w:val="44"/>
      <w:sz w:val="30"/>
      <w:szCs w:val="44"/>
      <w:lang w:val="en-US" w:eastAsia="zh-CN" w:bidi="ar-SA"/>
    </w:rPr>
  </w:style>
  <w:style w:type="character" w:customStyle="1" w:styleId="183">
    <w:name w:val="Footer-Even Char2"/>
    <w:qFormat/>
    <w:uiPriority w:val="0"/>
    <w:rPr>
      <w:kern w:val="2"/>
      <w:sz w:val="18"/>
      <w:szCs w:val="18"/>
    </w:rPr>
  </w:style>
  <w:style w:type="character" w:customStyle="1" w:styleId="184">
    <w:name w:val="Char Char17"/>
    <w:qFormat/>
    <w:uiPriority w:val="0"/>
    <w:rPr>
      <w:rFonts w:ascii="Cambria" w:hAnsi="Cambria"/>
      <w:b/>
      <w:bCs/>
      <w:kern w:val="2"/>
      <w:sz w:val="28"/>
      <w:szCs w:val="28"/>
    </w:rPr>
  </w:style>
  <w:style w:type="character" w:customStyle="1" w:styleId="185">
    <w:name w:val="heading 4 Char"/>
    <w:qFormat/>
    <w:uiPriority w:val="0"/>
    <w:rPr>
      <w:rFonts w:ascii="Arial" w:hAnsi="Arial" w:eastAsia="黑体" w:cs="Times New Roman"/>
      <w:sz w:val="21"/>
      <w:szCs w:val="21"/>
    </w:rPr>
  </w:style>
  <w:style w:type="character" w:customStyle="1" w:styleId="186">
    <w:name w:val="Char Char20"/>
    <w:qFormat/>
    <w:uiPriority w:val="0"/>
    <w:rPr>
      <w:b/>
      <w:bCs/>
      <w:kern w:val="44"/>
      <w:sz w:val="44"/>
      <w:szCs w:val="44"/>
    </w:rPr>
  </w:style>
  <w:style w:type="character" w:customStyle="1" w:styleId="187">
    <w:name w:val="heading 1 Char2"/>
    <w:qFormat/>
    <w:uiPriority w:val="0"/>
    <w:rPr>
      <w:b/>
      <w:bCs/>
      <w:kern w:val="44"/>
      <w:sz w:val="44"/>
      <w:szCs w:val="44"/>
    </w:rPr>
  </w:style>
  <w:style w:type="character" w:customStyle="1" w:styleId="188">
    <w:name w:val="font11"/>
    <w:qFormat/>
    <w:uiPriority w:val="0"/>
    <w:rPr>
      <w:rFonts w:hint="eastAsia" w:ascii="宋体" w:hAnsi="宋体" w:eastAsia="宋体" w:cs="宋体"/>
      <w:b/>
      <w:color w:val="000000"/>
      <w:sz w:val="20"/>
      <w:szCs w:val="20"/>
      <w:u w:val="none"/>
    </w:rPr>
  </w:style>
  <w:style w:type="character" w:customStyle="1" w:styleId="189">
    <w:name w:val="表正文 Char2"/>
    <w:qFormat/>
    <w:uiPriority w:val="0"/>
    <w:rPr>
      <w:rFonts w:ascii="Times New Roman" w:hAnsi="Times New Roman" w:eastAsia="宋体" w:cs="Times New Roman"/>
      <w:szCs w:val="24"/>
    </w:rPr>
  </w:style>
  <w:style w:type="character" w:customStyle="1" w:styleId="190">
    <w:name w:val="引用 Char"/>
    <w:link w:val="191"/>
    <w:qFormat/>
    <w:uiPriority w:val="0"/>
    <w:rPr>
      <w:rFonts w:ascii="Calibri" w:hAnsi="Calibri" w:eastAsia="宋体"/>
      <w:i/>
      <w:iCs/>
      <w:color w:val="000000"/>
      <w:lang w:val="en-US" w:eastAsia="zh-CN" w:bidi="ar-SA"/>
    </w:rPr>
  </w:style>
  <w:style w:type="paragraph" w:styleId="191">
    <w:name w:val="Quote"/>
    <w:basedOn w:val="1"/>
    <w:next w:val="1"/>
    <w:link w:val="190"/>
    <w:qFormat/>
    <w:uiPriority w:val="0"/>
    <w:rPr>
      <w:rFonts w:ascii="Calibri" w:hAnsi="Calibri"/>
      <w:i/>
      <w:iCs/>
      <w:color w:val="000000"/>
      <w:kern w:val="0"/>
      <w:sz w:val="20"/>
      <w:szCs w:val="20"/>
    </w:rPr>
  </w:style>
  <w:style w:type="character" w:customStyle="1" w:styleId="192">
    <w:name w:val="纯文本 Char"/>
    <w:link w:val="28"/>
    <w:qFormat/>
    <w:uiPriority w:val="0"/>
    <w:rPr>
      <w:rFonts w:ascii="宋体" w:hAnsi="Courier New" w:eastAsia="宋体"/>
      <w:b/>
      <w:sz w:val="21"/>
      <w:szCs w:val="21"/>
      <w:lang w:val="en-US" w:eastAsia="zh-CN" w:bidi="ar-SA"/>
    </w:rPr>
  </w:style>
  <w:style w:type="character" w:customStyle="1" w:styleId="193">
    <w:name w:val="Char Char19"/>
    <w:qFormat/>
    <w:uiPriority w:val="0"/>
    <w:rPr>
      <w:rFonts w:ascii="Cambria" w:hAnsi="Cambria"/>
      <w:b/>
      <w:bCs/>
      <w:kern w:val="2"/>
      <w:sz w:val="32"/>
      <w:szCs w:val="32"/>
    </w:rPr>
  </w:style>
  <w:style w:type="character" w:customStyle="1" w:styleId="194">
    <w:name w:val="style41"/>
    <w:qFormat/>
    <w:uiPriority w:val="0"/>
    <w:rPr>
      <w:color w:val="auto"/>
    </w:rPr>
  </w:style>
  <w:style w:type="character" w:customStyle="1" w:styleId="195">
    <w:name w:val="Char Char201"/>
    <w:qFormat/>
    <w:uiPriority w:val="0"/>
    <w:rPr>
      <w:rFonts w:ascii="Cambria" w:hAnsi="Cambria" w:eastAsia="宋体" w:cs="Times New Roman"/>
      <w:b/>
      <w:bCs/>
      <w:sz w:val="32"/>
      <w:szCs w:val="32"/>
    </w:rPr>
  </w:style>
  <w:style w:type="character" w:customStyle="1" w:styleId="196">
    <w:name w:val="正文首行缩进 Char"/>
    <w:link w:val="51"/>
    <w:qFormat/>
    <w:uiPriority w:val="0"/>
    <w:rPr>
      <w:rFonts w:eastAsia="宋体"/>
      <w:lang w:val="en-US" w:eastAsia="zh-CN" w:bidi="ar-SA"/>
    </w:rPr>
  </w:style>
  <w:style w:type="character" w:customStyle="1" w:styleId="197">
    <w:name w:val="smalltxt1"/>
    <w:qFormat/>
    <w:uiPriority w:val="0"/>
    <w:rPr>
      <w:rFonts w:hint="default" w:ascii="ˎ̥" w:hAnsi="ˎ̥"/>
      <w:sz w:val="24"/>
      <w:szCs w:val="24"/>
    </w:rPr>
  </w:style>
  <w:style w:type="character" w:customStyle="1" w:styleId="198">
    <w:name w:val="正文文本 2 Char"/>
    <w:basedOn w:val="55"/>
    <w:link w:val="47"/>
    <w:qFormat/>
    <w:uiPriority w:val="0"/>
  </w:style>
  <w:style w:type="paragraph" w:customStyle="1" w:styleId="19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200">
    <w:name w:val="Char Char Char Char"/>
    <w:basedOn w:val="1"/>
    <w:qFormat/>
    <w:uiPriority w:val="0"/>
    <w:pPr>
      <w:autoSpaceDE w:val="0"/>
      <w:autoSpaceDN w:val="0"/>
      <w:adjustRightInd w:val="0"/>
      <w:jc w:val="left"/>
    </w:pPr>
    <w:rPr>
      <w:rFonts w:ascii="Tahoma" w:hAnsi="Tahoma"/>
      <w:kern w:val="0"/>
      <w:sz w:val="24"/>
      <w:szCs w:val="20"/>
    </w:rPr>
  </w:style>
  <w:style w:type="paragraph" w:customStyle="1" w:styleId="201">
    <w:name w:val="表内文字"/>
    <w:basedOn w:val="1"/>
    <w:qFormat/>
    <w:uiPriority w:val="0"/>
    <w:pPr>
      <w:spacing w:line="240" w:lineRule="atLeast"/>
      <w:jc w:val="center"/>
    </w:pPr>
    <w:rPr>
      <w:rFonts w:ascii="Arial" w:hAnsi="Arial" w:cs="Arial"/>
      <w:b/>
      <w:bCs/>
    </w:rPr>
  </w:style>
  <w:style w:type="paragraph" w:customStyle="1" w:styleId="202">
    <w:name w:val="列项——（一级）"/>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203">
    <w:name w:val="Char Char Char Char Char Char Char"/>
    <w:basedOn w:val="1"/>
    <w:qFormat/>
    <w:uiPriority w:val="0"/>
    <w:rPr>
      <w:rFonts w:ascii="仿宋_GB2312" w:eastAsia="仿宋_GB2312"/>
      <w:b/>
      <w:sz w:val="32"/>
      <w:szCs w:val="32"/>
    </w:rPr>
  </w:style>
  <w:style w:type="paragraph" w:customStyle="1" w:styleId="20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5">
    <w:name w:val="列出段落1"/>
    <w:basedOn w:val="1"/>
    <w:qFormat/>
    <w:uiPriority w:val="0"/>
    <w:pPr>
      <w:ind w:firstLine="420" w:firstLineChars="200"/>
    </w:pPr>
    <w:rPr>
      <w:szCs w:val="20"/>
    </w:rPr>
  </w:style>
  <w:style w:type="paragraph" w:customStyle="1" w:styleId="206">
    <w:name w:val="一级条标题"/>
    <w:next w:val="1"/>
    <w:qFormat/>
    <w:uiPriority w:val="0"/>
    <w:pPr>
      <w:tabs>
        <w:tab w:val="left" w:pos="3889"/>
      </w:tabs>
      <w:ind w:left="3889" w:hanging="420"/>
      <w:outlineLvl w:val="2"/>
    </w:pPr>
    <w:rPr>
      <w:rFonts w:ascii="Times New Roman" w:hAnsi="Times New Roman" w:eastAsia="黑体" w:cs="Times New Roman"/>
      <w:sz w:val="21"/>
      <w:lang w:val="en-US" w:eastAsia="zh-CN" w:bidi="ar-SA"/>
    </w:rPr>
  </w:style>
  <w:style w:type="paragraph" w:customStyle="1" w:styleId="20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08">
    <w:name w:val="技术报告正文"/>
    <w:basedOn w:val="1"/>
    <w:qFormat/>
    <w:uiPriority w:val="0"/>
    <w:pPr>
      <w:autoSpaceDE w:val="0"/>
      <w:autoSpaceDN w:val="0"/>
      <w:adjustRightInd w:val="0"/>
      <w:spacing w:beforeLines="50" w:line="440" w:lineRule="exact"/>
      <w:ind w:firstLine="538" w:firstLineChars="192"/>
      <w:jc w:val="left"/>
    </w:pPr>
    <w:rPr>
      <w:rFonts w:cs="Arial"/>
      <w:bCs/>
      <w:kern w:val="0"/>
      <w:sz w:val="28"/>
      <w:szCs w:val="20"/>
    </w:rPr>
  </w:style>
  <w:style w:type="paragraph" w:customStyle="1" w:styleId="209">
    <w:name w:val="xl8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1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1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2">
    <w:name w:val="NICMAN Body Text"/>
    <w:basedOn w:val="1"/>
    <w:next w:val="21"/>
    <w:qFormat/>
    <w:uiPriority w:val="0"/>
    <w:pPr>
      <w:autoSpaceDE w:val="0"/>
      <w:autoSpaceDN w:val="0"/>
      <w:adjustRightInd w:val="0"/>
      <w:spacing w:after="120"/>
      <w:jc w:val="left"/>
    </w:pPr>
    <w:rPr>
      <w:kern w:val="0"/>
      <w:sz w:val="20"/>
      <w:szCs w:val="20"/>
    </w:rPr>
  </w:style>
  <w:style w:type="paragraph" w:customStyle="1" w:styleId="213">
    <w:name w:val="Char Char Char Char Char Char Char Char Char Char Char Char Char"/>
    <w:basedOn w:val="1"/>
    <w:qFormat/>
    <w:uiPriority w:val="0"/>
    <w:rPr>
      <w:rFonts w:ascii="Tahoma" w:hAnsi="Tahoma"/>
      <w:sz w:val="24"/>
      <w:szCs w:val="20"/>
    </w:rPr>
  </w:style>
  <w:style w:type="paragraph" w:customStyle="1" w:styleId="214">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15">
    <w:name w:val="正文缩进1"/>
    <w:basedOn w:val="1"/>
    <w:next w:val="22"/>
    <w:qFormat/>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216">
    <w:name w:val="Table Heading"/>
    <w:qFormat/>
    <w:uiPriority w:val="0"/>
    <w:pPr>
      <w:keepNext/>
      <w:snapToGrid w:val="0"/>
      <w:spacing w:before="80" w:after="80"/>
      <w:jc w:val="center"/>
    </w:pPr>
    <w:rPr>
      <w:rFonts w:ascii="Times New Roman" w:hAnsi="Times New Roman" w:eastAsia="黑体" w:cs="Arial"/>
      <w:kern w:val="2"/>
      <w:sz w:val="18"/>
      <w:szCs w:val="18"/>
      <w:lang w:val="en-US" w:eastAsia="zh-CN" w:bidi="ar-SA"/>
    </w:rPr>
  </w:style>
  <w:style w:type="paragraph" w:customStyle="1" w:styleId="217">
    <w:name w:val="Char Char Char Char1"/>
    <w:basedOn w:val="17"/>
    <w:qFormat/>
    <w:uiPriority w:val="0"/>
    <w:rPr>
      <w:rFonts w:ascii="Tahoma" w:hAnsi="Tahoma"/>
      <w:sz w:val="24"/>
    </w:rPr>
  </w:style>
  <w:style w:type="paragraph" w:customStyle="1" w:styleId="218">
    <w:name w:val="正文 首行缩进:  2 字符 Char"/>
    <w:basedOn w:val="1"/>
    <w:qFormat/>
    <w:uiPriority w:val="0"/>
    <w:pPr>
      <w:spacing w:line="360" w:lineRule="auto"/>
      <w:ind w:firstLine="480"/>
    </w:pPr>
    <w:rPr>
      <w:rFonts w:cs="宋体"/>
      <w:sz w:val="24"/>
      <w:szCs w:val="20"/>
    </w:rPr>
  </w:style>
  <w:style w:type="paragraph" w:customStyle="1" w:styleId="219">
    <w:name w:val="样式1"/>
    <w:basedOn w:val="1"/>
    <w:qFormat/>
    <w:uiPriority w:val="0"/>
    <w:pPr>
      <w:autoSpaceDE w:val="0"/>
      <w:autoSpaceDN w:val="0"/>
      <w:adjustRightInd w:val="0"/>
      <w:spacing w:line="400" w:lineRule="exact"/>
    </w:pPr>
    <w:rPr>
      <w:rFonts w:ascii="宋体" w:cs="宋体"/>
      <w:kern w:val="0"/>
    </w:rPr>
  </w:style>
  <w:style w:type="paragraph" w:customStyle="1" w:styleId="22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1">
    <w:name w:val="小标题"/>
    <w:basedOn w:val="1"/>
    <w:qFormat/>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222">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23">
    <w:name w:val="Char Char Char Char Char Char Char Char Char Char"/>
    <w:basedOn w:val="1"/>
    <w:qFormat/>
    <w:uiPriority w:val="0"/>
    <w:pPr>
      <w:autoSpaceDE w:val="0"/>
      <w:autoSpaceDN w:val="0"/>
      <w:adjustRightInd w:val="0"/>
      <w:jc w:val="left"/>
    </w:pPr>
    <w:rPr>
      <w:rFonts w:ascii="仿宋_GB2312" w:eastAsia="仿宋_GB2312"/>
      <w:b/>
      <w:kern w:val="0"/>
      <w:sz w:val="32"/>
      <w:szCs w:val="32"/>
    </w:rPr>
  </w:style>
  <w:style w:type="paragraph" w:customStyle="1" w:styleId="224">
    <w:name w:val="样式"/>
    <w:basedOn w:val="1"/>
    <w:qFormat/>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225">
    <w:name w:val="二级条标题"/>
    <w:basedOn w:val="206"/>
    <w:next w:val="1"/>
    <w:qFormat/>
    <w:uiPriority w:val="0"/>
    <w:pPr>
      <w:tabs>
        <w:tab w:val="left" w:pos="4309"/>
        <w:tab w:val="clear" w:pos="3889"/>
      </w:tabs>
      <w:ind w:left="4309"/>
      <w:outlineLvl w:val="3"/>
    </w:pPr>
  </w:style>
  <w:style w:type="paragraph" w:customStyle="1" w:styleId="226">
    <w:name w:val="正文－恩普"/>
    <w:basedOn w:val="9"/>
    <w:qFormat/>
    <w:uiPriority w:val="0"/>
    <w:pPr>
      <w:adjustRightInd/>
      <w:spacing w:line="360" w:lineRule="auto"/>
      <w:ind w:firstLine="200" w:firstLineChars="200"/>
      <w:textAlignment w:val="auto"/>
    </w:pPr>
    <w:rPr>
      <w:kern w:val="2"/>
      <w:sz w:val="24"/>
      <w:szCs w:val="24"/>
    </w:rPr>
  </w:style>
  <w:style w:type="paragraph" w:customStyle="1" w:styleId="227">
    <w:name w:val="列表内容"/>
    <w:basedOn w:val="1"/>
    <w:next w:val="1"/>
    <w:qFormat/>
    <w:uiPriority w:val="0"/>
    <w:pPr>
      <w:widowControl/>
      <w:autoSpaceDE w:val="0"/>
      <w:autoSpaceDN w:val="0"/>
      <w:adjustRightInd w:val="0"/>
      <w:ind w:firstLine="200"/>
      <w:jc w:val="left"/>
    </w:pPr>
    <w:rPr>
      <w:kern w:val="0"/>
      <w:sz w:val="18"/>
      <w:szCs w:val="20"/>
    </w:rPr>
  </w:style>
  <w:style w:type="paragraph" w:customStyle="1" w:styleId="228">
    <w:name w:val="正文（首行缩进）"/>
    <w:basedOn w:val="22"/>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spacing w:val="10"/>
      <w:kern w:val="0"/>
      <w:szCs w:val="20"/>
    </w:rPr>
  </w:style>
  <w:style w:type="paragraph" w:customStyle="1" w:styleId="229">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30">
    <w:name w:val="文字"/>
    <w:basedOn w:val="1"/>
    <w:qFormat/>
    <w:uiPriority w:val="0"/>
    <w:pPr>
      <w:tabs>
        <w:tab w:val="left" w:pos="8520"/>
      </w:tabs>
      <w:spacing w:line="312" w:lineRule="auto"/>
      <w:ind w:right="-210" w:firstLine="556"/>
    </w:pPr>
    <w:rPr>
      <w:rFonts w:ascii="宋体"/>
      <w:sz w:val="28"/>
      <w:szCs w:val="20"/>
    </w:rPr>
  </w:style>
  <w:style w:type="paragraph" w:customStyle="1" w:styleId="23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32">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3">
    <w:name w:val="标准段落"/>
    <w:basedOn w:val="1"/>
    <w:qFormat/>
    <w:uiPriority w:val="0"/>
    <w:pPr>
      <w:spacing w:after="120" w:line="360" w:lineRule="auto"/>
      <w:ind w:firstLine="420"/>
    </w:pPr>
    <w:rPr>
      <w:rFonts w:ascii="黑体" w:hAnsi="宋体" w:eastAsia="黑体"/>
      <w:b/>
      <w:spacing w:val="6"/>
      <w:szCs w:val="22"/>
    </w:rPr>
  </w:style>
  <w:style w:type="paragraph" w:customStyle="1" w:styleId="234">
    <w:name w:val="三级条标题"/>
    <w:basedOn w:val="225"/>
    <w:next w:val="1"/>
    <w:qFormat/>
    <w:uiPriority w:val="0"/>
    <w:pPr>
      <w:tabs>
        <w:tab w:val="left" w:pos="4729"/>
        <w:tab w:val="clear" w:pos="4309"/>
      </w:tabs>
      <w:ind w:left="4729"/>
      <w:outlineLvl w:val="4"/>
    </w:pPr>
  </w:style>
  <w:style w:type="paragraph" w:customStyle="1" w:styleId="235">
    <w:name w:val="Test2"/>
    <w:basedOn w:val="4"/>
    <w:qFormat/>
    <w:uiPriority w:val="0"/>
    <w:pPr>
      <w:keepNext w:val="0"/>
      <w:widowControl/>
      <w:tabs>
        <w:tab w:val="left" w:pos="774"/>
      </w:tabs>
      <w:autoSpaceDE w:val="0"/>
      <w:autoSpaceDN w:val="0"/>
      <w:adjustRightInd w:val="0"/>
      <w:snapToGrid w:val="0"/>
      <w:spacing w:before="360" w:after="360" w:line="240" w:lineRule="atLeast"/>
      <w:ind w:left="774" w:hanging="576"/>
      <w:jc w:val="left"/>
    </w:pPr>
    <w:rPr>
      <w:rFonts w:ascii="宋体" w:hAnsi="Arial"/>
      <w:snapToGrid w:val="0"/>
      <w:kern w:val="0"/>
    </w:rPr>
  </w:style>
  <w:style w:type="paragraph" w:customStyle="1" w:styleId="236">
    <w:name w:val="默认段落字体 Para Char Char Char Char Char Char Char"/>
    <w:basedOn w:val="1"/>
    <w:qFormat/>
    <w:uiPriority w:val="0"/>
  </w:style>
  <w:style w:type="paragraph" w:customStyle="1" w:styleId="237">
    <w:name w:val="标准小四"/>
    <w:basedOn w:val="1"/>
    <w:qFormat/>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238">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9">
    <w:name w:val="Char13"/>
    <w:basedOn w:val="1"/>
    <w:qFormat/>
    <w:uiPriority w:val="0"/>
    <w:pPr>
      <w:widowControl/>
      <w:spacing w:after="160" w:line="240" w:lineRule="exact"/>
      <w:jc w:val="left"/>
    </w:pPr>
    <w:rPr>
      <w:rFonts w:ascii="Verdana" w:hAnsi="Verdana"/>
      <w:kern w:val="0"/>
      <w:sz w:val="20"/>
      <w:szCs w:val="20"/>
      <w:lang w:eastAsia="en-US"/>
    </w:rPr>
  </w:style>
  <w:style w:type="paragraph" w:customStyle="1" w:styleId="240">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41">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仿宋_GB2312" w:eastAsia="新宋体"/>
      <w:kern w:val="0"/>
      <w:sz w:val="24"/>
      <w:szCs w:val="20"/>
    </w:rPr>
  </w:style>
  <w:style w:type="paragraph" w:customStyle="1" w:styleId="242">
    <w:name w:val="列表段落"/>
    <w:basedOn w:val="1"/>
    <w:qFormat/>
    <w:uiPriority w:val="0"/>
    <w:pPr>
      <w:ind w:firstLine="420" w:firstLineChars="200"/>
    </w:pPr>
    <w:rPr>
      <w:rFonts w:ascii="Calibri" w:hAnsi="Calibri"/>
      <w:szCs w:val="22"/>
    </w:rPr>
  </w:style>
  <w:style w:type="paragraph" w:customStyle="1" w:styleId="243">
    <w:name w:val="五级条标题"/>
    <w:basedOn w:val="244"/>
    <w:next w:val="1"/>
    <w:qFormat/>
    <w:uiPriority w:val="0"/>
    <w:pPr>
      <w:tabs>
        <w:tab w:val="left" w:pos="5149"/>
        <w:tab w:val="left" w:pos="5569"/>
      </w:tabs>
      <w:ind w:left="5569"/>
      <w:outlineLvl w:val="6"/>
    </w:pPr>
  </w:style>
  <w:style w:type="paragraph" w:customStyle="1" w:styleId="244">
    <w:name w:val="四级条标题"/>
    <w:basedOn w:val="234"/>
    <w:next w:val="1"/>
    <w:qFormat/>
    <w:uiPriority w:val="0"/>
    <w:pPr>
      <w:tabs>
        <w:tab w:val="left" w:pos="5149"/>
        <w:tab w:val="clear" w:pos="4729"/>
      </w:tabs>
      <w:ind w:left="5149"/>
      <w:outlineLvl w:val="5"/>
    </w:pPr>
  </w:style>
  <w:style w:type="paragraph" w:customStyle="1" w:styleId="245">
    <w:name w:val="正文-宋体四号"/>
    <w:basedOn w:val="1"/>
    <w:qFormat/>
    <w:uiPriority w:val="0"/>
    <w:pPr>
      <w:spacing w:line="360" w:lineRule="auto"/>
      <w:ind w:firstLine="560" w:firstLineChars="200"/>
    </w:pPr>
    <w:rPr>
      <w:rFonts w:cs="宋体"/>
      <w:sz w:val="28"/>
      <w:szCs w:val="20"/>
    </w:rPr>
  </w:style>
  <w:style w:type="paragraph" w:customStyle="1" w:styleId="246">
    <w:name w:val="纯文本1"/>
    <w:basedOn w:val="1"/>
    <w:qFormat/>
    <w:uiPriority w:val="0"/>
    <w:pPr>
      <w:adjustRightInd w:val="0"/>
      <w:textAlignment w:val="baseline"/>
    </w:pPr>
    <w:rPr>
      <w:rFonts w:ascii="宋体" w:hAnsi="Courier New" w:eastAsia="楷体_GB2312"/>
      <w:sz w:val="28"/>
      <w:szCs w:val="20"/>
    </w:rPr>
  </w:style>
  <w:style w:type="paragraph" w:customStyle="1" w:styleId="247">
    <w:name w:val="Char2"/>
    <w:basedOn w:val="1"/>
    <w:qFormat/>
    <w:uiPriority w:val="0"/>
  </w:style>
  <w:style w:type="paragraph" w:customStyle="1" w:styleId="248">
    <w:name w:val="Char Char Char Char Char Char Char Char Char Char Char Char Char Char Char Char Char Char Char"/>
    <w:basedOn w:val="1"/>
    <w:qFormat/>
    <w:uiPriority w:val="0"/>
    <w:rPr>
      <w:rFonts w:ascii="仿宋_GB2312" w:eastAsia="仿宋_GB2312"/>
      <w:b/>
      <w:sz w:val="32"/>
      <w:szCs w:val="32"/>
    </w:rPr>
  </w:style>
  <w:style w:type="paragraph" w:customStyle="1" w:styleId="249">
    <w:name w:val="样式5"/>
    <w:basedOn w:val="9"/>
    <w:qFormat/>
    <w:uiPriority w:val="0"/>
    <w:pPr>
      <w:adjustRightInd/>
      <w:spacing w:line="360" w:lineRule="auto"/>
      <w:ind w:firstLine="200" w:firstLineChars="200"/>
      <w:textAlignment w:val="auto"/>
    </w:pPr>
    <w:rPr>
      <w:sz w:val="28"/>
      <w:szCs w:val="21"/>
    </w:rPr>
  </w:style>
  <w:style w:type="paragraph" w:customStyle="1" w:styleId="250">
    <w:name w:val="14"/>
    <w:basedOn w:val="1"/>
    <w:qFormat/>
    <w:uiPriority w:val="0"/>
    <w:pPr>
      <w:snapToGrid w:val="0"/>
      <w:spacing w:beforeLines="30" w:line="288" w:lineRule="auto"/>
      <w:ind w:left="852" w:leftChars="355" w:firstLine="420" w:firstLineChars="175"/>
    </w:pPr>
    <w:rPr>
      <w:rFonts w:ascii="新宋体" w:hAnsi="新宋体"/>
      <w:sz w:val="24"/>
      <w:szCs w:val="20"/>
    </w:rPr>
  </w:style>
  <w:style w:type="paragraph" w:customStyle="1" w:styleId="251">
    <w:name w:val="Char Char Char Char Char Char Char Char Char Char Char Char Char1"/>
    <w:basedOn w:val="1"/>
    <w:qFormat/>
    <w:uiPriority w:val="0"/>
  </w:style>
  <w:style w:type="paragraph" w:customStyle="1" w:styleId="252">
    <w:name w:val="样式 标题 1Level 1Level 11h1II+IHeading1H1-Heading 1Header 1..."/>
    <w:basedOn w:val="3"/>
    <w:qFormat/>
    <w:uiPriority w:val="0"/>
    <w:pPr>
      <w:keepLines/>
      <w:pageBreakBefore/>
      <w:spacing w:before="100" w:after="100" w:line="360" w:lineRule="auto"/>
      <w:ind w:left="1680" w:hanging="420"/>
      <w:jc w:val="left"/>
    </w:pPr>
    <w:rPr>
      <w:rFonts w:ascii="Arial" w:hAnsi="Arial" w:cs="宋体"/>
      <w:bCs/>
      <w:kern w:val="44"/>
      <w:sz w:val="44"/>
    </w:rPr>
  </w:style>
  <w:style w:type="paragraph" w:customStyle="1" w:styleId="253">
    <w:name w:val="样式 标题 3 + 黑色 段前: 5 磅 段后: 5 磅 行距: 1.5 倍行距"/>
    <w:basedOn w:val="1"/>
    <w:qFormat/>
    <w:uiPriority w:val="0"/>
    <w:pPr>
      <w:ind w:left="855" w:hanging="855"/>
    </w:pPr>
    <w:rPr>
      <w:sz w:val="24"/>
      <w:szCs w:val="20"/>
    </w:rPr>
  </w:style>
  <w:style w:type="paragraph" w:customStyle="1" w:styleId="254">
    <w:name w:val="button"/>
    <w:basedOn w:val="1"/>
    <w:qFormat/>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255">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25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57">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58">
    <w:name w:val="标书正文带编号"/>
    <w:basedOn w:val="1"/>
    <w:qFormat/>
    <w:uiPriority w:val="0"/>
    <w:pPr>
      <w:tabs>
        <w:tab w:val="left" w:pos="397"/>
      </w:tabs>
      <w:autoSpaceDE w:val="0"/>
      <w:autoSpaceDN w:val="0"/>
      <w:adjustRightInd w:val="0"/>
      <w:ind w:firstLine="397"/>
      <w:jc w:val="left"/>
    </w:pPr>
    <w:rPr>
      <w:rFonts w:cs="宋体"/>
      <w:kern w:val="0"/>
      <w:sz w:val="20"/>
      <w:szCs w:val="21"/>
    </w:rPr>
  </w:style>
  <w:style w:type="paragraph" w:customStyle="1" w:styleId="259">
    <w:name w:val="表格文字（大）"/>
    <w:basedOn w:val="1"/>
    <w:qFormat/>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260">
    <w:name w:val="排列"/>
    <w:basedOn w:val="1"/>
    <w:qFormat/>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261">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kern w:val="0"/>
      <w:sz w:val="20"/>
      <w:szCs w:val="20"/>
    </w:rPr>
  </w:style>
  <w:style w:type="paragraph" w:customStyle="1" w:styleId="26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6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64">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65">
    <w:name w:val="tabletext"/>
    <w:basedOn w:val="1"/>
    <w:qFormat/>
    <w:uiPriority w:val="0"/>
    <w:pPr>
      <w:widowControl/>
      <w:spacing w:line="300" w:lineRule="atLeast"/>
      <w:jc w:val="left"/>
    </w:pPr>
    <w:rPr>
      <w:rFonts w:ascii="宋体" w:hAnsi="宋体" w:cs="宋体"/>
      <w:kern w:val="0"/>
      <w:sz w:val="18"/>
      <w:szCs w:val="18"/>
    </w:rPr>
  </w:style>
  <w:style w:type="paragraph" w:customStyle="1" w:styleId="266">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267">
    <w:name w:val="TOC 标题1"/>
    <w:basedOn w:val="3"/>
    <w:next w:val="1"/>
    <w:unhideWhenUsed/>
    <w:qFormat/>
    <w:uiPriority w:val="39"/>
    <w:pPr>
      <w:widowControl/>
      <w:spacing w:before="480" w:line="276" w:lineRule="auto"/>
      <w:jc w:val="left"/>
      <w:outlineLvl w:val="9"/>
    </w:pPr>
    <w:rPr>
      <w:rFonts w:ascii="Cambria" w:hAnsi="Cambria" w:eastAsia="宋体"/>
      <w:color w:val="366091"/>
      <w:kern w:val="0"/>
      <w:sz w:val="28"/>
      <w:szCs w:val="28"/>
    </w:rPr>
  </w:style>
  <w:style w:type="paragraph" w:customStyle="1" w:styleId="268">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269">
    <w:name w:val="xl89"/>
    <w:basedOn w:val="1"/>
    <w:qFormat/>
    <w:uiPriority w:val="0"/>
    <w:pPr>
      <w:widowControl/>
      <w:spacing w:before="100" w:beforeAutospacing="1" w:after="100" w:afterAutospacing="1"/>
      <w:jc w:val="left"/>
    </w:pPr>
    <w:rPr>
      <w:rFonts w:ascii="宋体" w:hAnsi="宋体" w:cs="宋体"/>
      <w:kern w:val="0"/>
      <w:sz w:val="24"/>
    </w:rPr>
  </w:style>
  <w:style w:type="paragraph" w:customStyle="1" w:styleId="270">
    <w:name w:val="WW-正文文字缩进 2"/>
    <w:basedOn w:val="1"/>
    <w:qFormat/>
    <w:uiPriority w:val="0"/>
    <w:pPr>
      <w:suppressAutoHyphens/>
      <w:autoSpaceDE w:val="0"/>
      <w:autoSpaceDN w:val="0"/>
      <w:adjustRightInd w:val="0"/>
      <w:ind w:firstLine="420"/>
      <w:jc w:val="left"/>
    </w:pPr>
    <w:rPr>
      <w:kern w:val="1"/>
      <w:sz w:val="20"/>
      <w:szCs w:val="20"/>
    </w:rPr>
  </w:style>
  <w:style w:type="paragraph" w:customStyle="1" w:styleId="271">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72">
    <w:name w:val="正文样式 首行缩进:  0.74 厘米"/>
    <w:basedOn w:val="1"/>
    <w:qFormat/>
    <w:uiPriority w:val="0"/>
    <w:pPr>
      <w:autoSpaceDE w:val="0"/>
      <w:autoSpaceDN w:val="0"/>
      <w:adjustRightInd w:val="0"/>
      <w:spacing w:beforeLines="50" w:line="360" w:lineRule="auto"/>
      <w:ind w:firstLine="420"/>
      <w:jc w:val="left"/>
    </w:pPr>
    <w:rPr>
      <w:rFonts w:cs="宋体"/>
      <w:kern w:val="0"/>
      <w:sz w:val="24"/>
      <w:szCs w:val="20"/>
    </w:rPr>
  </w:style>
  <w:style w:type="paragraph" w:customStyle="1" w:styleId="273">
    <w:name w:val="简单回函地址"/>
    <w:basedOn w:val="1"/>
    <w:qFormat/>
    <w:uiPriority w:val="0"/>
  </w:style>
  <w:style w:type="paragraph" w:customStyle="1" w:styleId="274">
    <w:name w:val="前言、引言标题"/>
    <w:next w:val="1"/>
    <w:qFormat/>
    <w:uiPriority w:val="0"/>
    <w:pPr>
      <w:shd w:val="clear" w:color="FFFFFF" w:fill="FFFFFF"/>
      <w:tabs>
        <w:tab w:val="left" w:pos="3349"/>
      </w:tabs>
      <w:spacing w:before="640" w:after="560"/>
      <w:ind w:left="3349" w:hanging="720"/>
      <w:jc w:val="center"/>
      <w:outlineLvl w:val="0"/>
    </w:pPr>
    <w:rPr>
      <w:rFonts w:ascii="黑体" w:hAnsi="Times New Roman" w:eastAsia="黑体" w:cs="Times New Roman"/>
      <w:sz w:val="32"/>
      <w:lang w:val="en-US" w:eastAsia="zh-CN" w:bidi="ar-SA"/>
    </w:rPr>
  </w:style>
  <w:style w:type="paragraph" w:customStyle="1" w:styleId="275">
    <w:name w:val="正文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6">
    <w:name w:val="部分1"/>
    <w:basedOn w:val="1"/>
    <w:qFormat/>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277">
    <w:name w:val="1 Char"/>
    <w:basedOn w:val="9"/>
    <w:qFormat/>
    <w:uiPriority w:val="0"/>
    <w:pPr>
      <w:adjustRightInd/>
      <w:spacing w:line="360" w:lineRule="auto"/>
      <w:ind w:firstLine="200" w:firstLineChars="200"/>
      <w:textAlignment w:val="auto"/>
    </w:pPr>
    <w:rPr>
      <w:kern w:val="2"/>
    </w:rPr>
  </w:style>
  <w:style w:type="paragraph" w:customStyle="1" w:styleId="278">
    <w:name w:val="正文文本 21"/>
    <w:basedOn w:val="1"/>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279">
    <w:name w:val="TOC 标题2"/>
    <w:basedOn w:val="3"/>
    <w:next w:val="1"/>
    <w:qFormat/>
    <w:uiPriority w:val="0"/>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280">
    <w:name w:val="Char Char"/>
    <w:basedOn w:val="1"/>
    <w:qFormat/>
    <w:uiPriority w:val="0"/>
    <w:rPr>
      <w:rFonts w:ascii="仿宋_GB2312" w:eastAsia="仿宋_GB2312"/>
      <w:b/>
      <w:sz w:val="32"/>
      <w:szCs w:val="32"/>
    </w:rPr>
  </w:style>
  <w:style w:type="paragraph" w:customStyle="1" w:styleId="281">
    <w:name w:val="l正文"/>
    <w:basedOn w:val="1"/>
    <w:qFormat/>
    <w:uiPriority w:val="0"/>
    <w:pPr>
      <w:spacing w:line="360" w:lineRule="auto"/>
      <w:ind w:firstLine="200" w:firstLineChars="200"/>
    </w:pPr>
    <w:rPr>
      <w:rFonts w:ascii="宋体" w:hAnsi="宋体"/>
      <w:sz w:val="24"/>
    </w:rPr>
  </w:style>
  <w:style w:type="paragraph" w:customStyle="1" w:styleId="282">
    <w:name w:val="xl7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新宋体" w:hAnsi="新宋体" w:eastAsia="新宋体" w:cs="宋体"/>
      <w:b/>
      <w:bCs/>
      <w:color w:val="FF0000"/>
      <w:kern w:val="0"/>
      <w:sz w:val="24"/>
    </w:rPr>
  </w:style>
  <w:style w:type="paragraph" w:customStyle="1" w:styleId="28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4">
    <w:name w:val="Item List in Table"/>
    <w:qFormat/>
    <w:uiPriority w:val="0"/>
    <w:pPr>
      <w:tabs>
        <w:tab w:val="left" w:pos="284"/>
        <w:tab w:val="left" w:pos="720"/>
      </w:tabs>
      <w:spacing w:before="40" w:after="40"/>
      <w:ind w:left="720" w:hanging="720"/>
      <w:jc w:val="both"/>
    </w:pPr>
    <w:rPr>
      <w:rFonts w:ascii="Times New Roman" w:hAnsi="Times New Roman" w:eastAsia="宋体" w:cs="Arial"/>
      <w:kern w:val="2"/>
      <w:sz w:val="18"/>
      <w:szCs w:val="18"/>
      <w:lang w:val="en-US" w:eastAsia="zh-CN" w:bidi="ar-SA"/>
    </w:rPr>
  </w:style>
  <w:style w:type="paragraph" w:customStyle="1" w:styleId="285">
    <w:name w:val="Char Char Char Char Char Char Char Char Char Char Char Char Char Char Char Char Char Char Char1"/>
    <w:basedOn w:val="1"/>
    <w:qFormat/>
    <w:uiPriority w:val="0"/>
    <w:rPr>
      <w:rFonts w:ascii="仿宋_GB2312" w:eastAsia="仿宋_GB2312"/>
      <w:b/>
      <w:sz w:val="32"/>
      <w:szCs w:val="32"/>
    </w:rPr>
  </w:style>
  <w:style w:type="paragraph" w:customStyle="1" w:styleId="286">
    <w:name w:val="xl29"/>
    <w:basedOn w:val="1"/>
    <w:qFormat/>
    <w:uiPriority w:val="0"/>
    <w:pPr>
      <w:widowControl/>
      <w:autoSpaceDE w:val="0"/>
      <w:autoSpaceDN w:val="0"/>
      <w:adjustRightInd w:val="0"/>
      <w:spacing w:before="100" w:beforeAutospacing="1" w:after="100" w:afterAutospacing="1"/>
      <w:jc w:val="center"/>
    </w:pPr>
    <w:rPr>
      <w:rFonts w:ascii="Arial Unicode MS" w:hAnsi="Arial Unicode MS" w:eastAsia="Arial Unicode MS"/>
      <w:kern w:val="0"/>
      <w:sz w:val="24"/>
      <w:szCs w:val="20"/>
    </w:rPr>
  </w:style>
  <w:style w:type="paragraph" w:customStyle="1" w:styleId="287">
    <w:name w:val="Char Char Char Char Char Char Char1"/>
    <w:basedOn w:val="1"/>
    <w:qFormat/>
    <w:uiPriority w:val="0"/>
    <w:rPr>
      <w:rFonts w:ascii="仿宋_GB2312" w:eastAsia="仿宋_GB2312"/>
      <w:b/>
      <w:sz w:val="32"/>
      <w:szCs w:val="32"/>
    </w:rPr>
  </w:style>
  <w:style w:type="paragraph" w:customStyle="1" w:styleId="288">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9">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0">
    <w:name w:val="标题2"/>
    <w:basedOn w:val="4"/>
    <w:qFormat/>
    <w:uiPriority w:val="0"/>
    <w:pPr>
      <w:tabs>
        <w:tab w:val="left" w:pos="709"/>
      </w:tabs>
    </w:pPr>
    <w:rPr>
      <w:rFonts w:ascii="宋体" w:hAnsi="宋体"/>
      <w:sz w:val="36"/>
      <w:szCs w:val="36"/>
    </w:rPr>
  </w:style>
  <w:style w:type="paragraph" w:customStyle="1" w:styleId="291">
    <w:name w:val="xl91"/>
    <w:basedOn w:val="1"/>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2">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93">
    <w:name w:val="Char1"/>
    <w:basedOn w:val="1"/>
    <w:qFormat/>
    <w:uiPriority w:val="0"/>
    <w:rPr>
      <w:rFonts w:ascii="仿宋_GB2312" w:eastAsia="仿宋_GB2312"/>
      <w:b/>
      <w:sz w:val="32"/>
      <w:szCs w:val="32"/>
    </w:rPr>
  </w:style>
  <w:style w:type="paragraph" w:customStyle="1" w:styleId="294">
    <w:name w:val="正文字缩2字"/>
    <w:basedOn w:val="1"/>
    <w:qFormat/>
    <w:uiPriority w:val="0"/>
    <w:pPr>
      <w:spacing w:before="60" w:after="60" w:line="360" w:lineRule="auto"/>
      <w:ind w:left="200" w:leftChars="200" w:firstLine="200" w:firstLineChars="200"/>
    </w:pPr>
    <w:rPr>
      <w:sz w:val="24"/>
    </w:rPr>
  </w:style>
  <w:style w:type="paragraph" w:customStyle="1" w:styleId="295">
    <w:name w:val="正文2"/>
    <w:basedOn w:val="1"/>
    <w:qFormat/>
    <w:uiPriority w:val="0"/>
    <w:pPr>
      <w:autoSpaceDE w:val="0"/>
      <w:autoSpaceDN w:val="0"/>
      <w:adjustRightInd w:val="0"/>
      <w:spacing w:before="156" w:line="360" w:lineRule="auto"/>
      <w:ind w:firstLine="510" w:firstLineChars="200"/>
      <w:jc w:val="left"/>
    </w:pPr>
    <w:rPr>
      <w:kern w:val="0"/>
      <w:sz w:val="24"/>
      <w:szCs w:val="20"/>
    </w:rPr>
  </w:style>
  <w:style w:type="paragraph" w:customStyle="1" w:styleId="296">
    <w:name w:val="保留正文"/>
    <w:basedOn w:val="21"/>
    <w:qFormat/>
    <w:uiPriority w:val="0"/>
    <w:pPr>
      <w:keepNext/>
      <w:spacing w:after="160"/>
    </w:pPr>
    <w:rPr>
      <w:szCs w:val="20"/>
    </w:rPr>
  </w:style>
  <w:style w:type="paragraph" w:customStyle="1" w:styleId="297">
    <w:name w:val="xl76"/>
    <w:basedOn w:val="1"/>
    <w:qFormat/>
    <w:uiPriority w:val="0"/>
    <w:pPr>
      <w:widowControl/>
      <w:pBdr>
        <w:top w:val="single" w:color="auto" w:sz="4" w:space="0"/>
        <w:bottom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98">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新宋体" w:hAnsi="新宋体" w:eastAsia="新宋体" w:cs="宋体"/>
      <w:color w:val="000000"/>
      <w:kern w:val="0"/>
      <w:sz w:val="24"/>
    </w:rPr>
  </w:style>
  <w:style w:type="paragraph" w:customStyle="1" w:styleId="299">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00">
    <w:name w:val="Char"/>
    <w:basedOn w:val="1"/>
    <w:qFormat/>
    <w:uiPriority w:val="0"/>
    <w:rPr>
      <w:rFonts w:ascii="仿宋_GB2312" w:eastAsia="仿宋_GB2312"/>
      <w:b/>
      <w:sz w:val="32"/>
      <w:szCs w:val="32"/>
    </w:rPr>
  </w:style>
  <w:style w:type="paragraph" w:customStyle="1" w:styleId="301">
    <w:name w:val="Char21"/>
    <w:basedOn w:val="1"/>
    <w:qFormat/>
    <w:uiPriority w:val="0"/>
    <w:pPr>
      <w:autoSpaceDE w:val="0"/>
      <w:autoSpaceDN w:val="0"/>
      <w:adjustRightInd w:val="0"/>
      <w:jc w:val="left"/>
    </w:pPr>
    <w:rPr>
      <w:rFonts w:ascii="仿宋_GB2312" w:eastAsia="仿宋_GB2312"/>
      <w:b/>
      <w:kern w:val="0"/>
      <w:sz w:val="32"/>
      <w:szCs w:val="32"/>
    </w:rPr>
  </w:style>
  <w:style w:type="paragraph" w:customStyle="1" w:styleId="302">
    <w:name w:val="正文文字表格居中"/>
    <w:basedOn w:val="1"/>
    <w:next w:val="47"/>
    <w:qFormat/>
    <w:uiPriority w:val="0"/>
    <w:pPr>
      <w:autoSpaceDE w:val="0"/>
      <w:autoSpaceDN w:val="0"/>
      <w:adjustRightInd w:val="0"/>
      <w:snapToGrid w:val="0"/>
      <w:spacing w:line="360" w:lineRule="auto"/>
      <w:jc w:val="left"/>
    </w:pPr>
    <w:rPr>
      <w:rFonts w:ascii="宋体"/>
      <w:b/>
      <w:kern w:val="0"/>
      <w:sz w:val="24"/>
      <w:szCs w:val="20"/>
    </w:rPr>
  </w:style>
  <w:style w:type="paragraph" w:customStyle="1" w:styleId="303">
    <w:name w:val="Table Contents"/>
    <w:basedOn w:val="1"/>
    <w:qFormat/>
    <w:uiPriority w:val="0"/>
    <w:pPr>
      <w:suppressAutoHyphens/>
      <w:autoSpaceDE w:val="0"/>
      <w:autoSpaceDN w:val="0"/>
      <w:adjustRightInd w:val="0"/>
      <w:spacing w:after="120"/>
      <w:jc w:val="left"/>
    </w:pPr>
    <w:rPr>
      <w:rFonts w:ascii="Helvetica" w:hAnsi="Helvetica"/>
      <w:kern w:val="1"/>
      <w:sz w:val="20"/>
      <w:szCs w:val="20"/>
    </w:rPr>
  </w:style>
  <w:style w:type="paragraph" w:customStyle="1" w:styleId="304">
    <w:name w:val="Char1 Char Char Char Char Char Char"/>
    <w:basedOn w:val="1"/>
    <w:qFormat/>
    <w:uiPriority w:val="0"/>
    <w:rPr>
      <w:rFonts w:ascii="宋体" w:hAnsi="宋体"/>
      <w:color w:val="000000"/>
      <w:sz w:val="24"/>
    </w:rPr>
  </w:style>
  <w:style w:type="paragraph" w:customStyle="1" w:styleId="305">
    <w:name w:val="此正文"/>
    <w:basedOn w:val="1"/>
    <w:qFormat/>
    <w:uiPriority w:val="0"/>
    <w:pPr>
      <w:autoSpaceDE w:val="0"/>
      <w:autoSpaceDN w:val="0"/>
      <w:adjustRightInd w:val="0"/>
      <w:spacing w:line="360" w:lineRule="auto"/>
      <w:ind w:firstLine="200" w:firstLineChars="200"/>
      <w:jc w:val="left"/>
    </w:pPr>
    <w:rPr>
      <w:kern w:val="0"/>
      <w:sz w:val="24"/>
      <w:szCs w:val="20"/>
    </w:rPr>
  </w:style>
  <w:style w:type="paragraph" w:customStyle="1" w:styleId="306">
    <w:name w:val="Char11"/>
    <w:basedOn w:val="1"/>
    <w:qFormat/>
    <w:uiPriority w:val="0"/>
    <w:pPr>
      <w:autoSpaceDE w:val="0"/>
      <w:autoSpaceDN w:val="0"/>
      <w:adjustRightInd w:val="0"/>
      <w:jc w:val="left"/>
    </w:pPr>
    <w:rPr>
      <w:rFonts w:ascii="仿宋_GB2312" w:eastAsia="仿宋_GB2312"/>
      <w:b/>
      <w:kern w:val="0"/>
      <w:sz w:val="32"/>
      <w:szCs w:val="32"/>
    </w:rPr>
  </w:style>
  <w:style w:type="paragraph" w:customStyle="1" w:styleId="307">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2"/>
    </w:rPr>
  </w:style>
  <w:style w:type="paragraph" w:customStyle="1" w:styleId="308">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09">
    <w:name w:val="图"/>
    <w:basedOn w:val="1"/>
    <w:qFormat/>
    <w:uiPriority w:val="0"/>
    <w:pPr>
      <w:keepNext/>
      <w:adjustRightInd w:val="0"/>
      <w:spacing w:before="60" w:after="60" w:line="300" w:lineRule="auto"/>
      <w:jc w:val="center"/>
      <w:textAlignment w:val="center"/>
    </w:pPr>
    <w:rPr>
      <w:snapToGrid w:val="0"/>
      <w:spacing w:val="20"/>
      <w:kern w:val="0"/>
      <w:sz w:val="24"/>
      <w:szCs w:val="20"/>
      <w:lang w:val="zh-CN"/>
    </w:rPr>
  </w:style>
  <w:style w:type="paragraph" w:customStyle="1" w:styleId="310">
    <w:name w:val="xl83"/>
    <w:basedOn w:val="1"/>
    <w:qFormat/>
    <w:uiPriority w:val="0"/>
    <w:pPr>
      <w:widowControl/>
      <w:pBdr>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11">
    <w:name w:val="Char Char13"/>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1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313">
    <w:name w:val="features1"/>
    <w:basedOn w:val="1"/>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314">
    <w:name w:val="xl25"/>
    <w:basedOn w:val="1"/>
    <w:qFormat/>
    <w:uiPriority w:val="0"/>
    <w:pPr>
      <w:widowControl/>
      <w:autoSpaceDE w:val="0"/>
      <w:autoSpaceDN w:val="0"/>
      <w:adjustRightInd w:val="0"/>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315">
    <w:name w:val="章标题"/>
    <w:next w:val="1"/>
    <w:qFormat/>
    <w:uiPriority w:val="0"/>
    <w:pPr>
      <w:tabs>
        <w:tab w:val="left" w:pos="3469"/>
      </w:tabs>
      <w:spacing w:beforeLines="50" w:afterLines="50"/>
      <w:ind w:left="3469" w:hanging="420"/>
      <w:jc w:val="both"/>
      <w:outlineLvl w:val="1"/>
    </w:pPr>
    <w:rPr>
      <w:rFonts w:ascii="黑体" w:hAnsi="Times New Roman" w:eastAsia="黑体" w:cs="Times New Roman"/>
      <w:sz w:val="21"/>
      <w:lang w:val="en-US" w:eastAsia="zh-CN" w:bidi="ar-SA"/>
    </w:rPr>
  </w:style>
  <w:style w:type="paragraph" w:customStyle="1" w:styleId="316">
    <w:name w:val="样式 标题 3 + 黑体 小四 非加粗"/>
    <w:basedOn w:val="5"/>
    <w:qFormat/>
    <w:uiPriority w:val="0"/>
    <w:pPr>
      <w:spacing w:before="260" w:after="260" w:line="413" w:lineRule="auto"/>
    </w:pPr>
    <w:rPr>
      <w:rFonts w:ascii="黑体" w:hAnsi="黑体"/>
      <w:b w:val="0"/>
      <w:kern w:val="0"/>
      <w:sz w:val="24"/>
      <w:szCs w:val="32"/>
    </w:rPr>
  </w:style>
  <w:style w:type="paragraph" w:customStyle="1" w:styleId="317">
    <w:name w:val="正文_0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318">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19">
    <w:name w:val="样式 左侧:  0.85 厘米 首行缩进:  0.85 厘米"/>
    <w:basedOn w:val="1"/>
    <w:qFormat/>
    <w:uiPriority w:val="0"/>
    <w:pPr>
      <w:autoSpaceDE w:val="0"/>
      <w:autoSpaceDN w:val="0"/>
      <w:adjustRightInd w:val="0"/>
      <w:spacing w:line="360" w:lineRule="auto"/>
      <w:ind w:firstLine="482"/>
      <w:jc w:val="left"/>
    </w:pPr>
    <w:rPr>
      <w:rFonts w:cs="宋体"/>
      <w:kern w:val="0"/>
      <w:sz w:val="24"/>
      <w:szCs w:val="20"/>
    </w:rPr>
  </w:style>
  <w:style w:type="paragraph" w:customStyle="1" w:styleId="320">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21">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kern w:val="0"/>
      <w:sz w:val="22"/>
      <w:szCs w:val="20"/>
      <w:lang w:val="de-DE" w:eastAsia="zh-TW"/>
    </w:rPr>
  </w:style>
  <w:style w:type="paragraph" w:customStyle="1" w:styleId="322">
    <w:name w:val="文档正文"/>
    <w:basedOn w:val="1"/>
    <w:qFormat/>
    <w:uiPriority w:val="0"/>
    <w:pPr>
      <w:adjustRightInd w:val="0"/>
      <w:spacing w:line="300" w:lineRule="auto"/>
      <w:ind w:firstLine="567"/>
      <w:textAlignment w:val="baseline"/>
    </w:pPr>
    <w:rPr>
      <w:kern w:val="0"/>
      <w:sz w:val="24"/>
      <w:szCs w:val="20"/>
    </w:rPr>
  </w:style>
  <w:style w:type="paragraph" w:customStyle="1" w:styleId="323">
    <w:name w:val="列出段落2"/>
    <w:basedOn w:val="1"/>
    <w:qFormat/>
    <w:uiPriority w:val="0"/>
    <w:pPr>
      <w:ind w:firstLine="420" w:firstLineChars="200"/>
    </w:pPr>
  </w:style>
  <w:style w:type="paragraph" w:customStyle="1" w:styleId="324">
    <w:name w:val="标题五"/>
    <w:basedOn w:val="1"/>
    <w:qFormat/>
    <w:uiPriority w:val="0"/>
    <w:pPr>
      <w:tabs>
        <w:tab w:val="left" w:pos="1440"/>
      </w:tabs>
      <w:autoSpaceDE w:val="0"/>
      <w:autoSpaceDN w:val="0"/>
      <w:adjustRightInd w:val="0"/>
      <w:spacing w:beforeLines="50" w:line="360" w:lineRule="auto"/>
      <w:ind w:left="1440" w:hanging="420"/>
      <w:jc w:val="left"/>
    </w:pPr>
    <w:rPr>
      <w:b/>
      <w:kern w:val="0"/>
      <w:sz w:val="24"/>
      <w:szCs w:val="20"/>
    </w:rPr>
  </w:style>
  <w:style w:type="paragraph" w:customStyle="1" w:styleId="325">
    <w:name w:val="È±Ê¡ÎÄ±¾ Char"/>
    <w:basedOn w:val="1"/>
    <w:qFormat/>
    <w:uiPriority w:val="0"/>
    <w:pPr>
      <w:widowControl/>
      <w:overflowPunct w:val="0"/>
      <w:autoSpaceDE w:val="0"/>
      <w:autoSpaceDN w:val="0"/>
      <w:adjustRightInd w:val="0"/>
      <w:textAlignment w:val="baseline"/>
    </w:pPr>
    <w:rPr>
      <w:szCs w:val="21"/>
      <w:lang w:val="zh-CN"/>
    </w:rPr>
  </w:style>
  <w:style w:type="paragraph" w:customStyle="1" w:styleId="326">
    <w:name w:val="p0"/>
    <w:basedOn w:val="1"/>
    <w:qFormat/>
    <w:uiPriority w:val="0"/>
    <w:pPr>
      <w:widowControl/>
    </w:pPr>
    <w:rPr>
      <w:kern w:val="0"/>
      <w:szCs w:val="21"/>
    </w:rPr>
  </w:style>
  <w:style w:type="paragraph" w:customStyle="1" w:styleId="327">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table" w:customStyle="1" w:styleId="328">
    <w:name w:val="TableGrid"/>
    <w:qFormat/>
    <w:uiPriority w:val="0"/>
    <w:tblPr>
      <w:tblCellMar>
        <w:top w:w="0" w:type="dxa"/>
        <w:left w:w="0" w:type="dxa"/>
        <w:bottom w:w="0" w:type="dxa"/>
        <w:right w:w="0" w:type="dxa"/>
      </w:tblCellMar>
    </w:tblPr>
  </w:style>
  <w:style w:type="paragraph" w:styleId="329">
    <w:name w:val="List Paragraph"/>
    <w:basedOn w:val="1"/>
    <w:qFormat/>
    <w:uiPriority w:val="99"/>
    <w:pPr>
      <w:ind w:firstLine="420" w:firstLineChars="200"/>
    </w:pPr>
  </w:style>
  <w:style w:type="paragraph" w:customStyle="1" w:styleId="330">
    <w:name w:val="正文段"/>
    <w:basedOn w:val="1"/>
    <w:qFormat/>
    <w:uiPriority w:val="0"/>
    <w:pPr>
      <w:widowControl/>
      <w:snapToGrid w:val="0"/>
      <w:spacing w:afterLines="50"/>
      <w:ind w:firstLine="200" w:firstLineChars="200"/>
    </w:pPr>
    <w:rPr>
      <w:sz w:val="24"/>
      <w:szCs w:val="20"/>
    </w:rPr>
  </w:style>
  <w:style w:type="paragraph" w:customStyle="1" w:styleId="331">
    <w:name w:val="_Style 3"/>
    <w:basedOn w:val="1"/>
    <w:next w:val="1"/>
    <w:qFormat/>
    <w:uiPriority w:val="34"/>
    <w:pPr>
      <w:spacing w:line="360" w:lineRule="auto"/>
      <w:ind w:firstLine="420" w:firstLineChars="200"/>
    </w:pPr>
  </w:style>
  <w:style w:type="paragraph" w:customStyle="1" w:styleId="332">
    <w:name w:val="_Style 2"/>
    <w:basedOn w:val="1"/>
    <w:next w:val="1"/>
    <w:qFormat/>
    <w:uiPriority w:val="0"/>
    <w:pPr>
      <w:pBdr>
        <w:bottom w:val="single" w:color="auto" w:sz="6" w:space="1"/>
      </w:pBdr>
      <w:jc w:val="center"/>
    </w:pPr>
    <w:rPr>
      <w:rFonts w:ascii="Arial"/>
      <w:vanish/>
      <w:sz w:val="16"/>
    </w:rPr>
  </w:style>
  <w:style w:type="character" w:customStyle="1" w:styleId="333">
    <w:name w:val="font31"/>
    <w:basedOn w:val="55"/>
    <w:qFormat/>
    <w:uiPriority w:val="0"/>
    <w:rPr>
      <w:rFonts w:hint="eastAsia" w:ascii="宋体" w:hAnsi="宋体" w:eastAsia="宋体" w:cs="宋体"/>
      <w:color w:val="000000"/>
      <w:sz w:val="24"/>
      <w:szCs w:val="24"/>
      <w:u w:val="single"/>
    </w:rPr>
  </w:style>
  <w:style w:type="paragraph" w:customStyle="1" w:styleId="334">
    <w:name w:val="表格文字"/>
    <w:basedOn w:val="1"/>
    <w:next w:val="21"/>
    <w:qFormat/>
    <w:uiPriority w:val="0"/>
    <w:pPr>
      <w:adjustRightInd w:val="0"/>
      <w:spacing w:line="420" w:lineRule="atLeast"/>
      <w:jc w:val="left"/>
      <w:textAlignment w:val="baseline"/>
    </w:pPr>
    <w:rPr>
      <w:kern w:val="0"/>
    </w:rPr>
  </w:style>
  <w:style w:type="character" w:customStyle="1" w:styleId="335">
    <w:name w:val="font01"/>
    <w:basedOn w:val="55"/>
    <w:qFormat/>
    <w:uiPriority w:val="0"/>
    <w:rPr>
      <w:rFonts w:ascii="Arial" w:hAnsi="Arial" w:cs="Arial"/>
      <w:color w:val="000000"/>
      <w:sz w:val="18"/>
      <w:szCs w:val="18"/>
      <w:u w:val="none"/>
    </w:rPr>
  </w:style>
  <w:style w:type="paragraph" w:customStyle="1" w:styleId="336">
    <w:name w:val="列出段落3"/>
    <w:basedOn w:val="1"/>
    <w:qFormat/>
    <w:uiPriority w:val="34"/>
    <w:pPr>
      <w:adjustRightInd w:val="0"/>
      <w:snapToGrid w:val="0"/>
      <w:spacing w:after="200"/>
      <w:ind w:firstLine="420" w:firstLineChars="200"/>
    </w:pPr>
    <w:rPr>
      <w:rFonts w:ascii="Tahoma" w:hAnsi="Tahoma" w:eastAsia="微软雅黑"/>
      <w:sz w:val="22"/>
    </w:rPr>
  </w:style>
  <w:style w:type="paragraph" w:customStyle="1" w:styleId="337">
    <w:name w:val="标题3 附件1"/>
    <w:basedOn w:val="1"/>
    <w:qFormat/>
    <w:uiPriority w:val="0"/>
    <w:pPr>
      <w:keepNext/>
      <w:keepLines/>
      <w:spacing w:before="340" w:after="330" w:line="360" w:lineRule="exact"/>
      <w:jc w:val="left"/>
      <w:outlineLvl w:val="2"/>
    </w:pPr>
    <w:rPr>
      <w:b/>
      <w:bCs/>
      <w:kern w:val="44"/>
      <w:szCs w:val="21"/>
    </w:rPr>
  </w:style>
  <w:style w:type="character" w:customStyle="1" w:styleId="338">
    <w:name w:val="font61"/>
    <w:basedOn w:val="55"/>
    <w:qFormat/>
    <w:uiPriority w:val="0"/>
    <w:rPr>
      <w:rFonts w:hint="eastAsia" w:ascii="宋体" w:hAnsi="宋体" w:eastAsia="宋体" w:cs="宋体"/>
      <w:color w:val="000000"/>
      <w:sz w:val="20"/>
      <w:szCs w:val="20"/>
      <w:u w:val="none"/>
    </w:rPr>
  </w:style>
  <w:style w:type="character" w:customStyle="1" w:styleId="339">
    <w:name w:val="font81"/>
    <w:basedOn w:val="55"/>
    <w:qFormat/>
    <w:uiPriority w:val="0"/>
    <w:rPr>
      <w:rFonts w:ascii="Calibri" w:hAnsi="Calibri" w:cs="Calibri"/>
      <w:color w:val="000000"/>
      <w:sz w:val="20"/>
      <w:szCs w:val="20"/>
      <w:u w:val="none"/>
    </w:rPr>
  </w:style>
  <w:style w:type="character" w:customStyle="1" w:styleId="340">
    <w:name w:val="font71"/>
    <w:basedOn w:val="55"/>
    <w:qFormat/>
    <w:uiPriority w:val="0"/>
    <w:rPr>
      <w:rFonts w:hint="eastAsia" w:ascii="宋体" w:hAnsi="宋体" w:eastAsia="宋体" w:cs="宋体"/>
      <w:color w:val="000000"/>
      <w:sz w:val="22"/>
      <w:szCs w:val="22"/>
      <w:u w:val="none"/>
    </w:rPr>
  </w:style>
  <w:style w:type="paragraph" w:customStyle="1" w:styleId="341">
    <w:name w:val="列出段落51"/>
    <w:basedOn w:val="1"/>
    <w:qFormat/>
    <w:uiPriority w:val="34"/>
    <w:pPr>
      <w:ind w:firstLine="420" w:firstLineChars="200"/>
    </w:pPr>
    <w:rPr>
      <w:rFonts w:ascii="Calibri" w:hAnsi="Calibri"/>
      <w:sz w:val="24"/>
    </w:rPr>
  </w:style>
  <w:style w:type="table" w:customStyle="1" w:styleId="342">
    <w:name w:val="Table Normal"/>
    <w:semiHidden/>
    <w:unhideWhenUsed/>
    <w:qFormat/>
    <w:uiPriority w:val="0"/>
    <w:tblPr>
      <w:tblCellMar>
        <w:top w:w="0" w:type="dxa"/>
        <w:left w:w="0" w:type="dxa"/>
        <w:bottom w:w="0" w:type="dxa"/>
        <w:right w:w="0" w:type="dxa"/>
      </w:tblCellMar>
    </w:tblPr>
  </w:style>
  <w:style w:type="paragraph" w:customStyle="1" w:styleId="343">
    <w:name w:val="正文文本首行缩进1"/>
    <w:basedOn w:val="21"/>
    <w:qFormat/>
    <w:uiPriority w:val="0"/>
    <w:pPr>
      <w:spacing w:line="500" w:lineRule="exact"/>
      <w:ind w:firstLine="420"/>
    </w:pPr>
    <w:rPr>
      <w:sz w:val="28"/>
    </w:rPr>
  </w:style>
  <w:style w:type="paragraph" w:styleId="344">
    <w:name w:val="No Spacing"/>
    <w:qFormat/>
    <w:uiPriority w:val="1"/>
    <w:rPr>
      <w:rFonts w:asciiTheme="minorHAnsi" w:hAnsiTheme="minorHAnsi" w:eastAsiaTheme="minorEastAsia" w:cstheme="minorBidi"/>
      <w:kern w:val="2"/>
      <w:sz w:val="24"/>
      <w:szCs w:val="24"/>
      <w:lang w:val="en-US" w:eastAsia="zh-CN" w:bidi="ar-SA"/>
    </w:rPr>
  </w:style>
  <w:style w:type="paragraph" w:customStyle="1" w:styleId="345">
    <w:name w:val="566ba9ff-a5b0-4b6f-bbdf-c3ab41993fc2"/>
    <w:basedOn w:val="6"/>
    <w:next w:val="346"/>
    <w:qFormat/>
    <w:uiPriority w:val="0"/>
    <w:pPr>
      <w:spacing w:line="288" w:lineRule="auto"/>
    </w:pPr>
    <w:rPr>
      <w:rFonts w:hint="eastAsia" w:ascii="微软雅黑" w:hAnsi="微软雅黑" w:eastAsia="微软雅黑" w:cs="微软雅黑"/>
      <w:color w:val="000000"/>
      <w:sz w:val="24"/>
    </w:rPr>
  </w:style>
  <w:style w:type="paragraph" w:customStyle="1" w:styleId="346">
    <w:name w:val="acbfdd8b-e11b-4d36-88ff-6049b138f862"/>
    <w:basedOn w:val="21"/>
    <w:qFormat/>
    <w:uiPriority w:val="0"/>
    <w:pPr>
      <w:spacing w:line="288" w:lineRule="auto"/>
    </w:pPr>
    <w:rPr>
      <w:rFonts w:hint="eastAsia" w:ascii="微软雅黑" w:hAnsi="微软雅黑" w:eastAsia="微软雅黑" w:cs="微软雅黑"/>
      <w:color w:val="00000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中国远东国际贸易总公司</Company>
  <Pages>62</Pages>
  <Words>18803</Words>
  <Characters>19736</Characters>
  <Lines>434</Lines>
  <Paragraphs>122</Paragraphs>
  <TotalTime>10</TotalTime>
  <ScaleCrop>false</ScaleCrop>
  <LinksUpToDate>false</LinksUpToDate>
  <CharactersWithSpaces>20588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2020-10-14T14:50:00Z</dcterms:created>
  <dc:creator>zyq</dc:creator>
  <cp:lastModifiedBy>乐圣天</cp:lastModifiedBy>
  <cp:lastPrinted>2021-03-23T15:00:00Z</cp:lastPrinted>
  <dcterms:modified xsi:type="dcterms:W3CDTF">2025-04-23T01:34:52Z</dcterms:modified>
  <dc:title>招标文件目录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B253500907BA4110A9CFD8CE7EA965A5_13</vt:lpwstr>
  </property>
  <property fmtid="{D5CDD505-2E9C-101B-9397-08002B2CF9AE}" pid="4" name="KSOTemplateDocerSaveRecord">
    <vt:lpwstr>eyJoZGlkIjoiNzZiODFlYjE5OTExZGFjMDU4MzMwY2I4NzJlM2I5NzUiLCJ1c2VySWQiOiIxMzg0MTA1MjE1In0=</vt:lpwstr>
  </property>
</Properties>
</file>