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04C9FC4C">
      <w:pPr>
        <w:rPr>
          <w:rFonts w:hint="eastAsia" w:ascii="新宋体" w:hAnsi="新宋体" w:eastAsia="新宋体" w:cs="新宋体"/>
          <w:color w:val="auto"/>
          <w:spacing w:val="20"/>
          <w:sz w:val="84"/>
          <w:highlight w:val="none"/>
        </w:rPr>
      </w:pPr>
    </w:p>
    <w:p w14:paraId="3141F9EB">
      <w:pPr>
        <w:rPr>
          <w:rFonts w:hint="eastAsia" w:ascii="新宋体" w:hAnsi="新宋体" w:eastAsia="新宋体" w:cs="新宋体"/>
          <w:b/>
          <w:bCs/>
          <w:color w:val="auto"/>
          <w:sz w:val="52"/>
          <w:szCs w:val="52"/>
          <w:highlight w:val="none"/>
        </w:rPr>
      </w:pPr>
      <w:r>
        <w:rPr>
          <w:rFonts w:hint="eastAsia" w:ascii="新宋体" w:hAnsi="新宋体" w:eastAsia="新宋体" w:cs="新宋体"/>
          <w:color w:val="auto"/>
          <w:spacing w:val="20"/>
          <w:sz w:val="84"/>
          <w:highlight w:val="none"/>
        </w:rPr>
        <w:t>温州市政府（分散）采购</w:t>
      </w:r>
    </w:p>
    <w:p w14:paraId="36139392">
      <w:pPr>
        <w:jc w:val="both"/>
        <w:rPr>
          <w:rFonts w:hint="eastAsia" w:ascii="新宋体" w:hAnsi="新宋体" w:eastAsia="新宋体" w:cs="新宋体"/>
          <w:b/>
          <w:bCs/>
          <w:color w:val="auto"/>
          <w:spacing w:val="26"/>
          <w:sz w:val="52"/>
          <w:highlight w:val="none"/>
        </w:rPr>
      </w:pPr>
    </w:p>
    <w:p w14:paraId="7B555472">
      <w:pPr>
        <w:rPr>
          <w:rFonts w:hint="eastAsia" w:ascii="新宋体" w:hAnsi="新宋体" w:eastAsia="新宋体" w:cs="新宋体"/>
          <w:b/>
          <w:bCs/>
          <w:color w:val="auto"/>
          <w:spacing w:val="140"/>
          <w:sz w:val="72"/>
          <w:highlight w:val="none"/>
        </w:rPr>
      </w:pPr>
    </w:p>
    <w:p w14:paraId="061CAF51">
      <w:pPr>
        <w:adjustRightInd w:val="0"/>
        <w:snapToGrid w:val="0"/>
        <w:spacing w:line="480" w:lineRule="auto"/>
        <w:ind w:right="361"/>
        <w:jc w:val="center"/>
        <w:rPr>
          <w:rFonts w:hint="eastAsia" w:ascii="新宋体" w:hAnsi="新宋体" w:eastAsia="新宋体" w:cs="新宋体"/>
          <w:color w:val="auto"/>
          <w:sz w:val="72"/>
          <w:szCs w:val="72"/>
          <w:highlight w:val="none"/>
        </w:rPr>
      </w:pPr>
      <w:r>
        <w:rPr>
          <w:rFonts w:hint="eastAsia" w:ascii="新宋体" w:hAnsi="新宋体" w:eastAsia="新宋体" w:cs="新宋体"/>
          <w:color w:val="auto"/>
          <w:sz w:val="72"/>
          <w:szCs w:val="72"/>
          <w:highlight w:val="none"/>
          <w:lang w:val="en-US" w:eastAsia="zh-CN"/>
        </w:rPr>
        <w:t>采 购</w:t>
      </w:r>
      <w:r>
        <w:rPr>
          <w:rFonts w:hint="eastAsia" w:ascii="新宋体" w:hAnsi="新宋体" w:eastAsia="新宋体" w:cs="新宋体"/>
          <w:color w:val="auto"/>
          <w:sz w:val="72"/>
          <w:szCs w:val="72"/>
          <w:highlight w:val="none"/>
        </w:rPr>
        <w:t xml:space="preserve"> 文 件</w:t>
      </w:r>
    </w:p>
    <w:p w14:paraId="3112B4C7">
      <w:pPr>
        <w:keepNext w:val="0"/>
        <w:keepLines w:val="0"/>
        <w:pageBreakBefore w:val="0"/>
        <w:widowControl w:val="0"/>
        <w:kinsoku/>
        <w:wordWrap/>
        <w:overflowPunct/>
        <w:topLinePunct w:val="0"/>
        <w:autoSpaceDE/>
        <w:autoSpaceDN/>
        <w:bidi w:val="0"/>
        <w:adjustRightInd/>
        <w:snapToGrid/>
        <w:spacing w:line="800" w:lineRule="exact"/>
        <w:ind w:firstLine="1200" w:firstLineChars="400"/>
        <w:textAlignment w:val="auto"/>
        <w:rPr>
          <w:rFonts w:hint="eastAsia" w:ascii="新宋体" w:hAnsi="新宋体" w:eastAsia="新宋体" w:cs="新宋体"/>
          <w:color w:val="auto"/>
          <w:sz w:val="30"/>
          <w:szCs w:val="30"/>
          <w:highlight w:val="none"/>
        </w:rPr>
      </w:pPr>
      <w:r>
        <w:rPr>
          <w:rFonts w:hint="eastAsia" w:ascii="新宋体" w:hAnsi="新宋体" w:eastAsia="新宋体" w:cs="新宋体"/>
          <w:color w:val="auto"/>
          <w:sz w:val="30"/>
          <w:szCs w:val="30"/>
          <w:highlight w:val="none"/>
        </w:rPr>
        <w:t>项目编号：</w:t>
      </w:r>
      <w:r>
        <w:rPr>
          <w:rFonts w:hint="eastAsia" w:ascii="新宋体" w:hAnsi="新宋体" w:eastAsia="新宋体" w:cs="新宋体"/>
          <w:b/>
          <w:bCs/>
          <w:color w:val="auto"/>
          <w:sz w:val="30"/>
          <w:szCs w:val="30"/>
          <w:highlight w:val="none"/>
          <w:lang w:eastAsia="zh-CN"/>
        </w:rPr>
        <w:t>WZLCZB（L）-2025-02058</w:t>
      </w:r>
    </w:p>
    <w:p w14:paraId="2458C286">
      <w:pPr>
        <w:keepNext w:val="0"/>
        <w:keepLines w:val="0"/>
        <w:pageBreakBefore w:val="0"/>
        <w:widowControl w:val="0"/>
        <w:kinsoku/>
        <w:wordWrap/>
        <w:overflowPunct/>
        <w:topLinePunct w:val="0"/>
        <w:autoSpaceDE/>
        <w:autoSpaceDN/>
        <w:bidi w:val="0"/>
        <w:adjustRightInd/>
        <w:snapToGrid/>
        <w:spacing w:line="800" w:lineRule="exact"/>
        <w:ind w:firstLine="1200" w:firstLineChars="400"/>
        <w:textAlignment w:val="auto"/>
        <w:rPr>
          <w:rFonts w:hint="eastAsia" w:ascii="新宋体" w:hAnsi="新宋体" w:eastAsia="新宋体" w:cs="新宋体"/>
          <w:color w:val="auto"/>
          <w:sz w:val="30"/>
          <w:szCs w:val="30"/>
          <w:highlight w:val="none"/>
        </w:rPr>
      </w:pPr>
      <w:r>
        <w:rPr>
          <w:rFonts w:hint="eastAsia" w:ascii="新宋体" w:hAnsi="新宋体" w:eastAsia="新宋体" w:cs="新宋体"/>
          <w:color w:val="auto"/>
          <w:sz w:val="30"/>
          <w:szCs w:val="30"/>
          <w:highlight w:val="none"/>
        </w:rPr>
        <w:t>项目名称：</w:t>
      </w:r>
      <w:r>
        <w:rPr>
          <w:rFonts w:hint="eastAsia" w:ascii="新宋体" w:hAnsi="新宋体" w:eastAsia="新宋体" w:cs="新宋体"/>
          <w:b/>
          <w:bCs/>
          <w:color w:val="auto"/>
          <w:sz w:val="30"/>
          <w:szCs w:val="30"/>
          <w:highlight w:val="none"/>
          <w:lang w:eastAsia="zh-CN"/>
        </w:rPr>
        <w:t>热脱附气质联用仪</w:t>
      </w:r>
    </w:p>
    <w:p w14:paraId="5257E36E">
      <w:pPr>
        <w:keepNext w:val="0"/>
        <w:keepLines w:val="0"/>
        <w:pageBreakBefore w:val="0"/>
        <w:widowControl w:val="0"/>
        <w:kinsoku/>
        <w:wordWrap/>
        <w:overflowPunct/>
        <w:topLinePunct w:val="0"/>
        <w:autoSpaceDE/>
        <w:autoSpaceDN/>
        <w:bidi w:val="0"/>
        <w:adjustRightInd/>
        <w:snapToGrid/>
        <w:spacing w:line="800" w:lineRule="exact"/>
        <w:ind w:firstLine="1200" w:firstLineChars="400"/>
        <w:textAlignment w:val="auto"/>
        <w:rPr>
          <w:rFonts w:hint="eastAsia" w:ascii="新宋体" w:hAnsi="新宋体" w:eastAsia="新宋体" w:cs="新宋体"/>
          <w:color w:val="auto"/>
          <w:sz w:val="30"/>
          <w:szCs w:val="30"/>
          <w:highlight w:val="none"/>
        </w:rPr>
      </w:pPr>
      <w:r>
        <w:rPr>
          <w:rFonts w:hint="eastAsia" w:ascii="新宋体" w:hAnsi="新宋体" w:eastAsia="新宋体" w:cs="新宋体"/>
          <w:color w:val="auto"/>
          <w:sz w:val="30"/>
          <w:szCs w:val="30"/>
          <w:highlight w:val="none"/>
        </w:rPr>
        <w:t>采购方式：</w:t>
      </w:r>
      <w:r>
        <w:rPr>
          <w:rFonts w:hint="eastAsia" w:ascii="新宋体" w:hAnsi="新宋体" w:eastAsia="新宋体" w:cs="新宋体"/>
          <w:b/>
          <w:bCs/>
          <w:color w:val="auto"/>
          <w:sz w:val="30"/>
          <w:szCs w:val="30"/>
          <w:highlight w:val="none"/>
        </w:rPr>
        <w:t>公开招标</w:t>
      </w:r>
    </w:p>
    <w:p w14:paraId="298D9800">
      <w:pPr>
        <w:keepNext w:val="0"/>
        <w:keepLines w:val="0"/>
        <w:pageBreakBefore w:val="0"/>
        <w:widowControl w:val="0"/>
        <w:kinsoku/>
        <w:wordWrap/>
        <w:overflowPunct/>
        <w:topLinePunct w:val="0"/>
        <w:autoSpaceDE/>
        <w:autoSpaceDN/>
        <w:bidi w:val="0"/>
        <w:adjustRightInd/>
        <w:snapToGrid/>
        <w:spacing w:line="800" w:lineRule="exact"/>
        <w:ind w:firstLine="1200" w:firstLineChars="400"/>
        <w:textAlignment w:val="auto"/>
        <w:rPr>
          <w:rFonts w:hint="eastAsia" w:ascii="新宋体" w:hAnsi="新宋体" w:eastAsia="新宋体" w:cs="新宋体"/>
          <w:b/>
          <w:bCs/>
          <w:color w:val="auto"/>
          <w:sz w:val="30"/>
          <w:szCs w:val="30"/>
          <w:highlight w:val="none"/>
        </w:rPr>
      </w:pPr>
      <w:r>
        <w:rPr>
          <w:rFonts w:hint="eastAsia" w:ascii="新宋体" w:hAnsi="新宋体" w:eastAsia="新宋体" w:cs="新宋体"/>
          <w:color w:val="auto"/>
          <w:sz w:val="30"/>
          <w:szCs w:val="30"/>
          <w:highlight w:val="none"/>
        </w:rPr>
        <w:t>评审方式：</w:t>
      </w:r>
      <w:r>
        <w:rPr>
          <w:rFonts w:hint="eastAsia" w:ascii="新宋体" w:hAnsi="新宋体" w:eastAsia="新宋体" w:cs="新宋体"/>
          <w:b/>
          <w:bCs/>
          <w:color w:val="auto"/>
          <w:sz w:val="30"/>
          <w:szCs w:val="30"/>
          <w:highlight w:val="none"/>
        </w:rPr>
        <w:t>线上电子招投标</w:t>
      </w:r>
    </w:p>
    <w:p w14:paraId="6651C1A5">
      <w:pPr>
        <w:spacing w:line="700" w:lineRule="exact"/>
        <w:jc w:val="left"/>
        <w:rPr>
          <w:rFonts w:hint="eastAsia" w:ascii="新宋体" w:hAnsi="新宋体" w:eastAsia="新宋体" w:cs="新宋体"/>
          <w:b/>
          <w:color w:val="auto"/>
          <w:spacing w:val="40"/>
          <w:sz w:val="30"/>
          <w:szCs w:val="30"/>
          <w:highlight w:val="none"/>
        </w:rPr>
      </w:pPr>
    </w:p>
    <w:p w14:paraId="4D8C5FE5">
      <w:pPr>
        <w:bidi w:val="0"/>
        <w:rPr>
          <w:rFonts w:hint="eastAsia" w:ascii="新宋体" w:hAnsi="新宋体" w:eastAsia="新宋体" w:cs="新宋体"/>
          <w:color w:val="auto"/>
          <w:highlight w:val="none"/>
        </w:rPr>
      </w:pPr>
    </w:p>
    <w:p w14:paraId="18766773">
      <w:pPr>
        <w:bidi w:val="0"/>
        <w:rPr>
          <w:rFonts w:hint="eastAsia" w:ascii="新宋体" w:hAnsi="新宋体" w:eastAsia="新宋体" w:cs="新宋体"/>
          <w:color w:val="auto"/>
          <w:highlight w:val="none"/>
        </w:rPr>
      </w:pPr>
    </w:p>
    <w:p w14:paraId="5E3B8614">
      <w:pPr>
        <w:bidi w:val="0"/>
        <w:rPr>
          <w:rFonts w:hint="eastAsia" w:ascii="新宋体" w:hAnsi="新宋体" w:eastAsia="新宋体" w:cs="新宋体"/>
          <w:color w:val="auto"/>
          <w:highlight w:val="none"/>
        </w:rPr>
      </w:pPr>
    </w:p>
    <w:p w14:paraId="42199F3D">
      <w:pPr>
        <w:spacing w:line="600" w:lineRule="exact"/>
        <w:jc w:val="center"/>
        <w:rPr>
          <w:rFonts w:hint="eastAsia" w:ascii="新宋体" w:hAnsi="新宋体" w:eastAsia="新宋体" w:cs="新宋体"/>
          <w:color w:val="auto"/>
          <w:spacing w:val="30"/>
          <w:sz w:val="30"/>
          <w:highlight w:val="none"/>
          <w:lang w:eastAsia="zh-CN"/>
        </w:rPr>
      </w:pPr>
      <w:r>
        <w:rPr>
          <w:rFonts w:hint="eastAsia" w:ascii="新宋体" w:hAnsi="新宋体" w:eastAsia="新宋体" w:cs="新宋体"/>
          <w:color w:val="auto"/>
          <w:spacing w:val="30"/>
          <w:sz w:val="30"/>
          <w:highlight w:val="none"/>
          <w:lang w:val="en-US" w:eastAsia="zh-CN"/>
        </w:rPr>
        <w:t>采购</w:t>
      </w:r>
      <w:r>
        <w:rPr>
          <w:rFonts w:hint="eastAsia" w:ascii="新宋体" w:hAnsi="新宋体" w:eastAsia="新宋体" w:cs="新宋体"/>
          <w:color w:val="auto"/>
          <w:spacing w:val="30"/>
          <w:sz w:val="30"/>
          <w:highlight w:val="none"/>
        </w:rPr>
        <w:t>人</w:t>
      </w:r>
      <w:r>
        <w:rPr>
          <w:rFonts w:hint="eastAsia" w:ascii="新宋体" w:hAnsi="新宋体" w:eastAsia="新宋体" w:cs="新宋体"/>
          <w:color w:val="auto"/>
          <w:spacing w:val="30"/>
          <w:sz w:val="30"/>
          <w:highlight w:val="none"/>
          <w:lang w:eastAsia="zh-CN"/>
        </w:rPr>
        <w:t>：温州市疾病预防控制中心（温州市卫生监督所）</w:t>
      </w:r>
    </w:p>
    <w:p w14:paraId="0EFB655E">
      <w:pPr>
        <w:spacing w:line="600" w:lineRule="exact"/>
        <w:jc w:val="center"/>
        <w:rPr>
          <w:rFonts w:hint="eastAsia" w:ascii="新宋体" w:hAnsi="新宋体" w:eastAsia="新宋体" w:cs="新宋体"/>
          <w:color w:val="auto"/>
          <w:spacing w:val="30"/>
          <w:sz w:val="30"/>
          <w:highlight w:val="none"/>
        </w:rPr>
      </w:pPr>
      <w:r>
        <w:rPr>
          <w:rFonts w:hint="eastAsia" w:ascii="新宋体" w:hAnsi="新宋体" w:eastAsia="新宋体" w:cs="新宋体"/>
          <w:color w:val="auto"/>
          <w:spacing w:val="30"/>
          <w:sz w:val="30"/>
          <w:highlight w:val="none"/>
          <w:lang w:val="en-US" w:eastAsia="zh-CN"/>
        </w:rPr>
        <w:t>采购</w:t>
      </w:r>
      <w:r>
        <w:rPr>
          <w:rFonts w:hint="eastAsia" w:ascii="新宋体" w:hAnsi="新宋体" w:eastAsia="新宋体" w:cs="新宋体"/>
          <w:color w:val="auto"/>
          <w:spacing w:val="30"/>
          <w:sz w:val="30"/>
          <w:highlight w:val="none"/>
        </w:rPr>
        <w:t>代理机构：温州历程招标有限公司</w:t>
      </w:r>
    </w:p>
    <w:p w14:paraId="33E2E2BD">
      <w:pPr>
        <w:spacing w:line="600" w:lineRule="exact"/>
        <w:jc w:val="center"/>
        <w:rPr>
          <w:rFonts w:hint="eastAsia" w:ascii="新宋体" w:hAnsi="新宋体" w:eastAsia="新宋体" w:cs="新宋体"/>
          <w:color w:val="auto"/>
          <w:spacing w:val="30"/>
          <w:sz w:val="30"/>
          <w:highlight w:val="none"/>
        </w:rPr>
      </w:pPr>
      <w:r>
        <w:rPr>
          <w:rFonts w:hint="eastAsia" w:ascii="新宋体" w:hAnsi="新宋体" w:eastAsia="新宋体" w:cs="新宋体"/>
          <w:color w:val="auto"/>
          <w:spacing w:val="30"/>
          <w:sz w:val="30"/>
          <w:highlight w:val="none"/>
          <w:lang w:val="en-US" w:eastAsia="zh-CN"/>
        </w:rPr>
        <w:t>二〇二五</w:t>
      </w:r>
      <w:r>
        <w:rPr>
          <w:rFonts w:hint="eastAsia" w:ascii="新宋体" w:hAnsi="新宋体" w:eastAsia="新宋体" w:cs="新宋体"/>
          <w:color w:val="auto"/>
          <w:spacing w:val="30"/>
          <w:sz w:val="30"/>
          <w:highlight w:val="none"/>
        </w:rPr>
        <w:t>年</w:t>
      </w:r>
      <w:r>
        <w:rPr>
          <w:rFonts w:hint="eastAsia" w:ascii="新宋体" w:hAnsi="新宋体" w:eastAsia="新宋体" w:cs="新宋体"/>
          <w:color w:val="auto"/>
          <w:spacing w:val="30"/>
          <w:sz w:val="30"/>
          <w:highlight w:val="none"/>
          <w:lang w:val="en-US" w:eastAsia="zh-CN"/>
        </w:rPr>
        <w:t>二</w:t>
      </w:r>
      <w:r>
        <w:rPr>
          <w:rFonts w:hint="eastAsia" w:ascii="新宋体" w:hAnsi="新宋体" w:eastAsia="新宋体" w:cs="新宋体"/>
          <w:color w:val="auto"/>
          <w:spacing w:val="30"/>
          <w:sz w:val="30"/>
          <w:highlight w:val="none"/>
        </w:rPr>
        <w:t>月</w:t>
      </w:r>
    </w:p>
    <w:p w14:paraId="14802505">
      <w:pPr>
        <w:rPr>
          <w:rFonts w:hint="eastAsia" w:ascii="新宋体" w:hAnsi="新宋体" w:eastAsia="新宋体" w:cs="新宋体"/>
          <w:color w:val="auto"/>
          <w:highlight w:val="none"/>
        </w:rPr>
      </w:pPr>
      <w:r>
        <w:rPr>
          <w:rFonts w:hint="eastAsia" w:ascii="新宋体" w:hAnsi="新宋体" w:eastAsia="新宋体" w:cs="新宋体"/>
          <w:b/>
          <w:color w:val="auto"/>
          <w:sz w:val="36"/>
          <w:szCs w:val="36"/>
          <w:highlight w:val="none"/>
        </w:rPr>
        <w:br w:type="page"/>
      </w:r>
    </w:p>
    <w:sdt>
      <w:sdtPr>
        <w:rPr>
          <w:rFonts w:hint="eastAsia" w:ascii="新宋体" w:hAnsi="新宋体" w:eastAsia="新宋体" w:cs="新宋体"/>
          <w:color w:val="auto"/>
          <w:highlight w:val="none"/>
        </w:rPr>
        <w:id w:val="147459729"/>
        <w15:color w:val="DBDBDB"/>
        <w:docPartObj>
          <w:docPartGallery w:val="Table of Contents"/>
          <w:docPartUnique/>
        </w:docPartObj>
      </w:sdtPr>
      <w:sdtEndPr>
        <w:rPr>
          <w:rFonts w:hint="eastAsia" w:ascii="新宋体" w:hAnsi="新宋体" w:eastAsia="新宋体" w:cs="新宋体"/>
          <w:color w:val="auto"/>
          <w:highlight w:val="none"/>
        </w:rPr>
      </w:sdtEndPr>
      <w:sdtContent>
        <w:p w14:paraId="116C9881">
          <w:pPr>
            <w:jc w:val="center"/>
            <w:rPr>
              <w:rFonts w:hint="eastAsia" w:ascii="新宋体" w:hAnsi="新宋体" w:eastAsia="新宋体" w:cs="新宋体"/>
              <w:color w:val="auto"/>
              <w:highlight w:val="none"/>
            </w:rPr>
          </w:pPr>
        </w:p>
        <w:p w14:paraId="4C247919">
          <w:pPr>
            <w:pStyle w:val="37"/>
            <w:tabs>
              <w:tab w:val="right" w:leader="dot" w:pos="9638"/>
            </w:tabs>
            <w:spacing w:line="360" w:lineRule="auto"/>
            <w:jc w:val="center"/>
            <w:rPr>
              <w:rFonts w:hint="eastAsia" w:ascii="新宋体" w:hAnsi="新宋体" w:eastAsia="新宋体" w:cs="新宋体"/>
              <w:b/>
              <w:color w:val="auto"/>
              <w:sz w:val="36"/>
              <w:szCs w:val="36"/>
              <w:highlight w:val="none"/>
            </w:rPr>
          </w:pPr>
          <w:r>
            <w:rPr>
              <w:rFonts w:hint="eastAsia" w:ascii="新宋体" w:hAnsi="新宋体" w:eastAsia="新宋体" w:cs="新宋体"/>
              <w:b/>
              <w:color w:val="auto"/>
              <w:sz w:val="36"/>
              <w:szCs w:val="36"/>
              <w:highlight w:val="none"/>
            </w:rPr>
            <w:t>目  录</w:t>
          </w:r>
        </w:p>
        <w:p w14:paraId="18850CAD">
          <w:pPr>
            <w:pStyle w:val="3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color w:val="auto"/>
              <w:sz w:val="22"/>
              <w:szCs w:val="22"/>
              <w:highlight w:val="none"/>
            </w:rPr>
            <w:fldChar w:fldCharType="begin"/>
          </w:r>
          <w:r>
            <w:rPr>
              <w:rFonts w:hint="eastAsia" w:ascii="新宋体" w:hAnsi="新宋体" w:eastAsia="新宋体" w:cs="新宋体"/>
              <w:b/>
              <w:color w:val="auto"/>
              <w:sz w:val="22"/>
              <w:szCs w:val="22"/>
              <w:highlight w:val="none"/>
            </w:rPr>
            <w:instrText xml:space="preserve">TOC \o "1-3" \h \u </w:instrText>
          </w:r>
          <w:r>
            <w:rPr>
              <w:rFonts w:hint="eastAsia" w:ascii="新宋体" w:hAnsi="新宋体" w:eastAsia="新宋体" w:cs="新宋体"/>
              <w:b/>
              <w:color w:val="auto"/>
              <w:sz w:val="22"/>
              <w:szCs w:val="22"/>
              <w:highlight w:val="none"/>
            </w:rPr>
            <w:fldChar w:fldCharType="separate"/>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_Toc30531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招 标 公 告</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_Toc30531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2</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278AFC54">
          <w:pPr>
            <w:pStyle w:val="3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_Toc9474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第一部分</w:t>
          </w:r>
          <w:r>
            <w:rPr>
              <w:rFonts w:hint="eastAsia" w:ascii="新宋体" w:hAnsi="新宋体" w:eastAsia="新宋体" w:cs="新宋体"/>
              <w:color w:val="auto"/>
              <w:sz w:val="22"/>
              <w:szCs w:val="22"/>
              <w:highlight w:val="none"/>
              <w:lang w:val="en-US" w:eastAsia="zh-CN"/>
            </w:rPr>
            <w:t xml:space="preserve">   </w:t>
          </w:r>
          <w:r>
            <w:rPr>
              <w:rFonts w:hint="eastAsia" w:ascii="新宋体" w:hAnsi="新宋体" w:eastAsia="新宋体" w:cs="新宋体"/>
              <w:color w:val="auto"/>
              <w:sz w:val="22"/>
              <w:szCs w:val="22"/>
              <w:highlight w:val="none"/>
            </w:rPr>
            <w:t>投标人须知</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_Toc9474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7</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57B3851C">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_Toc14189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前 附 表</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_Toc14189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7</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5067B932">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_Toc14378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一、 说   明</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_Toc14378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12</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3340C483">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_Toc11560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 xml:space="preserve">二、 </w:t>
          </w:r>
          <w:r>
            <w:rPr>
              <w:rFonts w:hint="eastAsia" w:ascii="新宋体" w:hAnsi="新宋体" w:eastAsia="新宋体" w:cs="新宋体"/>
              <w:bCs/>
              <w:color w:val="auto"/>
              <w:sz w:val="22"/>
              <w:szCs w:val="22"/>
              <w:highlight w:val="none"/>
              <w:lang w:eastAsia="zh-CN"/>
            </w:rPr>
            <w:t>采购文件</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_Toc11560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12</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680F8104">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_Toc19196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三、 投标文件的编制</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_Toc19196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13</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36EF3464">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_Toc5061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四、 投标文件的递交</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_Toc5061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16</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3593C012">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_Toc18572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五、 开标和评标</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_Toc18572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17</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4B9A9653">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_Toc23297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六、 授予合同</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_Toc23297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21</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1CAF9DCA">
          <w:pPr>
            <w:pStyle w:val="3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_Toc14002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kern w:val="2"/>
              <w:sz w:val="22"/>
              <w:szCs w:val="22"/>
              <w:highlight w:val="none"/>
              <w:lang w:val="en-US" w:eastAsia="zh-CN" w:bidi="ar-SA"/>
            </w:rPr>
            <w:t>第二部分</w:t>
          </w:r>
          <w:r>
            <w:rPr>
              <w:rFonts w:hint="eastAsia" w:ascii="新宋体" w:hAnsi="新宋体" w:eastAsia="新宋体" w:cs="新宋体"/>
              <w:color w:val="auto"/>
              <w:sz w:val="22"/>
              <w:szCs w:val="22"/>
              <w:highlight w:val="none"/>
              <w:lang w:val="en-US" w:eastAsia="zh-CN"/>
            </w:rPr>
            <w:t xml:space="preserve">   </w:t>
          </w:r>
          <w:r>
            <w:rPr>
              <w:rFonts w:hint="eastAsia" w:ascii="新宋体" w:hAnsi="新宋体" w:eastAsia="新宋体" w:cs="新宋体"/>
              <w:color w:val="auto"/>
              <w:kern w:val="2"/>
              <w:sz w:val="22"/>
              <w:szCs w:val="22"/>
              <w:highlight w:val="none"/>
              <w:lang w:val="en-US" w:eastAsia="zh-CN" w:bidi="ar-SA"/>
            </w:rPr>
            <w:t>合同条款</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_Toc14002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22</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7F9F79D8">
          <w:pPr>
            <w:pStyle w:val="3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_Toc15686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第三部分</w:t>
          </w:r>
          <w:r>
            <w:rPr>
              <w:rFonts w:hint="eastAsia" w:ascii="新宋体" w:hAnsi="新宋体" w:eastAsia="新宋体" w:cs="新宋体"/>
              <w:color w:val="auto"/>
              <w:sz w:val="22"/>
              <w:szCs w:val="22"/>
              <w:highlight w:val="none"/>
              <w:lang w:val="en-US" w:eastAsia="zh-CN"/>
            </w:rPr>
            <w:t xml:space="preserve">   </w:t>
          </w:r>
          <w:r>
            <w:rPr>
              <w:rFonts w:hint="eastAsia" w:ascii="新宋体" w:hAnsi="新宋体" w:eastAsia="新宋体" w:cs="新宋体"/>
              <w:color w:val="auto"/>
              <w:sz w:val="22"/>
              <w:szCs w:val="22"/>
              <w:highlight w:val="none"/>
            </w:rPr>
            <w:t>附件</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_Toc15686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30</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5E56696B">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_Toc22705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附件一</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_Toc22705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30</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15B84A1A">
          <w:pPr>
            <w:pStyle w:val="2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_Toc28749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资格证明文件</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_Toc28749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30</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71A92DC1">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_Toc8846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附件二</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_Toc8846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37</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4167DCF9">
          <w:pPr>
            <w:pStyle w:val="2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_Toc15481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报价文件</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_Toc15481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37</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07D67112">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_Toc18657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附件三</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_Toc18657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39</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678E63E3">
          <w:pPr>
            <w:pStyle w:val="2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_Toc4257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lang w:val="zh-CN"/>
            </w:rPr>
            <w:t>商务技术文件</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_Toc4257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39</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3F28D65C">
          <w:pPr>
            <w:pStyle w:val="3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_Toc16424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lang w:val="en-US" w:eastAsia="zh-CN"/>
            </w:rPr>
            <w:t xml:space="preserve">第四部分   </w:t>
          </w:r>
          <w:r>
            <w:rPr>
              <w:rFonts w:hint="eastAsia" w:ascii="新宋体" w:hAnsi="新宋体" w:eastAsia="新宋体" w:cs="新宋体"/>
              <w:color w:val="auto"/>
              <w:sz w:val="22"/>
              <w:szCs w:val="22"/>
              <w:highlight w:val="none"/>
            </w:rPr>
            <w:t>项目技术规范和服务要求</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_Toc16424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50</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4BAFBAB9">
          <w:pPr>
            <w:pStyle w:val="3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_Toc29737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第五部分   评标原则及方法</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_Toc29737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58</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526E2B02">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_Toc19351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一、总 则</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_Toc19351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58</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3DF51611">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_Toc31083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二、评标组织</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_Toc31083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58</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7C584864">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_Toc26694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三、评标程序</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_Toc26694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58</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7E30884D">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_Toc13471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四、评标办法</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_Toc13471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58</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5043E4B5">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_Toc16138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lang w:val="en-US" w:eastAsia="zh-CN"/>
            </w:rPr>
            <w:t>五、</w:t>
          </w:r>
          <w:r>
            <w:rPr>
              <w:rFonts w:hint="eastAsia" w:ascii="新宋体" w:hAnsi="新宋体" w:eastAsia="新宋体" w:cs="新宋体"/>
              <w:color w:val="auto"/>
              <w:sz w:val="22"/>
              <w:szCs w:val="22"/>
              <w:highlight w:val="none"/>
            </w:rPr>
            <w:t>评分细则</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_Toc16138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58</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79B5D1B1">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_Toc25303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六、定标办法</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_Toc25303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61</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62297034">
          <w:pPr>
            <w:pStyle w:val="45"/>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_Toc14834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七、投标人义务</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_Toc14834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61</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4DFAD068">
          <w:pPr>
            <w:keepNext w:val="0"/>
            <w:keepLines w:val="0"/>
            <w:pageBreakBefore w:val="0"/>
            <w:widowControl w:val="0"/>
            <w:kinsoku/>
            <w:wordWrap/>
            <w:overflowPunct/>
            <w:topLinePunct w:val="0"/>
            <w:autoSpaceDE/>
            <w:autoSpaceDN/>
            <w:bidi w:val="0"/>
            <w:adjustRightInd/>
            <w:snapToGrid/>
            <w:spacing w:line="460" w:lineRule="exact"/>
            <w:ind w:firstLine="1870" w:firstLineChars="85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fldChar w:fldCharType="end"/>
          </w:r>
        </w:p>
      </w:sdtContent>
    </w:sdt>
    <w:p w14:paraId="26BF4282">
      <w:pPr>
        <w:rPr>
          <w:rFonts w:hint="eastAsia" w:ascii="新宋体" w:hAnsi="新宋体" w:eastAsia="新宋体" w:cs="新宋体"/>
          <w:color w:val="auto"/>
          <w:highlight w:val="none"/>
        </w:rPr>
      </w:pPr>
      <w:bookmarkStart w:id="0" w:name="_Toc32649"/>
      <w:bookmarkStart w:id="1" w:name="_Toc30531"/>
      <w:r>
        <w:rPr>
          <w:rFonts w:hint="eastAsia" w:ascii="新宋体" w:hAnsi="新宋体" w:eastAsia="新宋体" w:cs="新宋体"/>
          <w:color w:val="auto"/>
          <w:highlight w:val="none"/>
        </w:rPr>
        <w:br w:type="page"/>
      </w:r>
    </w:p>
    <w:bookmarkEnd w:id="0"/>
    <w:bookmarkEnd w:id="1"/>
    <w:p w14:paraId="62CA65E9">
      <w:pPr>
        <w:pStyle w:val="3"/>
        <w:rPr>
          <w:rFonts w:hint="eastAsia" w:ascii="新宋体" w:hAnsi="新宋体" w:eastAsia="新宋体" w:cs="新宋体"/>
          <w:color w:val="auto"/>
          <w:sz w:val="32"/>
          <w:szCs w:val="32"/>
          <w:highlight w:val="none"/>
        </w:rPr>
      </w:pPr>
      <w:r>
        <w:rPr>
          <w:rFonts w:hint="eastAsia" w:ascii="新宋体" w:hAnsi="新宋体" w:eastAsia="新宋体" w:cs="新宋体"/>
          <w:b/>
          <w:bCs/>
          <w:i w:val="0"/>
          <w:iCs w:val="0"/>
          <w:caps w:val="0"/>
          <w:color w:val="auto"/>
          <w:spacing w:val="0"/>
          <w:sz w:val="32"/>
          <w:szCs w:val="32"/>
          <w:highlight w:val="none"/>
        </w:rPr>
        <w:t>温州历程招标有限公司关于温州市疾病预防控制中心（温州市卫生监督所）</w:t>
      </w:r>
      <w:r>
        <w:rPr>
          <w:rFonts w:hint="eastAsia" w:ascii="新宋体" w:hAnsi="新宋体" w:eastAsia="新宋体" w:cs="新宋体"/>
          <w:b/>
          <w:bCs/>
          <w:i w:val="0"/>
          <w:iCs w:val="0"/>
          <w:caps w:val="0"/>
          <w:color w:val="auto"/>
          <w:spacing w:val="0"/>
          <w:sz w:val="32"/>
          <w:szCs w:val="32"/>
          <w:highlight w:val="none"/>
          <w:lang w:val="en-US" w:eastAsia="zh-CN"/>
        </w:rPr>
        <w:t>热脱附气质联用仪</w:t>
      </w:r>
      <w:r>
        <w:rPr>
          <w:rFonts w:hint="eastAsia" w:ascii="新宋体" w:hAnsi="新宋体" w:eastAsia="新宋体" w:cs="新宋体"/>
          <w:b/>
          <w:bCs/>
          <w:i w:val="0"/>
          <w:iCs w:val="0"/>
          <w:caps w:val="0"/>
          <w:color w:val="auto"/>
          <w:spacing w:val="0"/>
          <w:sz w:val="32"/>
          <w:szCs w:val="32"/>
          <w:highlight w:val="none"/>
        </w:rPr>
        <w:t>的公开招标公告</w:t>
      </w:r>
    </w:p>
    <w:tbl>
      <w:tblPr>
        <w:tblStyle w:val="5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54"/>
      </w:tblGrid>
      <w:tr w14:paraId="5C143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9" w:hRule="atLeast"/>
        </w:trPr>
        <w:tc>
          <w:tcPr>
            <w:tcW w:w="9855" w:type="dxa"/>
          </w:tcPr>
          <w:p w14:paraId="731735CB">
            <w:pPr>
              <w:spacing w:line="460" w:lineRule="exact"/>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bCs/>
                <w:color w:val="auto"/>
                <w:sz w:val="22"/>
                <w:szCs w:val="22"/>
                <w:highlight w:val="none"/>
              </w:rPr>
              <w:t>项目概况</w:t>
            </w:r>
          </w:p>
          <w:p w14:paraId="56604307">
            <w:pPr>
              <w:spacing w:line="460" w:lineRule="exact"/>
              <w:ind w:firstLine="440" w:firstLineChars="200"/>
              <w:rPr>
                <w:rFonts w:hint="eastAsia" w:ascii="新宋体" w:hAnsi="新宋体" w:eastAsia="新宋体" w:cs="新宋体"/>
                <w:b w:val="0"/>
                <w:bCs w:val="0"/>
                <w:color w:val="auto"/>
                <w:sz w:val="22"/>
                <w:szCs w:val="22"/>
                <w:highlight w:val="none"/>
              </w:rPr>
            </w:pPr>
            <w:r>
              <w:rPr>
                <w:rFonts w:hint="eastAsia" w:ascii="新宋体" w:hAnsi="新宋体" w:eastAsia="新宋体" w:cs="新宋体"/>
                <w:color w:val="auto"/>
                <w:sz w:val="22"/>
                <w:szCs w:val="22"/>
                <w:highlight w:val="none"/>
                <w:lang w:eastAsia="zh-CN"/>
              </w:rPr>
              <w:t>热脱附气质联用仪</w:t>
            </w:r>
            <w:r>
              <w:rPr>
                <w:rFonts w:hint="eastAsia" w:ascii="新宋体" w:hAnsi="新宋体" w:eastAsia="新宋体" w:cs="新宋体"/>
                <w:color w:val="auto"/>
                <w:sz w:val="22"/>
                <w:szCs w:val="22"/>
                <w:highlight w:val="none"/>
                <w:lang w:val="en-US" w:eastAsia="zh-CN"/>
              </w:rPr>
              <w:t>招标</w:t>
            </w:r>
            <w:r>
              <w:rPr>
                <w:rFonts w:hint="eastAsia" w:ascii="新宋体" w:hAnsi="新宋体" w:eastAsia="新宋体" w:cs="新宋体"/>
                <w:color w:val="auto"/>
                <w:sz w:val="22"/>
                <w:szCs w:val="22"/>
                <w:highlight w:val="none"/>
                <w:lang w:eastAsia="zh-CN"/>
              </w:rPr>
              <w:t>项目的潜在投标人应在政采云平台（https://www.zcygov.cn/）线上获取（下载）招标文件，并于2025年</w:t>
            </w: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lang w:eastAsia="zh-CN"/>
              </w:rPr>
              <w:t>月</w:t>
            </w:r>
            <w:r>
              <w:rPr>
                <w:rFonts w:hint="eastAsia" w:ascii="新宋体" w:hAnsi="新宋体" w:eastAsia="新宋体" w:cs="新宋体"/>
                <w:color w:val="auto"/>
                <w:sz w:val="22"/>
                <w:szCs w:val="22"/>
                <w:highlight w:val="none"/>
                <w:lang w:val="en-US" w:eastAsia="zh-CN"/>
              </w:rPr>
              <w:t>21</w:t>
            </w:r>
            <w:r>
              <w:rPr>
                <w:rFonts w:hint="eastAsia" w:ascii="新宋体" w:hAnsi="新宋体" w:eastAsia="新宋体" w:cs="新宋体"/>
                <w:color w:val="auto"/>
                <w:sz w:val="22"/>
                <w:szCs w:val="22"/>
                <w:highlight w:val="none"/>
                <w:lang w:eastAsia="zh-CN"/>
              </w:rPr>
              <w:t>日</w:t>
            </w:r>
            <w:r>
              <w:rPr>
                <w:rFonts w:hint="eastAsia" w:ascii="新宋体" w:hAnsi="新宋体" w:eastAsia="新宋体" w:cs="新宋体"/>
                <w:color w:val="auto"/>
                <w:sz w:val="22"/>
                <w:szCs w:val="22"/>
                <w:highlight w:val="none"/>
                <w:lang w:val="en-US" w:eastAsia="zh-CN"/>
              </w:rPr>
              <w:t>9</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lang w:eastAsia="zh-CN"/>
              </w:rPr>
              <w:t>0（北京时间）前递交（上传）投标文件。</w:t>
            </w:r>
          </w:p>
        </w:tc>
      </w:tr>
    </w:tbl>
    <w:p w14:paraId="3DB41C74">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一、项目基本情况</w:t>
      </w:r>
    </w:p>
    <w:p w14:paraId="716BB17C">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项目编号：</w:t>
      </w:r>
      <w:r>
        <w:rPr>
          <w:rFonts w:hint="eastAsia" w:ascii="新宋体" w:hAnsi="新宋体" w:eastAsia="新宋体" w:cs="新宋体"/>
          <w:color w:val="auto"/>
          <w:sz w:val="22"/>
          <w:szCs w:val="22"/>
          <w:highlight w:val="none"/>
          <w:lang w:eastAsia="zh-CN"/>
        </w:rPr>
        <w:t>WZLCZB（L）-2025-02058</w:t>
      </w:r>
    </w:p>
    <w:p w14:paraId="7B9FDDFB">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kern w:val="2"/>
          <w:sz w:val="22"/>
          <w:szCs w:val="22"/>
          <w:highlight w:val="none"/>
          <w:lang w:val="en-US" w:eastAsia="zh-CN" w:bidi="ar-SA"/>
        </w:rPr>
      </w:pPr>
      <w:r>
        <w:rPr>
          <w:rFonts w:hint="eastAsia" w:ascii="新宋体" w:hAnsi="新宋体" w:eastAsia="新宋体" w:cs="新宋体"/>
          <w:color w:val="auto"/>
          <w:sz w:val="22"/>
          <w:szCs w:val="22"/>
          <w:highlight w:val="none"/>
        </w:rPr>
        <w:t>项目名称：</w:t>
      </w:r>
      <w:r>
        <w:rPr>
          <w:rFonts w:hint="eastAsia" w:ascii="新宋体" w:hAnsi="新宋体" w:eastAsia="新宋体" w:cs="新宋体"/>
          <w:color w:val="auto"/>
          <w:kern w:val="2"/>
          <w:sz w:val="22"/>
          <w:szCs w:val="22"/>
          <w:highlight w:val="none"/>
          <w:lang w:val="en-US" w:eastAsia="zh-CN" w:bidi="ar-SA"/>
        </w:rPr>
        <w:t>热脱附气质联用仪</w:t>
      </w:r>
    </w:p>
    <w:p w14:paraId="6760852C">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预算金额（元）：</w:t>
      </w:r>
      <w:r>
        <w:rPr>
          <w:rFonts w:hint="eastAsia" w:ascii="新宋体" w:hAnsi="新宋体" w:eastAsia="新宋体" w:cs="新宋体"/>
          <w:color w:val="auto"/>
          <w:sz w:val="22"/>
          <w:szCs w:val="22"/>
          <w:highlight w:val="none"/>
          <w:lang w:val="en-US" w:eastAsia="zh-CN"/>
        </w:rPr>
        <w:t>1500000</w:t>
      </w:r>
    </w:p>
    <w:p w14:paraId="50CB5452">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最高限价（元）：</w:t>
      </w:r>
      <w:r>
        <w:rPr>
          <w:rFonts w:hint="eastAsia" w:ascii="新宋体" w:hAnsi="新宋体" w:eastAsia="新宋体" w:cs="新宋体"/>
          <w:color w:val="auto"/>
          <w:sz w:val="22"/>
          <w:szCs w:val="22"/>
          <w:highlight w:val="none"/>
          <w:lang w:val="en-US" w:eastAsia="zh-CN"/>
        </w:rPr>
        <w:t>1500000</w:t>
      </w:r>
    </w:p>
    <w:p w14:paraId="30CF67B6">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采购需求：</w:t>
      </w:r>
    </w:p>
    <w:p w14:paraId="713AF3AB">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p>
    <w:p w14:paraId="24945055">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标项名称</w:t>
      </w:r>
      <w:r>
        <w:rPr>
          <w:rFonts w:hint="eastAsia" w:ascii="新宋体" w:hAnsi="新宋体" w:eastAsia="新宋体" w:cs="新宋体"/>
          <w:color w:val="auto"/>
          <w:sz w:val="22"/>
          <w:szCs w:val="22"/>
          <w:highlight w:val="none"/>
          <w:lang w:eastAsia="zh-CN"/>
        </w:rPr>
        <w:t>：热脱附气质联用仪</w:t>
      </w:r>
    </w:p>
    <w:p w14:paraId="509EE7D5">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rPr>
        <w:t>数量</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1</w:t>
      </w:r>
    </w:p>
    <w:p w14:paraId="78B42FB2">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预算金额（元）</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1500000</w:t>
      </w:r>
    </w:p>
    <w:p w14:paraId="1A1AF3B7">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简要规格描述或项目基本概况介绍、用途：具体详见</w:t>
      </w:r>
      <w:r>
        <w:rPr>
          <w:rFonts w:hint="eastAsia" w:ascii="新宋体" w:hAnsi="新宋体" w:eastAsia="新宋体" w:cs="新宋体"/>
          <w:color w:val="auto"/>
          <w:sz w:val="22"/>
          <w:szCs w:val="22"/>
          <w:highlight w:val="none"/>
          <w:lang w:val="en-US" w:eastAsia="zh-CN"/>
        </w:rPr>
        <w:t>采购</w:t>
      </w:r>
      <w:r>
        <w:rPr>
          <w:rFonts w:hint="eastAsia" w:ascii="新宋体" w:hAnsi="新宋体" w:eastAsia="新宋体" w:cs="新宋体"/>
          <w:color w:val="auto"/>
          <w:sz w:val="22"/>
          <w:szCs w:val="22"/>
          <w:highlight w:val="none"/>
        </w:rPr>
        <w:t>文件</w:t>
      </w:r>
    </w:p>
    <w:p w14:paraId="6151A1EF">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备注：</w:t>
      </w:r>
      <w:r>
        <w:rPr>
          <w:rFonts w:hint="eastAsia" w:ascii="新宋体" w:hAnsi="新宋体" w:eastAsia="新宋体" w:cs="新宋体"/>
          <w:b/>
          <w:bCs/>
          <w:color w:val="auto"/>
          <w:sz w:val="22"/>
          <w:szCs w:val="22"/>
          <w:highlight w:val="none"/>
          <w:lang w:val="en-US" w:eastAsia="zh-CN"/>
        </w:rPr>
        <w:t>本项目不允许进口产品投标</w:t>
      </w:r>
    </w:p>
    <w:p w14:paraId="74AB6F41">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p>
    <w:p w14:paraId="4B0E22BC">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合同履约期限：标项 1，具体详见</w:t>
      </w:r>
      <w:r>
        <w:rPr>
          <w:rFonts w:hint="eastAsia" w:ascii="新宋体" w:hAnsi="新宋体" w:eastAsia="新宋体" w:cs="新宋体"/>
          <w:color w:val="auto"/>
          <w:sz w:val="22"/>
          <w:szCs w:val="22"/>
          <w:highlight w:val="none"/>
          <w:lang w:val="en-US" w:eastAsia="zh-CN"/>
        </w:rPr>
        <w:t>采购</w:t>
      </w:r>
      <w:r>
        <w:rPr>
          <w:rFonts w:hint="eastAsia" w:ascii="新宋体" w:hAnsi="新宋体" w:eastAsia="新宋体" w:cs="新宋体"/>
          <w:color w:val="auto"/>
          <w:sz w:val="22"/>
          <w:szCs w:val="22"/>
          <w:highlight w:val="none"/>
        </w:rPr>
        <w:t>文件</w:t>
      </w:r>
    </w:p>
    <w:p w14:paraId="07DCBE4E">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本项目（</w:t>
      </w:r>
      <w:r>
        <w:rPr>
          <w:rFonts w:hint="eastAsia" w:ascii="新宋体" w:hAnsi="新宋体" w:eastAsia="新宋体" w:cs="新宋体"/>
          <w:color w:val="auto"/>
          <w:sz w:val="22"/>
          <w:szCs w:val="22"/>
          <w:highlight w:val="none"/>
          <w:lang w:val="en-US" w:eastAsia="zh-CN"/>
        </w:rPr>
        <w:t>是</w:t>
      </w:r>
      <w:r>
        <w:rPr>
          <w:rFonts w:hint="eastAsia" w:ascii="新宋体" w:hAnsi="新宋体" w:eastAsia="新宋体" w:cs="新宋体"/>
          <w:color w:val="auto"/>
          <w:sz w:val="22"/>
          <w:szCs w:val="22"/>
          <w:highlight w:val="none"/>
        </w:rPr>
        <w:t>）接受联合体投标。</w:t>
      </w:r>
    </w:p>
    <w:p w14:paraId="53D75D56">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二、申请人的资格要求：</w:t>
      </w:r>
    </w:p>
    <w:p w14:paraId="6AAF7BCC">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1.满足《中华人民共和国政府采购法》第二十二条规定；未被“信用中国”（www.creditchina.gov.cn</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、中国政府采购网（www.ccgp.gov.cn）列入失信被执行人、重大税收违法案件当事人名单、政府采购严重违法失信行为记录名单。</w:t>
      </w:r>
    </w:p>
    <w:p w14:paraId="1E088409">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2.落实政府采购政策需满足的资格要求：</w:t>
      </w:r>
      <w:r>
        <w:rPr>
          <w:rFonts w:hint="eastAsia" w:ascii="新宋体" w:hAnsi="新宋体" w:eastAsia="新宋体" w:cs="新宋体"/>
          <w:color w:val="auto"/>
          <w:sz w:val="22"/>
          <w:szCs w:val="22"/>
          <w:highlight w:val="none"/>
          <w:u w:val="none"/>
          <w:lang w:val="en-US" w:eastAsia="zh-CN"/>
        </w:rPr>
        <w:t>标项1：</w:t>
      </w:r>
      <w:r>
        <w:rPr>
          <w:rFonts w:hint="eastAsia" w:ascii="新宋体" w:hAnsi="新宋体" w:eastAsia="新宋体" w:cs="新宋体"/>
          <w:color w:val="auto"/>
          <w:sz w:val="22"/>
          <w:szCs w:val="22"/>
          <w:highlight w:val="none"/>
          <w:u w:val="none"/>
          <w:lang w:val="en-US" w:eastAsia="zh-CN"/>
        </w:rPr>
        <w:t>本项目专门面向中小企业，器械设备产品由符合政策要求的中小企业制造，提供中小企业声明函</w:t>
      </w:r>
    </w:p>
    <w:p w14:paraId="1626300E">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3.本项目的特定资格要求：</w:t>
      </w:r>
      <w:r>
        <w:rPr>
          <w:rFonts w:hint="eastAsia" w:ascii="新宋体" w:hAnsi="新宋体" w:eastAsia="新宋体" w:cs="新宋体"/>
          <w:color w:val="auto"/>
          <w:sz w:val="22"/>
          <w:szCs w:val="22"/>
          <w:highlight w:val="none"/>
          <w:u w:val="none"/>
          <w:lang w:val="en-US" w:eastAsia="zh-CN"/>
        </w:rPr>
        <w:t>无</w:t>
      </w:r>
    </w:p>
    <w:p w14:paraId="01F1C97A">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三、获取</w:t>
      </w:r>
      <w:r>
        <w:rPr>
          <w:rFonts w:hint="eastAsia" w:ascii="新宋体" w:hAnsi="新宋体" w:eastAsia="新宋体" w:cs="新宋体"/>
          <w:b/>
          <w:bCs/>
          <w:color w:val="auto"/>
          <w:sz w:val="22"/>
          <w:szCs w:val="22"/>
          <w:highlight w:val="none"/>
          <w:lang w:eastAsia="zh-CN"/>
        </w:rPr>
        <w:t>采购文件</w:t>
      </w:r>
      <w:r>
        <w:rPr>
          <w:rFonts w:hint="eastAsia" w:ascii="新宋体" w:hAnsi="新宋体" w:eastAsia="新宋体" w:cs="新宋体"/>
          <w:b/>
          <w:bCs/>
          <w:color w:val="auto"/>
          <w:sz w:val="22"/>
          <w:szCs w:val="22"/>
          <w:highlight w:val="none"/>
        </w:rPr>
        <w:t> </w:t>
      </w:r>
    </w:p>
    <w:p w14:paraId="734F93E7">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时间：</w:t>
      </w:r>
      <w:r>
        <w:rPr>
          <w:rFonts w:hint="eastAsia" w:ascii="新宋体" w:hAnsi="新宋体" w:eastAsia="新宋体" w:cs="新宋体"/>
          <w:color w:val="auto"/>
          <w:sz w:val="22"/>
          <w:szCs w:val="22"/>
          <w:highlight w:val="none"/>
          <w:lang w:val="en-US" w:eastAsia="zh-CN"/>
        </w:rPr>
        <w:t>/</w:t>
      </w:r>
      <w:r>
        <w:rPr>
          <w:rFonts w:hint="eastAsia" w:ascii="新宋体" w:hAnsi="新宋体" w:eastAsia="新宋体" w:cs="新宋体"/>
          <w:color w:val="auto"/>
          <w:sz w:val="22"/>
          <w:szCs w:val="22"/>
          <w:highlight w:val="none"/>
        </w:rPr>
        <w:t>至</w:t>
      </w:r>
      <w:r>
        <w:rPr>
          <w:rFonts w:hint="eastAsia" w:ascii="新宋体" w:hAnsi="新宋体" w:eastAsia="新宋体" w:cs="新宋体"/>
          <w:color w:val="auto"/>
          <w:sz w:val="22"/>
          <w:szCs w:val="22"/>
          <w:highlight w:val="none"/>
          <w:lang w:eastAsia="zh-CN"/>
        </w:rPr>
        <w:t>202</w:t>
      </w:r>
      <w:r>
        <w:rPr>
          <w:rFonts w:hint="eastAsia" w:ascii="新宋体" w:hAnsi="新宋体" w:eastAsia="新宋体" w:cs="新宋体"/>
          <w:color w:val="auto"/>
          <w:sz w:val="22"/>
          <w:szCs w:val="22"/>
          <w:highlight w:val="none"/>
          <w:lang w:val="en-US" w:eastAsia="zh-CN"/>
        </w:rPr>
        <w:t>5</w:t>
      </w:r>
      <w:r>
        <w:rPr>
          <w:rFonts w:hint="eastAsia" w:ascii="新宋体" w:hAnsi="新宋体" w:eastAsia="新宋体" w:cs="新宋体"/>
          <w:color w:val="auto"/>
          <w:sz w:val="22"/>
          <w:szCs w:val="22"/>
          <w:highlight w:val="none"/>
          <w:lang w:eastAsia="zh-CN"/>
        </w:rPr>
        <w:t>年</w:t>
      </w: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lang w:eastAsia="zh-CN"/>
        </w:rPr>
        <w:t>月</w:t>
      </w:r>
      <w:r>
        <w:rPr>
          <w:rFonts w:hint="eastAsia" w:ascii="新宋体" w:hAnsi="新宋体" w:eastAsia="新宋体" w:cs="新宋体"/>
          <w:color w:val="auto"/>
          <w:sz w:val="22"/>
          <w:szCs w:val="22"/>
          <w:highlight w:val="none"/>
          <w:lang w:val="en-US" w:eastAsia="zh-CN"/>
        </w:rPr>
        <w:t>21</w:t>
      </w:r>
      <w:r>
        <w:rPr>
          <w:rFonts w:hint="eastAsia" w:ascii="新宋体" w:hAnsi="新宋体" w:eastAsia="新宋体" w:cs="新宋体"/>
          <w:color w:val="auto"/>
          <w:sz w:val="22"/>
          <w:szCs w:val="22"/>
          <w:highlight w:val="none"/>
          <w:lang w:eastAsia="zh-CN"/>
        </w:rPr>
        <w:t>日</w:t>
      </w:r>
      <w:r>
        <w:rPr>
          <w:rFonts w:hint="eastAsia" w:ascii="新宋体" w:hAnsi="新宋体" w:eastAsia="新宋体" w:cs="新宋体"/>
          <w:color w:val="auto"/>
          <w:sz w:val="22"/>
          <w:szCs w:val="22"/>
          <w:highlight w:val="none"/>
        </w:rPr>
        <w:t>，每天上午00</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00至12</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00，下午12</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00至23</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59（北京时间，线上获取法定节假日均可，线下获取文件法定节假日除外）</w:t>
      </w:r>
    </w:p>
    <w:p w14:paraId="2D441CEA">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rPr>
        <w:t>地点（网址）：政采云平台（https://www.zcygov.cn/）线上获取</w:t>
      </w:r>
      <w:r>
        <w:rPr>
          <w:rFonts w:hint="eastAsia" w:ascii="新宋体" w:hAnsi="新宋体" w:eastAsia="新宋体" w:cs="新宋体"/>
          <w:color w:val="auto"/>
          <w:sz w:val="22"/>
          <w:szCs w:val="22"/>
          <w:highlight w:val="none"/>
          <w:lang w:val="en-US" w:eastAsia="zh-CN"/>
        </w:rPr>
        <w:t xml:space="preserve"> </w:t>
      </w:r>
    </w:p>
    <w:p w14:paraId="145EB706">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方式：供应商登录政采云平台https</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//www.zcygov.cn/在线申请获取采购文件（进入“项目采购”应用，在获取采购文件菜单中选择项目，申请获取采购文件）</w:t>
      </w:r>
    </w:p>
    <w:p w14:paraId="1EEBB8A4">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售价（元）：0 </w:t>
      </w:r>
    </w:p>
    <w:p w14:paraId="23BF7706">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四、提交投标文件截止时间、开标时间和地点</w:t>
      </w:r>
    </w:p>
    <w:p w14:paraId="4E091315">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提交投标文件截止时间：</w:t>
      </w:r>
      <w:r>
        <w:rPr>
          <w:rFonts w:hint="eastAsia" w:ascii="新宋体" w:hAnsi="新宋体" w:eastAsia="新宋体" w:cs="新宋体"/>
          <w:color w:val="auto"/>
          <w:sz w:val="22"/>
          <w:szCs w:val="22"/>
          <w:highlight w:val="none"/>
          <w:lang w:eastAsia="zh-CN"/>
        </w:rPr>
        <w:t>2025年</w:t>
      </w: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lang w:eastAsia="zh-CN"/>
        </w:rPr>
        <w:t>月</w:t>
      </w:r>
      <w:r>
        <w:rPr>
          <w:rFonts w:hint="eastAsia" w:ascii="新宋体" w:hAnsi="新宋体" w:eastAsia="新宋体" w:cs="新宋体"/>
          <w:color w:val="auto"/>
          <w:sz w:val="22"/>
          <w:szCs w:val="22"/>
          <w:highlight w:val="none"/>
          <w:lang w:val="en-US" w:eastAsia="zh-CN"/>
        </w:rPr>
        <w:t>21</w:t>
      </w:r>
      <w:r>
        <w:rPr>
          <w:rFonts w:hint="eastAsia" w:ascii="新宋体" w:hAnsi="新宋体" w:eastAsia="新宋体" w:cs="新宋体"/>
          <w:color w:val="auto"/>
          <w:sz w:val="22"/>
          <w:szCs w:val="22"/>
          <w:highlight w:val="none"/>
          <w:lang w:eastAsia="zh-CN"/>
        </w:rPr>
        <w:t>日09：30 </w:t>
      </w:r>
      <w:r>
        <w:rPr>
          <w:rFonts w:hint="eastAsia" w:ascii="新宋体" w:hAnsi="新宋体" w:eastAsia="新宋体" w:cs="新宋体"/>
          <w:color w:val="auto"/>
          <w:sz w:val="22"/>
          <w:szCs w:val="22"/>
          <w:highlight w:val="none"/>
        </w:rPr>
        <w:t>（北京时间）</w:t>
      </w:r>
    </w:p>
    <w:p w14:paraId="7B8045B1">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投标地点（网址）：请登录政采云投标客户端投标</w:t>
      </w:r>
    </w:p>
    <w:p w14:paraId="71763F22">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开标时间：</w:t>
      </w:r>
      <w:r>
        <w:rPr>
          <w:rFonts w:hint="eastAsia" w:ascii="新宋体" w:hAnsi="新宋体" w:eastAsia="新宋体" w:cs="新宋体"/>
          <w:color w:val="auto"/>
          <w:sz w:val="22"/>
          <w:szCs w:val="22"/>
          <w:highlight w:val="none"/>
          <w:lang w:eastAsia="zh-CN"/>
        </w:rPr>
        <w:t>2025年</w:t>
      </w: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lang w:eastAsia="zh-CN"/>
        </w:rPr>
        <w:t>月</w:t>
      </w:r>
      <w:r>
        <w:rPr>
          <w:rFonts w:hint="eastAsia" w:ascii="新宋体" w:hAnsi="新宋体" w:eastAsia="新宋体" w:cs="新宋体"/>
          <w:color w:val="auto"/>
          <w:sz w:val="22"/>
          <w:szCs w:val="22"/>
          <w:highlight w:val="none"/>
          <w:lang w:val="en-US" w:eastAsia="zh-CN"/>
        </w:rPr>
        <w:t>21</w:t>
      </w:r>
      <w:bookmarkStart w:id="71" w:name="_GoBack"/>
      <w:bookmarkEnd w:id="71"/>
      <w:r>
        <w:rPr>
          <w:rFonts w:hint="eastAsia" w:ascii="新宋体" w:hAnsi="新宋体" w:eastAsia="新宋体" w:cs="新宋体"/>
          <w:color w:val="auto"/>
          <w:sz w:val="22"/>
          <w:szCs w:val="22"/>
          <w:highlight w:val="none"/>
          <w:lang w:eastAsia="zh-CN"/>
        </w:rPr>
        <w:t>日09：30 </w:t>
      </w:r>
    </w:p>
    <w:p w14:paraId="7EEAB3AA">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开标地点（网址）：政采云平台（https://www.zcygov.cn/）</w:t>
      </w:r>
    </w:p>
    <w:p w14:paraId="5A5F779A">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五、公告期限</w:t>
      </w:r>
      <w:r>
        <w:rPr>
          <w:rFonts w:hint="eastAsia" w:ascii="新宋体" w:hAnsi="新宋体" w:eastAsia="新宋体" w:cs="新宋体"/>
          <w:color w:val="auto"/>
          <w:sz w:val="22"/>
          <w:szCs w:val="22"/>
          <w:highlight w:val="none"/>
        </w:rPr>
        <w:t> </w:t>
      </w:r>
    </w:p>
    <w:p w14:paraId="49E6AAE9">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自本公告发布之日起5个工作日。</w:t>
      </w:r>
    </w:p>
    <w:p w14:paraId="6954F98E">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六、其他补充事宜</w:t>
      </w:r>
    </w:p>
    <w:p w14:paraId="1049142B">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59F9204D">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52B7D337">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C8976F6">
      <w:pPr>
        <w:pStyle w:val="48"/>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4</w:t>
      </w:r>
      <w:r>
        <w:rPr>
          <w:rFonts w:hint="eastAsia" w:ascii="新宋体" w:hAnsi="新宋体" w:eastAsia="新宋体" w:cs="新宋体"/>
          <w:color w:val="auto"/>
          <w:sz w:val="22"/>
          <w:szCs w:val="22"/>
          <w:highlight w:val="none"/>
        </w:rPr>
        <w:t>.其他事项：</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一</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的获取：使用账号登录或者使用CA登录政采云平台；进入“项目采购”应用，在获取采购文件菜单中选择项目，获取</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④投标文件的制作：在“政采云电子交易客户端”中完成“填写基本信息”、“导入投标文件”、“标书关联”、“标书检查”、“电子签名”、“生成电子标书”等操作；⑤投标文件的传输递交：投标人在投标截止时间前将加密的投标文件上传至政府采购云平台； ⑥投标文件的解密：投标人按照平台提示和</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的规定在半小时内完成在线解密；⑦ 具体操作指南：详见政采云平台“服务中心-帮助文档-项目采购-操作流程-电子招投标-政府采购项目电子交易管理操作指南-供应商”：浙江省政府采购项目政采云平台学习专题https://edu.zcygov.cn/luban/e-biding。（</w:t>
      </w:r>
      <w:r>
        <w:rPr>
          <w:rFonts w:hint="eastAsia" w:ascii="新宋体" w:hAnsi="新宋体" w:eastAsia="新宋体" w:cs="新宋体"/>
          <w:color w:val="auto"/>
          <w:sz w:val="22"/>
          <w:szCs w:val="22"/>
          <w:highlight w:val="none"/>
          <w:lang w:val="en-US" w:eastAsia="zh-CN"/>
        </w:rPr>
        <w:t>二</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eastAsia="zh-CN"/>
        </w:rPr>
        <w:t>采购</w:t>
      </w:r>
      <w:r>
        <w:rPr>
          <w:rFonts w:hint="eastAsia" w:ascii="新宋体" w:hAnsi="新宋体" w:eastAsia="新宋体" w:cs="新宋体"/>
          <w:color w:val="auto"/>
          <w:sz w:val="22"/>
          <w:szCs w:val="22"/>
          <w:highlight w:val="none"/>
        </w:rPr>
        <w:t>公告附件的采购文件仅供阅览使用，未按照本公告规定的方式获取采购文件的潜在供应商提起的质疑采购组织机构将不予受理、答复。 </w:t>
      </w:r>
    </w:p>
    <w:p w14:paraId="782193E6">
      <w:pPr>
        <w:keepNext w:val="0"/>
        <w:keepLines w:val="0"/>
        <w:pageBreakBefore w:val="0"/>
        <w:tabs>
          <w:tab w:val="left" w:pos="360"/>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七、对本次</w:t>
      </w:r>
      <w:r>
        <w:rPr>
          <w:rFonts w:hint="eastAsia" w:ascii="新宋体" w:hAnsi="新宋体" w:eastAsia="新宋体" w:cs="新宋体"/>
          <w:b/>
          <w:bCs/>
          <w:color w:val="auto"/>
          <w:sz w:val="22"/>
          <w:szCs w:val="22"/>
          <w:highlight w:val="none"/>
          <w:lang w:eastAsia="zh-CN"/>
        </w:rPr>
        <w:t>采购</w:t>
      </w:r>
      <w:r>
        <w:rPr>
          <w:rFonts w:hint="eastAsia" w:ascii="新宋体" w:hAnsi="新宋体" w:eastAsia="新宋体" w:cs="新宋体"/>
          <w:b/>
          <w:bCs/>
          <w:color w:val="auto"/>
          <w:sz w:val="22"/>
          <w:szCs w:val="22"/>
          <w:highlight w:val="none"/>
        </w:rPr>
        <w:t>提出询问，请按以下方式联系</w:t>
      </w:r>
    </w:p>
    <w:p w14:paraId="594E29A7">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1.采购人信息</w:t>
      </w:r>
    </w:p>
    <w:p w14:paraId="66EA9859">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lang w:eastAsia="zh-CN"/>
        </w:rPr>
      </w:pPr>
      <w:r>
        <w:rPr>
          <w:rFonts w:hint="eastAsia" w:ascii="新宋体" w:hAnsi="新宋体" w:eastAsia="新宋体" w:cs="新宋体"/>
          <w:color w:val="auto"/>
          <w:sz w:val="22"/>
          <w:szCs w:val="22"/>
          <w:highlight w:val="none"/>
          <w:u w:val="none"/>
        </w:rPr>
        <w:t>名  称：</w:t>
      </w:r>
      <w:r>
        <w:rPr>
          <w:rFonts w:hint="eastAsia" w:ascii="新宋体" w:hAnsi="新宋体" w:eastAsia="新宋体" w:cs="新宋体"/>
          <w:color w:val="auto"/>
          <w:sz w:val="22"/>
          <w:szCs w:val="22"/>
          <w:highlight w:val="none"/>
          <w:u w:val="none"/>
          <w:lang w:eastAsia="zh-CN"/>
        </w:rPr>
        <w:t>温州市疾病预防控制中心（温州市卫生监督所）</w:t>
      </w:r>
    </w:p>
    <w:p w14:paraId="0A934F91">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地  址：</w:t>
      </w:r>
      <w:r>
        <w:rPr>
          <w:rFonts w:hint="eastAsia" w:ascii="新宋体" w:hAnsi="新宋体" w:eastAsia="新宋体" w:cs="新宋体"/>
          <w:color w:val="auto"/>
          <w:sz w:val="22"/>
          <w:szCs w:val="22"/>
          <w:highlight w:val="none"/>
          <w:u w:val="none"/>
          <w:lang w:val="en-US" w:eastAsia="zh-CN"/>
        </w:rPr>
        <w:t>温州市鹿城区新城大道41号</w:t>
      </w:r>
    </w:p>
    <w:p w14:paraId="6C58BE6A">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传  真：</w:t>
      </w:r>
      <w:r>
        <w:rPr>
          <w:rFonts w:hint="eastAsia" w:ascii="新宋体" w:hAnsi="新宋体" w:eastAsia="新宋体" w:cs="新宋体"/>
          <w:color w:val="auto"/>
          <w:sz w:val="22"/>
          <w:szCs w:val="22"/>
          <w:highlight w:val="none"/>
          <w:u w:val="none"/>
          <w:lang w:val="en-US" w:eastAsia="zh-CN"/>
        </w:rPr>
        <w:t>/</w:t>
      </w:r>
      <w:r>
        <w:rPr>
          <w:rFonts w:hint="eastAsia" w:ascii="新宋体" w:hAnsi="新宋体" w:eastAsia="新宋体" w:cs="新宋体"/>
          <w:color w:val="auto"/>
          <w:sz w:val="22"/>
          <w:szCs w:val="22"/>
          <w:highlight w:val="none"/>
          <w:u w:val="none"/>
        </w:rPr>
        <w:t xml:space="preserve">   </w:t>
      </w:r>
    </w:p>
    <w:p w14:paraId="4CC63A41">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项目联系人（询问）：</w:t>
      </w:r>
      <w:r>
        <w:rPr>
          <w:rFonts w:hint="eastAsia" w:ascii="新宋体" w:hAnsi="新宋体" w:eastAsia="新宋体" w:cs="新宋体"/>
          <w:color w:val="auto"/>
          <w:sz w:val="22"/>
          <w:szCs w:val="22"/>
          <w:highlight w:val="none"/>
          <w:u w:val="none"/>
          <w:lang w:val="en-US" w:eastAsia="zh-CN"/>
        </w:rPr>
        <w:t>陈先生</w:t>
      </w:r>
    </w:p>
    <w:p w14:paraId="0A4B0AD7">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lang w:eastAsia="zh-CN"/>
        </w:rPr>
      </w:pPr>
      <w:r>
        <w:rPr>
          <w:rFonts w:hint="eastAsia" w:ascii="新宋体" w:hAnsi="新宋体" w:eastAsia="新宋体" w:cs="新宋体"/>
          <w:color w:val="auto"/>
          <w:sz w:val="22"/>
          <w:szCs w:val="22"/>
          <w:highlight w:val="none"/>
          <w:u w:val="none"/>
        </w:rPr>
        <w:t>项目联系方式（询问）：0577-55597822</w:t>
      </w:r>
    </w:p>
    <w:p w14:paraId="6C14CF92">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lang w:val="en-US" w:eastAsia="zh-CN"/>
        </w:rPr>
      </w:pPr>
      <w:r>
        <w:rPr>
          <w:rFonts w:hint="eastAsia" w:ascii="新宋体" w:hAnsi="新宋体" w:eastAsia="新宋体" w:cs="新宋体"/>
          <w:color w:val="auto"/>
          <w:sz w:val="22"/>
          <w:szCs w:val="22"/>
          <w:highlight w:val="none"/>
          <w:u w:val="none"/>
        </w:rPr>
        <w:t>质疑联系人：朱老师</w:t>
      </w:r>
    </w:p>
    <w:p w14:paraId="6891D328">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lang w:val="en-US"/>
        </w:rPr>
      </w:pPr>
      <w:r>
        <w:rPr>
          <w:rFonts w:hint="eastAsia" w:ascii="新宋体" w:hAnsi="新宋体" w:eastAsia="新宋体" w:cs="新宋体"/>
          <w:color w:val="auto"/>
          <w:sz w:val="22"/>
          <w:szCs w:val="22"/>
          <w:highlight w:val="none"/>
          <w:u w:val="none"/>
        </w:rPr>
        <w:t>质疑联系方式：0577-55597819</w:t>
      </w:r>
    </w:p>
    <w:p w14:paraId="107CE3CE">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p>
    <w:p w14:paraId="077DE898">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2.采购代理机构信息</w:t>
      </w:r>
    </w:p>
    <w:p w14:paraId="2613AA6E">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名  称：温州历程招标有限公司 </w:t>
      </w:r>
    </w:p>
    <w:p w14:paraId="63E8435C">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地  址：</w:t>
      </w:r>
      <w:r>
        <w:rPr>
          <w:rFonts w:hint="eastAsia" w:ascii="新宋体" w:hAnsi="新宋体" w:eastAsia="新宋体" w:cs="新宋体"/>
          <w:color w:val="auto"/>
          <w:sz w:val="22"/>
          <w:szCs w:val="22"/>
          <w:highlight w:val="none"/>
          <w:u w:val="none"/>
          <w:lang w:eastAsia="zh-CN"/>
        </w:rPr>
        <w:t>温州市鹿城区南汇街道勤民路鹿城壹号18幢803室</w:t>
      </w:r>
    </w:p>
    <w:p w14:paraId="171C9B59">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lang w:eastAsia="zh-CN"/>
        </w:rPr>
      </w:pPr>
      <w:r>
        <w:rPr>
          <w:rFonts w:hint="eastAsia" w:ascii="新宋体" w:hAnsi="新宋体" w:eastAsia="新宋体" w:cs="新宋体"/>
          <w:color w:val="auto"/>
          <w:sz w:val="22"/>
          <w:szCs w:val="22"/>
          <w:highlight w:val="none"/>
          <w:u w:val="none"/>
        </w:rPr>
        <w:t>传  真：</w:t>
      </w:r>
      <w:r>
        <w:rPr>
          <w:rFonts w:hint="eastAsia" w:ascii="新宋体" w:hAnsi="新宋体" w:eastAsia="新宋体" w:cs="新宋体"/>
          <w:color w:val="auto"/>
          <w:sz w:val="22"/>
          <w:szCs w:val="22"/>
          <w:highlight w:val="none"/>
          <w:u w:val="none"/>
          <w:lang w:val="en-US" w:eastAsia="zh-CN"/>
        </w:rPr>
        <w:t>/</w:t>
      </w:r>
    </w:p>
    <w:p w14:paraId="73BAD3D1">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项目联系人（询问）： 郑永强 </w:t>
      </w:r>
    </w:p>
    <w:p w14:paraId="3B0CC848">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项目联系方式（询问）：0577-89887322、13757727199</w:t>
      </w:r>
    </w:p>
    <w:p w14:paraId="6EDDBB7E">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质疑联系人：肖忠文</w:t>
      </w:r>
    </w:p>
    <w:p w14:paraId="63C5AF55">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质疑联系方式：13757727199 </w:t>
      </w:r>
    </w:p>
    <w:p w14:paraId="55FF3260">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p>
    <w:p w14:paraId="3750332E">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3.同级政府采购监督管理部门</w:t>
      </w:r>
    </w:p>
    <w:p w14:paraId="27F9C6B3">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名 称：温州市财政局政府采购监管处 </w:t>
      </w:r>
    </w:p>
    <w:p w14:paraId="00724E11">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地 址：温州市鹿城区绣山路299号（建议使用邮政EMS寄送材料）</w:t>
      </w:r>
    </w:p>
    <w:p w14:paraId="1BBD3051">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传 真：/ </w:t>
      </w:r>
    </w:p>
    <w:p w14:paraId="6237971A">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bookmarkStart w:id="2" w:name="_Toc5772"/>
      <w:r>
        <w:rPr>
          <w:rFonts w:hint="eastAsia" w:ascii="新宋体" w:hAnsi="新宋体" w:eastAsia="新宋体" w:cs="新宋体"/>
          <w:color w:val="auto"/>
          <w:sz w:val="22"/>
          <w:szCs w:val="22"/>
          <w:highlight w:val="none"/>
          <w:u w:val="none"/>
        </w:rPr>
        <w:t>联系人 ：项先生、缪女士</w:t>
      </w:r>
    </w:p>
    <w:p w14:paraId="6D18E169">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监督投诉电话：0577-88532725、88503817</w:t>
      </w:r>
    </w:p>
    <w:p w14:paraId="55D2D2BC">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p>
    <w:p w14:paraId="3704562A">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若对项目采购电子交易系统操作有疑问，可登录政采云（https://www.zcygov.cn/），点击右侧咨询小采，获取采小蜜智能服务管家帮助，或拨打政采云服务热线95763获取热线服务帮助。</w:t>
      </w:r>
    </w:p>
    <w:p w14:paraId="4C6FA51D">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r>
        <w:rPr>
          <w:rFonts w:hint="eastAsia" w:ascii="新宋体" w:hAnsi="新宋体" w:eastAsia="新宋体" w:cs="新宋体"/>
          <w:color w:val="auto"/>
          <w:sz w:val="22"/>
          <w:szCs w:val="22"/>
          <w:highlight w:val="none"/>
          <w:u w:val="none"/>
        </w:rPr>
        <w:t>CA问题联系电话（人工）：汇信CA 400-888-4636；天谷CA 400-087-8198。</w:t>
      </w:r>
    </w:p>
    <w:p w14:paraId="23686293">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none"/>
        </w:rPr>
      </w:pPr>
    </w:p>
    <w:p w14:paraId="2072D61D">
      <w:pPr>
        <w:rPr>
          <w:rFonts w:hint="eastAsia" w:ascii="新宋体" w:hAnsi="新宋体" w:eastAsia="新宋体" w:cs="新宋体"/>
          <w:color w:val="auto"/>
          <w:highlight w:val="none"/>
        </w:rPr>
      </w:pPr>
      <w:r>
        <w:rPr>
          <w:rFonts w:hint="eastAsia" w:ascii="新宋体" w:hAnsi="新宋体" w:eastAsia="新宋体" w:cs="新宋体"/>
          <w:color w:val="auto"/>
          <w:highlight w:val="none"/>
        </w:rPr>
        <w:br w:type="page"/>
      </w:r>
    </w:p>
    <w:p w14:paraId="1FD601FE">
      <w:pPr>
        <w:pStyle w:val="3"/>
        <w:rPr>
          <w:rFonts w:hint="eastAsia" w:ascii="新宋体" w:hAnsi="新宋体" w:eastAsia="新宋体" w:cs="新宋体"/>
          <w:color w:val="auto"/>
          <w:highlight w:val="none"/>
        </w:rPr>
      </w:pPr>
      <w:bookmarkStart w:id="3" w:name="_Toc9474"/>
      <w:r>
        <w:rPr>
          <w:rFonts w:hint="eastAsia" w:ascii="新宋体" w:hAnsi="新宋体" w:eastAsia="新宋体" w:cs="新宋体"/>
          <w:color w:val="auto"/>
          <w:highlight w:val="none"/>
        </w:rPr>
        <w:t>第一部分</w:t>
      </w:r>
      <w:r>
        <w:rPr>
          <w:rFonts w:hint="eastAsia" w:ascii="新宋体" w:hAnsi="新宋体" w:eastAsia="新宋体" w:cs="新宋体"/>
          <w:color w:val="auto"/>
          <w:highlight w:val="none"/>
          <w:lang w:val="en-US" w:eastAsia="zh-CN"/>
        </w:rPr>
        <w:t xml:space="preserve">   </w:t>
      </w:r>
      <w:r>
        <w:rPr>
          <w:rFonts w:hint="eastAsia" w:ascii="新宋体" w:hAnsi="新宋体" w:eastAsia="新宋体" w:cs="新宋体"/>
          <w:color w:val="auto"/>
          <w:highlight w:val="none"/>
        </w:rPr>
        <w:t>投标人须知</w:t>
      </w:r>
      <w:bookmarkEnd w:id="2"/>
      <w:bookmarkEnd w:id="3"/>
    </w:p>
    <w:p w14:paraId="3B6CC8D2">
      <w:pPr>
        <w:keepNext/>
        <w:keepLines/>
        <w:shd w:val="clear" w:color="auto" w:fill="FFFFFF"/>
        <w:tabs>
          <w:tab w:val="left" w:pos="706"/>
        </w:tabs>
        <w:snapToGrid w:val="0"/>
        <w:spacing w:line="360" w:lineRule="auto"/>
        <w:jc w:val="center"/>
        <w:outlineLvl w:val="1"/>
        <w:rPr>
          <w:rFonts w:hint="eastAsia" w:ascii="新宋体" w:hAnsi="新宋体" w:eastAsia="新宋体" w:cs="新宋体"/>
          <w:b/>
          <w:bCs/>
          <w:color w:val="auto"/>
          <w:sz w:val="24"/>
          <w:highlight w:val="none"/>
        </w:rPr>
      </w:pPr>
      <w:bookmarkStart w:id="4" w:name="_Toc33194387"/>
      <w:bookmarkStart w:id="5" w:name="_Toc354996695"/>
      <w:bookmarkStart w:id="6" w:name="_Toc1839"/>
      <w:bookmarkStart w:id="7" w:name="_Toc14189"/>
      <w:bookmarkStart w:id="8" w:name="_Toc233618971"/>
      <w:r>
        <w:rPr>
          <w:rFonts w:hint="eastAsia" w:ascii="新宋体" w:hAnsi="新宋体" w:eastAsia="新宋体" w:cs="新宋体"/>
          <w:b/>
          <w:bCs/>
          <w:color w:val="auto"/>
          <w:sz w:val="24"/>
          <w:highlight w:val="none"/>
        </w:rPr>
        <w:t>前 附 表</w:t>
      </w:r>
      <w:bookmarkEnd w:id="4"/>
      <w:bookmarkEnd w:id="5"/>
      <w:bookmarkEnd w:id="6"/>
      <w:bookmarkEnd w:id="7"/>
      <w:bookmarkEnd w:id="8"/>
    </w:p>
    <w:tbl>
      <w:tblPr>
        <w:tblStyle w:val="53"/>
        <w:tblW w:w="991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569"/>
        <w:gridCol w:w="9346"/>
      </w:tblGrid>
      <w:tr w14:paraId="6BB273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8" w:space="0"/>
              <w:left w:val="single" w:color="000000" w:sz="8" w:space="0"/>
              <w:bottom w:val="single" w:color="000000" w:sz="2" w:space="0"/>
              <w:right w:val="single" w:color="000000" w:sz="2" w:space="0"/>
            </w:tcBorders>
            <w:vAlign w:val="center"/>
          </w:tcPr>
          <w:p w14:paraId="50C97C5F">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条款</w:t>
            </w:r>
          </w:p>
        </w:tc>
        <w:tc>
          <w:tcPr>
            <w:tcW w:w="9346" w:type="dxa"/>
            <w:tcBorders>
              <w:top w:val="single" w:color="000000" w:sz="8" w:space="0"/>
              <w:left w:val="single" w:color="000000" w:sz="2" w:space="0"/>
              <w:bottom w:val="single" w:color="000000" w:sz="2" w:space="0"/>
              <w:right w:val="single" w:color="000000" w:sz="8" w:space="0"/>
            </w:tcBorders>
            <w:vAlign w:val="center"/>
          </w:tcPr>
          <w:p w14:paraId="4E45B32A">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内容规定</w:t>
            </w:r>
          </w:p>
        </w:tc>
      </w:tr>
      <w:tr w14:paraId="797E89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64721D87">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w:t>
            </w:r>
          </w:p>
        </w:tc>
        <w:tc>
          <w:tcPr>
            <w:tcW w:w="9346" w:type="dxa"/>
            <w:tcBorders>
              <w:top w:val="single" w:color="000000" w:sz="2" w:space="0"/>
              <w:left w:val="single" w:color="000000" w:sz="2" w:space="0"/>
              <w:bottom w:val="single" w:color="000000" w:sz="2" w:space="0"/>
              <w:right w:val="single" w:color="000000" w:sz="8" w:space="0"/>
            </w:tcBorders>
          </w:tcPr>
          <w:p w14:paraId="47A0E246">
            <w:pPr>
              <w:keepNext w:val="0"/>
              <w:keepLines w:val="0"/>
              <w:pageBreakBefore w:val="0"/>
              <w:tabs>
                <w:tab w:val="left" w:pos="3780"/>
              </w:tabs>
              <w:kinsoku/>
              <w:wordWrap/>
              <w:overflowPunct/>
              <w:topLinePunct w:val="0"/>
              <w:autoSpaceDE/>
              <w:autoSpaceDN/>
              <w:bidi w:val="0"/>
              <w:snapToGrid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一、项目名称</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eastAsia="zh-CN"/>
              </w:rPr>
              <w:t>热脱附气质联用仪</w:t>
            </w:r>
          </w:p>
          <w:p w14:paraId="502A659C">
            <w:pPr>
              <w:keepNext w:val="0"/>
              <w:keepLines w:val="0"/>
              <w:pageBreakBefore w:val="0"/>
              <w:kinsoku/>
              <w:wordWrap/>
              <w:overflowPunct/>
              <w:topLinePunct w:val="0"/>
              <w:autoSpaceDE/>
              <w:autoSpaceDN/>
              <w:bidi w:val="0"/>
              <w:spacing w:line="460" w:lineRule="exact"/>
              <w:rPr>
                <w:rFonts w:hint="eastAsia" w:ascii="新宋体" w:hAnsi="新宋体" w:eastAsia="新宋体" w:cs="新宋体"/>
                <w:b/>
                <w:bCs/>
                <w:color w:val="auto"/>
                <w:sz w:val="22"/>
                <w:szCs w:val="22"/>
                <w:highlight w:val="none"/>
              </w:rPr>
            </w:pPr>
            <w:bookmarkStart w:id="9" w:name="_Hlt75139851"/>
            <w:bookmarkEnd w:id="9"/>
            <w:r>
              <w:rPr>
                <w:rFonts w:hint="eastAsia" w:ascii="新宋体" w:hAnsi="新宋体" w:eastAsia="新宋体" w:cs="新宋体"/>
                <w:b/>
                <w:bCs/>
                <w:color w:val="auto"/>
                <w:sz w:val="22"/>
                <w:szCs w:val="22"/>
                <w:highlight w:val="none"/>
              </w:rPr>
              <w:t>二、采购内容：</w:t>
            </w:r>
          </w:p>
          <w:tbl>
            <w:tblPr>
              <w:tblStyle w:val="53"/>
              <w:tblW w:w="905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218"/>
              <w:gridCol w:w="833"/>
              <w:gridCol w:w="1784"/>
              <w:gridCol w:w="2298"/>
              <w:gridCol w:w="1922"/>
            </w:tblGrid>
            <w:tr w14:paraId="3D74D7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2218" w:type="dxa"/>
                  <w:tcBorders>
                    <w:top w:val="single" w:color="auto" w:sz="4" w:space="0"/>
                    <w:left w:val="single" w:color="auto" w:sz="4" w:space="0"/>
                    <w:bottom w:val="single" w:color="auto" w:sz="4" w:space="0"/>
                    <w:right w:val="single" w:color="auto" w:sz="4" w:space="0"/>
                  </w:tcBorders>
                  <w:vAlign w:val="center"/>
                </w:tcPr>
                <w:p w14:paraId="328A90CB">
                  <w:pPr>
                    <w:keepNext w:val="0"/>
                    <w:keepLines w:val="0"/>
                    <w:pageBreakBefore w:val="0"/>
                    <w:tabs>
                      <w:tab w:val="left" w:pos="360"/>
                    </w:tabs>
                    <w:kinsoku/>
                    <w:wordWrap/>
                    <w:overflowPunct/>
                    <w:topLinePunct w:val="0"/>
                    <w:autoSpaceDE/>
                    <w:autoSpaceDN/>
                    <w:bidi w:val="0"/>
                    <w:spacing w:line="4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项目名称</w:t>
                  </w:r>
                </w:p>
              </w:tc>
              <w:tc>
                <w:tcPr>
                  <w:tcW w:w="833" w:type="dxa"/>
                  <w:tcBorders>
                    <w:top w:val="single" w:color="auto" w:sz="4" w:space="0"/>
                    <w:left w:val="single" w:color="auto" w:sz="4" w:space="0"/>
                    <w:bottom w:val="single" w:color="auto" w:sz="4" w:space="0"/>
                    <w:right w:val="single" w:color="auto" w:sz="4" w:space="0"/>
                  </w:tcBorders>
                  <w:vAlign w:val="center"/>
                </w:tcPr>
                <w:p w14:paraId="01B665E4">
                  <w:pPr>
                    <w:keepNext w:val="0"/>
                    <w:keepLines w:val="0"/>
                    <w:pageBreakBefore w:val="0"/>
                    <w:tabs>
                      <w:tab w:val="left" w:pos="360"/>
                    </w:tabs>
                    <w:kinsoku/>
                    <w:wordWrap/>
                    <w:overflowPunct/>
                    <w:topLinePunct w:val="0"/>
                    <w:autoSpaceDE/>
                    <w:autoSpaceDN/>
                    <w:bidi w:val="0"/>
                    <w:spacing w:line="460" w:lineRule="exact"/>
                    <w:jc w:val="center"/>
                    <w:rPr>
                      <w:rFonts w:hint="eastAsia" w:ascii="新宋体" w:hAnsi="新宋体" w:eastAsia="新宋体" w:cs="新宋体"/>
                      <w:color w:val="auto"/>
                      <w:sz w:val="22"/>
                      <w:szCs w:val="22"/>
                      <w:highlight w:val="none"/>
                      <w:shd w:val="clear" w:color="auto" w:fill="FFFFFF"/>
                      <w:lang w:eastAsia="zh-CN"/>
                    </w:rPr>
                  </w:pPr>
                  <w:r>
                    <w:rPr>
                      <w:rFonts w:hint="eastAsia" w:ascii="新宋体" w:hAnsi="新宋体" w:eastAsia="新宋体" w:cs="新宋体"/>
                      <w:color w:val="auto"/>
                      <w:sz w:val="22"/>
                      <w:szCs w:val="22"/>
                      <w:highlight w:val="none"/>
                      <w:lang w:val="en-US" w:eastAsia="zh-CN"/>
                    </w:rPr>
                    <w:t>数量</w:t>
                  </w:r>
                </w:p>
              </w:tc>
              <w:tc>
                <w:tcPr>
                  <w:tcW w:w="1784" w:type="dxa"/>
                  <w:tcBorders>
                    <w:top w:val="single" w:color="auto" w:sz="4" w:space="0"/>
                    <w:left w:val="single" w:color="auto" w:sz="4" w:space="0"/>
                    <w:bottom w:val="single" w:color="auto" w:sz="4" w:space="0"/>
                    <w:right w:val="single" w:color="auto" w:sz="4" w:space="0"/>
                  </w:tcBorders>
                  <w:shd w:val="clear" w:color="auto" w:fill="auto"/>
                  <w:vAlign w:val="center"/>
                </w:tcPr>
                <w:p w14:paraId="786CFBD5">
                  <w:pPr>
                    <w:keepNext w:val="0"/>
                    <w:keepLines w:val="0"/>
                    <w:pageBreakBefore w:val="0"/>
                    <w:tabs>
                      <w:tab w:val="left" w:pos="360"/>
                    </w:tabs>
                    <w:kinsoku/>
                    <w:wordWrap/>
                    <w:overflowPunct/>
                    <w:topLinePunct w:val="0"/>
                    <w:autoSpaceDE/>
                    <w:autoSpaceDN/>
                    <w:bidi w:val="0"/>
                    <w:spacing w:line="4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预算金额（元）</w:t>
                  </w:r>
                </w:p>
              </w:tc>
              <w:tc>
                <w:tcPr>
                  <w:tcW w:w="2298" w:type="dxa"/>
                  <w:tcBorders>
                    <w:top w:val="single" w:color="auto" w:sz="4" w:space="0"/>
                    <w:left w:val="single" w:color="auto" w:sz="4" w:space="0"/>
                    <w:bottom w:val="single" w:color="auto" w:sz="4" w:space="0"/>
                    <w:right w:val="single" w:color="auto" w:sz="4" w:space="0"/>
                  </w:tcBorders>
                  <w:vAlign w:val="center"/>
                </w:tcPr>
                <w:p w14:paraId="45B6863C">
                  <w:pPr>
                    <w:keepNext w:val="0"/>
                    <w:keepLines w:val="0"/>
                    <w:pageBreakBefore w:val="0"/>
                    <w:widowControl/>
                    <w:kinsoku/>
                    <w:wordWrap/>
                    <w:overflowPunct/>
                    <w:topLinePunct w:val="0"/>
                    <w:autoSpaceDE/>
                    <w:autoSpaceDN/>
                    <w:bidi w:val="0"/>
                    <w:snapToGrid w:val="0"/>
                    <w:spacing w:line="4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简要技术要求、用途</w:t>
                  </w:r>
                </w:p>
              </w:tc>
              <w:tc>
                <w:tcPr>
                  <w:tcW w:w="1922" w:type="dxa"/>
                  <w:tcBorders>
                    <w:top w:val="single" w:color="auto" w:sz="4" w:space="0"/>
                    <w:left w:val="single" w:color="auto" w:sz="4" w:space="0"/>
                    <w:bottom w:val="single" w:color="auto" w:sz="4" w:space="0"/>
                    <w:right w:val="single" w:color="auto" w:sz="4" w:space="0"/>
                  </w:tcBorders>
                  <w:vAlign w:val="center"/>
                </w:tcPr>
                <w:p w14:paraId="60122722">
                  <w:pPr>
                    <w:keepNext w:val="0"/>
                    <w:keepLines w:val="0"/>
                    <w:pageBreakBefore w:val="0"/>
                    <w:widowControl/>
                    <w:kinsoku/>
                    <w:wordWrap/>
                    <w:overflowPunct/>
                    <w:topLinePunct w:val="0"/>
                    <w:autoSpaceDE/>
                    <w:autoSpaceDN/>
                    <w:bidi w:val="0"/>
                    <w:snapToGrid w:val="0"/>
                    <w:spacing w:line="460" w:lineRule="exact"/>
                    <w:jc w:val="center"/>
                    <w:rPr>
                      <w:rFonts w:hint="eastAsia" w:ascii="新宋体" w:hAnsi="新宋体" w:eastAsia="新宋体" w:cs="新宋体"/>
                      <w:color w:val="auto"/>
                      <w:kern w:val="0"/>
                      <w:sz w:val="22"/>
                      <w:szCs w:val="22"/>
                      <w:highlight w:val="none"/>
                      <w:lang w:val="en-US" w:eastAsia="zh-CN"/>
                    </w:rPr>
                  </w:pPr>
                  <w:r>
                    <w:rPr>
                      <w:rFonts w:hint="eastAsia" w:ascii="新宋体" w:hAnsi="新宋体" w:eastAsia="新宋体" w:cs="新宋体"/>
                      <w:color w:val="auto"/>
                      <w:kern w:val="0"/>
                      <w:sz w:val="22"/>
                      <w:szCs w:val="22"/>
                      <w:highlight w:val="none"/>
                      <w:lang w:val="en-US" w:eastAsia="zh-CN"/>
                    </w:rPr>
                    <w:t>备注</w:t>
                  </w:r>
                </w:p>
              </w:tc>
            </w:tr>
            <w:tr w14:paraId="0FC87E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2" w:hRule="atLeast"/>
                <w:jc w:val="center"/>
              </w:trPr>
              <w:tc>
                <w:tcPr>
                  <w:tcW w:w="2218" w:type="dxa"/>
                  <w:tcBorders>
                    <w:top w:val="single" w:color="auto" w:sz="4" w:space="0"/>
                    <w:left w:val="single" w:color="auto" w:sz="4" w:space="0"/>
                    <w:right w:val="single" w:color="auto" w:sz="4" w:space="0"/>
                  </w:tcBorders>
                  <w:vAlign w:val="center"/>
                </w:tcPr>
                <w:p w14:paraId="35C3D7B1">
                  <w:pPr>
                    <w:keepNext w:val="0"/>
                    <w:keepLines w:val="0"/>
                    <w:pageBreakBefore w:val="0"/>
                    <w:kinsoku/>
                    <w:wordWrap/>
                    <w:overflowPunct/>
                    <w:topLinePunct w:val="0"/>
                    <w:autoSpaceDE/>
                    <w:autoSpaceDN/>
                    <w:bidi w:val="0"/>
                    <w:spacing w:line="46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热脱附气质联用仪</w:t>
                  </w:r>
                </w:p>
              </w:tc>
              <w:tc>
                <w:tcPr>
                  <w:tcW w:w="833" w:type="dxa"/>
                  <w:tcBorders>
                    <w:top w:val="single" w:color="auto" w:sz="4" w:space="0"/>
                    <w:left w:val="single" w:color="auto" w:sz="4" w:space="0"/>
                    <w:bottom w:val="single" w:color="auto" w:sz="4" w:space="0"/>
                    <w:right w:val="single" w:color="auto" w:sz="4" w:space="0"/>
                  </w:tcBorders>
                  <w:vAlign w:val="center"/>
                </w:tcPr>
                <w:p w14:paraId="40530C7B">
                  <w:pPr>
                    <w:keepNext w:val="0"/>
                    <w:keepLines w:val="0"/>
                    <w:pageBreakBefore w:val="0"/>
                    <w:tabs>
                      <w:tab w:val="left" w:pos="360"/>
                    </w:tabs>
                    <w:kinsoku/>
                    <w:wordWrap/>
                    <w:overflowPunct/>
                    <w:topLinePunct w:val="0"/>
                    <w:autoSpaceDE/>
                    <w:autoSpaceDN/>
                    <w:bidi w:val="0"/>
                    <w:spacing w:line="460" w:lineRule="exact"/>
                    <w:jc w:val="center"/>
                    <w:rPr>
                      <w:rFonts w:hint="eastAsia" w:ascii="新宋体" w:hAnsi="新宋体" w:eastAsia="新宋体" w:cs="新宋体"/>
                      <w:color w:val="auto"/>
                      <w:sz w:val="22"/>
                      <w:szCs w:val="22"/>
                      <w:highlight w:val="none"/>
                      <w:shd w:val="clear" w:color="auto" w:fill="FFFFFF"/>
                      <w:lang w:val="en-US" w:eastAsia="zh-CN"/>
                    </w:rPr>
                  </w:pPr>
                  <w:r>
                    <w:rPr>
                      <w:rFonts w:hint="eastAsia" w:ascii="新宋体" w:hAnsi="新宋体" w:eastAsia="新宋体" w:cs="新宋体"/>
                      <w:color w:val="auto"/>
                      <w:sz w:val="22"/>
                      <w:szCs w:val="22"/>
                      <w:highlight w:val="none"/>
                      <w:shd w:val="clear" w:color="auto" w:fill="FFFFFF"/>
                      <w:lang w:val="en-US" w:eastAsia="zh-CN"/>
                    </w:rPr>
                    <w:t>1套</w:t>
                  </w:r>
                </w:p>
              </w:tc>
              <w:tc>
                <w:tcPr>
                  <w:tcW w:w="1784" w:type="dxa"/>
                  <w:tcBorders>
                    <w:top w:val="single" w:color="auto" w:sz="4" w:space="0"/>
                    <w:left w:val="single" w:color="auto" w:sz="4" w:space="0"/>
                    <w:right w:val="single" w:color="auto" w:sz="4" w:space="0"/>
                  </w:tcBorders>
                  <w:shd w:val="clear" w:color="auto" w:fill="auto"/>
                  <w:vAlign w:val="center"/>
                </w:tcPr>
                <w:p w14:paraId="54F1158D">
                  <w:pPr>
                    <w:keepNext w:val="0"/>
                    <w:keepLines w:val="0"/>
                    <w:pageBreakBefore w:val="0"/>
                    <w:tabs>
                      <w:tab w:val="left" w:pos="360"/>
                    </w:tabs>
                    <w:kinsoku/>
                    <w:wordWrap/>
                    <w:overflowPunct/>
                    <w:topLinePunct w:val="0"/>
                    <w:autoSpaceDE/>
                    <w:autoSpaceDN/>
                    <w:bidi w:val="0"/>
                    <w:spacing w:line="460" w:lineRule="exact"/>
                    <w:jc w:val="center"/>
                    <w:rPr>
                      <w:rFonts w:hint="eastAsia" w:ascii="新宋体" w:hAnsi="新宋体" w:eastAsia="新宋体" w:cs="新宋体"/>
                      <w:color w:val="auto"/>
                      <w:sz w:val="22"/>
                      <w:szCs w:val="22"/>
                      <w:highlight w:val="none"/>
                      <w:shd w:val="clear" w:color="auto" w:fill="FFFFFF"/>
                    </w:rPr>
                  </w:pPr>
                  <w:r>
                    <w:rPr>
                      <w:rFonts w:hint="eastAsia" w:ascii="新宋体" w:hAnsi="新宋体" w:eastAsia="新宋体" w:cs="新宋体"/>
                      <w:color w:val="auto"/>
                      <w:sz w:val="22"/>
                      <w:szCs w:val="22"/>
                      <w:highlight w:val="none"/>
                      <w:lang w:val="en-US" w:eastAsia="zh-CN"/>
                    </w:rPr>
                    <w:t>1500000</w:t>
                  </w:r>
                </w:p>
              </w:tc>
              <w:tc>
                <w:tcPr>
                  <w:tcW w:w="2298" w:type="dxa"/>
                  <w:tcBorders>
                    <w:top w:val="single" w:color="auto" w:sz="4" w:space="0"/>
                    <w:left w:val="single" w:color="auto" w:sz="4" w:space="0"/>
                    <w:right w:val="single" w:color="auto" w:sz="4" w:space="0"/>
                  </w:tcBorders>
                  <w:vAlign w:val="center"/>
                </w:tcPr>
                <w:p w14:paraId="1B1AA8B2">
                  <w:pPr>
                    <w:keepNext w:val="0"/>
                    <w:keepLines w:val="0"/>
                    <w:pageBreakBefore w:val="0"/>
                    <w:tabs>
                      <w:tab w:val="left" w:pos="360"/>
                    </w:tabs>
                    <w:kinsoku/>
                    <w:wordWrap/>
                    <w:overflowPunct/>
                    <w:topLinePunct w:val="0"/>
                    <w:autoSpaceDE/>
                    <w:autoSpaceDN/>
                    <w:bidi w:val="0"/>
                    <w:spacing w:line="460" w:lineRule="exact"/>
                    <w:jc w:val="center"/>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详见“项目技术规范和服务要求”</w:t>
                  </w:r>
                </w:p>
              </w:tc>
              <w:tc>
                <w:tcPr>
                  <w:tcW w:w="1922" w:type="dxa"/>
                  <w:tcBorders>
                    <w:top w:val="single" w:color="auto" w:sz="4" w:space="0"/>
                    <w:left w:val="single" w:color="auto" w:sz="4" w:space="0"/>
                    <w:right w:val="single" w:color="auto" w:sz="4" w:space="0"/>
                  </w:tcBorders>
                  <w:vAlign w:val="center"/>
                </w:tcPr>
                <w:p w14:paraId="48C72ADF">
                  <w:pPr>
                    <w:keepNext w:val="0"/>
                    <w:keepLines w:val="0"/>
                    <w:pageBreakBefore w:val="0"/>
                    <w:tabs>
                      <w:tab w:val="left" w:pos="360"/>
                    </w:tabs>
                    <w:kinsoku/>
                    <w:wordWrap/>
                    <w:overflowPunct/>
                    <w:topLinePunct w:val="0"/>
                    <w:autoSpaceDE/>
                    <w:autoSpaceDN/>
                    <w:bidi w:val="0"/>
                    <w:spacing w:line="460" w:lineRule="exact"/>
                    <w:jc w:val="center"/>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本项目不允许进口产品投标</w:t>
                  </w:r>
                </w:p>
              </w:tc>
            </w:tr>
          </w:tbl>
          <w:p w14:paraId="69923E1F">
            <w:pPr>
              <w:keepNext w:val="0"/>
              <w:keepLines w:val="0"/>
              <w:pageBreakBefore w:val="0"/>
              <w:tabs>
                <w:tab w:val="left" w:pos="360"/>
              </w:tabs>
              <w:kinsoku/>
              <w:wordWrap/>
              <w:overflowPunct/>
              <w:topLinePunct w:val="0"/>
              <w:autoSpaceDE/>
              <w:autoSpaceDN/>
              <w:bidi w:val="0"/>
              <w:spacing w:line="460" w:lineRule="exact"/>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▲如投标人报价超过预算金额按无效标处理。</w:t>
            </w:r>
          </w:p>
          <w:p w14:paraId="27CF5C74">
            <w:pPr>
              <w:keepNext w:val="0"/>
              <w:keepLines w:val="0"/>
              <w:pageBreakBefore w:val="0"/>
              <w:tabs>
                <w:tab w:val="left" w:pos="360"/>
              </w:tabs>
              <w:kinsoku/>
              <w:wordWrap/>
              <w:overflowPunct/>
              <w:topLinePunct w:val="0"/>
              <w:autoSpaceDE/>
              <w:autoSpaceDN/>
              <w:bidi w:val="0"/>
              <w:spacing w:line="460" w:lineRule="exact"/>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lang w:val="en-US" w:eastAsia="zh-CN"/>
              </w:rPr>
              <w:t>三、</w:t>
            </w:r>
            <w:r>
              <w:rPr>
                <w:rFonts w:hint="eastAsia" w:ascii="新宋体" w:hAnsi="新宋体" w:eastAsia="新宋体" w:cs="新宋体"/>
                <w:b/>
                <w:bCs/>
                <w:color w:val="auto"/>
                <w:sz w:val="22"/>
                <w:szCs w:val="22"/>
                <w:highlight w:val="none"/>
              </w:rPr>
              <w:t>本项目</w:t>
            </w:r>
            <w:r>
              <w:rPr>
                <w:rFonts w:hint="eastAsia" w:ascii="新宋体" w:hAnsi="新宋体" w:eastAsia="新宋体" w:cs="新宋体"/>
                <w:b/>
                <w:bCs/>
                <w:color w:val="auto"/>
                <w:sz w:val="22"/>
                <w:szCs w:val="22"/>
                <w:highlight w:val="none"/>
                <w:lang w:val="en-US" w:eastAsia="zh-CN"/>
              </w:rPr>
              <w:t>（是）</w:t>
            </w:r>
            <w:r>
              <w:rPr>
                <w:rFonts w:hint="eastAsia" w:ascii="新宋体" w:hAnsi="新宋体" w:eastAsia="新宋体" w:cs="新宋体"/>
                <w:b/>
                <w:bCs/>
                <w:color w:val="auto"/>
                <w:sz w:val="22"/>
                <w:szCs w:val="22"/>
                <w:highlight w:val="none"/>
              </w:rPr>
              <w:t>接受联合体投标</w:t>
            </w:r>
            <w:r>
              <w:rPr>
                <w:rFonts w:hint="eastAsia" w:ascii="新宋体" w:hAnsi="新宋体" w:eastAsia="新宋体" w:cs="新宋体"/>
                <w:b/>
                <w:bCs/>
                <w:color w:val="auto"/>
                <w:sz w:val="22"/>
                <w:szCs w:val="22"/>
                <w:highlight w:val="none"/>
                <w:lang w:eastAsia="zh-CN"/>
              </w:rPr>
              <w:t>，</w:t>
            </w:r>
            <w:r>
              <w:rPr>
                <w:rFonts w:hint="eastAsia" w:ascii="新宋体" w:hAnsi="新宋体" w:eastAsia="新宋体" w:cs="新宋体"/>
                <w:b/>
                <w:bCs/>
                <w:color w:val="auto"/>
                <w:sz w:val="22"/>
                <w:szCs w:val="22"/>
                <w:highlight w:val="none"/>
              </w:rPr>
              <w:t>组成的联合体须满足：①出具联合体共同投标协议书（须明确牵头人）；②以联合体形式参加采购活动的，联合体各方不得再单独参加或者与其他供应商另外组成联合体参加同一合同项下的采购活动</w:t>
            </w:r>
            <w:r>
              <w:rPr>
                <w:rFonts w:hint="eastAsia" w:ascii="新宋体" w:hAnsi="新宋体" w:eastAsia="新宋体" w:cs="新宋体"/>
                <w:b/>
                <w:bCs/>
                <w:color w:val="auto"/>
                <w:sz w:val="22"/>
                <w:szCs w:val="22"/>
                <w:highlight w:val="none"/>
                <w:lang w:eastAsia="zh-CN"/>
              </w:rPr>
              <w:t>；③</w:t>
            </w:r>
            <w:r>
              <w:rPr>
                <w:rFonts w:hint="eastAsia" w:ascii="新宋体" w:hAnsi="新宋体" w:eastAsia="新宋体" w:cs="新宋体"/>
                <w:b/>
                <w:bCs/>
                <w:color w:val="auto"/>
                <w:sz w:val="22"/>
                <w:szCs w:val="22"/>
                <w:highlight w:val="none"/>
                <w:lang w:val="en-US" w:eastAsia="zh-CN"/>
              </w:rPr>
              <w:t>联合体组成成员（含牵头人）不得超过2家。</w:t>
            </w:r>
          </w:p>
        </w:tc>
      </w:tr>
      <w:tr w14:paraId="7A56F8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39C79732">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w:t>
            </w:r>
          </w:p>
        </w:tc>
        <w:tc>
          <w:tcPr>
            <w:tcW w:w="9346" w:type="dxa"/>
            <w:tcBorders>
              <w:top w:val="single" w:color="000000" w:sz="2" w:space="0"/>
              <w:left w:val="single" w:color="000000" w:sz="2" w:space="0"/>
              <w:bottom w:val="single" w:color="000000" w:sz="2" w:space="0"/>
              <w:right w:val="single" w:color="000000" w:sz="8" w:space="0"/>
            </w:tcBorders>
            <w:vAlign w:val="center"/>
          </w:tcPr>
          <w:p w14:paraId="3241AD62">
            <w:pPr>
              <w:keepNext w:val="0"/>
              <w:keepLines w:val="0"/>
              <w:pageBreakBefore w:val="0"/>
              <w:kinsoku/>
              <w:wordWrap/>
              <w:overflowPunct/>
              <w:topLinePunct w:val="0"/>
              <w:autoSpaceDE/>
              <w:autoSpaceDN/>
              <w:bidi w:val="0"/>
              <w:snapToGrid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lang w:val="zh-CN"/>
              </w:rPr>
              <w:t>投标</w:t>
            </w:r>
            <w:r>
              <w:rPr>
                <w:rFonts w:hint="eastAsia" w:ascii="新宋体" w:hAnsi="新宋体" w:eastAsia="新宋体" w:cs="新宋体"/>
                <w:b/>
                <w:bCs/>
                <w:color w:val="auto"/>
                <w:sz w:val="22"/>
                <w:szCs w:val="22"/>
                <w:highlight w:val="none"/>
              </w:rPr>
              <w:t>有效期：</w:t>
            </w:r>
            <w:r>
              <w:rPr>
                <w:rFonts w:hint="eastAsia" w:ascii="新宋体" w:hAnsi="新宋体" w:eastAsia="新宋体" w:cs="新宋体"/>
                <w:color w:val="auto"/>
                <w:sz w:val="22"/>
                <w:szCs w:val="22"/>
                <w:highlight w:val="none"/>
              </w:rPr>
              <w:t>自投标截止日起</w:t>
            </w:r>
            <w:r>
              <w:rPr>
                <w:rFonts w:hint="eastAsia" w:ascii="新宋体" w:hAnsi="新宋体" w:eastAsia="新宋体" w:cs="新宋体"/>
                <w:color w:val="auto"/>
                <w:sz w:val="22"/>
                <w:szCs w:val="22"/>
                <w:highlight w:val="none"/>
                <w:lang w:eastAsia="zh-CN"/>
              </w:rPr>
              <w:t>90天</w:t>
            </w:r>
            <w:r>
              <w:rPr>
                <w:rFonts w:hint="eastAsia" w:ascii="新宋体" w:hAnsi="新宋体" w:eastAsia="新宋体" w:cs="新宋体"/>
                <w:color w:val="auto"/>
                <w:sz w:val="22"/>
                <w:szCs w:val="22"/>
                <w:highlight w:val="none"/>
              </w:rPr>
              <w:t>。</w:t>
            </w:r>
          </w:p>
        </w:tc>
      </w:tr>
      <w:tr w14:paraId="6AE1E2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34490890">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3</w:t>
            </w:r>
          </w:p>
        </w:tc>
        <w:tc>
          <w:tcPr>
            <w:tcW w:w="9346" w:type="dxa"/>
            <w:tcBorders>
              <w:top w:val="single" w:color="000000" w:sz="2" w:space="0"/>
              <w:left w:val="single" w:color="000000" w:sz="2" w:space="0"/>
              <w:bottom w:val="single" w:color="000000" w:sz="2" w:space="0"/>
              <w:right w:val="single" w:color="000000" w:sz="8" w:space="0"/>
            </w:tcBorders>
            <w:vAlign w:val="center"/>
          </w:tcPr>
          <w:p w14:paraId="5F4BBCB3">
            <w:pPr>
              <w:keepNext w:val="0"/>
              <w:keepLines w:val="0"/>
              <w:pageBreakBefore w:val="0"/>
              <w:kinsoku/>
              <w:wordWrap/>
              <w:overflowPunct/>
              <w:topLinePunct w:val="0"/>
              <w:autoSpaceDE/>
              <w:autoSpaceDN/>
              <w:bidi w:val="0"/>
              <w:snapToGrid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投标保证金数额：无</w:t>
            </w:r>
            <w:r>
              <w:rPr>
                <w:rFonts w:hint="eastAsia" w:ascii="新宋体" w:hAnsi="新宋体" w:eastAsia="新宋体" w:cs="新宋体"/>
                <w:color w:val="auto"/>
                <w:sz w:val="22"/>
                <w:szCs w:val="22"/>
                <w:highlight w:val="none"/>
              </w:rPr>
              <w:t>。</w:t>
            </w:r>
          </w:p>
        </w:tc>
      </w:tr>
      <w:tr w14:paraId="45489A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5692C2F0">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4</w:t>
            </w:r>
          </w:p>
        </w:tc>
        <w:tc>
          <w:tcPr>
            <w:tcW w:w="9346" w:type="dxa"/>
            <w:tcBorders>
              <w:top w:val="single" w:color="000000" w:sz="2" w:space="0"/>
              <w:left w:val="single" w:color="000000" w:sz="2" w:space="0"/>
              <w:bottom w:val="single" w:color="000000" w:sz="2" w:space="0"/>
              <w:right w:val="single" w:color="000000" w:sz="8" w:space="0"/>
            </w:tcBorders>
            <w:vAlign w:val="center"/>
          </w:tcPr>
          <w:p w14:paraId="779801B2">
            <w:pPr>
              <w:keepNext w:val="0"/>
              <w:keepLines w:val="0"/>
              <w:pageBreakBefore w:val="0"/>
              <w:kinsoku/>
              <w:wordWrap/>
              <w:overflowPunct/>
              <w:topLinePunct w:val="0"/>
              <w:autoSpaceDE/>
              <w:autoSpaceDN/>
              <w:bidi w:val="0"/>
              <w:snapToGrid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lang w:eastAsia="zh-CN"/>
              </w:rPr>
              <w:t>采购</w:t>
            </w:r>
            <w:r>
              <w:rPr>
                <w:rFonts w:hint="eastAsia" w:ascii="新宋体" w:hAnsi="新宋体" w:eastAsia="新宋体" w:cs="新宋体"/>
                <w:b/>
                <w:bCs/>
                <w:color w:val="auto"/>
                <w:sz w:val="22"/>
                <w:szCs w:val="22"/>
                <w:highlight w:val="none"/>
                <w:lang w:val="en-US" w:eastAsia="zh-CN"/>
              </w:rPr>
              <w:t>代理</w:t>
            </w:r>
            <w:r>
              <w:rPr>
                <w:rFonts w:hint="eastAsia" w:ascii="新宋体" w:hAnsi="新宋体" w:eastAsia="新宋体" w:cs="新宋体"/>
                <w:b/>
                <w:bCs/>
                <w:color w:val="auto"/>
                <w:sz w:val="22"/>
                <w:szCs w:val="22"/>
                <w:highlight w:val="none"/>
              </w:rPr>
              <w:t>服务费：根据国家计委计价格【2002】1980号《招标代理服务收费管理暂行办法》规定</w:t>
            </w:r>
            <w:r>
              <w:rPr>
                <w:rFonts w:hint="eastAsia" w:ascii="新宋体" w:hAnsi="新宋体" w:eastAsia="新宋体" w:cs="新宋体"/>
                <w:b/>
                <w:bCs/>
                <w:color w:val="auto"/>
                <w:sz w:val="22"/>
                <w:szCs w:val="22"/>
                <w:highlight w:val="none"/>
                <w:lang w:val="en-US" w:eastAsia="zh-CN"/>
              </w:rPr>
              <w:t>标准</w:t>
            </w:r>
            <w:r>
              <w:rPr>
                <w:rFonts w:hint="eastAsia" w:ascii="新宋体" w:hAnsi="新宋体" w:eastAsia="新宋体" w:cs="新宋体"/>
                <w:b/>
                <w:bCs/>
                <w:color w:val="auto"/>
                <w:sz w:val="22"/>
                <w:szCs w:val="22"/>
                <w:highlight w:val="none"/>
              </w:rPr>
              <w:t>收取</w:t>
            </w:r>
            <w:r>
              <w:rPr>
                <w:rFonts w:hint="eastAsia" w:ascii="新宋体" w:hAnsi="新宋体" w:eastAsia="新宋体" w:cs="新宋体"/>
                <w:b/>
                <w:bCs/>
                <w:color w:val="auto"/>
                <w:sz w:val="22"/>
                <w:szCs w:val="22"/>
                <w:highlight w:val="none"/>
                <w:lang w:eastAsia="zh-CN"/>
              </w:rPr>
              <w:t>，</w:t>
            </w:r>
            <w:r>
              <w:rPr>
                <w:rFonts w:hint="eastAsia" w:ascii="新宋体" w:hAnsi="新宋体" w:eastAsia="新宋体" w:cs="新宋体"/>
                <w:b/>
                <w:bCs/>
                <w:color w:val="auto"/>
                <w:sz w:val="22"/>
                <w:szCs w:val="22"/>
                <w:highlight w:val="none"/>
              </w:rPr>
              <w:t>由</w:t>
            </w:r>
            <w:r>
              <w:rPr>
                <w:rFonts w:hint="eastAsia" w:ascii="新宋体" w:hAnsi="新宋体" w:eastAsia="新宋体" w:cs="新宋体"/>
                <w:b/>
                <w:bCs/>
                <w:color w:val="auto"/>
                <w:sz w:val="22"/>
                <w:szCs w:val="22"/>
                <w:highlight w:val="none"/>
                <w:lang w:val="en-US" w:eastAsia="zh-CN"/>
              </w:rPr>
              <w:t>中标人</w:t>
            </w:r>
            <w:r>
              <w:rPr>
                <w:rFonts w:hint="eastAsia" w:ascii="新宋体" w:hAnsi="新宋体" w:eastAsia="新宋体" w:cs="新宋体"/>
                <w:b/>
                <w:bCs/>
                <w:color w:val="auto"/>
                <w:sz w:val="22"/>
                <w:szCs w:val="22"/>
                <w:highlight w:val="none"/>
              </w:rPr>
              <w:t>在领取</w:t>
            </w:r>
            <w:r>
              <w:rPr>
                <w:rFonts w:hint="eastAsia" w:ascii="新宋体" w:hAnsi="新宋体" w:eastAsia="新宋体" w:cs="新宋体"/>
                <w:b/>
                <w:bCs/>
                <w:color w:val="auto"/>
                <w:sz w:val="22"/>
                <w:szCs w:val="22"/>
                <w:highlight w:val="none"/>
                <w:lang w:val="en-US" w:eastAsia="zh-CN"/>
              </w:rPr>
              <w:t>中标</w:t>
            </w:r>
            <w:r>
              <w:rPr>
                <w:rFonts w:hint="eastAsia" w:ascii="新宋体" w:hAnsi="新宋体" w:eastAsia="新宋体" w:cs="新宋体"/>
                <w:b/>
                <w:bCs/>
                <w:color w:val="auto"/>
                <w:sz w:val="22"/>
                <w:szCs w:val="22"/>
                <w:highlight w:val="none"/>
              </w:rPr>
              <w:t>通知书时支付。</w:t>
            </w:r>
          </w:p>
          <w:p w14:paraId="552FFBCA">
            <w:pPr>
              <w:keepNext w:val="0"/>
              <w:keepLines w:val="0"/>
              <w:pageBreakBefore w:val="0"/>
              <w:kinsoku/>
              <w:wordWrap/>
              <w:overflowPunct/>
              <w:topLinePunct w:val="0"/>
              <w:autoSpaceDE/>
              <w:autoSpaceDN/>
              <w:bidi w:val="0"/>
              <w:spacing w:line="460" w:lineRule="exact"/>
              <w:ind w:firstLine="539" w:firstLineChars="245"/>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户  名：温州历程招标有限公司</w:t>
            </w:r>
          </w:p>
          <w:p w14:paraId="551C9FE0">
            <w:pPr>
              <w:keepNext w:val="0"/>
              <w:keepLines w:val="0"/>
              <w:pageBreakBefore w:val="0"/>
              <w:kinsoku/>
              <w:wordWrap/>
              <w:overflowPunct/>
              <w:topLinePunct w:val="0"/>
              <w:autoSpaceDE/>
              <w:autoSpaceDN/>
              <w:bidi w:val="0"/>
              <w:spacing w:line="460" w:lineRule="exact"/>
              <w:ind w:firstLine="539" w:firstLineChars="245"/>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账  号：33050162870409101001</w:t>
            </w:r>
          </w:p>
          <w:p w14:paraId="257B88B0">
            <w:pPr>
              <w:keepNext w:val="0"/>
              <w:keepLines w:val="0"/>
              <w:pageBreakBefore w:val="0"/>
              <w:kinsoku/>
              <w:wordWrap/>
              <w:overflowPunct/>
              <w:topLinePunct w:val="0"/>
              <w:autoSpaceDE/>
              <w:autoSpaceDN/>
              <w:bidi w:val="0"/>
              <w:spacing w:line="460" w:lineRule="exact"/>
              <w:ind w:firstLine="539" w:firstLineChars="245"/>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开户行：中国建设银行股份有限公司温州新城支行</w:t>
            </w:r>
          </w:p>
          <w:p w14:paraId="48DC98EE">
            <w:pPr>
              <w:keepNext w:val="0"/>
              <w:keepLines w:val="0"/>
              <w:pageBreakBefore w:val="0"/>
              <w:kinsoku/>
              <w:wordWrap/>
              <w:overflowPunct/>
              <w:topLinePunct w:val="0"/>
              <w:autoSpaceDE/>
              <w:autoSpaceDN/>
              <w:bidi w:val="0"/>
              <w:spacing w:line="460" w:lineRule="exact"/>
              <w:ind w:firstLine="539" w:firstLine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行  号：105333000038</w:t>
            </w:r>
          </w:p>
        </w:tc>
      </w:tr>
      <w:tr w14:paraId="624F37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66CF84D6">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5</w:t>
            </w:r>
          </w:p>
        </w:tc>
        <w:tc>
          <w:tcPr>
            <w:tcW w:w="9346" w:type="dxa"/>
            <w:tcBorders>
              <w:top w:val="single" w:color="000000" w:sz="2" w:space="0"/>
              <w:left w:val="single" w:color="000000" w:sz="2" w:space="0"/>
              <w:bottom w:val="single" w:color="000000" w:sz="2" w:space="0"/>
              <w:right w:val="single" w:color="000000" w:sz="8" w:space="0"/>
            </w:tcBorders>
            <w:vAlign w:val="center"/>
          </w:tcPr>
          <w:p w14:paraId="303B29D6">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投标文件的组成：</w:t>
            </w:r>
            <w:r>
              <w:rPr>
                <w:rFonts w:hint="eastAsia" w:ascii="新宋体" w:hAnsi="新宋体" w:eastAsia="新宋体" w:cs="新宋体"/>
                <w:color w:val="auto"/>
                <w:sz w:val="22"/>
                <w:szCs w:val="22"/>
                <w:highlight w:val="none"/>
              </w:rPr>
              <w:t>完整的《投标文件》由“资格文件”、“报价文件”和“商务技术文件”三个部分组成。</w:t>
            </w:r>
          </w:p>
        </w:tc>
      </w:tr>
      <w:tr w14:paraId="371AD5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63A6AA4F">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6</w:t>
            </w:r>
          </w:p>
        </w:tc>
        <w:tc>
          <w:tcPr>
            <w:tcW w:w="9346" w:type="dxa"/>
            <w:tcBorders>
              <w:top w:val="single" w:color="000000" w:sz="2" w:space="0"/>
              <w:left w:val="single" w:color="000000" w:sz="2" w:space="0"/>
              <w:bottom w:val="single" w:color="000000" w:sz="2" w:space="0"/>
              <w:right w:val="single" w:color="000000" w:sz="8" w:space="0"/>
            </w:tcBorders>
            <w:vAlign w:val="center"/>
          </w:tcPr>
          <w:p w14:paraId="70DB13F9">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投标文件的编制：</w:t>
            </w:r>
            <w:r>
              <w:rPr>
                <w:rFonts w:hint="eastAsia" w:ascii="新宋体" w:hAnsi="新宋体" w:eastAsia="新宋体" w:cs="新宋体"/>
                <w:color w:val="auto"/>
                <w:sz w:val="22"/>
                <w:szCs w:val="22"/>
                <w:highlight w:val="none"/>
              </w:rPr>
              <w:t>供应商应先安装“政采云电子交易客户端”，并按照本</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和“政府采购云平台”的要求，通过“政采云电子交易客户端”编制并加密投标文件。</w:t>
            </w:r>
          </w:p>
        </w:tc>
      </w:tr>
      <w:tr w14:paraId="385701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1CB937DD">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7</w:t>
            </w:r>
          </w:p>
        </w:tc>
        <w:tc>
          <w:tcPr>
            <w:tcW w:w="9346" w:type="dxa"/>
            <w:tcBorders>
              <w:top w:val="single" w:color="000000" w:sz="2" w:space="0"/>
              <w:left w:val="single" w:color="000000" w:sz="2" w:space="0"/>
              <w:bottom w:val="single" w:color="000000" w:sz="2" w:space="0"/>
              <w:right w:val="single" w:color="000000" w:sz="8" w:space="0"/>
            </w:tcBorders>
            <w:vAlign w:val="center"/>
          </w:tcPr>
          <w:p w14:paraId="6252F60F">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投标文件的签章：</w:t>
            </w:r>
            <w:r>
              <w:rPr>
                <w:rFonts w:hint="eastAsia" w:ascii="新宋体" w:hAnsi="新宋体" w:eastAsia="新宋体" w:cs="新宋体"/>
                <w:color w:val="auto"/>
                <w:sz w:val="22"/>
                <w:szCs w:val="22"/>
                <w:highlight w:val="none"/>
              </w:rPr>
              <w:t>电子签章。</w:t>
            </w:r>
            <w:r>
              <w:rPr>
                <w:rFonts w:hint="eastAsia" w:ascii="新宋体" w:hAnsi="新宋体" w:eastAsia="新宋体" w:cs="新宋体"/>
                <w:b/>
                <w:color w:val="auto"/>
                <w:sz w:val="22"/>
                <w:szCs w:val="22"/>
                <w:highlight w:val="none"/>
                <w:lang w:val="en-US" w:eastAsia="zh-CN"/>
              </w:rPr>
              <w:t>如为联合体投标的，招标文件中需联合体所有成员分别填写的格式，联合体成员（除牵头人外）按招标文件格式分别进行编制（格式中要求提供相关证明材料的还需后附相关证明材料），并按格式要求在指定位置根据要求进行签字（或盖章）后将扫描件提交给牵头人（联合体共同投标协议书须签字或盖章的地方须由联合体双方均签字或盖章）。牵头人在完成投标文件编制后扫描上传加密电子投标文件，电子投标文件中所须加盖公章的地方均加盖牵头人的电子签章。</w:t>
            </w:r>
          </w:p>
        </w:tc>
      </w:tr>
      <w:tr w14:paraId="6EA407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021173C2">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8</w:t>
            </w:r>
          </w:p>
        </w:tc>
        <w:tc>
          <w:tcPr>
            <w:tcW w:w="9346" w:type="dxa"/>
            <w:tcBorders>
              <w:top w:val="single" w:color="000000" w:sz="2" w:space="0"/>
              <w:left w:val="single" w:color="000000" w:sz="2" w:space="0"/>
              <w:bottom w:val="single" w:color="000000" w:sz="2" w:space="0"/>
              <w:right w:val="single" w:color="000000" w:sz="8" w:space="0"/>
            </w:tcBorders>
            <w:vAlign w:val="center"/>
          </w:tcPr>
          <w:p w14:paraId="661A81C4">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投标文件的形式：</w:t>
            </w:r>
            <w:r>
              <w:rPr>
                <w:rFonts w:hint="default" w:ascii="Times New Roman" w:hAnsi="Times New Roman" w:eastAsia="新宋体" w:cs="Times New Roman"/>
                <w:color w:val="auto"/>
                <w:sz w:val="22"/>
                <w:szCs w:val="22"/>
                <w:highlight w:val="none"/>
              </w:rPr>
              <w:t>☑</w:t>
            </w:r>
            <w:r>
              <w:rPr>
                <w:rFonts w:hint="eastAsia" w:ascii="新宋体" w:hAnsi="新宋体" w:eastAsia="新宋体" w:cs="新宋体"/>
                <w:color w:val="auto"/>
                <w:sz w:val="22"/>
                <w:szCs w:val="22"/>
                <w:highlight w:val="none"/>
              </w:rPr>
              <w:t>电子投标文件（包括“电子加密投标文件”和“备份投标文件”，在投标文件编制完成后同时生成）；</w:t>
            </w:r>
          </w:p>
          <w:p w14:paraId="2488685F">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（1）“电子加密投标文件”是指通过“政采云电子交易客户端”完成投标文件编制后生成并加密的数据电文形式的投标文件。</w:t>
            </w:r>
          </w:p>
          <w:p w14:paraId="72F807E0">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（2）“备份投标文件”是指与“电子加密投标文件”同时生成的数据电文形式的电子文件（备份标书），其他方式编制的备份投标文件视为无效备份投标文件。</w:t>
            </w:r>
          </w:p>
        </w:tc>
      </w:tr>
      <w:tr w14:paraId="1E4AFA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3D98064B">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9</w:t>
            </w:r>
          </w:p>
        </w:tc>
        <w:tc>
          <w:tcPr>
            <w:tcW w:w="9346" w:type="dxa"/>
            <w:tcBorders>
              <w:top w:val="single" w:color="000000" w:sz="2" w:space="0"/>
              <w:left w:val="single" w:color="000000" w:sz="2" w:space="0"/>
              <w:bottom w:val="single" w:color="000000" w:sz="2" w:space="0"/>
              <w:right w:val="single" w:color="000000" w:sz="8" w:space="0"/>
            </w:tcBorders>
            <w:vAlign w:val="center"/>
          </w:tcPr>
          <w:p w14:paraId="6C065B7C">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投标文件份数：</w:t>
            </w:r>
          </w:p>
          <w:p w14:paraId="44143295">
            <w:pPr>
              <w:keepNext w:val="0"/>
              <w:keepLines w:val="0"/>
              <w:pageBreakBefore w:val="0"/>
              <w:numPr>
                <w:ilvl w:val="0"/>
                <w:numId w:val="1"/>
              </w:numPr>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“电子加密投标文件”：在线上传递交、一份。</w:t>
            </w:r>
          </w:p>
          <w:p w14:paraId="30B69113">
            <w:pPr>
              <w:keepNext w:val="0"/>
              <w:keepLines w:val="0"/>
              <w:pageBreakBefore w:val="0"/>
              <w:numPr>
                <w:ilvl w:val="0"/>
                <w:numId w:val="1"/>
              </w:numPr>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“备份投标文件”：密封包装后投标截止时间前递交、一份</w:t>
            </w:r>
          </w:p>
          <w:p w14:paraId="03A816FC">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（若不提供备份投标文件，开标当天电子加密投标文件解密失败，投标人自行负责。）</w:t>
            </w:r>
          </w:p>
          <w:p w14:paraId="0731B3B3">
            <w:pPr>
              <w:keepNext w:val="0"/>
              <w:keepLines w:val="0"/>
              <w:pageBreakBefore w:val="0"/>
              <w:tabs>
                <w:tab w:val="left" w:pos="360"/>
              </w:tabs>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可以（邮寄形式，建议顺丰）在投标截止时间前递交，并需采购代理机构确认是否收到，</w:t>
            </w:r>
          </w:p>
          <w:p w14:paraId="1B9C583A">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邮寄地址：</w:t>
            </w:r>
            <w:r>
              <w:rPr>
                <w:rFonts w:hint="eastAsia" w:ascii="新宋体" w:hAnsi="新宋体" w:eastAsia="新宋体" w:cs="新宋体"/>
                <w:color w:val="auto"/>
                <w:sz w:val="22"/>
                <w:szCs w:val="22"/>
                <w:highlight w:val="none"/>
                <w:lang w:eastAsia="zh-CN"/>
              </w:rPr>
              <w:t>温州市鹿城区南汇街道勤民路鹿城壹号18幢803室</w:t>
            </w:r>
          </w:p>
          <w:p w14:paraId="4851EDF3">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联系人：肖忠文，联系方式：13757727199</w:t>
            </w:r>
          </w:p>
        </w:tc>
      </w:tr>
      <w:tr w14:paraId="08D5CF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70D095AE">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10</w:t>
            </w:r>
          </w:p>
        </w:tc>
        <w:tc>
          <w:tcPr>
            <w:tcW w:w="9346" w:type="dxa"/>
            <w:tcBorders>
              <w:top w:val="single" w:color="000000" w:sz="2" w:space="0"/>
              <w:left w:val="single" w:color="000000" w:sz="2" w:space="0"/>
              <w:bottom w:val="single" w:color="000000" w:sz="2" w:space="0"/>
              <w:right w:val="single" w:color="000000" w:sz="8" w:space="0"/>
            </w:tcBorders>
            <w:vAlign w:val="center"/>
          </w:tcPr>
          <w:p w14:paraId="5E8A38A4">
            <w:pPr>
              <w:keepNext w:val="0"/>
              <w:keepLines w:val="0"/>
              <w:pageBreakBefore w:val="0"/>
              <w:kinsoku/>
              <w:wordWrap/>
              <w:overflowPunct/>
              <w:topLinePunct w:val="0"/>
              <w:autoSpaceDE/>
              <w:autoSpaceDN/>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投标文件的上传和递交：</w:t>
            </w:r>
          </w:p>
          <w:p w14:paraId="19B328BC">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（1）“电子加密投标文件”的上传、递交：</w:t>
            </w:r>
          </w:p>
          <w:p w14:paraId="3E435291">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a.投标人应在投标截止时间前将“电子加密投标文件”成功上传递交至“政府采购云平台”，否则投标无效。</w:t>
            </w:r>
          </w:p>
          <w:p w14:paraId="46E4D783">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b.“电子加密投标文件”成功上传递交后，供应商可自行打印投标文件接收回执。</w:t>
            </w:r>
          </w:p>
          <w:p w14:paraId="0666FFA8">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（2）“备份投标文件”的密封包装、递交：</w:t>
            </w:r>
          </w:p>
          <w:p w14:paraId="6FA182B3">
            <w:pPr>
              <w:keepNext w:val="0"/>
              <w:keepLines w:val="0"/>
              <w:pageBreakBefore w:val="0"/>
              <w:tabs>
                <w:tab w:val="left" w:pos="360"/>
              </w:tabs>
              <w:kinsoku/>
              <w:wordWrap/>
              <w:overflowPunct/>
              <w:topLinePunct w:val="0"/>
              <w:autoSpaceDE/>
              <w:autoSpaceDN/>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a.投标人在“政府采购云平台”完成“电子加密投标文件”的上传递交后，</w:t>
            </w:r>
            <w:r>
              <w:rPr>
                <w:rFonts w:hint="eastAsia" w:ascii="新宋体" w:hAnsi="新宋体" w:eastAsia="新宋体" w:cs="新宋体"/>
                <w:b/>
                <w:bCs/>
                <w:color w:val="auto"/>
                <w:sz w:val="22"/>
                <w:szCs w:val="22"/>
                <w:highlight w:val="none"/>
              </w:rPr>
              <w:t>还可以在投标截止时间前递交以介质（U盘）存储的数据电文形式的“备份投标文件”，（可以</w:t>
            </w:r>
            <w:r>
              <w:rPr>
                <w:rFonts w:hint="eastAsia" w:ascii="新宋体" w:hAnsi="新宋体" w:eastAsia="新宋体" w:cs="新宋体"/>
                <w:b/>
                <w:color w:val="auto"/>
                <w:sz w:val="22"/>
                <w:szCs w:val="22"/>
                <w:highlight w:val="none"/>
                <w:u w:val="single"/>
              </w:rPr>
              <w:t>（邮寄形式，建议顺丰）在投标截止时间前递交，并需采购代理机构确认是否收到</w:t>
            </w:r>
            <w:r>
              <w:rPr>
                <w:rFonts w:hint="eastAsia" w:ascii="新宋体" w:hAnsi="新宋体" w:eastAsia="新宋体" w:cs="新宋体"/>
                <w:b/>
                <w:bCs/>
                <w:color w:val="auto"/>
                <w:sz w:val="22"/>
                <w:szCs w:val="22"/>
                <w:highlight w:val="none"/>
              </w:rPr>
              <w:t>）</w:t>
            </w:r>
          </w:p>
          <w:p w14:paraId="7F040C4D">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b.“备份投标文件”应当密封包装，并在包装上标注投标项目名称、投标人名称并加盖公章。没有密封包装或者逾期（邮寄）送达至投标地点的“备份投标文件”将不予接收；</w:t>
            </w:r>
          </w:p>
          <w:p w14:paraId="2E63F7A9">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c.通过“政府采购云平台”成功上传递交的“电子加密投标文件”已按时解密的，“备份投标文件”自动失效。投标截止时间前，投标人仅递交了“备份投标文件”而未将“电子加密投标文件”成功上传至“政府采购云平台”的，投标无效。</w:t>
            </w:r>
          </w:p>
          <w:p w14:paraId="4B22B96B">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lang w:val="en-US"/>
              </w:rPr>
            </w:pPr>
            <w:r>
              <w:rPr>
                <w:rFonts w:hint="eastAsia" w:ascii="新宋体" w:hAnsi="新宋体" w:eastAsia="新宋体" w:cs="新宋体"/>
                <w:color w:val="auto"/>
                <w:sz w:val="22"/>
                <w:szCs w:val="22"/>
                <w:highlight w:val="none"/>
                <w:lang w:val="en-US" w:eastAsia="zh-CN"/>
              </w:rPr>
              <w:t>d.供应商（联合体投标的，须由牵头人制作并递交电子加密投标文件）通过“乐采云电子投标客户端”完成投标文</w:t>
            </w:r>
            <w:r>
              <w:rPr>
                <w:rFonts w:hint="eastAsia" w:ascii="新宋体" w:hAnsi="新宋体" w:eastAsia="新宋体" w:cs="新宋体"/>
                <w:color w:val="auto"/>
                <w:sz w:val="22"/>
                <w:szCs w:val="22"/>
                <w:highlight w:val="none"/>
              </w:rPr>
              <w:t>件编制</w:t>
            </w:r>
            <w:r>
              <w:rPr>
                <w:rFonts w:hint="eastAsia" w:ascii="新宋体" w:hAnsi="新宋体" w:eastAsia="新宋体" w:cs="新宋体"/>
                <w:color w:val="auto"/>
                <w:sz w:val="22"/>
                <w:szCs w:val="22"/>
                <w:highlight w:val="none"/>
                <w:lang w:val="en-US" w:eastAsia="zh-CN"/>
              </w:rPr>
              <w:t>。</w:t>
            </w:r>
          </w:p>
        </w:tc>
      </w:tr>
      <w:tr w14:paraId="5F5498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3404D63A">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11</w:t>
            </w:r>
          </w:p>
        </w:tc>
        <w:tc>
          <w:tcPr>
            <w:tcW w:w="9346" w:type="dxa"/>
            <w:tcBorders>
              <w:top w:val="single" w:color="000000" w:sz="2" w:space="0"/>
              <w:left w:val="single" w:color="000000" w:sz="2" w:space="0"/>
              <w:bottom w:val="single" w:color="000000" w:sz="2" w:space="0"/>
              <w:right w:val="single" w:color="000000" w:sz="8" w:space="0"/>
            </w:tcBorders>
            <w:vAlign w:val="center"/>
          </w:tcPr>
          <w:p w14:paraId="40E12048">
            <w:pPr>
              <w:keepNext w:val="0"/>
              <w:keepLines w:val="0"/>
              <w:pageBreakBefore w:val="0"/>
              <w:kinsoku/>
              <w:wordWrap/>
              <w:overflowPunct/>
              <w:topLinePunct w:val="0"/>
              <w:autoSpaceDE/>
              <w:autoSpaceDN/>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电子加密投标文件的解密和异常情况处理：</w:t>
            </w:r>
          </w:p>
          <w:p w14:paraId="26843ED5">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（1）开标后，采购组织机构将向各投标人发出“电子加密投标文件”的解密通知，各投标人代表应当在接到解密通知后在系统规定的时间自行完成“电子加密投标文件”的在线解密。</w:t>
            </w:r>
          </w:p>
          <w:p w14:paraId="0B4B430E">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通过“政府采购云平台”成功上传递交的“电子加密投标文件”无法按时解密，投标人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60255182">
            <w:pPr>
              <w:keepNext w:val="0"/>
              <w:keepLines w:val="0"/>
              <w:pageBreakBefore w:val="0"/>
              <w:kinsoku/>
              <w:wordWrap/>
              <w:overflowPunct/>
              <w:topLinePunct w:val="0"/>
              <w:autoSpaceDE/>
              <w:autoSpaceDN/>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（3）投标截止时间前，投标人仅递交了“备份投标文件”而未将电子加密投标文件上传至“政府采购云平台”的，投标无效。</w:t>
            </w:r>
          </w:p>
        </w:tc>
      </w:tr>
      <w:tr w14:paraId="3BF17B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01B727E2">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12</w:t>
            </w:r>
          </w:p>
        </w:tc>
        <w:tc>
          <w:tcPr>
            <w:tcW w:w="9346" w:type="dxa"/>
            <w:tcBorders>
              <w:top w:val="single" w:color="000000" w:sz="2" w:space="0"/>
              <w:left w:val="single" w:color="000000" w:sz="2" w:space="0"/>
              <w:bottom w:val="single" w:color="000000" w:sz="2" w:space="0"/>
              <w:right w:val="single" w:color="000000" w:sz="8" w:space="0"/>
            </w:tcBorders>
            <w:vAlign w:val="center"/>
          </w:tcPr>
          <w:p w14:paraId="72E6279B">
            <w:pPr>
              <w:keepNext w:val="0"/>
              <w:keepLines w:val="0"/>
              <w:pageBreakBefore w:val="0"/>
              <w:widowControl/>
              <w:kinsoku/>
              <w:wordWrap/>
              <w:overflowPunct/>
              <w:topLinePunct w:val="0"/>
              <w:autoSpaceDE/>
              <w:autoSpaceDN/>
              <w:bidi w:val="0"/>
              <w:snapToGrid w:val="0"/>
              <w:spacing w:line="460" w:lineRule="exact"/>
              <w:jc w:val="left"/>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提交投标文件截止时间：</w:t>
            </w:r>
            <w:r>
              <w:rPr>
                <w:rFonts w:hint="eastAsia" w:ascii="新宋体" w:hAnsi="新宋体" w:eastAsia="新宋体" w:cs="新宋体"/>
                <w:b w:val="0"/>
                <w:bCs w:val="0"/>
                <w:color w:val="auto"/>
                <w:sz w:val="22"/>
                <w:szCs w:val="22"/>
                <w:highlight w:val="none"/>
                <w:lang w:val="en-US" w:eastAsia="zh-CN"/>
              </w:rPr>
              <w:t>详见公告</w:t>
            </w:r>
            <w:r>
              <w:rPr>
                <w:rFonts w:hint="eastAsia" w:ascii="新宋体" w:hAnsi="新宋体" w:eastAsia="新宋体" w:cs="新宋体"/>
                <w:color w:val="auto"/>
                <w:sz w:val="22"/>
                <w:szCs w:val="22"/>
                <w:highlight w:val="none"/>
                <w:lang w:eastAsia="zh-CN"/>
              </w:rPr>
              <w:t> </w:t>
            </w:r>
          </w:p>
          <w:p w14:paraId="12EB8E4E">
            <w:pPr>
              <w:keepNext w:val="0"/>
              <w:keepLines w:val="0"/>
              <w:pageBreakBefore w:val="0"/>
              <w:widowControl/>
              <w:kinsoku/>
              <w:wordWrap/>
              <w:overflowPunct/>
              <w:topLinePunct w:val="0"/>
              <w:autoSpaceDE/>
              <w:autoSpaceDN/>
              <w:bidi w:val="0"/>
              <w:snapToGrid w:val="0"/>
              <w:spacing w:line="460" w:lineRule="exact"/>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投标地点（网址）：</w:t>
            </w:r>
            <w:r>
              <w:rPr>
                <w:rFonts w:hint="eastAsia" w:ascii="新宋体" w:hAnsi="新宋体" w:eastAsia="新宋体" w:cs="新宋体"/>
                <w:b w:val="0"/>
                <w:bCs w:val="0"/>
                <w:color w:val="auto"/>
                <w:sz w:val="22"/>
                <w:szCs w:val="22"/>
                <w:highlight w:val="none"/>
                <w:lang w:val="en-US" w:eastAsia="zh-CN"/>
              </w:rPr>
              <w:t>详见公告</w:t>
            </w:r>
          </w:p>
        </w:tc>
      </w:tr>
      <w:tr w14:paraId="4F96DF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auto" w:sz="4" w:space="0"/>
              <w:right w:val="single" w:color="000000" w:sz="2" w:space="0"/>
            </w:tcBorders>
            <w:vAlign w:val="center"/>
          </w:tcPr>
          <w:p w14:paraId="3CEA8195">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13</w:t>
            </w:r>
          </w:p>
        </w:tc>
        <w:tc>
          <w:tcPr>
            <w:tcW w:w="9346" w:type="dxa"/>
            <w:tcBorders>
              <w:top w:val="single" w:color="000000" w:sz="2" w:space="0"/>
              <w:left w:val="single" w:color="000000" w:sz="2" w:space="0"/>
              <w:bottom w:val="single" w:color="auto" w:sz="4" w:space="0"/>
              <w:right w:val="single" w:color="000000" w:sz="8" w:space="0"/>
            </w:tcBorders>
            <w:vAlign w:val="center"/>
          </w:tcPr>
          <w:p w14:paraId="43948AFC">
            <w:pPr>
              <w:keepNext w:val="0"/>
              <w:keepLines w:val="0"/>
              <w:pageBreakBefore w:val="0"/>
              <w:widowControl/>
              <w:kinsoku/>
              <w:wordWrap/>
              <w:overflowPunct/>
              <w:topLinePunct w:val="0"/>
              <w:autoSpaceDE/>
              <w:autoSpaceDN/>
              <w:bidi w:val="0"/>
              <w:snapToGrid w:val="0"/>
              <w:spacing w:line="460" w:lineRule="exact"/>
              <w:jc w:val="left"/>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开标时间：</w:t>
            </w:r>
            <w:r>
              <w:rPr>
                <w:rFonts w:hint="eastAsia" w:ascii="新宋体" w:hAnsi="新宋体" w:eastAsia="新宋体" w:cs="新宋体"/>
                <w:b w:val="0"/>
                <w:bCs w:val="0"/>
                <w:color w:val="auto"/>
                <w:sz w:val="22"/>
                <w:szCs w:val="22"/>
                <w:highlight w:val="none"/>
                <w:lang w:val="en-US" w:eastAsia="zh-CN"/>
              </w:rPr>
              <w:t>详见公告</w:t>
            </w:r>
          </w:p>
          <w:p w14:paraId="26A8D84F">
            <w:pPr>
              <w:keepNext w:val="0"/>
              <w:keepLines w:val="0"/>
              <w:pageBreakBefore w:val="0"/>
              <w:widowControl/>
              <w:kinsoku/>
              <w:wordWrap/>
              <w:overflowPunct/>
              <w:topLinePunct w:val="0"/>
              <w:autoSpaceDE/>
              <w:autoSpaceDN/>
              <w:bidi w:val="0"/>
              <w:snapToGrid w:val="0"/>
              <w:spacing w:line="460" w:lineRule="exact"/>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开标地点（网址）：</w:t>
            </w:r>
            <w:r>
              <w:rPr>
                <w:rFonts w:hint="eastAsia" w:ascii="新宋体" w:hAnsi="新宋体" w:eastAsia="新宋体" w:cs="新宋体"/>
                <w:b w:val="0"/>
                <w:bCs w:val="0"/>
                <w:color w:val="auto"/>
                <w:sz w:val="22"/>
                <w:szCs w:val="22"/>
                <w:highlight w:val="none"/>
                <w:lang w:val="en-US" w:eastAsia="zh-CN"/>
              </w:rPr>
              <w:t>详见公告</w:t>
            </w:r>
          </w:p>
        </w:tc>
      </w:tr>
      <w:tr w14:paraId="7778BB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auto" w:sz="4" w:space="0"/>
              <w:right w:val="single" w:color="000000" w:sz="2" w:space="0"/>
            </w:tcBorders>
            <w:vAlign w:val="center"/>
          </w:tcPr>
          <w:p w14:paraId="2FE42390">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lang w:val="en-US" w:eastAsia="zh-CN"/>
              </w:rPr>
            </w:pPr>
            <w:r>
              <w:rPr>
                <w:rFonts w:hint="eastAsia" w:ascii="新宋体" w:hAnsi="新宋体" w:eastAsia="新宋体" w:cs="新宋体"/>
                <w:b/>
                <w:bCs/>
                <w:color w:val="auto"/>
                <w:sz w:val="22"/>
                <w:szCs w:val="22"/>
                <w:highlight w:val="none"/>
                <w:lang w:val="en-US" w:eastAsia="zh-CN"/>
              </w:rPr>
              <w:t>14</w:t>
            </w:r>
          </w:p>
        </w:tc>
        <w:tc>
          <w:tcPr>
            <w:tcW w:w="9346" w:type="dxa"/>
            <w:tcBorders>
              <w:top w:val="single" w:color="000000" w:sz="2" w:space="0"/>
              <w:left w:val="single" w:color="000000" w:sz="2" w:space="0"/>
              <w:bottom w:val="single" w:color="auto" w:sz="4" w:space="0"/>
              <w:right w:val="single" w:color="000000" w:sz="8" w:space="0"/>
            </w:tcBorders>
            <w:vAlign w:val="center"/>
          </w:tcPr>
          <w:p w14:paraId="5815A89F">
            <w:pPr>
              <w:keepNext w:val="0"/>
              <w:keepLines w:val="0"/>
              <w:pageBreakBefore w:val="0"/>
              <w:widowControl/>
              <w:kinsoku/>
              <w:wordWrap/>
              <w:overflowPunct/>
              <w:topLinePunct w:val="0"/>
              <w:autoSpaceDE/>
              <w:autoSpaceDN/>
              <w:bidi w:val="0"/>
              <w:snapToGrid w:val="0"/>
              <w:spacing w:line="460" w:lineRule="exact"/>
              <w:jc w:val="left"/>
              <w:rPr>
                <w:rFonts w:hint="eastAsia" w:ascii="新宋体" w:hAnsi="新宋体" w:eastAsia="新宋体" w:cs="新宋体"/>
                <w:color w:val="auto"/>
                <w:sz w:val="22"/>
                <w:szCs w:val="22"/>
                <w:highlight w:val="none"/>
              </w:rPr>
            </w:pPr>
            <w:r>
              <w:rPr>
                <w:rFonts w:hint="eastAsia" w:ascii="新宋体" w:hAnsi="新宋体" w:eastAsia="新宋体" w:cs="新宋体"/>
                <w:b w:val="0"/>
                <w:bCs w:val="0"/>
                <w:color w:val="auto"/>
                <w:sz w:val="22"/>
                <w:szCs w:val="22"/>
                <w:highlight w:val="none"/>
                <w:lang w:val="en-US" w:eastAsia="zh-CN"/>
              </w:rPr>
              <w:t>评审地点：</w:t>
            </w:r>
            <w:r>
              <w:rPr>
                <w:rFonts w:hint="eastAsia" w:ascii="新宋体" w:hAnsi="新宋体" w:eastAsia="新宋体" w:cs="新宋体"/>
                <w:color w:val="auto"/>
                <w:sz w:val="22"/>
                <w:szCs w:val="22"/>
                <w:highlight w:val="none"/>
                <w:u w:val="none"/>
                <w:lang w:eastAsia="zh-CN"/>
              </w:rPr>
              <w:t>温州市鹿城区南汇街道勤民路鹿城壹号18幢803室</w:t>
            </w:r>
            <w:r>
              <w:rPr>
                <w:rFonts w:hint="eastAsia" w:ascii="新宋体" w:hAnsi="新宋体" w:eastAsia="新宋体" w:cs="新宋体"/>
                <w:color w:val="auto"/>
                <w:sz w:val="22"/>
                <w:szCs w:val="22"/>
                <w:highlight w:val="none"/>
              </w:rPr>
              <w:t>（政采云平台：http</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//zfcg.czt.zj.gov.cn）</w:t>
            </w:r>
          </w:p>
        </w:tc>
      </w:tr>
      <w:tr w14:paraId="56EF47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auto" w:sz="4" w:space="0"/>
              <w:left w:val="single" w:color="000000" w:sz="8" w:space="0"/>
              <w:bottom w:val="single" w:color="auto" w:sz="4" w:space="0"/>
              <w:right w:val="single" w:color="000000" w:sz="2" w:space="0"/>
            </w:tcBorders>
            <w:vAlign w:val="center"/>
          </w:tcPr>
          <w:p w14:paraId="2C34A604">
            <w:pPr>
              <w:keepNext w:val="0"/>
              <w:keepLines w:val="0"/>
              <w:pageBreakBefore w:val="0"/>
              <w:kinsoku/>
              <w:wordWrap/>
              <w:overflowPunct/>
              <w:topLinePunct w:val="0"/>
              <w:autoSpaceDE/>
              <w:autoSpaceDN/>
              <w:bidi w:val="0"/>
              <w:snapToGrid w:val="0"/>
              <w:spacing w:line="460" w:lineRule="exact"/>
              <w:jc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sz w:val="22"/>
                <w:szCs w:val="22"/>
                <w:highlight w:val="none"/>
              </w:rPr>
              <w:t>1</w:t>
            </w:r>
            <w:r>
              <w:rPr>
                <w:rFonts w:hint="eastAsia" w:ascii="新宋体" w:hAnsi="新宋体" w:eastAsia="新宋体" w:cs="新宋体"/>
                <w:b/>
                <w:bCs/>
                <w:color w:val="auto"/>
                <w:sz w:val="22"/>
                <w:szCs w:val="22"/>
                <w:highlight w:val="none"/>
                <w:lang w:val="en-US" w:eastAsia="zh-CN"/>
              </w:rPr>
              <w:t>5</w:t>
            </w:r>
          </w:p>
        </w:tc>
        <w:tc>
          <w:tcPr>
            <w:tcW w:w="9346" w:type="dxa"/>
            <w:tcBorders>
              <w:top w:val="single" w:color="auto" w:sz="4" w:space="0"/>
              <w:left w:val="single" w:color="000000" w:sz="2" w:space="0"/>
              <w:bottom w:val="single" w:color="auto" w:sz="4" w:space="0"/>
              <w:right w:val="single" w:color="000000" w:sz="8" w:space="0"/>
            </w:tcBorders>
            <w:vAlign w:val="center"/>
          </w:tcPr>
          <w:p w14:paraId="6FDA5D94">
            <w:pPr>
              <w:keepNext w:val="0"/>
              <w:keepLines w:val="0"/>
              <w:pageBreakBefore w:val="0"/>
              <w:kinsoku/>
              <w:wordWrap/>
              <w:overflowPunct/>
              <w:topLinePunct w:val="0"/>
              <w:autoSpaceDE/>
              <w:autoSpaceDN/>
              <w:bidi w:val="0"/>
              <w:snapToGrid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带“▲”条款系指实质性要求条款。“★”是关键技术参数及要求。</w:t>
            </w:r>
          </w:p>
        </w:tc>
      </w:tr>
      <w:tr w14:paraId="47E626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auto" w:sz="4" w:space="0"/>
              <w:left w:val="single" w:color="000000" w:sz="8" w:space="0"/>
              <w:bottom w:val="single" w:color="auto" w:sz="4" w:space="0"/>
              <w:right w:val="single" w:color="000000" w:sz="2" w:space="0"/>
            </w:tcBorders>
            <w:vAlign w:val="center"/>
          </w:tcPr>
          <w:p w14:paraId="7B814D6B">
            <w:pPr>
              <w:keepNext w:val="0"/>
              <w:keepLines w:val="0"/>
              <w:pageBreakBefore w:val="0"/>
              <w:widowControl/>
              <w:kinsoku/>
              <w:wordWrap/>
              <w:overflowPunct/>
              <w:topLinePunct w:val="0"/>
              <w:autoSpaceDE/>
              <w:autoSpaceDN/>
              <w:bidi w:val="0"/>
              <w:snapToGrid w:val="0"/>
              <w:spacing w:line="460" w:lineRule="exact"/>
              <w:jc w:val="center"/>
              <w:textAlignment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kern w:val="0"/>
                <w:sz w:val="22"/>
                <w:szCs w:val="22"/>
                <w:highlight w:val="none"/>
              </w:rPr>
              <w:t>1</w:t>
            </w:r>
            <w:r>
              <w:rPr>
                <w:rFonts w:hint="eastAsia" w:ascii="新宋体" w:hAnsi="新宋体" w:eastAsia="新宋体" w:cs="新宋体"/>
                <w:b/>
                <w:bCs/>
                <w:color w:val="auto"/>
                <w:kern w:val="0"/>
                <w:sz w:val="22"/>
                <w:szCs w:val="22"/>
                <w:highlight w:val="none"/>
                <w:lang w:val="en-US" w:eastAsia="zh-CN"/>
              </w:rPr>
              <w:t>6</w:t>
            </w:r>
          </w:p>
        </w:tc>
        <w:tc>
          <w:tcPr>
            <w:tcW w:w="9346" w:type="dxa"/>
            <w:tcBorders>
              <w:top w:val="single" w:color="auto" w:sz="4" w:space="0"/>
              <w:left w:val="single" w:color="000000" w:sz="2" w:space="0"/>
              <w:bottom w:val="single" w:color="auto" w:sz="4" w:space="0"/>
              <w:right w:val="single" w:color="000000" w:sz="8" w:space="0"/>
            </w:tcBorders>
            <w:vAlign w:val="center"/>
          </w:tcPr>
          <w:p w14:paraId="400FD769">
            <w:pPr>
              <w:keepNext w:val="0"/>
              <w:keepLines w:val="0"/>
              <w:pageBreakBefore w:val="0"/>
              <w:widowControl/>
              <w:kinsoku/>
              <w:wordWrap/>
              <w:overflowPunct/>
              <w:topLinePunct w:val="0"/>
              <w:autoSpaceDE/>
              <w:autoSpaceDN/>
              <w:bidi w:val="0"/>
              <w:snapToGrid w:val="0"/>
              <w:spacing w:line="460" w:lineRule="exact"/>
              <w:jc w:val="left"/>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为支持和促进中小企业发展，进一步发挥政府采购政策功能，温州市财政局出台了《温州市财政局关于温州市政府采购支持中小企业信用融资的通知》（温财采〔2020〕3号），供应商若有融资意向，可直接登录http</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//jinrong.zcygov.cn，查看信用融资政策文件及各相关银行服务方案，也可直接向各银行咨询相关业务。</w:t>
            </w:r>
          </w:p>
        </w:tc>
      </w:tr>
      <w:tr w14:paraId="2F0243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39C2F518">
            <w:pPr>
              <w:keepNext w:val="0"/>
              <w:keepLines w:val="0"/>
              <w:pageBreakBefore w:val="0"/>
              <w:widowControl/>
              <w:kinsoku/>
              <w:wordWrap/>
              <w:overflowPunct/>
              <w:topLinePunct w:val="0"/>
              <w:autoSpaceDE/>
              <w:autoSpaceDN/>
              <w:bidi w:val="0"/>
              <w:snapToGrid w:val="0"/>
              <w:spacing w:line="460" w:lineRule="exact"/>
              <w:jc w:val="center"/>
              <w:textAlignment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kern w:val="0"/>
                <w:sz w:val="22"/>
                <w:szCs w:val="22"/>
                <w:highlight w:val="none"/>
              </w:rPr>
              <w:t>1</w:t>
            </w:r>
            <w:r>
              <w:rPr>
                <w:rFonts w:hint="eastAsia" w:ascii="新宋体" w:hAnsi="新宋体" w:eastAsia="新宋体" w:cs="新宋体"/>
                <w:b/>
                <w:bCs/>
                <w:color w:val="auto"/>
                <w:kern w:val="0"/>
                <w:sz w:val="22"/>
                <w:szCs w:val="22"/>
                <w:highlight w:val="none"/>
                <w:lang w:val="en-US" w:eastAsia="zh-CN"/>
              </w:rPr>
              <w:t>7</w:t>
            </w:r>
          </w:p>
        </w:tc>
        <w:tc>
          <w:tcPr>
            <w:tcW w:w="9346" w:type="dxa"/>
            <w:tcBorders>
              <w:top w:val="single" w:color="000000" w:sz="2" w:space="0"/>
              <w:left w:val="single" w:color="000000" w:sz="2" w:space="0"/>
              <w:bottom w:val="single" w:color="000000" w:sz="2" w:space="0"/>
              <w:right w:val="single" w:color="000000" w:sz="8" w:space="0"/>
            </w:tcBorders>
            <w:vAlign w:val="center"/>
          </w:tcPr>
          <w:p w14:paraId="650B8988">
            <w:pPr>
              <w:keepNext w:val="0"/>
              <w:keepLines w:val="0"/>
              <w:pageBreakBefore w:val="0"/>
              <w:kinsoku/>
              <w:wordWrap/>
              <w:overflowPunct/>
              <w:topLinePunct w:val="0"/>
              <w:autoSpaceDE/>
              <w:autoSpaceDN/>
              <w:bidi w:val="0"/>
              <w:snapToGrid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color w:val="auto"/>
                <w:kern w:val="10"/>
                <w:sz w:val="22"/>
                <w:szCs w:val="22"/>
                <w:highlight w:val="none"/>
              </w:rPr>
              <w:t>潜在供应商需在浙江政府采购网http</w:t>
            </w:r>
            <w:r>
              <w:rPr>
                <w:rFonts w:hint="eastAsia" w:ascii="新宋体" w:hAnsi="新宋体" w:eastAsia="新宋体" w:cs="新宋体"/>
                <w:b/>
                <w:color w:val="auto"/>
                <w:kern w:val="10"/>
                <w:sz w:val="22"/>
                <w:szCs w:val="22"/>
                <w:highlight w:val="none"/>
                <w:lang w:eastAsia="zh-CN"/>
              </w:rPr>
              <w:t>：</w:t>
            </w:r>
            <w:r>
              <w:rPr>
                <w:rFonts w:hint="eastAsia" w:ascii="新宋体" w:hAnsi="新宋体" w:eastAsia="新宋体" w:cs="新宋体"/>
                <w:b/>
                <w:color w:val="auto"/>
                <w:kern w:val="10"/>
                <w:sz w:val="22"/>
                <w:szCs w:val="22"/>
                <w:highlight w:val="none"/>
              </w:rPr>
              <w:t>//zfcg.czt.zj.gov.cn/进行免费注册，具体详见浙江政府采购网供应商注册要求。</w:t>
            </w:r>
          </w:p>
        </w:tc>
      </w:tr>
      <w:tr w14:paraId="64E614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12EA386E">
            <w:pPr>
              <w:keepNext w:val="0"/>
              <w:keepLines w:val="0"/>
              <w:pageBreakBefore w:val="0"/>
              <w:widowControl/>
              <w:kinsoku/>
              <w:wordWrap/>
              <w:overflowPunct/>
              <w:topLinePunct w:val="0"/>
              <w:autoSpaceDE/>
              <w:autoSpaceDN/>
              <w:bidi w:val="0"/>
              <w:snapToGrid w:val="0"/>
              <w:spacing w:line="460" w:lineRule="exact"/>
              <w:jc w:val="center"/>
              <w:textAlignment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kern w:val="0"/>
                <w:sz w:val="22"/>
                <w:szCs w:val="22"/>
                <w:highlight w:val="none"/>
              </w:rPr>
              <w:t>1</w:t>
            </w:r>
            <w:r>
              <w:rPr>
                <w:rFonts w:hint="eastAsia" w:ascii="新宋体" w:hAnsi="新宋体" w:eastAsia="新宋体" w:cs="新宋体"/>
                <w:b/>
                <w:bCs/>
                <w:color w:val="auto"/>
                <w:kern w:val="0"/>
                <w:sz w:val="22"/>
                <w:szCs w:val="22"/>
                <w:highlight w:val="none"/>
                <w:lang w:val="en-US" w:eastAsia="zh-CN"/>
              </w:rPr>
              <w:t>8</w:t>
            </w:r>
          </w:p>
        </w:tc>
        <w:tc>
          <w:tcPr>
            <w:tcW w:w="9346" w:type="dxa"/>
            <w:tcBorders>
              <w:top w:val="single" w:color="000000" w:sz="2" w:space="0"/>
              <w:left w:val="single" w:color="000000" w:sz="2" w:space="0"/>
              <w:bottom w:val="single" w:color="000000" w:sz="2" w:space="0"/>
              <w:right w:val="single" w:color="000000" w:sz="8" w:space="0"/>
            </w:tcBorders>
            <w:vAlign w:val="center"/>
          </w:tcPr>
          <w:p w14:paraId="64A92A14">
            <w:pPr>
              <w:keepNext w:val="0"/>
              <w:keepLines w:val="0"/>
              <w:pageBreakBefore w:val="0"/>
              <w:kinsoku/>
              <w:wordWrap/>
              <w:overflowPunct/>
              <w:topLinePunct w:val="0"/>
              <w:autoSpaceDE/>
              <w:autoSpaceDN/>
              <w:bidi w:val="0"/>
              <w:adjustRightInd w:val="0"/>
              <w:snapToGrid w:val="0"/>
              <w:spacing w:line="460" w:lineRule="exact"/>
              <w:ind w:firstLine="442" w:firstLineChars="20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1、扶持中小企业（监狱企业、残疾人福利性单位）：</w:t>
            </w:r>
          </w:p>
          <w:p w14:paraId="5F41FA50">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根据《政府采购促进中小企业发展管理办法》（财库〔2020〕46号），本单位在政府采购活动中应当通过加强采购需求管理，落实预留采购份额，价格评审优惠、优先采购等措施，提高中小企业在政府采购中的份额，支持中小企业发展。项目相关情况如下：</w:t>
            </w:r>
          </w:p>
          <w:p w14:paraId="4A5BE082">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（1）项目预算：</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u w:val="single"/>
                <w:lang w:val="en-US" w:eastAsia="zh-CN"/>
              </w:rPr>
              <w:t xml:space="preserve">1500000 </w:t>
            </w:r>
            <w:r>
              <w:rPr>
                <w:rFonts w:hint="eastAsia" w:ascii="新宋体" w:hAnsi="新宋体" w:eastAsia="新宋体" w:cs="新宋体"/>
                <w:color w:val="auto"/>
                <w:sz w:val="22"/>
                <w:szCs w:val="22"/>
                <w:highlight w:val="none"/>
              </w:rPr>
              <w:t>元</w:t>
            </w:r>
          </w:p>
          <w:p w14:paraId="64D6BC77">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（2）项目属性：</w:t>
            </w:r>
            <w:r>
              <w:rPr>
                <w:rFonts w:hint="eastAsia" w:ascii="新宋体" w:hAnsi="新宋体" w:eastAsia="新宋体" w:cs="新宋体"/>
                <w:color w:val="auto"/>
                <w:sz w:val="22"/>
                <w:szCs w:val="22"/>
                <w:highlight w:val="none"/>
                <w:u w:val="single"/>
              </w:rPr>
              <w:t xml:space="preserve"> ①货物类 </w:t>
            </w:r>
            <w:r>
              <w:rPr>
                <w:rFonts w:hint="eastAsia" w:ascii="新宋体" w:hAnsi="新宋体" w:eastAsia="新宋体" w:cs="新宋体"/>
                <w:color w:val="auto"/>
                <w:sz w:val="22"/>
                <w:szCs w:val="22"/>
                <w:highlight w:val="none"/>
              </w:rPr>
              <w:t xml:space="preserve"> （①货物类/②服务类/③工程类）</w:t>
            </w:r>
          </w:p>
          <w:p w14:paraId="6515A81F">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（3）项目对应的中小企业划分标准所属行业：</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u w:val="single"/>
                <w:lang w:val="en-US" w:eastAsia="zh-CN"/>
              </w:rPr>
              <w:t xml:space="preserve"> 工业 </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（具体根据《中小企业划型标准规定》执行）</w:t>
            </w:r>
          </w:p>
          <w:p w14:paraId="166FB8C1">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备注：现行中小企业划分标准行业包括农、林、牧、渔业，工业，建筑业，批发业，零售业，交通运输业，仓储业，邮政业，住宿业，餐饮业，信息传输业，软件和信息技术服务业，房地产开发经营，物业管理，租赁和商业服务业和其他未列明行业等十六类。）</w:t>
            </w:r>
          </w:p>
          <w:p w14:paraId="728D8FC9">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（4）本项目</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u w:val="single"/>
                <w:lang w:val="en-US" w:eastAsia="zh-CN"/>
              </w:rPr>
              <w:t>是</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属于预留份额专门面向中小企业采购的项目。</w:t>
            </w:r>
          </w:p>
          <w:p w14:paraId="21D0A5C7">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（5）上述第4项中确定为“是”的采购项目，预留份额通过（①）措施进行：</w:t>
            </w:r>
          </w:p>
          <w:p w14:paraId="306EE5F5">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①将采购项目整体或者设置采购包专门面向中小企业采购； </w:t>
            </w:r>
          </w:p>
          <w:p w14:paraId="41D2080A">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②要求供应商以联合体形式参加采购活动，且联合体中中小企业承担的部分达到</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 xml:space="preserve"> </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比例</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 xml:space="preserve">； </w:t>
            </w:r>
          </w:p>
          <w:p w14:paraId="4FB1A77D">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③要求获得采购合同的供应商将采购项目中的 </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比例</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分包给一家或者多家中小企业。</w:t>
            </w:r>
          </w:p>
          <w:p w14:paraId="6AEC7D94">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（6）对于经主管预算单位统筹后未预留份额专门面向中小企业采购的采购项目，以及预留份额项目中的非预留部分采购包，请贵单位明确对符合本办法规定的小微企业报价给予</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u w:val="single"/>
                <w:lang w:val="en-US" w:eastAsia="zh-CN"/>
              </w:rPr>
              <w:t>10%</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kern w:val="0"/>
                <w:sz w:val="22"/>
                <w:szCs w:val="22"/>
                <w:highlight w:val="none"/>
              </w:rPr>
              <w:t>（10%—20%）（工程项目为 3%—5%）</w:t>
            </w:r>
            <w:r>
              <w:rPr>
                <w:rFonts w:hint="eastAsia" w:ascii="新宋体" w:hAnsi="新宋体" w:eastAsia="新宋体" w:cs="新宋体"/>
                <w:color w:val="auto"/>
                <w:sz w:val="22"/>
                <w:szCs w:val="22"/>
                <w:highlight w:val="none"/>
              </w:rPr>
              <w:t xml:space="preserve">的扣除，用扣除后的价格参加评审。 </w:t>
            </w:r>
          </w:p>
          <w:p w14:paraId="1D39F795">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对于接受大中型企业与小微企业组成联合体或者允许大中型企业向一家或者多家小微企业分包的采购项目，对于联合协议或者分包意向协议约定小微企业的合同份额占到合同总金额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u w:val="single"/>
                <w:lang w:val="en-US" w:eastAsia="zh-CN"/>
              </w:rPr>
              <w:t xml:space="preserve"> /</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（4%-6%）</w:t>
            </w:r>
            <w:r>
              <w:rPr>
                <w:rFonts w:hint="eastAsia" w:ascii="新宋体" w:hAnsi="新宋体" w:eastAsia="新宋体" w:cs="新宋体"/>
                <w:color w:val="auto"/>
                <w:sz w:val="22"/>
                <w:szCs w:val="22"/>
                <w:highlight w:val="none"/>
              </w:rPr>
              <w:t>（工程项目为2%）的扣除，用扣除后的价格参加评审。</w:t>
            </w:r>
          </w:p>
          <w:p w14:paraId="659DB230">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专门面向中小企业采购的项目或者标项，不再执行价格评审优惠的扶持政策。</w:t>
            </w:r>
          </w:p>
          <w:p w14:paraId="1908A5D7">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2、节能产品、环境标志产品的强制采购政策</w:t>
            </w:r>
          </w:p>
          <w:p w14:paraId="6CBA412D">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根据财政部、国家发展和改革委员会、生态环境部等部门公布的政府采购节能产品、环境标志产品品目清单的规定，依据品目清单和认证证书实施政府优先采购和强制采购。</w:t>
            </w:r>
            <w:r>
              <w:rPr>
                <w:rFonts w:hint="eastAsia" w:ascii="新宋体" w:hAnsi="新宋体" w:eastAsia="新宋体" w:cs="新宋体"/>
                <w:color w:val="auto"/>
                <w:kern w:val="0"/>
                <w:sz w:val="22"/>
                <w:szCs w:val="22"/>
                <w:highlight w:val="none"/>
                <w:lang w:eastAsia="zh-CN"/>
              </w:rPr>
              <w:t>采购人</w:t>
            </w:r>
            <w:r>
              <w:rPr>
                <w:rFonts w:hint="eastAsia" w:ascii="新宋体" w:hAnsi="新宋体" w:eastAsia="新宋体" w:cs="新宋体"/>
                <w:color w:val="auto"/>
                <w:kern w:val="0"/>
                <w:sz w:val="22"/>
                <w:szCs w:val="22"/>
                <w:highlight w:val="none"/>
              </w:rPr>
              <w:t>拟采购的产品属于品目清单范围内的强制采购品目的，供应商提供的产品应具有国家确定的认证机构出具的、处于有效期之内的节能产品、环境标志产品认证证书，并在响应文件中提供该产品节能产品、环境标志产品认证证书。（注：本项目执行最新政府采购节能产品、环境标志产品品目清单。）</w:t>
            </w:r>
          </w:p>
          <w:p w14:paraId="6E13346C">
            <w:pPr>
              <w:keepNext w:val="0"/>
              <w:keepLines w:val="0"/>
              <w:pageBreakBefore w:val="0"/>
              <w:widowControl/>
              <w:kinsoku/>
              <w:wordWrap/>
              <w:overflowPunct/>
              <w:topLinePunct w:val="0"/>
              <w:autoSpaceDE/>
              <w:autoSpaceDN/>
              <w:bidi w:val="0"/>
              <w:snapToGrid w:val="0"/>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3、节能产品、环境标志产品的优先采购政策</w:t>
            </w:r>
          </w:p>
          <w:p w14:paraId="0C7608CE">
            <w:pPr>
              <w:keepNext w:val="0"/>
              <w:keepLines w:val="0"/>
              <w:pageBreakBefore w:val="0"/>
              <w:widowControl/>
              <w:kinsoku/>
              <w:wordWrap/>
              <w:overflowPunct/>
              <w:topLinePunct w:val="0"/>
              <w:autoSpaceDE/>
              <w:autoSpaceDN/>
              <w:bidi w:val="0"/>
              <w:snapToGrid w:val="0"/>
              <w:spacing w:line="460" w:lineRule="exact"/>
              <w:ind w:firstLine="440" w:firstLineChars="200"/>
              <w:jc w:val="left"/>
              <w:rPr>
                <w:rFonts w:hint="eastAsia" w:ascii="新宋体" w:hAnsi="新宋体" w:eastAsia="新宋体" w:cs="新宋体"/>
                <w:b/>
                <w:color w:val="auto"/>
                <w:kern w:val="10"/>
                <w:sz w:val="22"/>
                <w:szCs w:val="22"/>
                <w:highlight w:val="none"/>
              </w:rPr>
            </w:pPr>
            <w:r>
              <w:rPr>
                <w:rFonts w:hint="eastAsia" w:ascii="新宋体" w:hAnsi="新宋体" w:eastAsia="新宋体" w:cs="新宋体"/>
                <w:color w:val="auto"/>
                <w:kern w:val="0"/>
                <w:sz w:val="22"/>
                <w:szCs w:val="22"/>
                <w:highlight w:val="none"/>
              </w:rPr>
              <w:t>根据财政部、国家发展和改革委员会、生态环境部等部门公布的政府采购节能产品、环境标志产品品目清单的规定、依据品目清单和认证证书实施政府优先采购和强制采购。</w:t>
            </w:r>
            <w:r>
              <w:rPr>
                <w:rFonts w:hint="eastAsia" w:ascii="新宋体" w:hAnsi="新宋体" w:eastAsia="新宋体" w:cs="新宋体"/>
                <w:color w:val="auto"/>
                <w:kern w:val="0"/>
                <w:sz w:val="22"/>
                <w:szCs w:val="22"/>
                <w:highlight w:val="none"/>
                <w:lang w:eastAsia="zh-CN"/>
              </w:rPr>
              <w:t>采购人</w:t>
            </w:r>
            <w:r>
              <w:rPr>
                <w:rFonts w:hint="eastAsia" w:ascii="新宋体" w:hAnsi="新宋体" w:eastAsia="新宋体" w:cs="新宋体"/>
                <w:color w:val="auto"/>
                <w:kern w:val="0"/>
                <w:sz w:val="22"/>
                <w:szCs w:val="22"/>
                <w:highlight w:val="none"/>
              </w:rPr>
              <w:t>拟采购的产品属于品目清单范围内的优先采购品目的，供应商提供的产品应具有国家确定的认证机构出具的、处于有效期之内的节能产品、环境标志产品认证证书，并在响应文件中提供该产品节能产品、环境标志产品认证证书。（注：本项目执行最新政府采购节能产品、环境标志产品品目清单。）</w:t>
            </w:r>
          </w:p>
        </w:tc>
      </w:tr>
      <w:tr w14:paraId="2A7D91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569" w:type="dxa"/>
            <w:tcBorders>
              <w:top w:val="single" w:color="000000" w:sz="2" w:space="0"/>
              <w:left w:val="single" w:color="000000" w:sz="8" w:space="0"/>
              <w:bottom w:val="single" w:color="000000" w:sz="2" w:space="0"/>
              <w:right w:val="single" w:color="000000" w:sz="2" w:space="0"/>
            </w:tcBorders>
            <w:vAlign w:val="center"/>
          </w:tcPr>
          <w:p w14:paraId="212E7319">
            <w:pPr>
              <w:keepNext w:val="0"/>
              <w:keepLines w:val="0"/>
              <w:pageBreakBefore w:val="0"/>
              <w:widowControl/>
              <w:kinsoku/>
              <w:wordWrap/>
              <w:overflowPunct/>
              <w:topLinePunct w:val="0"/>
              <w:autoSpaceDE/>
              <w:autoSpaceDN/>
              <w:bidi w:val="0"/>
              <w:snapToGrid w:val="0"/>
              <w:spacing w:line="460" w:lineRule="exact"/>
              <w:jc w:val="center"/>
              <w:textAlignment w:val="center"/>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kern w:val="0"/>
                <w:sz w:val="22"/>
                <w:szCs w:val="22"/>
                <w:highlight w:val="none"/>
              </w:rPr>
              <w:t>1</w:t>
            </w:r>
            <w:r>
              <w:rPr>
                <w:rFonts w:hint="eastAsia" w:ascii="新宋体" w:hAnsi="新宋体" w:eastAsia="新宋体" w:cs="新宋体"/>
                <w:b/>
                <w:bCs/>
                <w:color w:val="auto"/>
                <w:kern w:val="0"/>
                <w:sz w:val="22"/>
                <w:szCs w:val="22"/>
                <w:highlight w:val="none"/>
                <w:lang w:val="en-US" w:eastAsia="zh-CN"/>
              </w:rPr>
              <w:t>9</w:t>
            </w:r>
          </w:p>
        </w:tc>
        <w:tc>
          <w:tcPr>
            <w:tcW w:w="9346" w:type="dxa"/>
            <w:tcBorders>
              <w:top w:val="single" w:color="000000" w:sz="2" w:space="0"/>
              <w:left w:val="single" w:color="000000" w:sz="2" w:space="0"/>
              <w:bottom w:val="single" w:color="000000" w:sz="2" w:space="0"/>
              <w:right w:val="single" w:color="000000" w:sz="8" w:space="0"/>
            </w:tcBorders>
            <w:vAlign w:val="center"/>
          </w:tcPr>
          <w:p w14:paraId="48CEDB75">
            <w:pPr>
              <w:keepNext w:val="0"/>
              <w:keepLines w:val="0"/>
              <w:pageBreakBefore w:val="0"/>
              <w:kinsoku/>
              <w:wordWrap/>
              <w:overflowPunct/>
              <w:topLinePunct w:val="0"/>
              <w:autoSpaceDE/>
              <w:autoSpaceDN/>
              <w:bidi w:val="0"/>
              <w:snapToGrid w:val="0"/>
              <w:spacing w:line="460" w:lineRule="exact"/>
              <w:ind w:left="105" w:leftChars="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根据《关于在政府采购活动中查询及使用信用记录有关问题的通知》财库[2016]125号的规定：</w:t>
            </w:r>
          </w:p>
          <w:p w14:paraId="38DEA8D3">
            <w:pPr>
              <w:keepNext w:val="0"/>
              <w:keepLines w:val="0"/>
              <w:pageBreakBefore w:val="0"/>
              <w:kinsoku/>
              <w:wordWrap/>
              <w:overflowPunct/>
              <w:topLinePunct w:val="0"/>
              <w:autoSpaceDE/>
              <w:autoSpaceDN/>
              <w:bidi w:val="0"/>
              <w:snapToGrid w:val="0"/>
              <w:spacing w:line="460" w:lineRule="exact"/>
              <w:ind w:left="105" w:leftChars="50"/>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w:t>
            </w:r>
            <w:r>
              <w:rPr>
                <w:rFonts w:hint="eastAsia" w:ascii="新宋体" w:hAnsi="新宋体" w:eastAsia="新宋体" w:cs="新宋体"/>
                <w:color w:val="auto"/>
                <w:sz w:val="22"/>
                <w:szCs w:val="22"/>
                <w:highlight w:val="none"/>
              </w:rPr>
              <w:t>1）</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或采购代理机构将对本项目供应商的信用记录进行查询。查询渠道为信用中国网站（www.creditchina.gov.cn）、中国政府采购网（www.ccgp.gov.cn）；</w:t>
            </w:r>
          </w:p>
          <w:p w14:paraId="70BF07AF">
            <w:pPr>
              <w:keepNext w:val="0"/>
              <w:keepLines w:val="0"/>
              <w:pageBreakBefore w:val="0"/>
              <w:kinsoku/>
              <w:wordWrap/>
              <w:overflowPunct/>
              <w:topLinePunct w:val="0"/>
              <w:autoSpaceDE/>
              <w:autoSpaceDN/>
              <w:bidi w:val="0"/>
              <w:snapToGrid w:val="0"/>
              <w:spacing w:line="460" w:lineRule="exact"/>
              <w:ind w:left="105" w:leftChars="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（2）截止时点：提交投标文件（响应文件）截止时间前3年内；</w:t>
            </w:r>
          </w:p>
          <w:p w14:paraId="1B1BF0C1">
            <w:pPr>
              <w:keepNext w:val="0"/>
              <w:keepLines w:val="0"/>
              <w:pageBreakBefore w:val="0"/>
              <w:kinsoku/>
              <w:wordWrap/>
              <w:overflowPunct/>
              <w:topLinePunct w:val="0"/>
              <w:autoSpaceDE/>
              <w:autoSpaceDN/>
              <w:bidi w:val="0"/>
              <w:snapToGrid w:val="0"/>
              <w:spacing w:line="460" w:lineRule="exact"/>
              <w:ind w:left="105" w:leftChars="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（3）查询记录和证据的留存：信用信息查询记录和证据以网页截图等方式留存。</w:t>
            </w:r>
          </w:p>
          <w:p w14:paraId="68A0B4CA">
            <w:pPr>
              <w:keepNext w:val="0"/>
              <w:keepLines w:val="0"/>
              <w:pageBreakBefore w:val="0"/>
              <w:kinsoku/>
              <w:wordWrap/>
              <w:overflowPunct/>
              <w:topLinePunct w:val="0"/>
              <w:autoSpaceDE/>
              <w:autoSpaceDN/>
              <w:bidi w:val="0"/>
              <w:snapToGrid w:val="0"/>
              <w:spacing w:line="460" w:lineRule="exact"/>
              <w:ind w:left="105" w:leftChars="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（4）使用规则：被列入失信被执行人、重大税收违法案件当事人名单、政府采购严重违法失信行为记录名单及其它不符合《中华人民共和国政府采购法》第二十二条规定条件的，其投标将被拒绝。</w:t>
            </w:r>
          </w:p>
          <w:p w14:paraId="27FEDAEF">
            <w:pPr>
              <w:keepNext w:val="0"/>
              <w:keepLines w:val="0"/>
              <w:pageBreakBefore w:val="0"/>
              <w:kinsoku/>
              <w:wordWrap/>
              <w:overflowPunct/>
              <w:topLinePunct w:val="0"/>
              <w:autoSpaceDE/>
              <w:autoSpaceDN/>
              <w:bidi w:val="0"/>
              <w:snapToGrid w:val="0"/>
              <w:spacing w:line="460" w:lineRule="exact"/>
              <w:ind w:left="105" w:leftChars="50"/>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u w:val="single"/>
              </w:rPr>
              <w:t>（5）联合体投标时，对所有联合体成员进行信用记录查询，联合体成员任意一方存在不良信用记录的，视同联合体存在不良信用记录。</w:t>
            </w:r>
          </w:p>
        </w:tc>
      </w:tr>
    </w:tbl>
    <w:p w14:paraId="20909A8D">
      <w:pPr>
        <w:rPr>
          <w:rFonts w:hint="eastAsia" w:ascii="新宋体" w:hAnsi="新宋体" w:eastAsia="新宋体" w:cs="新宋体"/>
          <w:b/>
          <w:bCs/>
          <w:color w:val="auto"/>
          <w:sz w:val="26"/>
          <w:szCs w:val="26"/>
          <w:highlight w:val="none"/>
        </w:rPr>
      </w:pPr>
      <w:r>
        <w:rPr>
          <w:rFonts w:hint="eastAsia" w:ascii="新宋体" w:hAnsi="新宋体" w:eastAsia="新宋体" w:cs="新宋体"/>
          <w:b/>
          <w:bCs/>
          <w:color w:val="auto"/>
          <w:sz w:val="26"/>
          <w:szCs w:val="26"/>
          <w:highlight w:val="none"/>
        </w:rPr>
        <w:br w:type="page"/>
      </w:r>
    </w:p>
    <w:p w14:paraId="764472B8">
      <w:pPr>
        <w:spacing w:before="100" w:beforeAutospacing="1" w:after="100" w:afterAutospacing="1" w:line="460" w:lineRule="exact"/>
        <w:jc w:val="center"/>
        <w:outlineLvl w:val="1"/>
        <w:rPr>
          <w:rFonts w:hint="eastAsia" w:ascii="新宋体" w:hAnsi="新宋体" w:eastAsia="新宋体" w:cs="新宋体"/>
          <w:b/>
          <w:bCs/>
          <w:color w:val="auto"/>
          <w:sz w:val="26"/>
          <w:szCs w:val="26"/>
          <w:highlight w:val="none"/>
        </w:rPr>
      </w:pPr>
      <w:bookmarkStart w:id="10" w:name="_Toc14378"/>
      <w:bookmarkStart w:id="11" w:name="_Toc20846"/>
      <w:r>
        <w:rPr>
          <w:rFonts w:hint="eastAsia" w:ascii="新宋体" w:hAnsi="新宋体" w:eastAsia="新宋体" w:cs="新宋体"/>
          <w:b/>
          <w:bCs/>
          <w:color w:val="auto"/>
          <w:sz w:val="26"/>
          <w:szCs w:val="26"/>
          <w:highlight w:val="none"/>
        </w:rPr>
        <w:t>一、 说   明</w:t>
      </w:r>
      <w:bookmarkEnd w:id="10"/>
      <w:bookmarkEnd w:id="11"/>
    </w:p>
    <w:p w14:paraId="20B1857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1、本次</w:t>
      </w:r>
      <w:r>
        <w:rPr>
          <w:rFonts w:hint="eastAsia" w:ascii="新宋体" w:hAnsi="新宋体" w:eastAsia="新宋体" w:cs="新宋体"/>
          <w:color w:val="auto"/>
          <w:sz w:val="22"/>
          <w:szCs w:val="22"/>
          <w:highlight w:val="none"/>
          <w:lang w:val="en-US" w:eastAsia="zh-CN"/>
        </w:rPr>
        <w:t>采购</w:t>
      </w:r>
      <w:r>
        <w:rPr>
          <w:rFonts w:hint="eastAsia" w:ascii="新宋体" w:hAnsi="新宋体" w:eastAsia="新宋体" w:cs="新宋体"/>
          <w:color w:val="auto"/>
          <w:sz w:val="22"/>
          <w:szCs w:val="22"/>
          <w:highlight w:val="none"/>
        </w:rPr>
        <w:t>是按照《中华人民共和国政府采购法》、《政府采购货物和服务招标投标管理办法》、《中华人民共和国政府采购法实施条例》和《关于进一步规范政府采购活动的若干意见》等法律及有关法规组织和实施的。</w:t>
      </w:r>
    </w:p>
    <w:p w14:paraId="47AE8B2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2、定义</w:t>
      </w:r>
    </w:p>
    <w:p w14:paraId="7A1443E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lang w:eastAsia="zh-CN"/>
        </w:rPr>
      </w:pP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：是指依法进行政府采购的国家机关、事业单位、团体组织</w:t>
      </w:r>
      <w:r>
        <w:rPr>
          <w:rFonts w:hint="eastAsia" w:ascii="新宋体" w:hAnsi="新宋体" w:eastAsia="新宋体" w:cs="新宋体"/>
          <w:color w:val="auto"/>
          <w:sz w:val="22"/>
          <w:highlight w:val="none"/>
          <w:lang w:eastAsia="zh-CN"/>
        </w:rPr>
        <w:t>；</w:t>
      </w:r>
    </w:p>
    <w:p w14:paraId="397290E1">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lang w:eastAsia="zh-CN"/>
        </w:rPr>
        <w:t>采购代理机构</w:t>
      </w:r>
      <w:r>
        <w:rPr>
          <w:rFonts w:hint="eastAsia" w:ascii="新宋体" w:hAnsi="新宋体" w:eastAsia="新宋体" w:cs="新宋体"/>
          <w:color w:val="auto"/>
          <w:sz w:val="22"/>
          <w:highlight w:val="none"/>
        </w:rPr>
        <w:t>：受</w:t>
      </w: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委托，在委托的范围内办理政府采购事宜的机构；</w:t>
      </w:r>
    </w:p>
    <w:p w14:paraId="1A63B40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投标人：是指参加本政府采购项目投标的供应商；</w:t>
      </w:r>
    </w:p>
    <w:p w14:paraId="262E3A17">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投标人代表：是指参加本项目投标活动的供应商法定代表人或法定代表人授权代表；</w:t>
      </w:r>
    </w:p>
    <w:p w14:paraId="0427E31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投标联合体：是指两个以上供应商组成联合体，以一个供应商的身份参加投标；</w:t>
      </w:r>
    </w:p>
    <w:p w14:paraId="30B7FA0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甲方：是指合同签订的一方，一般与</w:t>
      </w: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、用户相同；</w:t>
      </w:r>
    </w:p>
    <w:p w14:paraId="7C576FF9">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乙方：是指合同签订的另一方，与中标人相同；</w:t>
      </w:r>
    </w:p>
    <w:p w14:paraId="09EF10C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制造商：是指拥有投标产品自主知识产权的单位；</w:t>
      </w:r>
    </w:p>
    <w:p w14:paraId="426E2694">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原件备查：要求携带原件备查的，供应商应按要求携带备查，如评标委员会发现投标文件资料复印件存有瑕疵，致使内容模糊、关键信息难以辨认、材料真实性存疑等情形的，有权核对原件或评标委员会认为有必有核对原件，若供应商未能提交原件，将会导致评标委员会作出对其不利的评定，一切后果由供应商自行承担。</w:t>
      </w:r>
    </w:p>
    <w:p w14:paraId="3948FF1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带“▲”条款系指实质性要求条款。“★”是关键技术参数及要求。</w:t>
      </w:r>
    </w:p>
    <w:p w14:paraId="652A92F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color w:val="auto"/>
          <w:sz w:val="22"/>
          <w:szCs w:val="22"/>
          <w:highlight w:val="none"/>
        </w:rPr>
        <w:t>3、投标人代表</w:t>
      </w:r>
    </w:p>
    <w:p w14:paraId="7E0D1B79">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highlight w:val="none"/>
        </w:rPr>
      </w:pPr>
      <w:r>
        <w:rPr>
          <w:rFonts w:hint="eastAsia" w:ascii="新宋体" w:hAnsi="新宋体" w:eastAsia="新宋体" w:cs="新宋体"/>
          <w:b/>
          <w:color w:val="auto"/>
          <w:sz w:val="22"/>
          <w:szCs w:val="22"/>
          <w:highlight w:val="none"/>
        </w:rPr>
        <w:t>3.1</w:t>
      </w:r>
      <w:r>
        <w:rPr>
          <w:rFonts w:hint="eastAsia" w:ascii="新宋体" w:hAnsi="新宋体" w:eastAsia="新宋体" w:cs="新宋体"/>
          <w:b/>
          <w:color w:val="auto"/>
          <w:sz w:val="22"/>
          <w:highlight w:val="none"/>
        </w:rPr>
        <w:t>指全权代表投标人参加投标活动并签署投标文件的人。如果投标人代表不是法定代表人，须持有《法定代表人授权书》（见附件）</w:t>
      </w:r>
    </w:p>
    <w:p w14:paraId="135B3080">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highlight w:val="none"/>
        </w:rPr>
        <w:t>根据政府采购相关法律、法规、规章、文件规定并满足</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规定资格条件的区域性分支机构、个体工商户、个人独资企业、合伙企业参加本项目投标并由单位负责人签署的相关投标资料与本</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规定由法定代表人签署的的文件材料具有同等效力</w:t>
      </w:r>
      <w:r>
        <w:rPr>
          <w:rFonts w:hint="eastAsia" w:ascii="新宋体" w:hAnsi="新宋体" w:eastAsia="新宋体" w:cs="新宋体"/>
          <w:b/>
          <w:color w:val="auto"/>
          <w:sz w:val="22"/>
          <w:szCs w:val="22"/>
          <w:highlight w:val="none"/>
        </w:rPr>
        <w:t>。</w:t>
      </w:r>
    </w:p>
    <w:p w14:paraId="310AE3B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4、投标费用</w:t>
      </w:r>
    </w:p>
    <w:p w14:paraId="2E7A9A3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color w:val="auto"/>
          <w:sz w:val="22"/>
          <w:szCs w:val="22"/>
          <w:highlight w:val="none"/>
        </w:rPr>
        <w:t>4.1</w:t>
      </w:r>
      <w:r>
        <w:rPr>
          <w:rFonts w:hint="eastAsia" w:ascii="新宋体" w:hAnsi="新宋体" w:eastAsia="新宋体" w:cs="新宋体"/>
          <w:color w:val="auto"/>
          <w:sz w:val="22"/>
          <w:szCs w:val="22"/>
          <w:highlight w:val="none"/>
        </w:rPr>
        <w:t>投标人应承担所有与准备和参加投标有关费用，不论投标的结果如何，</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或</w:t>
      </w:r>
      <w:r>
        <w:rPr>
          <w:rFonts w:hint="eastAsia" w:ascii="新宋体" w:hAnsi="新宋体" w:eastAsia="新宋体" w:cs="新宋体"/>
          <w:color w:val="auto"/>
          <w:sz w:val="22"/>
          <w:szCs w:val="22"/>
          <w:highlight w:val="none"/>
          <w:lang w:eastAsia="zh-CN"/>
        </w:rPr>
        <w:t>采购代理机构</w:t>
      </w:r>
      <w:r>
        <w:rPr>
          <w:rFonts w:hint="eastAsia" w:ascii="新宋体" w:hAnsi="新宋体" w:eastAsia="新宋体" w:cs="新宋体"/>
          <w:color w:val="auto"/>
          <w:sz w:val="22"/>
          <w:szCs w:val="22"/>
          <w:highlight w:val="none"/>
        </w:rPr>
        <w:t>均无义务和责任承担这些费用。</w:t>
      </w:r>
    </w:p>
    <w:p w14:paraId="64A47419">
      <w:pPr>
        <w:spacing w:before="100" w:beforeAutospacing="1" w:after="100" w:afterAutospacing="1" w:line="460" w:lineRule="exact"/>
        <w:jc w:val="center"/>
        <w:outlineLvl w:val="1"/>
        <w:rPr>
          <w:rFonts w:hint="eastAsia" w:ascii="新宋体" w:hAnsi="新宋体" w:eastAsia="新宋体" w:cs="新宋体"/>
          <w:b/>
          <w:bCs/>
          <w:color w:val="auto"/>
          <w:sz w:val="26"/>
          <w:szCs w:val="26"/>
          <w:highlight w:val="none"/>
          <w:lang w:eastAsia="zh-CN"/>
        </w:rPr>
      </w:pPr>
      <w:bookmarkStart w:id="12" w:name="_Toc9899"/>
      <w:bookmarkStart w:id="13" w:name="_Toc11560"/>
      <w:r>
        <w:rPr>
          <w:rFonts w:hint="eastAsia" w:ascii="新宋体" w:hAnsi="新宋体" w:eastAsia="新宋体" w:cs="新宋体"/>
          <w:b/>
          <w:bCs/>
          <w:color w:val="auto"/>
          <w:sz w:val="26"/>
          <w:szCs w:val="26"/>
          <w:highlight w:val="none"/>
        </w:rPr>
        <w:t xml:space="preserve">二、 </w:t>
      </w:r>
      <w:bookmarkEnd w:id="12"/>
      <w:r>
        <w:rPr>
          <w:rFonts w:hint="eastAsia" w:ascii="新宋体" w:hAnsi="新宋体" w:eastAsia="新宋体" w:cs="新宋体"/>
          <w:b/>
          <w:bCs/>
          <w:color w:val="auto"/>
          <w:sz w:val="26"/>
          <w:szCs w:val="26"/>
          <w:highlight w:val="none"/>
          <w:lang w:eastAsia="zh-CN"/>
        </w:rPr>
        <w:t>采购文件</w:t>
      </w:r>
      <w:bookmarkEnd w:id="13"/>
    </w:p>
    <w:p w14:paraId="4FE518B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1、</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由</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目录所列内容及相关资料组成。</w:t>
      </w:r>
    </w:p>
    <w:p w14:paraId="1335641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highlight w:val="none"/>
        </w:rPr>
      </w:pPr>
      <w:r>
        <w:rPr>
          <w:rFonts w:hint="eastAsia" w:ascii="新宋体" w:hAnsi="新宋体" w:eastAsia="新宋体" w:cs="新宋体"/>
          <w:b/>
          <w:color w:val="auto"/>
          <w:sz w:val="22"/>
          <w:highlight w:val="none"/>
        </w:rPr>
        <w:t>2、</w:t>
      </w:r>
      <w:r>
        <w:rPr>
          <w:rFonts w:hint="eastAsia" w:ascii="新宋体" w:hAnsi="新宋体" w:eastAsia="新宋体" w:cs="新宋体"/>
          <w:b/>
          <w:color w:val="auto"/>
          <w:sz w:val="22"/>
          <w:highlight w:val="none"/>
          <w:lang w:eastAsia="zh-CN"/>
        </w:rPr>
        <w:t>采购文件</w:t>
      </w:r>
      <w:r>
        <w:rPr>
          <w:rFonts w:hint="eastAsia" w:ascii="新宋体" w:hAnsi="新宋体" w:eastAsia="新宋体" w:cs="新宋体"/>
          <w:b/>
          <w:color w:val="auto"/>
          <w:sz w:val="22"/>
          <w:highlight w:val="none"/>
        </w:rPr>
        <w:t>的澄清</w:t>
      </w:r>
    </w:p>
    <w:p w14:paraId="54CDA4F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2.1任何要求对</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进行澄清的投标人，均应以书面形式（信函、传真，下同）通知，但该通知在知道或应知道其权益受到损害之日起七个工作日内以使</w:t>
      </w: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或</w:t>
      </w:r>
      <w:r>
        <w:rPr>
          <w:rFonts w:hint="eastAsia" w:ascii="新宋体" w:hAnsi="新宋体" w:eastAsia="新宋体" w:cs="新宋体"/>
          <w:color w:val="auto"/>
          <w:sz w:val="22"/>
          <w:highlight w:val="none"/>
          <w:lang w:eastAsia="zh-CN"/>
        </w:rPr>
        <w:t>采购代理机构</w:t>
      </w:r>
      <w:r>
        <w:rPr>
          <w:rFonts w:hint="eastAsia" w:ascii="新宋体" w:hAnsi="新宋体" w:eastAsia="新宋体" w:cs="新宋体"/>
          <w:color w:val="auto"/>
          <w:sz w:val="22"/>
          <w:highlight w:val="none"/>
        </w:rPr>
        <w:t>收到，</w:t>
      </w: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或</w:t>
      </w:r>
      <w:r>
        <w:rPr>
          <w:rFonts w:hint="eastAsia" w:ascii="新宋体" w:hAnsi="新宋体" w:eastAsia="新宋体" w:cs="新宋体"/>
          <w:color w:val="auto"/>
          <w:sz w:val="22"/>
          <w:highlight w:val="none"/>
          <w:lang w:eastAsia="zh-CN"/>
        </w:rPr>
        <w:t>采购代理机构</w:t>
      </w:r>
      <w:r>
        <w:rPr>
          <w:rFonts w:hint="eastAsia" w:ascii="新宋体" w:hAnsi="新宋体" w:eastAsia="新宋体" w:cs="新宋体"/>
          <w:color w:val="auto"/>
          <w:sz w:val="22"/>
          <w:highlight w:val="none"/>
        </w:rPr>
        <w:t>将以书面形式予以答复。如果</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澄清期内未收到有关澄清要求，视为投标人完全同意</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所有条款，且对于</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有关表述以及未尽事宜如有异议，以</w:t>
      </w: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或</w:t>
      </w:r>
      <w:r>
        <w:rPr>
          <w:rFonts w:hint="eastAsia" w:ascii="新宋体" w:hAnsi="新宋体" w:eastAsia="新宋体" w:cs="新宋体"/>
          <w:color w:val="auto"/>
          <w:sz w:val="22"/>
          <w:highlight w:val="none"/>
          <w:lang w:eastAsia="zh-CN"/>
        </w:rPr>
        <w:t>采购代理机构</w:t>
      </w:r>
      <w:r>
        <w:rPr>
          <w:rFonts w:hint="eastAsia" w:ascii="新宋体" w:hAnsi="新宋体" w:eastAsia="新宋体" w:cs="新宋体"/>
          <w:color w:val="auto"/>
          <w:sz w:val="22"/>
          <w:highlight w:val="none"/>
        </w:rPr>
        <w:t>解释为准。</w:t>
      </w:r>
    </w:p>
    <w:p w14:paraId="46E16717">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highlight w:val="none"/>
        </w:rPr>
      </w:pPr>
      <w:r>
        <w:rPr>
          <w:rFonts w:hint="eastAsia" w:ascii="新宋体" w:hAnsi="新宋体" w:eastAsia="新宋体" w:cs="新宋体"/>
          <w:b/>
          <w:color w:val="auto"/>
          <w:sz w:val="22"/>
          <w:highlight w:val="none"/>
        </w:rPr>
        <w:t>3、</w:t>
      </w:r>
      <w:r>
        <w:rPr>
          <w:rFonts w:hint="eastAsia" w:ascii="新宋体" w:hAnsi="新宋体" w:eastAsia="新宋体" w:cs="新宋体"/>
          <w:b/>
          <w:color w:val="auto"/>
          <w:sz w:val="22"/>
          <w:highlight w:val="none"/>
          <w:lang w:eastAsia="zh-CN"/>
        </w:rPr>
        <w:t>采购文件</w:t>
      </w:r>
      <w:r>
        <w:rPr>
          <w:rFonts w:hint="eastAsia" w:ascii="新宋体" w:hAnsi="新宋体" w:eastAsia="新宋体" w:cs="新宋体"/>
          <w:b/>
          <w:color w:val="auto"/>
          <w:sz w:val="22"/>
          <w:highlight w:val="none"/>
        </w:rPr>
        <w:t>的修改</w:t>
      </w:r>
    </w:p>
    <w:p w14:paraId="47C968B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3.1</w:t>
      </w: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或</w:t>
      </w:r>
      <w:r>
        <w:rPr>
          <w:rFonts w:hint="eastAsia" w:ascii="新宋体" w:hAnsi="新宋体" w:eastAsia="新宋体" w:cs="新宋体"/>
          <w:color w:val="auto"/>
          <w:sz w:val="22"/>
          <w:highlight w:val="none"/>
          <w:lang w:eastAsia="zh-CN"/>
        </w:rPr>
        <w:t>采购代理机构</w:t>
      </w:r>
      <w:r>
        <w:rPr>
          <w:rFonts w:hint="eastAsia" w:ascii="新宋体" w:hAnsi="新宋体" w:eastAsia="新宋体" w:cs="新宋体"/>
          <w:color w:val="auto"/>
          <w:sz w:val="22"/>
          <w:highlight w:val="none"/>
        </w:rPr>
        <w:t>对已发出的</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进行必要的澄清或者修改的，应当在</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要求递交投标文件截止时间十五日前，在财政部门指定的政府采购信息发布媒体上发布更正公告，该澄清或修改内容为</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的组成部分。</w:t>
      </w:r>
    </w:p>
    <w:p w14:paraId="31B8DE3A">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highlight w:val="none"/>
        </w:rPr>
        <w:t>3.2</w:t>
      </w: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w:t>
      </w:r>
      <w:r>
        <w:rPr>
          <w:rFonts w:hint="eastAsia" w:ascii="新宋体" w:hAnsi="新宋体" w:eastAsia="新宋体" w:cs="新宋体"/>
          <w:color w:val="auto"/>
          <w:sz w:val="22"/>
          <w:highlight w:val="none"/>
          <w:lang w:eastAsia="zh-CN"/>
        </w:rPr>
        <w:t>采购代理机构</w:t>
      </w:r>
      <w:r>
        <w:rPr>
          <w:rFonts w:hint="eastAsia" w:ascii="新宋体" w:hAnsi="新宋体" w:eastAsia="新宋体" w:cs="新宋体"/>
          <w:color w:val="auto"/>
          <w:sz w:val="22"/>
          <w:highlight w:val="none"/>
        </w:rPr>
        <w:t>可以视采购的具体情况决定是否延长投标截止时间和开标时间，并在</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要求递交投标文件的截止时间前，在财政部门指定的政府采购信息发布媒体上发布变更公告。</w:t>
      </w:r>
    </w:p>
    <w:p w14:paraId="3E545F97">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highlight w:val="none"/>
          <w:lang w:val="en-US" w:eastAsia="zh-CN"/>
        </w:rPr>
        <w:t>注：</w:t>
      </w:r>
      <w:r>
        <w:rPr>
          <w:rFonts w:hint="eastAsia" w:ascii="新宋体" w:hAnsi="新宋体" w:eastAsia="新宋体" w:cs="新宋体"/>
          <w:color w:val="auto"/>
          <w:sz w:val="22"/>
          <w:highlight w:val="none"/>
        </w:rPr>
        <w:t>潜在投标人应自行关注网站公告，</w:t>
      </w: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w:t>
      </w:r>
      <w:r>
        <w:rPr>
          <w:rFonts w:hint="eastAsia" w:ascii="新宋体" w:hAnsi="新宋体" w:eastAsia="新宋体" w:cs="新宋体"/>
          <w:color w:val="auto"/>
          <w:sz w:val="22"/>
          <w:highlight w:val="none"/>
          <w:lang w:eastAsia="zh-CN"/>
        </w:rPr>
        <w:t>采购代理机构</w:t>
      </w:r>
      <w:r>
        <w:rPr>
          <w:rFonts w:hint="eastAsia" w:ascii="新宋体" w:hAnsi="新宋体" w:eastAsia="新宋体" w:cs="新宋体"/>
          <w:color w:val="auto"/>
          <w:sz w:val="22"/>
          <w:highlight w:val="none"/>
        </w:rPr>
        <w:t>不再一一通知。投标人因自身贻误行为导致投标失败的，责任自负。</w:t>
      </w:r>
    </w:p>
    <w:p w14:paraId="7570552F">
      <w:pPr>
        <w:spacing w:before="100" w:beforeAutospacing="1" w:after="100" w:afterAutospacing="1" w:line="460" w:lineRule="exact"/>
        <w:jc w:val="center"/>
        <w:outlineLvl w:val="1"/>
        <w:rPr>
          <w:rFonts w:hint="eastAsia" w:ascii="新宋体" w:hAnsi="新宋体" w:eastAsia="新宋体" w:cs="新宋体"/>
          <w:b/>
          <w:bCs/>
          <w:color w:val="auto"/>
          <w:sz w:val="26"/>
          <w:szCs w:val="26"/>
          <w:highlight w:val="none"/>
        </w:rPr>
      </w:pPr>
      <w:bookmarkStart w:id="14" w:name="_Toc19196"/>
      <w:bookmarkStart w:id="15" w:name="_Toc12726"/>
      <w:r>
        <w:rPr>
          <w:rFonts w:hint="eastAsia" w:ascii="新宋体" w:hAnsi="新宋体" w:eastAsia="新宋体" w:cs="新宋体"/>
          <w:b/>
          <w:bCs/>
          <w:color w:val="auto"/>
          <w:sz w:val="26"/>
          <w:szCs w:val="26"/>
          <w:highlight w:val="none"/>
        </w:rPr>
        <w:t>三、 投标文件的编制</w:t>
      </w:r>
      <w:bookmarkEnd w:id="14"/>
      <w:bookmarkEnd w:id="15"/>
    </w:p>
    <w:p w14:paraId="79A336D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1、投标人应认真阅读</w:t>
      </w:r>
      <w:r>
        <w:rPr>
          <w:rFonts w:hint="eastAsia" w:ascii="新宋体" w:hAnsi="新宋体" w:eastAsia="新宋体" w:cs="新宋体"/>
          <w:color w:val="auto"/>
          <w:sz w:val="22"/>
          <w:highlight w:val="none"/>
          <w:lang w:eastAsia="zh-CN"/>
        </w:rPr>
        <w:t>采购文件</w:t>
      </w:r>
      <w:r>
        <w:rPr>
          <w:rFonts w:hint="eastAsia" w:ascii="新宋体" w:hAnsi="新宋体" w:eastAsia="新宋体" w:cs="新宋体"/>
          <w:color w:val="auto"/>
          <w:sz w:val="22"/>
          <w:highlight w:val="none"/>
        </w:rPr>
        <w:t>中所有事项、格式、条款和技术规范等。</w:t>
      </w:r>
      <w:r>
        <w:rPr>
          <w:rFonts w:hint="eastAsia" w:ascii="新宋体" w:hAnsi="新宋体" w:eastAsia="新宋体" w:cs="新宋体"/>
          <w:b/>
          <w:color w:val="auto"/>
          <w:sz w:val="22"/>
          <w:highlight w:val="none"/>
        </w:rPr>
        <w:t>投标人没有按照</w:t>
      </w:r>
      <w:r>
        <w:rPr>
          <w:rFonts w:hint="eastAsia" w:ascii="新宋体" w:hAnsi="新宋体" w:eastAsia="新宋体" w:cs="新宋体"/>
          <w:b/>
          <w:color w:val="auto"/>
          <w:sz w:val="22"/>
          <w:highlight w:val="none"/>
          <w:lang w:eastAsia="zh-CN"/>
        </w:rPr>
        <w:t>采购文件</w:t>
      </w:r>
      <w:r>
        <w:rPr>
          <w:rFonts w:hint="eastAsia" w:ascii="新宋体" w:hAnsi="新宋体" w:eastAsia="新宋体" w:cs="新宋体"/>
          <w:b/>
          <w:color w:val="auto"/>
          <w:sz w:val="22"/>
          <w:highlight w:val="none"/>
        </w:rPr>
        <w:t>要求提交全部资料，或者没有对</w:t>
      </w:r>
      <w:r>
        <w:rPr>
          <w:rFonts w:hint="eastAsia" w:ascii="新宋体" w:hAnsi="新宋体" w:eastAsia="新宋体" w:cs="新宋体"/>
          <w:b/>
          <w:color w:val="auto"/>
          <w:sz w:val="22"/>
          <w:highlight w:val="none"/>
          <w:lang w:eastAsia="zh-CN"/>
        </w:rPr>
        <w:t>采购文件</w:t>
      </w:r>
      <w:r>
        <w:rPr>
          <w:rFonts w:hint="eastAsia" w:ascii="新宋体" w:hAnsi="新宋体" w:eastAsia="新宋体" w:cs="新宋体"/>
          <w:b/>
          <w:color w:val="auto"/>
          <w:sz w:val="22"/>
          <w:highlight w:val="none"/>
        </w:rPr>
        <w:t>各个方面做出实质性响应，导致投标被否决的风险由投标人自行承担。</w:t>
      </w:r>
    </w:p>
    <w:p w14:paraId="6F5C0D6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highlight w:val="none"/>
        </w:rPr>
        <w:t>2、投标人应保证所提供文件资料的真实性，所有文件资料必须是针对本次投标的。如发现投标人提供了虚假文件资料，其投标将被否决，并自行承担相应的法律责任。</w:t>
      </w:r>
    </w:p>
    <w:p w14:paraId="66FC4F3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3、</w:t>
      </w:r>
      <w:r>
        <w:rPr>
          <w:rFonts w:hint="eastAsia" w:ascii="新宋体" w:hAnsi="新宋体" w:eastAsia="新宋体" w:cs="新宋体"/>
          <w:b/>
          <w:bCs/>
          <w:color w:val="auto"/>
          <w:sz w:val="22"/>
          <w:szCs w:val="22"/>
          <w:highlight w:val="none"/>
        </w:rPr>
        <w:t>投标文件的构成：</w:t>
      </w:r>
    </w:p>
    <w:p w14:paraId="41A50052">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kern w:val="0"/>
          <w:sz w:val="22"/>
          <w:szCs w:val="22"/>
          <w:highlight w:val="none"/>
        </w:rPr>
        <w:t>投标</w:t>
      </w:r>
      <w:r>
        <w:rPr>
          <w:rFonts w:hint="eastAsia" w:ascii="新宋体" w:hAnsi="新宋体" w:eastAsia="新宋体" w:cs="新宋体"/>
          <w:b/>
          <w:bCs/>
          <w:color w:val="auto"/>
          <w:kern w:val="0"/>
          <w:sz w:val="22"/>
          <w:szCs w:val="22"/>
          <w:highlight w:val="none"/>
          <w:lang w:val="zh-CN"/>
        </w:rPr>
        <w:t>文件应当包括以下主要内容：资格文件、报价文件、商务技术文件。</w:t>
      </w:r>
    </w:p>
    <w:p w14:paraId="5262789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rPr>
        <w:t>3.1</w:t>
      </w:r>
      <w:r>
        <w:rPr>
          <w:rFonts w:hint="eastAsia" w:ascii="新宋体" w:hAnsi="新宋体" w:eastAsia="新宋体" w:cs="新宋体"/>
          <w:b/>
          <w:bCs/>
          <w:color w:val="auto"/>
          <w:kern w:val="0"/>
          <w:sz w:val="22"/>
          <w:szCs w:val="22"/>
          <w:highlight w:val="none"/>
          <w:lang w:val="zh-CN"/>
        </w:rPr>
        <w:t xml:space="preserve">投标人的资格文件至少应包括以下内容： </w:t>
      </w:r>
    </w:p>
    <w:p w14:paraId="10943D86">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kern w:val="0"/>
          <w:sz w:val="22"/>
          <w:szCs w:val="22"/>
          <w:highlight w:val="none"/>
          <w:u w:val="single"/>
          <w:lang w:val="zh-CN"/>
        </w:rPr>
        <w:t>基本资格条件审查材料：即证明供应商参加本次采购活动前3年内满足《中华人民共和国政府采购法》的有关资格证明文件。</w:t>
      </w:r>
      <w:r>
        <w:rPr>
          <w:rFonts w:hint="eastAsia" w:ascii="新宋体" w:hAnsi="新宋体" w:eastAsia="新宋体" w:cs="新宋体"/>
          <w:color w:val="auto"/>
          <w:sz w:val="22"/>
          <w:szCs w:val="22"/>
          <w:highlight w:val="none"/>
          <w:u w:val="single"/>
        </w:rPr>
        <w:t>包括：</w:t>
      </w:r>
    </w:p>
    <w:p w14:paraId="11ADC4F7">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u w:val="single"/>
          <w:lang w:val="zh-CN" w:eastAsia="zh-CN"/>
        </w:rPr>
      </w:pPr>
      <w:r>
        <w:rPr>
          <w:rFonts w:hint="eastAsia" w:ascii="新宋体" w:hAnsi="新宋体" w:eastAsia="新宋体" w:cs="新宋体"/>
          <w:color w:val="auto"/>
          <w:kern w:val="0"/>
          <w:sz w:val="22"/>
          <w:szCs w:val="22"/>
          <w:highlight w:val="none"/>
          <w:u w:val="single"/>
          <w:lang w:val="zh-CN"/>
        </w:rPr>
        <w:t>（</w:t>
      </w:r>
      <w:r>
        <w:rPr>
          <w:rFonts w:hint="eastAsia" w:ascii="新宋体" w:hAnsi="新宋体" w:eastAsia="新宋体" w:cs="新宋体"/>
          <w:color w:val="auto"/>
          <w:kern w:val="0"/>
          <w:sz w:val="22"/>
          <w:szCs w:val="22"/>
          <w:highlight w:val="none"/>
          <w:u w:val="single"/>
        </w:rPr>
        <w:t>1</w:t>
      </w:r>
      <w:r>
        <w:rPr>
          <w:rFonts w:hint="eastAsia" w:ascii="新宋体" w:hAnsi="新宋体" w:eastAsia="新宋体" w:cs="新宋体"/>
          <w:color w:val="auto"/>
          <w:kern w:val="0"/>
          <w:sz w:val="22"/>
          <w:szCs w:val="22"/>
          <w:highlight w:val="none"/>
          <w:u w:val="single"/>
          <w:lang w:val="zh-CN"/>
        </w:rPr>
        <w:t>）资格条件承诺函；</w:t>
      </w:r>
      <w:r>
        <w:rPr>
          <w:rFonts w:hint="eastAsia" w:ascii="新宋体" w:hAnsi="新宋体" w:eastAsia="新宋体" w:cs="新宋体"/>
          <w:b/>
          <w:bCs/>
          <w:color w:val="auto"/>
          <w:sz w:val="22"/>
          <w:szCs w:val="22"/>
          <w:highlight w:val="none"/>
        </w:rPr>
        <w:t>（如为联合体投标，联合体各方均需提供</w:t>
      </w:r>
      <w:r>
        <w:rPr>
          <w:rFonts w:hint="eastAsia" w:ascii="新宋体" w:hAnsi="新宋体" w:eastAsia="新宋体" w:cs="新宋体"/>
          <w:b/>
          <w:bCs/>
          <w:color w:val="auto"/>
          <w:sz w:val="22"/>
          <w:szCs w:val="22"/>
          <w:highlight w:val="none"/>
          <w:lang w:eastAsia="zh-CN"/>
        </w:rPr>
        <w:t>）</w:t>
      </w:r>
    </w:p>
    <w:p w14:paraId="4CAF64D6">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u w:val="single"/>
          <w:lang w:val="zh-CN" w:eastAsia="zh-CN"/>
        </w:rPr>
      </w:pPr>
      <w:r>
        <w:rPr>
          <w:rFonts w:hint="eastAsia" w:ascii="新宋体" w:hAnsi="新宋体" w:eastAsia="新宋体" w:cs="新宋体"/>
          <w:color w:val="auto"/>
          <w:kern w:val="0"/>
          <w:sz w:val="22"/>
          <w:szCs w:val="22"/>
          <w:highlight w:val="none"/>
          <w:u w:val="single"/>
          <w:lang w:val="zh-CN"/>
        </w:rPr>
        <w:t>（</w:t>
      </w:r>
      <w:r>
        <w:rPr>
          <w:rFonts w:hint="eastAsia" w:ascii="新宋体" w:hAnsi="新宋体" w:eastAsia="新宋体" w:cs="新宋体"/>
          <w:color w:val="auto"/>
          <w:kern w:val="0"/>
          <w:sz w:val="22"/>
          <w:szCs w:val="22"/>
          <w:highlight w:val="none"/>
          <w:u w:val="single"/>
        </w:rPr>
        <w:t>2</w:t>
      </w:r>
      <w:r>
        <w:rPr>
          <w:rFonts w:hint="eastAsia" w:ascii="新宋体" w:hAnsi="新宋体" w:eastAsia="新宋体" w:cs="新宋体"/>
          <w:color w:val="auto"/>
          <w:kern w:val="0"/>
          <w:sz w:val="22"/>
          <w:szCs w:val="22"/>
          <w:highlight w:val="none"/>
          <w:u w:val="single"/>
          <w:lang w:val="zh-CN"/>
        </w:rPr>
        <w:t xml:space="preserve">）营业执照（或事业法人登记证书或其它工商等登记证明材料；自然人参与政府采购，提供身份证）复印件； </w:t>
      </w:r>
      <w:r>
        <w:rPr>
          <w:rFonts w:hint="eastAsia" w:ascii="新宋体" w:hAnsi="新宋体" w:eastAsia="新宋体" w:cs="新宋体"/>
          <w:b/>
          <w:bCs/>
          <w:color w:val="auto"/>
          <w:sz w:val="22"/>
          <w:szCs w:val="22"/>
          <w:highlight w:val="none"/>
        </w:rPr>
        <w:t>（如为联合体投标，联合体各方均需提供</w:t>
      </w:r>
      <w:r>
        <w:rPr>
          <w:rFonts w:hint="eastAsia" w:ascii="新宋体" w:hAnsi="新宋体" w:eastAsia="新宋体" w:cs="新宋体"/>
          <w:b/>
          <w:bCs/>
          <w:color w:val="auto"/>
          <w:sz w:val="22"/>
          <w:szCs w:val="22"/>
          <w:highlight w:val="none"/>
          <w:lang w:eastAsia="zh-CN"/>
        </w:rPr>
        <w:t>）</w:t>
      </w:r>
    </w:p>
    <w:p w14:paraId="38FBFDB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u w:val="single"/>
          <w:lang w:val="zh-CN"/>
        </w:rPr>
      </w:pPr>
      <w:r>
        <w:rPr>
          <w:rFonts w:hint="eastAsia" w:ascii="新宋体" w:hAnsi="新宋体" w:eastAsia="新宋体" w:cs="新宋体"/>
          <w:color w:val="auto"/>
          <w:kern w:val="0"/>
          <w:sz w:val="22"/>
          <w:szCs w:val="22"/>
          <w:highlight w:val="none"/>
          <w:u w:val="single"/>
          <w:lang w:val="zh-CN"/>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4B90A5F1">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u w:val="single"/>
          <w:lang w:val="zh-CN" w:eastAsia="zh-CN"/>
        </w:rPr>
      </w:pPr>
      <w:r>
        <w:rPr>
          <w:rFonts w:hint="eastAsia" w:ascii="新宋体" w:hAnsi="新宋体" w:eastAsia="新宋体" w:cs="新宋体"/>
          <w:color w:val="auto"/>
          <w:kern w:val="0"/>
          <w:sz w:val="22"/>
          <w:szCs w:val="22"/>
          <w:highlight w:val="none"/>
          <w:u w:val="single"/>
        </w:rPr>
        <w:t>（3）投标人信用查询；</w:t>
      </w:r>
      <w:r>
        <w:rPr>
          <w:rFonts w:hint="eastAsia" w:ascii="新宋体" w:hAnsi="新宋体" w:eastAsia="新宋体" w:cs="新宋体"/>
          <w:b/>
          <w:bCs/>
          <w:color w:val="auto"/>
          <w:sz w:val="22"/>
          <w:szCs w:val="22"/>
          <w:highlight w:val="none"/>
        </w:rPr>
        <w:t>（如为联合体投标，联合体各方均需提供</w:t>
      </w:r>
      <w:r>
        <w:rPr>
          <w:rFonts w:hint="eastAsia" w:ascii="新宋体" w:hAnsi="新宋体" w:eastAsia="新宋体" w:cs="新宋体"/>
          <w:b/>
          <w:bCs/>
          <w:color w:val="auto"/>
          <w:sz w:val="22"/>
          <w:szCs w:val="22"/>
          <w:highlight w:val="none"/>
          <w:lang w:eastAsia="zh-CN"/>
        </w:rPr>
        <w:t>）</w:t>
      </w:r>
    </w:p>
    <w:p w14:paraId="79858FF6">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u w:val="single"/>
          <w:lang w:val="zh-CN"/>
        </w:rPr>
      </w:pPr>
      <w:r>
        <w:rPr>
          <w:rFonts w:hint="eastAsia" w:ascii="新宋体" w:hAnsi="新宋体" w:eastAsia="新宋体" w:cs="新宋体"/>
          <w:color w:val="auto"/>
          <w:kern w:val="0"/>
          <w:sz w:val="22"/>
          <w:szCs w:val="22"/>
          <w:highlight w:val="none"/>
          <w:u w:val="single"/>
          <w:lang w:val="zh-CN" w:eastAsia="zh-CN"/>
        </w:rPr>
        <w:t>（</w:t>
      </w:r>
      <w:r>
        <w:rPr>
          <w:rFonts w:hint="eastAsia" w:ascii="新宋体" w:hAnsi="新宋体" w:eastAsia="新宋体" w:cs="新宋体"/>
          <w:color w:val="auto"/>
          <w:kern w:val="0"/>
          <w:sz w:val="22"/>
          <w:szCs w:val="22"/>
          <w:highlight w:val="none"/>
          <w:u w:val="single"/>
          <w:lang w:val="en-US" w:eastAsia="zh-CN"/>
        </w:rPr>
        <w:t>4</w:t>
      </w:r>
      <w:r>
        <w:rPr>
          <w:rFonts w:hint="eastAsia" w:ascii="新宋体" w:hAnsi="新宋体" w:eastAsia="新宋体" w:cs="新宋体"/>
          <w:color w:val="auto"/>
          <w:kern w:val="0"/>
          <w:sz w:val="22"/>
          <w:szCs w:val="22"/>
          <w:highlight w:val="none"/>
          <w:u w:val="single"/>
          <w:lang w:val="zh-CN" w:eastAsia="zh-CN"/>
        </w:rPr>
        <w:t>）落实政府采购政策需满足的资格要求证明材料：中小企业声明函、监狱企业、残疾人福利性单位及其他相关的充分的证明材料；</w:t>
      </w:r>
      <w:r>
        <w:rPr>
          <w:rFonts w:hint="eastAsia" w:ascii="新宋体" w:hAnsi="新宋体" w:eastAsia="新宋体" w:cs="新宋体"/>
          <w:b/>
          <w:bCs/>
          <w:color w:val="auto"/>
          <w:sz w:val="22"/>
          <w:szCs w:val="22"/>
          <w:highlight w:val="none"/>
        </w:rPr>
        <w:t>（如为联合体投标，联合体各方均需提供</w:t>
      </w:r>
      <w:r>
        <w:rPr>
          <w:rFonts w:hint="eastAsia" w:ascii="新宋体" w:hAnsi="新宋体" w:eastAsia="新宋体" w:cs="新宋体"/>
          <w:b/>
          <w:bCs/>
          <w:color w:val="auto"/>
          <w:sz w:val="22"/>
          <w:szCs w:val="22"/>
          <w:highlight w:val="none"/>
          <w:lang w:eastAsia="zh-CN"/>
        </w:rPr>
        <w:t>）</w:t>
      </w:r>
    </w:p>
    <w:p w14:paraId="669444CA">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u w:val="single"/>
          <w:lang w:val="zh-CN"/>
        </w:rPr>
      </w:pPr>
      <w:r>
        <w:rPr>
          <w:rFonts w:hint="eastAsia" w:ascii="新宋体" w:hAnsi="新宋体" w:eastAsia="新宋体" w:cs="新宋体"/>
          <w:color w:val="auto"/>
          <w:kern w:val="0"/>
          <w:sz w:val="22"/>
          <w:szCs w:val="22"/>
          <w:highlight w:val="none"/>
          <w:u w:val="single"/>
          <w:lang w:val="zh-CN"/>
        </w:rPr>
        <w:t>（</w:t>
      </w:r>
      <w:r>
        <w:rPr>
          <w:rFonts w:hint="eastAsia" w:ascii="新宋体" w:hAnsi="新宋体" w:eastAsia="新宋体" w:cs="新宋体"/>
          <w:color w:val="auto"/>
          <w:kern w:val="0"/>
          <w:sz w:val="22"/>
          <w:szCs w:val="22"/>
          <w:highlight w:val="none"/>
          <w:u w:val="single"/>
          <w:lang w:val="en-US" w:eastAsia="zh-CN"/>
        </w:rPr>
        <w:t>5</w:t>
      </w:r>
      <w:r>
        <w:rPr>
          <w:rFonts w:hint="eastAsia" w:ascii="新宋体" w:hAnsi="新宋体" w:eastAsia="新宋体" w:cs="新宋体"/>
          <w:color w:val="auto"/>
          <w:kern w:val="0"/>
          <w:sz w:val="22"/>
          <w:szCs w:val="22"/>
          <w:highlight w:val="none"/>
          <w:u w:val="single"/>
          <w:lang w:val="zh-CN"/>
        </w:rPr>
        <w:t>）政府采购活动现场确认声明书</w:t>
      </w:r>
      <w:r>
        <w:rPr>
          <w:rFonts w:hint="eastAsia" w:ascii="新宋体" w:hAnsi="新宋体" w:eastAsia="新宋体" w:cs="新宋体"/>
          <w:color w:val="auto"/>
          <w:kern w:val="0"/>
          <w:sz w:val="22"/>
          <w:szCs w:val="22"/>
          <w:highlight w:val="none"/>
          <w:u w:val="single"/>
          <w:lang w:val="zh-CN" w:eastAsia="zh-CN"/>
        </w:rPr>
        <w:t>；</w:t>
      </w:r>
      <w:r>
        <w:rPr>
          <w:rFonts w:hint="eastAsia" w:ascii="新宋体" w:hAnsi="新宋体" w:eastAsia="新宋体" w:cs="新宋体"/>
          <w:b/>
          <w:bCs/>
          <w:color w:val="auto"/>
          <w:sz w:val="22"/>
          <w:szCs w:val="22"/>
          <w:highlight w:val="none"/>
        </w:rPr>
        <w:t>（如为联合体投标，联合体各方均需提供</w:t>
      </w:r>
      <w:r>
        <w:rPr>
          <w:rFonts w:hint="eastAsia" w:ascii="新宋体" w:hAnsi="新宋体" w:eastAsia="新宋体" w:cs="新宋体"/>
          <w:b/>
          <w:bCs/>
          <w:color w:val="auto"/>
          <w:sz w:val="22"/>
          <w:szCs w:val="22"/>
          <w:highlight w:val="none"/>
          <w:lang w:eastAsia="zh-CN"/>
        </w:rPr>
        <w:t>）</w:t>
      </w:r>
    </w:p>
    <w:p w14:paraId="1D1F714E">
      <w:pPr>
        <w:keepNext w:val="0"/>
        <w:keepLines w:val="0"/>
        <w:pageBreakBefore w:val="0"/>
        <w:kinsoku/>
        <w:wordWrap/>
        <w:topLinePunct w:val="0"/>
        <w:bidi w:val="0"/>
        <w:spacing w:line="460" w:lineRule="exact"/>
        <w:ind w:firstLine="440" w:firstLineChars="200"/>
        <w:jc w:val="left"/>
        <w:rPr>
          <w:rFonts w:hint="eastAsia" w:ascii="新宋体" w:hAnsi="新宋体" w:eastAsia="新宋体" w:cs="新宋体"/>
          <w:color w:val="auto"/>
          <w:sz w:val="22"/>
          <w:szCs w:val="22"/>
          <w:highlight w:val="none"/>
          <w:u w:val="single"/>
          <w:lang w:eastAsia="zh-CN"/>
        </w:rPr>
      </w:pPr>
      <w:r>
        <w:rPr>
          <w:rFonts w:hint="eastAsia" w:ascii="新宋体" w:hAnsi="新宋体" w:eastAsia="新宋体" w:cs="新宋体"/>
          <w:color w:val="auto"/>
          <w:sz w:val="22"/>
          <w:szCs w:val="22"/>
          <w:highlight w:val="none"/>
          <w:u w:val="single"/>
          <w:lang w:eastAsia="zh-CN"/>
        </w:rPr>
        <w:t>（</w:t>
      </w:r>
      <w:r>
        <w:rPr>
          <w:rFonts w:hint="eastAsia" w:ascii="新宋体" w:hAnsi="新宋体" w:eastAsia="新宋体" w:cs="新宋体"/>
          <w:color w:val="auto"/>
          <w:sz w:val="22"/>
          <w:szCs w:val="22"/>
          <w:highlight w:val="none"/>
          <w:u w:val="single"/>
          <w:lang w:val="en-US" w:eastAsia="zh-CN"/>
        </w:rPr>
        <w:t>6</w:t>
      </w:r>
      <w:r>
        <w:rPr>
          <w:rFonts w:hint="eastAsia" w:ascii="新宋体" w:hAnsi="新宋体" w:eastAsia="新宋体" w:cs="新宋体"/>
          <w:color w:val="auto"/>
          <w:sz w:val="22"/>
          <w:szCs w:val="22"/>
          <w:highlight w:val="none"/>
          <w:u w:val="single"/>
          <w:lang w:eastAsia="zh-CN"/>
        </w:rPr>
        <w:t>）</w:t>
      </w:r>
      <w:r>
        <w:rPr>
          <w:rFonts w:hint="eastAsia" w:ascii="新宋体" w:hAnsi="新宋体" w:eastAsia="新宋体" w:cs="新宋体"/>
          <w:color w:val="auto"/>
          <w:sz w:val="22"/>
          <w:szCs w:val="22"/>
          <w:highlight w:val="none"/>
          <w:u w:val="single"/>
          <w:lang w:val="en-US" w:eastAsia="zh-CN"/>
        </w:rPr>
        <w:t>联合体协议书（如有）</w:t>
      </w:r>
    </w:p>
    <w:p w14:paraId="6D66920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rPr>
        <w:t>上述资格条件审查材料有一项不提供的，视为资格审查不通过。</w:t>
      </w:r>
    </w:p>
    <w:p w14:paraId="09BFBA32">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color w:val="auto"/>
          <w:sz w:val="22"/>
          <w:szCs w:val="22"/>
          <w:highlight w:val="none"/>
          <w:u w:val="single"/>
          <w:lang w:val="zh-CN"/>
        </w:rPr>
      </w:pPr>
      <w:r>
        <w:rPr>
          <w:rFonts w:hint="eastAsia" w:ascii="新宋体" w:hAnsi="新宋体" w:eastAsia="新宋体" w:cs="新宋体"/>
          <w:b/>
          <w:bCs/>
          <w:color w:val="auto"/>
          <w:sz w:val="22"/>
          <w:szCs w:val="22"/>
          <w:highlight w:val="none"/>
        </w:rPr>
        <w:t>3.2投标人的报价文件至少应包括以下内容：</w:t>
      </w:r>
    </w:p>
    <w:p w14:paraId="364D90C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rPr>
        <w:t>）投标报价一览表；</w:t>
      </w:r>
    </w:p>
    <w:p w14:paraId="6A2ACB97">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val="en-US" w:eastAsia="zh-CN"/>
        </w:rPr>
        <w:t>2</w:t>
      </w:r>
      <w:r>
        <w:rPr>
          <w:rFonts w:hint="eastAsia" w:ascii="新宋体" w:hAnsi="新宋体" w:eastAsia="新宋体" w:cs="新宋体"/>
          <w:color w:val="auto"/>
          <w:sz w:val="22"/>
          <w:szCs w:val="22"/>
          <w:highlight w:val="none"/>
        </w:rPr>
        <w:t>）投标分项报价表</w:t>
      </w:r>
      <w:r>
        <w:rPr>
          <w:rFonts w:hint="eastAsia" w:ascii="新宋体" w:hAnsi="新宋体" w:eastAsia="新宋体" w:cs="新宋体"/>
          <w:color w:val="auto"/>
          <w:sz w:val="22"/>
          <w:szCs w:val="22"/>
          <w:highlight w:val="none"/>
          <w:lang w:eastAsia="zh-CN"/>
        </w:rPr>
        <w:t>；</w:t>
      </w:r>
    </w:p>
    <w:p w14:paraId="7D9E8C6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3.3</w:t>
      </w:r>
      <w:r>
        <w:rPr>
          <w:rFonts w:hint="eastAsia" w:ascii="新宋体" w:hAnsi="新宋体" w:eastAsia="新宋体" w:cs="新宋体"/>
          <w:color w:val="auto"/>
          <w:kern w:val="0"/>
          <w:sz w:val="22"/>
          <w:szCs w:val="22"/>
          <w:highlight w:val="none"/>
          <w:lang w:val="zh-CN"/>
        </w:rPr>
        <w:t>投标人的</w:t>
      </w:r>
      <w:r>
        <w:rPr>
          <w:rFonts w:hint="eastAsia" w:ascii="新宋体" w:hAnsi="新宋体" w:eastAsia="新宋体" w:cs="新宋体"/>
          <w:b/>
          <w:bCs/>
          <w:color w:val="auto"/>
          <w:kern w:val="0"/>
          <w:sz w:val="22"/>
          <w:szCs w:val="22"/>
          <w:highlight w:val="none"/>
          <w:lang w:val="zh-CN"/>
        </w:rPr>
        <w:t>商务技术文件</w:t>
      </w:r>
      <w:r>
        <w:rPr>
          <w:rFonts w:hint="eastAsia" w:ascii="新宋体" w:hAnsi="新宋体" w:eastAsia="新宋体" w:cs="新宋体"/>
          <w:color w:val="auto"/>
          <w:kern w:val="0"/>
          <w:sz w:val="22"/>
          <w:szCs w:val="22"/>
          <w:highlight w:val="none"/>
          <w:lang w:val="zh-CN"/>
        </w:rPr>
        <w:t>应包括以下内容：</w:t>
      </w:r>
    </w:p>
    <w:p w14:paraId="3DB1B2C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（1）投标响应函；</w:t>
      </w:r>
      <w:r>
        <w:rPr>
          <w:rFonts w:hint="eastAsia" w:ascii="新宋体" w:hAnsi="新宋体" w:eastAsia="新宋体" w:cs="新宋体"/>
          <w:b/>
          <w:bCs/>
          <w:color w:val="auto"/>
          <w:sz w:val="22"/>
          <w:szCs w:val="22"/>
          <w:highlight w:val="none"/>
        </w:rPr>
        <w:t>（如为联合体投标，联合体各方均需提供</w:t>
      </w:r>
      <w:r>
        <w:rPr>
          <w:rFonts w:hint="eastAsia" w:ascii="新宋体" w:hAnsi="新宋体" w:eastAsia="新宋体" w:cs="新宋体"/>
          <w:b/>
          <w:bCs/>
          <w:color w:val="auto"/>
          <w:sz w:val="22"/>
          <w:szCs w:val="22"/>
          <w:highlight w:val="none"/>
          <w:lang w:eastAsia="zh-CN"/>
        </w:rPr>
        <w:t>）</w:t>
      </w:r>
    </w:p>
    <w:p w14:paraId="5952FAE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val="en-US" w:eastAsia="zh-CN"/>
        </w:rPr>
        <w:t>2</w:t>
      </w:r>
      <w:r>
        <w:rPr>
          <w:rFonts w:hint="eastAsia" w:ascii="新宋体" w:hAnsi="新宋体" w:eastAsia="新宋体" w:cs="新宋体"/>
          <w:color w:val="auto"/>
          <w:sz w:val="22"/>
          <w:szCs w:val="22"/>
          <w:highlight w:val="none"/>
        </w:rPr>
        <w:t>）法定代表人授权委托书（需提供法定代表人及授权委托人的身份证复印件加盖公章）；</w:t>
      </w:r>
    </w:p>
    <w:p w14:paraId="6628E54B">
      <w:pPr>
        <w:snapToGrid w:val="0"/>
        <w:spacing w:line="460" w:lineRule="exact"/>
        <w:ind w:firstLine="440" w:firstLineChars="200"/>
        <w:rPr>
          <w:rFonts w:hint="eastAsia" w:ascii="新宋体" w:hAnsi="新宋体" w:eastAsia="新宋体" w:cs="新宋体"/>
          <w:color w:val="auto"/>
          <w:sz w:val="22"/>
          <w:szCs w:val="22"/>
          <w:highlight w:val="none"/>
          <w:lang w:val="zh-CN" w:eastAsia="zh-CN"/>
        </w:rPr>
      </w:pP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）廉政承诺书</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b/>
          <w:bCs/>
          <w:color w:val="auto"/>
          <w:sz w:val="22"/>
          <w:szCs w:val="22"/>
          <w:highlight w:val="none"/>
        </w:rPr>
        <w:t>（如为联合体投标，联合体各方均需提供</w:t>
      </w:r>
      <w:r>
        <w:rPr>
          <w:rFonts w:hint="eastAsia" w:ascii="新宋体" w:hAnsi="新宋体" w:eastAsia="新宋体" w:cs="新宋体"/>
          <w:b/>
          <w:bCs/>
          <w:color w:val="auto"/>
          <w:sz w:val="22"/>
          <w:szCs w:val="22"/>
          <w:highlight w:val="none"/>
          <w:lang w:eastAsia="zh-CN"/>
        </w:rPr>
        <w:t>）</w:t>
      </w:r>
    </w:p>
    <w:p w14:paraId="39AD93BB">
      <w:pPr>
        <w:tabs>
          <w:tab w:val="left" w:pos="360"/>
        </w:tabs>
        <w:spacing w:line="460" w:lineRule="exact"/>
        <w:ind w:firstLine="442" w:firstLineChars="200"/>
        <w:rPr>
          <w:rFonts w:ascii="新宋体" w:hAnsi="新宋体" w:eastAsia="新宋体" w:cs="新宋体"/>
          <w:color w:val="auto"/>
          <w:kern w:val="0"/>
          <w:sz w:val="22"/>
          <w:szCs w:val="22"/>
          <w:highlight w:val="none"/>
          <w:u w:val="single"/>
          <w:lang w:val="zh-CN"/>
        </w:rPr>
      </w:pPr>
      <w:r>
        <w:rPr>
          <w:rFonts w:hint="eastAsia" w:ascii="新宋体" w:hAnsi="新宋体" w:eastAsia="新宋体" w:cs="新宋体"/>
          <w:b/>
          <w:bCs/>
          <w:color w:val="auto"/>
          <w:sz w:val="22"/>
          <w:szCs w:val="22"/>
          <w:highlight w:val="none"/>
          <w:u w:val="single"/>
        </w:rPr>
        <w:t>（4）</w:t>
      </w:r>
      <w:r>
        <w:rPr>
          <w:rFonts w:hint="eastAsia" w:ascii="新宋体" w:hAnsi="新宋体" w:eastAsia="新宋体" w:cs="新宋体"/>
          <w:b/>
          <w:bCs/>
          <w:color w:val="auto"/>
          <w:kern w:val="0"/>
          <w:sz w:val="22"/>
          <w:szCs w:val="22"/>
          <w:highlight w:val="none"/>
          <w:u w:val="single"/>
          <w:lang w:val="zh-CN"/>
        </w:rPr>
        <w:t>投标人为医疗器械生产企业的：第二类、第三类医疗器械生产企业提供《医疗器械生产许可证》、第一类医疗器械生产企业提供第一类医疗器械生产备案凭证</w:t>
      </w:r>
      <w:r>
        <w:rPr>
          <w:rFonts w:hint="eastAsia" w:ascii="新宋体" w:hAnsi="新宋体" w:eastAsia="新宋体" w:cs="新宋体"/>
          <w:b/>
          <w:bCs/>
          <w:color w:val="auto"/>
          <w:kern w:val="0"/>
          <w:sz w:val="22"/>
          <w:szCs w:val="22"/>
          <w:highlight w:val="none"/>
          <w:u w:val="single"/>
          <w:lang w:val="en-US" w:eastAsia="zh-CN"/>
        </w:rPr>
        <w:t>等</w:t>
      </w:r>
      <w:r>
        <w:rPr>
          <w:rFonts w:hint="eastAsia" w:ascii="新宋体" w:hAnsi="新宋体" w:eastAsia="新宋体" w:cs="新宋体"/>
          <w:b/>
          <w:bCs/>
          <w:color w:val="auto"/>
          <w:kern w:val="0"/>
          <w:sz w:val="22"/>
          <w:szCs w:val="22"/>
          <w:highlight w:val="none"/>
          <w:u w:val="single"/>
          <w:lang w:val="zh-CN"/>
        </w:rPr>
        <w:t>销售许可文件；投标人为医疗器械经营企业的：第三类医疗器械经营企业提供《医疗器械经营许可证》、第二类医疗器械经营企业提供第二类医疗器械经营备案凭证</w:t>
      </w:r>
      <w:r>
        <w:rPr>
          <w:rFonts w:hint="eastAsia" w:ascii="新宋体" w:hAnsi="新宋体" w:eastAsia="新宋体" w:cs="新宋体"/>
          <w:b/>
          <w:bCs/>
          <w:color w:val="auto"/>
          <w:kern w:val="0"/>
          <w:sz w:val="22"/>
          <w:szCs w:val="22"/>
          <w:highlight w:val="none"/>
          <w:u w:val="single"/>
          <w:lang w:val="en-US" w:eastAsia="zh-CN"/>
        </w:rPr>
        <w:t>等</w:t>
      </w:r>
      <w:r>
        <w:rPr>
          <w:rFonts w:hint="eastAsia" w:ascii="新宋体" w:hAnsi="新宋体" w:eastAsia="新宋体" w:cs="新宋体"/>
          <w:b/>
          <w:bCs/>
          <w:color w:val="auto"/>
          <w:kern w:val="0"/>
          <w:sz w:val="22"/>
          <w:szCs w:val="22"/>
          <w:highlight w:val="none"/>
          <w:u w:val="single"/>
          <w:lang w:val="zh-CN"/>
        </w:rPr>
        <w:t>销售许可文件（适用于按医疗器械管理的货物）；</w:t>
      </w:r>
    </w:p>
    <w:p w14:paraId="464C74FF">
      <w:pPr>
        <w:tabs>
          <w:tab w:val="left" w:pos="360"/>
        </w:tabs>
        <w:spacing w:line="460" w:lineRule="exact"/>
        <w:ind w:firstLine="442" w:firstLineChars="200"/>
        <w:rPr>
          <w:rFonts w:ascii="新宋体" w:hAnsi="新宋体" w:eastAsia="新宋体" w:cs="新宋体"/>
          <w:b/>
          <w:bCs/>
          <w:color w:val="auto"/>
          <w:kern w:val="0"/>
          <w:sz w:val="22"/>
          <w:szCs w:val="22"/>
          <w:highlight w:val="none"/>
          <w:u w:val="single"/>
          <w:lang w:val="zh-CN"/>
        </w:rPr>
      </w:pPr>
      <w:r>
        <w:rPr>
          <w:rFonts w:hint="eastAsia" w:ascii="新宋体" w:hAnsi="新宋体" w:eastAsia="新宋体" w:cs="新宋体"/>
          <w:b/>
          <w:bCs/>
          <w:color w:val="auto"/>
          <w:kern w:val="0"/>
          <w:sz w:val="22"/>
          <w:szCs w:val="22"/>
          <w:highlight w:val="none"/>
          <w:u w:val="single"/>
          <w:lang w:val="zh-CN"/>
        </w:rPr>
        <w:t>（</w:t>
      </w:r>
      <w:r>
        <w:rPr>
          <w:rFonts w:hint="eastAsia" w:ascii="新宋体" w:hAnsi="新宋体" w:eastAsia="新宋体" w:cs="新宋体"/>
          <w:b/>
          <w:bCs/>
          <w:color w:val="auto"/>
          <w:kern w:val="0"/>
          <w:sz w:val="22"/>
          <w:szCs w:val="22"/>
          <w:highlight w:val="none"/>
          <w:u w:val="single"/>
        </w:rPr>
        <w:t>5</w:t>
      </w:r>
      <w:r>
        <w:rPr>
          <w:rFonts w:hint="eastAsia" w:ascii="新宋体" w:hAnsi="新宋体" w:eastAsia="新宋体" w:cs="新宋体"/>
          <w:b/>
          <w:bCs/>
          <w:color w:val="auto"/>
          <w:kern w:val="0"/>
          <w:sz w:val="22"/>
          <w:szCs w:val="22"/>
          <w:highlight w:val="none"/>
          <w:u w:val="single"/>
          <w:lang w:val="zh-CN"/>
        </w:rPr>
        <w:t>）货物制造商或其它有销售资格（提供证明材料）的供应商出具的授权书</w:t>
      </w:r>
      <w:r>
        <w:rPr>
          <w:rFonts w:hint="eastAsia" w:ascii="新宋体" w:hAnsi="新宋体" w:eastAsia="新宋体" w:cs="新宋体"/>
          <w:b/>
          <w:bCs/>
          <w:color w:val="auto"/>
          <w:kern w:val="0"/>
          <w:sz w:val="22"/>
          <w:szCs w:val="22"/>
          <w:highlight w:val="none"/>
          <w:u w:val="single"/>
          <w:lang w:val="en-US" w:eastAsia="zh-CN"/>
        </w:rPr>
        <w:t>等</w:t>
      </w:r>
      <w:r>
        <w:rPr>
          <w:rFonts w:hint="eastAsia" w:ascii="新宋体" w:hAnsi="新宋体" w:eastAsia="新宋体" w:cs="新宋体"/>
          <w:b/>
          <w:bCs/>
          <w:color w:val="auto"/>
          <w:kern w:val="0"/>
          <w:sz w:val="22"/>
          <w:szCs w:val="22"/>
          <w:highlight w:val="none"/>
          <w:u w:val="single"/>
          <w:lang w:val="zh-CN"/>
        </w:rPr>
        <w:t>销售许可文件（适用于投标人是进口货物代理商的情形）；</w:t>
      </w:r>
    </w:p>
    <w:p w14:paraId="14E38243">
      <w:pPr>
        <w:snapToGrid w:val="0"/>
        <w:spacing w:line="460" w:lineRule="exact"/>
        <w:ind w:firstLine="440" w:firstLineChars="200"/>
        <w:rPr>
          <w:rFonts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lang w:val="zh-CN"/>
        </w:rPr>
        <w:t>（</w:t>
      </w:r>
      <w:r>
        <w:rPr>
          <w:rFonts w:hint="eastAsia" w:ascii="新宋体" w:hAnsi="新宋体" w:eastAsia="新宋体" w:cs="新宋体"/>
          <w:color w:val="auto"/>
          <w:sz w:val="22"/>
          <w:szCs w:val="22"/>
          <w:highlight w:val="none"/>
        </w:rPr>
        <w:t>6</w:t>
      </w:r>
      <w:r>
        <w:rPr>
          <w:rFonts w:hint="eastAsia" w:ascii="新宋体" w:hAnsi="新宋体" w:eastAsia="新宋体" w:cs="新宋体"/>
          <w:color w:val="auto"/>
          <w:sz w:val="22"/>
          <w:szCs w:val="22"/>
          <w:highlight w:val="none"/>
          <w:lang w:val="zh-CN"/>
        </w:rPr>
        <w:t>）详细供货清单说明一览表；</w:t>
      </w:r>
    </w:p>
    <w:p w14:paraId="3709D1AE">
      <w:pPr>
        <w:tabs>
          <w:tab w:val="left" w:pos="360"/>
        </w:tabs>
        <w:spacing w:line="460" w:lineRule="exact"/>
        <w:ind w:firstLine="442" w:firstLineChars="200"/>
        <w:rPr>
          <w:rFonts w:ascii="新宋体" w:hAnsi="新宋体" w:eastAsia="新宋体" w:cs="新宋体"/>
          <w:color w:val="auto"/>
          <w:kern w:val="0"/>
          <w:sz w:val="22"/>
          <w:szCs w:val="22"/>
          <w:highlight w:val="none"/>
          <w:lang w:val="zh-CN"/>
        </w:rPr>
      </w:pPr>
      <w:r>
        <w:rPr>
          <w:rFonts w:hint="eastAsia" w:ascii="新宋体" w:hAnsi="新宋体" w:eastAsia="新宋体" w:cs="新宋体"/>
          <w:b/>
          <w:bCs/>
          <w:color w:val="auto"/>
          <w:kern w:val="0"/>
          <w:sz w:val="22"/>
          <w:szCs w:val="22"/>
          <w:highlight w:val="none"/>
          <w:u w:val="single"/>
          <w:lang w:val="zh-CN"/>
        </w:rPr>
        <w:t>（</w:t>
      </w:r>
      <w:r>
        <w:rPr>
          <w:rFonts w:hint="eastAsia" w:ascii="新宋体" w:hAnsi="新宋体" w:eastAsia="新宋体" w:cs="新宋体"/>
          <w:b/>
          <w:bCs/>
          <w:color w:val="auto"/>
          <w:kern w:val="0"/>
          <w:sz w:val="22"/>
          <w:szCs w:val="22"/>
          <w:highlight w:val="none"/>
          <w:u w:val="single"/>
          <w:lang w:val="en-US" w:eastAsia="zh-CN"/>
        </w:rPr>
        <w:t>7</w:t>
      </w:r>
      <w:r>
        <w:rPr>
          <w:rFonts w:hint="eastAsia" w:ascii="新宋体" w:hAnsi="新宋体" w:eastAsia="新宋体" w:cs="新宋体"/>
          <w:b/>
          <w:bCs/>
          <w:color w:val="auto"/>
          <w:kern w:val="0"/>
          <w:sz w:val="22"/>
          <w:szCs w:val="22"/>
          <w:highlight w:val="none"/>
          <w:u w:val="single"/>
          <w:lang w:val="zh-CN"/>
        </w:rPr>
        <w:t>）提供食品药品监督管理部门核发的完整有效的医疗器械注册或备案证明</w:t>
      </w:r>
      <w:r>
        <w:rPr>
          <w:rFonts w:hint="eastAsia" w:ascii="新宋体" w:hAnsi="新宋体" w:eastAsia="新宋体" w:cs="新宋体"/>
          <w:b/>
          <w:bCs/>
          <w:color w:val="auto"/>
          <w:kern w:val="0"/>
          <w:sz w:val="22"/>
          <w:szCs w:val="22"/>
          <w:highlight w:val="none"/>
          <w:u w:val="single"/>
          <w:lang w:val="en-US" w:eastAsia="zh-CN"/>
        </w:rPr>
        <w:t>等</w:t>
      </w:r>
      <w:r>
        <w:rPr>
          <w:rFonts w:hint="eastAsia" w:ascii="新宋体" w:hAnsi="新宋体" w:eastAsia="新宋体" w:cs="新宋体"/>
          <w:b/>
          <w:bCs/>
          <w:color w:val="auto"/>
          <w:kern w:val="0"/>
          <w:sz w:val="22"/>
          <w:szCs w:val="22"/>
          <w:highlight w:val="none"/>
          <w:u w:val="single"/>
          <w:lang w:val="zh-CN"/>
        </w:rPr>
        <w:t>销售许可文件（适用于按医疗器械管理的设备）；</w:t>
      </w:r>
    </w:p>
    <w:p w14:paraId="1AC0F2E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8</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zh-CN"/>
        </w:rPr>
        <w:t>偏离表（</w:t>
      </w:r>
      <w:r>
        <w:rPr>
          <w:rFonts w:hint="eastAsia" w:ascii="新宋体" w:hAnsi="新宋体" w:eastAsia="新宋体" w:cs="新宋体"/>
          <w:color w:val="auto"/>
          <w:sz w:val="22"/>
          <w:szCs w:val="22"/>
          <w:highlight w:val="none"/>
        </w:rPr>
        <w:t>商务、技术偏离</w:t>
      </w:r>
      <w:r>
        <w:rPr>
          <w:rFonts w:hint="eastAsia" w:ascii="新宋体" w:hAnsi="新宋体" w:eastAsia="新宋体" w:cs="新宋体"/>
          <w:color w:val="auto"/>
          <w:sz w:val="22"/>
          <w:szCs w:val="22"/>
          <w:highlight w:val="none"/>
          <w:lang w:val="zh-CN"/>
        </w:rPr>
        <w:t>）；</w:t>
      </w:r>
    </w:p>
    <w:p w14:paraId="4EFF116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9</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zh-CN"/>
        </w:rPr>
        <w:t>备品、易损件、备件、专用工具清单；</w:t>
      </w:r>
    </w:p>
    <w:p w14:paraId="4C12BF7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10</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其他必要提供的资料。</w:t>
      </w:r>
    </w:p>
    <w:p w14:paraId="1886FC5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lang w:val="zh-CN"/>
        </w:rPr>
      </w:pPr>
      <w:r>
        <w:rPr>
          <w:rFonts w:hint="eastAsia" w:ascii="新宋体" w:hAnsi="新宋体" w:eastAsia="新宋体" w:cs="新宋体"/>
          <w:b/>
          <w:color w:val="auto"/>
          <w:sz w:val="22"/>
          <w:szCs w:val="22"/>
          <w:highlight w:val="none"/>
          <w:lang w:val="zh-CN"/>
        </w:rPr>
        <w:t>投标文件中所需的各种证书、证件、证明资料如是复印件，须在复印件上加盖有效公章。</w:t>
      </w:r>
    </w:p>
    <w:p w14:paraId="71802459">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lang w:val="zh-CN"/>
        </w:rPr>
        <w:t>投标人的</w:t>
      </w:r>
      <w:r>
        <w:rPr>
          <w:rFonts w:hint="eastAsia" w:ascii="新宋体" w:hAnsi="新宋体" w:eastAsia="新宋体" w:cs="新宋体"/>
          <w:b w:val="0"/>
          <w:bCs/>
          <w:color w:val="auto"/>
          <w:sz w:val="22"/>
          <w:szCs w:val="22"/>
          <w:highlight w:val="none"/>
        </w:rPr>
        <w:t>投标文件必须按照</w:t>
      </w:r>
      <w:r>
        <w:rPr>
          <w:rFonts w:hint="eastAsia" w:ascii="新宋体" w:hAnsi="新宋体" w:eastAsia="新宋体" w:cs="新宋体"/>
          <w:b w:val="0"/>
          <w:bCs/>
          <w:color w:val="auto"/>
          <w:sz w:val="22"/>
          <w:szCs w:val="22"/>
          <w:highlight w:val="none"/>
          <w:lang w:eastAsia="zh-CN"/>
        </w:rPr>
        <w:t>采购文件</w:t>
      </w:r>
      <w:r>
        <w:rPr>
          <w:rFonts w:hint="eastAsia" w:ascii="新宋体" w:hAnsi="新宋体" w:eastAsia="新宋体" w:cs="新宋体"/>
          <w:b w:val="0"/>
          <w:bCs/>
          <w:color w:val="auto"/>
          <w:sz w:val="22"/>
          <w:szCs w:val="22"/>
          <w:highlight w:val="none"/>
        </w:rPr>
        <w:t>要求制作。</w:t>
      </w:r>
    </w:p>
    <w:p w14:paraId="451CB15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投标人可在</w:t>
      </w:r>
      <w:r>
        <w:rPr>
          <w:rFonts w:hint="eastAsia" w:ascii="新宋体" w:hAnsi="新宋体" w:eastAsia="新宋体" w:cs="新宋体"/>
          <w:b w:val="0"/>
          <w:bCs/>
          <w:color w:val="auto"/>
          <w:sz w:val="22"/>
          <w:szCs w:val="22"/>
          <w:highlight w:val="none"/>
          <w:lang w:eastAsia="zh-CN"/>
        </w:rPr>
        <w:t>采购文件</w:t>
      </w:r>
      <w:r>
        <w:rPr>
          <w:rFonts w:hint="eastAsia" w:ascii="新宋体" w:hAnsi="新宋体" w:eastAsia="新宋体" w:cs="新宋体"/>
          <w:b w:val="0"/>
          <w:bCs/>
          <w:color w:val="auto"/>
          <w:sz w:val="22"/>
          <w:szCs w:val="22"/>
          <w:highlight w:val="none"/>
        </w:rPr>
        <w:t>中对</w:t>
      </w:r>
      <w:r>
        <w:rPr>
          <w:rFonts w:hint="eastAsia" w:ascii="新宋体" w:hAnsi="新宋体" w:eastAsia="新宋体" w:cs="新宋体"/>
          <w:b w:val="0"/>
          <w:bCs/>
          <w:color w:val="auto"/>
          <w:sz w:val="22"/>
          <w:szCs w:val="22"/>
          <w:highlight w:val="none"/>
          <w:lang w:eastAsia="zh-CN"/>
        </w:rPr>
        <w:t>采购</w:t>
      </w:r>
      <w:r>
        <w:rPr>
          <w:rFonts w:hint="eastAsia" w:ascii="新宋体" w:hAnsi="新宋体" w:eastAsia="新宋体" w:cs="新宋体"/>
          <w:b w:val="0"/>
          <w:bCs/>
          <w:color w:val="auto"/>
          <w:sz w:val="22"/>
          <w:szCs w:val="22"/>
          <w:highlight w:val="none"/>
        </w:rPr>
        <w:t>货物的技术规格和要求选用替代标准，但这些替代标准必须相当于或优于</w:t>
      </w:r>
      <w:r>
        <w:rPr>
          <w:rFonts w:hint="eastAsia" w:ascii="新宋体" w:hAnsi="新宋体" w:eastAsia="新宋体" w:cs="新宋体"/>
          <w:b w:val="0"/>
          <w:bCs/>
          <w:color w:val="auto"/>
          <w:sz w:val="22"/>
          <w:szCs w:val="22"/>
          <w:highlight w:val="none"/>
          <w:lang w:eastAsia="zh-CN"/>
        </w:rPr>
        <w:t>采购文件</w:t>
      </w:r>
      <w:r>
        <w:rPr>
          <w:rFonts w:hint="eastAsia" w:ascii="新宋体" w:hAnsi="新宋体" w:eastAsia="新宋体" w:cs="新宋体"/>
          <w:b w:val="0"/>
          <w:bCs/>
          <w:color w:val="auto"/>
          <w:sz w:val="22"/>
          <w:szCs w:val="22"/>
          <w:highlight w:val="none"/>
        </w:rPr>
        <w:t>中提出的相应要求，并使</w:t>
      </w:r>
      <w:r>
        <w:rPr>
          <w:rFonts w:hint="eastAsia" w:ascii="新宋体" w:hAnsi="新宋体" w:eastAsia="新宋体" w:cs="新宋体"/>
          <w:b w:val="0"/>
          <w:bCs/>
          <w:color w:val="auto"/>
          <w:sz w:val="22"/>
          <w:szCs w:val="22"/>
          <w:highlight w:val="none"/>
          <w:lang w:eastAsia="zh-CN"/>
        </w:rPr>
        <w:t>采购人</w:t>
      </w:r>
      <w:r>
        <w:rPr>
          <w:rFonts w:hint="eastAsia" w:ascii="新宋体" w:hAnsi="新宋体" w:eastAsia="新宋体" w:cs="新宋体"/>
          <w:b w:val="0"/>
          <w:bCs/>
          <w:color w:val="auto"/>
          <w:sz w:val="22"/>
          <w:szCs w:val="22"/>
          <w:highlight w:val="none"/>
        </w:rPr>
        <w:t>满意，同时在技术偏离表中作出详细说明。</w:t>
      </w:r>
    </w:p>
    <w:p w14:paraId="62EFA08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4、投标报价</w:t>
      </w:r>
    </w:p>
    <w:p w14:paraId="12D8502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color w:val="auto"/>
          <w:sz w:val="22"/>
          <w:highlight w:val="none"/>
        </w:rPr>
        <w:t>4.1投标</w:t>
      </w:r>
      <w:r>
        <w:rPr>
          <w:rFonts w:hint="eastAsia" w:ascii="新宋体" w:hAnsi="新宋体" w:eastAsia="新宋体" w:cs="新宋体"/>
          <w:b/>
          <w:bCs/>
          <w:color w:val="auto"/>
          <w:sz w:val="22"/>
          <w:szCs w:val="22"/>
          <w:highlight w:val="none"/>
        </w:rPr>
        <w:t>报价是指设备供货、税金、包装、运输、保险、装卸、检验、安装、调试、验收（含第三方验收）、技术服务、售后服务、质保期保障、材料等直至达到使用要求及质量标准、政策性文件规定及合同包含的所有风险、责任等各项应有费用</w:t>
      </w:r>
      <w:r>
        <w:rPr>
          <w:rFonts w:hint="eastAsia" w:ascii="新宋体" w:hAnsi="新宋体" w:eastAsia="新宋体" w:cs="新宋体"/>
          <w:b/>
          <w:color w:val="auto"/>
          <w:sz w:val="22"/>
          <w:highlight w:val="none"/>
        </w:rPr>
        <w:t>（包括</w:t>
      </w:r>
      <w:r>
        <w:rPr>
          <w:rFonts w:hint="eastAsia" w:ascii="新宋体" w:hAnsi="新宋体" w:eastAsia="新宋体" w:cs="新宋体"/>
          <w:b/>
          <w:color w:val="auto"/>
          <w:sz w:val="22"/>
          <w:highlight w:val="none"/>
          <w:lang w:eastAsia="zh-CN"/>
        </w:rPr>
        <w:t>采购</w:t>
      </w:r>
      <w:r>
        <w:rPr>
          <w:rFonts w:hint="eastAsia" w:ascii="新宋体" w:hAnsi="新宋体" w:eastAsia="新宋体" w:cs="新宋体"/>
          <w:b/>
          <w:color w:val="auto"/>
          <w:sz w:val="22"/>
          <w:highlight w:val="none"/>
        </w:rPr>
        <w:t>代理服务费）</w:t>
      </w:r>
      <w:r>
        <w:rPr>
          <w:rFonts w:hint="eastAsia" w:ascii="新宋体" w:hAnsi="新宋体" w:eastAsia="新宋体" w:cs="新宋体"/>
          <w:b/>
          <w:bCs/>
          <w:color w:val="auto"/>
          <w:sz w:val="22"/>
          <w:szCs w:val="22"/>
          <w:highlight w:val="none"/>
        </w:rPr>
        <w:t>，实行固定费用总包干，</w:t>
      </w:r>
      <w:r>
        <w:rPr>
          <w:rFonts w:hint="eastAsia" w:ascii="新宋体" w:hAnsi="新宋体" w:eastAsia="新宋体" w:cs="新宋体"/>
          <w:b/>
          <w:color w:val="auto"/>
          <w:sz w:val="22"/>
          <w:highlight w:val="none"/>
        </w:rPr>
        <w:t>实行固定费用总包干，投标</w:t>
      </w:r>
      <w:r>
        <w:rPr>
          <w:rFonts w:hint="eastAsia" w:ascii="新宋体" w:hAnsi="新宋体" w:eastAsia="新宋体" w:cs="新宋体"/>
          <w:b/>
          <w:color w:val="auto"/>
          <w:sz w:val="22"/>
          <w:highlight w:val="none"/>
          <w:lang w:eastAsia="zh-CN"/>
        </w:rPr>
        <w:t>人</w:t>
      </w:r>
      <w:r>
        <w:rPr>
          <w:rFonts w:hint="eastAsia" w:ascii="新宋体" w:hAnsi="新宋体" w:eastAsia="新宋体" w:cs="新宋体"/>
          <w:b/>
          <w:color w:val="auto"/>
          <w:sz w:val="22"/>
          <w:highlight w:val="none"/>
        </w:rPr>
        <w:t>应根据上述因素自行考虑含入总报价。</w:t>
      </w:r>
    </w:p>
    <w:p w14:paraId="6013029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4.2投标人必须按附件中的投标报价一览表、投标分项报价表内容填写价格，并由投标人代表签署。</w:t>
      </w:r>
    </w:p>
    <w:p w14:paraId="091E80D0">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4.3</w:t>
      </w:r>
      <w:r>
        <w:rPr>
          <w:rFonts w:hint="eastAsia" w:ascii="新宋体" w:hAnsi="新宋体" w:eastAsia="新宋体" w:cs="新宋体"/>
          <w:b/>
          <w:color w:val="auto"/>
          <w:sz w:val="22"/>
          <w:highlight w:val="none"/>
        </w:rPr>
        <w:t>投标货币以人民币进行投标</w:t>
      </w:r>
      <w:r>
        <w:rPr>
          <w:rFonts w:hint="eastAsia" w:ascii="新宋体" w:hAnsi="新宋体" w:eastAsia="新宋体" w:cs="新宋体"/>
          <w:b/>
          <w:color w:val="auto"/>
          <w:sz w:val="22"/>
          <w:szCs w:val="22"/>
          <w:highlight w:val="none"/>
        </w:rPr>
        <w:t>。</w:t>
      </w:r>
    </w:p>
    <w:p w14:paraId="012FC2A1">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4.4</w:t>
      </w:r>
      <w:r>
        <w:rPr>
          <w:rFonts w:hint="eastAsia" w:ascii="新宋体" w:hAnsi="新宋体" w:eastAsia="新宋体" w:cs="新宋体"/>
          <w:b/>
          <w:color w:val="auto"/>
          <w:sz w:val="22"/>
          <w:highlight w:val="none"/>
          <w:lang w:eastAsia="zh-CN"/>
        </w:rPr>
        <w:t>采购人</w:t>
      </w:r>
      <w:r>
        <w:rPr>
          <w:rFonts w:hint="eastAsia" w:ascii="新宋体" w:hAnsi="新宋体" w:eastAsia="新宋体" w:cs="新宋体"/>
          <w:b/>
          <w:color w:val="auto"/>
          <w:sz w:val="22"/>
          <w:highlight w:val="none"/>
        </w:rPr>
        <w:t>和</w:t>
      </w:r>
      <w:r>
        <w:rPr>
          <w:rFonts w:hint="eastAsia" w:ascii="新宋体" w:hAnsi="新宋体" w:eastAsia="新宋体" w:cs="新宋体"/>
          <w:b/>
          <w:color w:val="auto"/>
          <w:sz w:val="22"/>
          <w:highlight w:val="none"/>
          <w:lang w:eastAsia="zh-CN"/>
        </w:rPr>
        <w:t>采购代理机构</w:t>
      </w:r>
      <w:r>
        <w:rPr>
          <w:rFonts w:hint="eastAsia" w:ascii="新宋体" w:hAnsi="新宋体" w:eastAsia="新宋体" w:cs="新宋体"/>
          <w:b/>
          <w:color w:val="auto"/>
          <w:sz w:val="22"/>
          <w:highlight w:val="none"/>
        </w:rPr>
        <w:t>不接受任何选择投标，对任何</w:t>
      </w:r>
      <w:r>
        <w:rPr>
          <w:rFonts w:hint="eastAsia" w:ascii="新宋体" w:hAnsi="新宋体" w:eastAsia="新宋体" w:cs="新宋体"/>
          <w:b/>
          <w:color w:val="auto"/>
          <w:sz w:val="22"/>
          <w:highlight w:val="none"/>
          <w:lang w:val="en-US" w:eastAsia="zh-CN"/>
        </w:rPr>
        <w:t>货物或</w:t>
      </w:r>
      <w:r>
        <w:rPr>
          <w:rFonts w:hint="eastAsia" w:ascii="新宋体" w:hAnsi="新宋体" w:eastAsia="新宋体" w:cs="新宋体"/>
          <w:b/>
          <w:color w:val="auto"/>
          <w:sz w:val="22"/>
          <w:highlight w:val="none"/>
        </w:rPr>
        <w:t>服务只允许一个价格。</w:t>
      </w:r>
    </w:p>
    <w:p w14:paraId="29298FC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4.5</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和</w:t>
      </w:r>
      <w:r>
        <w:rPr>
          <w:rFonts w:hint="eastAsia" w:ascii="新宋体" w:hAnsi="新宋体" w:eastAsia="新宋体" w:cs="新宋体"/>
          <w:color w:val="auto"/>
          <w:sz w:val="22"/>
          <w:highlight w:val="none"/>
          <w:lang w:eastAsia="zh-CN"/>
        </w:rPr>
        <w:t>采购代理机构</w:t>
      </w:r>
      <w:r>
        <w:rPr>
          <w:rFonts w:hint="eastAsia" w:ascii="新宋体" w:hAnsi="新宋体" w:eastAsia="新宋体" w:cs="新宋体"/>
          <w:color w:val="auto"/>
          <w:sz w:val="22"/>
          <w:szCs w:val="22"/>
          <w:highlight w:val="none"/>
        </w:rPr>
        <w:t>要求分类报价是为了方便评标，但在任何情况下不限制</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以其认为最合适的条款、条件签订合同的权利。</w:t>
      </w:r>
    </w:p>
    <w:p w14:paraId="57C2142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4.6投标报价报出后，投标人不得以任何理由予以变更。任何包含价格调整的要求，将被认为是非实质性响应投标而予以否决。</w:t>
      </w:r>
    </w:p>
    <w:p w14:paraId="12D73F4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4.7最低报价不能作为中标的保证。</w:t>
      </w:r>
    </w:p>
    <w:p w14:paraId="3DD901E2">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5、投标有效期</w:t>
      </w:r>
    </w:p>
    <w:p w14:paraId="17CF107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5.1自开标之日起</w:t>
      </w:r>
      <w:r>
        <w:rPr>
          <w:rFonts w:hint="eastAsia" w:ascii="新宋体" w:hAnsi="新宋体" w:eastAsia="新宋体" w:cs="新宋体"/>
          <w:b/>
          <w:bCs/>
          <w:color w:val="auto"/>
          <w:sz w:val="22"/>
          <w:szCs w:val="22"/>
          <w:highlight w:val="none"/>
          <w:lang w:eastAsia="zh-CN"/>
        </w:rPr>
        <w:t>90天</w:t>
      </w:r>
      <w:r>
        <w:rPr>
          <w:rFonts w:hint="eastAsia" w:ascii="新宋体" w:hAnsi="新宋体" w:eastAsia="新宋体" w:cs="新宋体"/>
          <w:b/>
          <w:color w:val="auto"/>
          <w:sz w:val="22"/>
          <w:szCs w:val="22"/>
          <w:highlight w:val="none"/>
        </w:rPr>
        <w:t>内投标应保持有效。</w:t>
      </w:r>
    </w:p>
    <w:p w14:paraId="3FA22E0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5.2特殊情况下，在原投标有效期截止前，</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eastAsia="zh-CN"/>
        </w:rPr>
        <w:t>采购代理机构</w:t>
      </w:r>
      <w:r>
        <w:rPr>
          <w:rFonts w:hint="eastAsia" w:ascii="新宋体" w:hAnsi="新宋体" w:eastAsia="新宋体" w:cs="新宋体"/>
          <w:color w:val="auto"/>
          <w:sz w:val="22"/>
          <w:szCs w:val="22"/>
          <w:highlight w:val="none"/>
        </w:rPr>
        <w:t>可与投标人协商延长投标有效期，这种要求和答复均以书面形式进行。投标人可拒绝接受延期要求。同意延长投标有效期的投标人不得修改投标文件。</w:t>
      </w:r>
    </w:p>
    <w:p w14:paraId="2A4F104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6、投标保证金</w:t>
      </w:r>
    </w:p>
    <w:p w14:paraId="755C030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无。</w:t>
      </w:r>
    </w:p>
    <w:p w14:paraId="4BDAC090">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7、投标文件编制</w:t>
      </w:r>
    </w:p>
    <w:p w14:paraId="36A1089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7.1本项目通过“政府采购云平台（http</w:t>
      </w:r>
      <w:r>
        <w:rPr>
          <w:rFonts w:hint="eastAsia" w:ascii="新宋体" w:hAnsi="新宋体" w:eastAsia="新宋体" w:cs="新宋体"/>
          <w:b/>
          <w:bCs/>
          <w:color w:val="auto"/>
          <w:sz w:val="22"/>
          <w:szCs w:val="22"/>
          <w:highlight w:val="none"/>
          <w:u w:val="single"/>
          <w:lang w:eastAsia="zh-CN"/>
        </w:rPr>
        <w:t>：</w:t>
      </w:r>
      <w:r>
        <w:rPr>
          <w:rFonts w:hint="eastAsia" w:ascii="新宋体" w:hAnsi="新宋体" w:eastAsia="新宋体" w:cs="新宋体"/>
          <w:b/>
          <w:bCs/>
          <w:color w:val="auto"/>
          <w:sz w:val="22"/>
          <w:szCs w:val="22"/>
          <w:highlight w:val="none"/>
          <w:u w:val="single"/>
        </w:rPr>
        <w:t>//zfcg.czt.zj.gov.cn）”实行在线投标响应（电子投标）。供应商应通过“政采云电子交易客户端”，并按照本</w:t>
      </w:r>
      <w:r>
        <w:rPr>
          <w:rFonts w:hint="eastAsia" w:ascii="新宋体" w:hAnsi="新宋体" w:eastAsia="新宋体" w:cs="新宋体"/>
          <w:b/>
          <w:bCs/>
          <w:color w:val="auto"/>
          <w:sz w:val="22"/>
          <w:szCs w:val="22"/>
          <w:highlight w:val="none"/>
          <w:u w:val="single"/>
          <w:lang w:eastAsia="zh-CN"/>
        </w:rPr>
        <w:t>采购文件</w:t>
      </w:r>
      <w:r>
        <w:rPr>
          <w:rFonts w:hint="eastAsia" w:ascii="新宋体" w:hAnsi="新宋体" w:eastAsia="新宋体" w:cs="新宋体"/>
          <w:b/>
          <w:bCs/>
          <w:color w:val="auto"/>
          <w:sz w:val="22"/>
          <w:szCs w:val="22"/>
          <w:highlight w:val="none"/>
          <w:u w:val="single"/>
        </w:rPr>
        <w:t>和“政府采购云平台”的要求编制并加密投标文件。</w:t>
      </w:r>
    </w:p>
    <w:p w14:paraId="3A0AD4E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7.2投标人应当按照本章节 “投标文件的构成”规定的内容及顺序在“政采云电子交易客户端”编制投标文件。其中《资格文件》和《商务技术文件》中不得出现本项目投标报价。</w:t>
      </w:r>
    </w:p>
    <w:p w14:paraId="67A7816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7.3本文件《附件》中有提供格式的，投标人须参照格式进行编制（格式中要求提供相关证明材料的还需后附相关证明材料），并按格式要求在指定位置根据要求进行签章，否则视为未提供；本文件《附件》未提供格式的，请各投标人自行拟定格式，并加盖单位公章并由法定代表人或其授权代表签署（签字或盖章），否则视为未提供。</w:t>
      </w:r>
    </w:p>
    <w:p w14:paraId="0AF6F8AA">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7.4《投标文件》内容不完整、编排混乱导致《投标文件》被误读、漏读或者查找不到相关内容的，投标人自行负责。</w:t>
      </w:r>
    </w:p>
    <w:p w14:paraId="1630C4F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7.5《投标文件》因字迹潦草或表达不清所引起的后果由投标人负责。</w:t>
      </w:r>
    </w:p>
    <w:p w14:paraId="45BE53F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7.6投标人没有按照本章节 “投标文件的构成”要求提供全部资料，或者没有仔细阅读</w:t>
      </w:r>
      <w:r>
        <w:rPr>
          <w:rFonts w:hint="eastAsia" w:ascii="新宋体" w:hAnsi="新宋体" w:eastAsia="新宋体" w:cs="新宋体"/>
          <w:b/>
          <w:bCs/>
          <w:color w:val="auto"/>
          <w:sz w:val="22"/>
          <w:szCs w:val="22"/>
          <w:highlight w:val="none"/>
          <w:u w:val="single"/>
          <w:lang w:eastAsia="zh-CN"/>
        </w:rPr>
        <w:t>采购文件</w:t>
      </w:r>
      <w:r>
        <w:rPr>
          <w:rFonts w:hint="eastAsia" w:ascii="新宋体" w:hAnsi="新宋体" w:eastAsia="新宋体" w:cs="新宋体"/>
          <w:b/>
          <w:bCs/>
          <w:color w:val="auto"/>
          <w:sz w:val="22"/>
          <w:szCs w:val="22"/>
          <w:highlight w:val="none"/>
          <w:u w:val="single"/>
        </w:rPr>
        <w:t>，或者没有对</w:t>
      </w:r>
      <w:r>
        <w:rPr>
          <w:rFonts w:hint="eastAsia" w:ascii="新宋体" w:hAnsi="新宋体" w:eastAsia="新宋体" w:cs="新宋体"/>
          <w:b/>
          <w:bCs/>
          <w:color w:val="auto"/>
          <w:sz w:val="22"/>
          <w:szCs w:val="22"/>
          <w:highlight w:val="none"/>
          <w:u w:val="single"/>
          <w:lang w:eastAsia="zh-CN"/>
        </w:rPr>
        <w:t>采购文件</w:t>
      </w:r>
      <w:r>
        <w:rPr>
          <w:rFonts w:hint="eastAsia" w:ascii="新宋体" w:hAnsi="新宋体" w:eastAsia="新宋体" w:cs="新宋体"/>
          <w:b/>
          <w:bCs/>
          <w:color w:val="auto"/>
          <w:sz w:val="22"/>
          <w:szCs w:val="22"/>
          <w:highlight w:val="none"/>
          <w:u w:val="single"/>
        </w:rPr>
        <w:t>在各方面的要求作出实质性响应是投标人的风险，由此造成的一切后果由投标人自行承担。</w:t>
      </w:r>
    </w:p>
    <w:p w14:paraId="5E6A3EB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8、投标文件的签章</w:t>
      </w:r>
    </w:p>
    <w:p w14:paraId="669BFA9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8.1《投标文件》的签章：见《前附表》；</w:t>
      </w:r>
    </w:p>
    <w:p w14:paraId="7A894DD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8.2《投标文件》应由投标人法定代表人或其授权代表签字（或盖章），并时加盖投标人公章。</w:t>
      </w:r>
    </w:p>
    <w:p w14:paraId="23A12531">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8.3电子签章操作指南详见采购公告附件《供应商项目采购-电子招投标操作指南》。</w:t>
      </w:r>
    </w:p>
    <w:p w14:paraId="732375A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9、投标文件的形式</w:t>
      </w:r>
    </w:p>
    <w:p w14:paraId="0E884CC9">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9.1投标文件的形式：见《前附表》；</w:t>
      </w:r>
    </w:p>
    <w:p w14:paraId="04AE197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9.2“电子加密投标文件”：“电子加密投标文件”是指通过“政采云电子交易客户端”完成投标文件编制后生成并加密的数据电文形式的投标文件。</w:t>
      </w:r>
    </w:p>
    <w:p w14:paraId="4545E096">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9.3“备份投标文件”：“备份投标文件”是指与“电子加密投标文件”同时生成的数据电文形式的电子文件（备份标书），其他方式编制的“备份投标文件”视为无效的“备份投标文件”。</w:t>
      </w:r>
    </w:p>
    <w:p w14:paraId="29311832">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10、投标文件的份数</w:t>
      </w:r>
    </w:p>
    <w:p w14:paraId="69416644">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10.1投标文件的份数：见《前附表》。</w:t>
      </w:r>
    </w:p>
    <w:p w14:paraId="40661D87">
      <w:pPr>
        <w:spacing w:before="100" w:beforeAutospacing="1" w:after="100" w:afterAutospacing="1" w:line="460" w:lineRule="exact"/>
        <w:jc w:val="center"/>
        <w:outlineLvl w:val="1"/>
        <w:rPr>
          <w:rFonts w:hint="eastAsia" w:ascii="新宋体" w:hAnsi="新宋体" w:eastAsia="新宋体" w:cs="新宋体"/>
          <w:b/>
          <w:bCs/>
          <w:color w:val="auto"/>
          <w:sz w:val="26"/>
          <w:szCs w:val="26"/>
          <w:highlight w:val="none"/>
        </w:rPr>
      </w:pPr>
      <w:bookmarkStart w:id="16" w:name="_Toc5061"/>
      <w:bookmarkStart w:id="17" w:name="_Toc15422"/>
      <w:r>
        <w:rPr>
          <w:rFonts w:hint="eastAsia" w:ascii="新宋体" w:hAnsi="新宋体" w:eastAsia="新宋体" w:cs="新宋体"/>
          <w:b/>
          <w:bCs/>
          <w:color w:val="auto"/>
          <w:sz w:val="26"/>
          <w:szCs w:val="26"/>
          <w:highlight w:val="none"/>
        </w:rPr>
        <w:t>四、 投标文件的递交</w:t>
      </w:r>
      <w:bookmarkEnd w:id="16"/>
      <w:bookmarkEnd w:id="17"/>
    </w:p>
    <w:p w14:paraId="496E787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1、投标文件的上传和递交</w:t>
      </w:r>
    </w:p>
    <w:p w14:paraId="5FC6E1C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1.1“投标文件”的上传、递交：见《前附表》。</w:t>
      </w:r>
    </w:p>
    <w:p w14:paraId="3BED2F46">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2、“电子加密投标文件”解密和异常情况处理</w:t>
      </w:r>
    </w:p>
    <w:p w14:paraId="21918C4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2.1“电子加密投标文件”解密：见《前附表》。</w:t>
      </w:r>
    </w:p>
    <w:p w14:paraId="62495E4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3、投标文件的补充、修改或撤回</w:t>
      </w:r>
    </w:p>
    <w:p w14:paraId="58FBBA40">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3.1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14:paraId="31B622B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3.2投标截止时间后，投标人不得撤回、修改《投标文件》。</w:t>
      </w:r>
    </w:p>
    <w:p w14:paraId="07A76F34">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4、投标文件的备选方案</w:t>
      </w:r>
    </w:p>
    <w:p w14:paraId="4211E43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4.1投标人不得递交任何的投标备选（替代）方案，否则其投标文件将作无效标处理。与“电子加密投标文件”同时生成的“备份投标文件”不是投标备选（替代）方案。</w:t>
      </w:r>
    </w:p>
    <w:p w14:paraId="0DD6CE6B">
      <w:pPr>
        <w:spacing w:before="100" w:beforeAutospacing="1" w:after="100" w:afterAutospacing="1" w:line="460" w:lineRule="exact"/>
        <w:jc w:val="center"/>
        <w:outlineLvl w:val="1"/>
        <w:rPr>
          <w:rFonts w:hint="eastAsia" w:ascii="新宋体" w:hAnsi="新宋体" w:eastAsia="新宋体" w:cs="新宋体"/>
          <w:b/>
          <w:bCs/>
          <w:color w:val="auto"/>
          <w:sz w:val="26"/>
          <w:szCs w:val="26"/>
          <w:highlight w:val="none"/>
        </w:rPr>
      </w:pPr>
      <w:bookmarkStart w:id="18" w:name="_Toc18572"/>
      <w:bookmarkStart w:id="19" w:name="_Toc30172"/>
      <w:r>
        <w:rPr>
          <w:rFonts w:hint="eastAsia" w:ascii="新宋体" w:hAnsi="新宋体" w:eastAsia="新宋体" w:cs="新宋体"/>
          <w:b/>
          <w:bCs/>
          <w:color w:val="auto"/>
          <w:sz w:val="26"/>
          <w:szCs w:val="26"/>
          <w:highlight w:val="none"/>
        </w:rPr>
        <w:t>五、 开标和评标</w:t>
      </w:r>
      <w:bookmarkEnd w:id="18"/>
      <w:bookmarkEnd w:id="19"/>
    </w:p>
    <w:p w14:paraId="2049EC5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1、评标委员会</w:t>
      </w:r>
    </w:p>
    <w:p w14:paraId="750A0C9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Cs/>
          <w:color w:val="auto"/>
          <w:sz w:val="22"/>
          <w:szCs w:val="22"/>
          <w:highlight w:val="none"/>
          <w:lang w:eastAsia="zh-CN"/>
        </w:rPr>
        <w:t>采购人</w:t>
      </w:r>
      <w:r>
        <w:rPr>
          <w:rFonts w:hint="eastAsia" w:ascii="新宋体" w:hAnsi="新宋体" w:eastAsia="新宋体" w:cs="新宋体"/>
          <w:bCs/>
          <w:color w:val="auto"/>
          <w:sz w:val="22"/>
          <w:szCs w:val="22"/>
          <w:highlight w:val="none"/>
        </w:rPr>
        <w:t>和</w:t>
      </w:r>
      <w:r>
        <w:rPr>
          <w:rFonts w:hint="eastAsia" w:ascii="新宋体" w:hAnsi="新宋体" w:eastAsia="新宋体" w:cs="新宋体"/>
          <w:bCs/>
          <w:color w:val="auto"/>
          <w:sz w:val="22"/>
          <w:szCs w:val="22"/>
          <w:highlight w:val="none"/>
          <w:lang w:eastAsia="zh-CN"/>
        </w:rPr>
        <w:t>采购代理机构</w:t>
      </w:r>
      <w:r>
        <w:rPr>
          <w:rFonts w:hint="eastAsia" w:ascii="新宋体" w:hAnsi="新宋体" w:eastAsia="新宋体" w:cs="新宋体"/>
          <w:bCs/>
          <w:color w:val="auto"/>
          <w:sz w:val="22"/>
          <w:szCs w:val="22"/>
          <w:highlight w:val="none"/>
        </w:rPr>
        <w:t>组建评标委员会。评标委员会的成员在评标过程中必须严格遵守《政府采购法》等有关法律、法规的规定。</w:t>
      </w:r>
    </w:p>
    <w:p w14:paraId="1575EB0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2、评标过程的保密性</w:t>
      </w:r>
    </w:p>
    <w:p w14:paraId="0F147800">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Cs/>
          <w:color w:val="auto"/>
          <w:sz w:val="22"/>
          <w:szCs w:val="22"/>
          <w:highlight w:val="none"/>
        </w:rPr>
        <w:t>开标后直至向中标人授予合同时止，凡与评审有关的资料均不得向投标人及与评标无关人员透露。如果投标人在评标过程中试图向</w:t>
      </w:r>
      <w:r>
        <w:rPr>
          <w:rFonts w:hint="eastAsia" w:ascii="新宋体" w:hAnsi="新宋体" w:eastAsia="新宋体" w:cs="新宋体"/>
          <w:bCs/>
          <w:color w:val="auto"/>
          <w:sz w:val="22"/>
          <w:szCs w:val="22"/>
          <w:highlight w:val="none"/>
          <w:lang w:eastAsia="zh-CN"/>
        </w:rPr>
        <w:t>采购人</w:t>
      </w:r>
      <w:r>
        <w:rPr>
          <w:rFonts w:hint="eastAsia" w:ascii="新宋体" w:hAnsi="新宋体" w:eastAsia="新宋体" w:cs="新宋体"/>
          <w:bCs/>
          <w:color w:val="auto"/>
          <w:sz w:val="22"/>
          <w:szCs w:val="22"/>
          <w:highlight w:val="none"/>
        </w:rPr>
        <w:t>和</w:t>
      </w:r>
      <w:r>
        <w:rPr>
          <w:rFonts w:hint="eastAsia" w:ascii="新宋体" w:hAnsi="新宋体" w:eastAsia="新宋体" w:cs="新宋体"/>
          <w:bCs/>
          <w:color w:val="auto"/>
          <w:sz w:val="22"/>
          <w:szCs w:val="22"/>
          <w:highlight w:val="none"/>
          <w:lang w:eastAsia="zh-CN"/>
        </w:rPr>
        <w:t>采购代理机构</w:t>
      </w:r>
      <w:r>
        <w:rPr>
          <w:rFonts w:hint="eastAsia" w:ascii="新宋体" w:hAnsi="新宋体" w:eastAsia="新宋体" w:cs="新宋体"/>
          <w:bCs/>
          <w:color w:val="auto"/>
          <w:sz w:val="22"/>
          <w:szCs w:val="22"/>
          <w:highlight w:val="none"/>
        </w:rPr>
        <w:t>施加影响，其投标将被拒绝。</w:t>
      </w:r>
    </w:p>
    <w:p w14:paraId="2773D5F6">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3、开标形式</w:t>
      </w:r>
    </w:p>
    <w:p w14:paraId="5890EE29">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采购组织机构将按照</w:t>
      </w:r>
      <w:r>
        <w:rPr>
          <w:rFonts w:hint="eastAsia" w:ascii="新宋体" w:hAnsi="新宋体" w:eastAsia="新宋体" w:cs="新宋体"/>
          <w:b/>
          <w:color w:val="auto"/>
          <w:sz w:val="22"/>
          <w:szCs w:val="22"/>
          <w:highlight w:val="none"/>
          <w:lang w:eastAsia="zh-CN"/>
        </w:rPr>
        <w:t>采购文件</w:t>
      </w:r>
      <w:r>
        <w:rPr>
          <w:rFonts w:hint="eastAsia" w:ascii="新宋体" w:hAnsi="新宋体" w:eastAsia="新宋体" w:cs="新宋体"/>
          <w:b/>
          <w:color w:val="auto"/>
          <w:sz w:val="22"/>
          <w:szCs w:val="22"/>
          <w:highlight w:val="none"/>
        </w:rPr>
        <w:t>规定的时间通过“政府采购云平台”组织开标、开启投标文件，所有供应商均应当准时</w:t>
      </w:r>
      <w:r>
        <w:rPr>
          <w:rFonts w:hint="eastAsia" w:ascii="新宋体" w:hAnsi="新宋体" w:eastAsia="新宋体" w:cs="新宋体"/>
          <w:b/>
          <w:color w:val="auto"/>
          <w:sz w:val="22"/>
          <w:szCs w:val="22"/>
          <w:highlight w:val="none"/>
          <w:lang w:eastAsia="zh-CN"/>
        </w:rPr>
        <w:t>（</w:t>
      </w:r>
      <w:r>
        <w:rPr>
          <w:rFonts w:hint="eastAsia" w:ascii="新宋体" w:hAnsi="新宋体" w:eastAsia="新宋体" w:cs="新宋体"/>
          <w:b/>
          <w:color w:val="auto"/>
          <w:sz w:val="22"/>
          <w:szCs w:val="22"/>
          <w:highlight w:val="none"/>
        </w:rPr>
        <w:t>在线</w:t>
      </w:r>
      <w:r>
        <w:rPr>
          <w:rFonts w:hint="eastAsia" w:ascii="新宋体" w:hAnsi="新宋体" w:eastAsia="新宋体" w:cs="新宋体"/>
          <w:b/>
          <w:color w:val="auto"/>
          <w:sz w:val="22"/>
          <w:szCs w:val="22"/>
          <w:highlight w:val="none"/>
          <w:lang w:eastAsia="zh-CN"/>
        </w:rPr>
        <w:t>）</w:t>
      </w:r>
      <w:r>
        <w:rPr>
          <w:rFonts w:hint="eastAsia" w:ascii="新宋体" w:hAnsi="新宋体" w:eastAsia="新宋体" w:cs="新宋体"/>
          <w:b/>
          <w:color w:val="auto"/>
          <w:sz w:val="22"/>
          <w:szCs w:val="22"/>
          <w:highlight w:val="none"/>
        </w:rPr>
        <w:t>参加。</w:t>
      </w:r>
    </w:p>
    <w:p w14:paraId="1D7E9BB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4、开标准备</w:t>
      </w:r>
    </w:p>
    <w:p w14:paraId="70EE48A9">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4.1开标的准备工作由采购组织机构负责落实；</w:t>
      </w:r>
    </w:p>
    <w:p w14:paraId="16402A5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4.2</w:t>
      </w:r>
      <w:r>
        <w:rPr>
          <w:rFonts w:hint="eastAsia" w:ascii="新宋体" w:hAnsi="新宋体" w:eastAsia="新宋体" w:cs="新宋体"/>
          <w:b/>
          <w:color w:val="auto"/>
          <w:sz w:val="22"/>
          <w:szCs w:val="22"/>
          <w:highlight w:val="none"/>
        </w:rPr>
        <w:t>采购组织机构将按照</w:t>
      </w:r>
      <w:r>
        <w:rPr>
          <w:rFonts w:hint="eastAsia" w:ascii="新宋体" w:hAnsi="新宋体" w:eastAsia="新宋体" w:cs="新宋体"/>
          <w:b/>
          <w:color w:val="auto"/>
          <w:sz w:val="22"/>
          <w:szCs w:val="22"/>
          <w:highlight w:val="none"/>
          <w:lang w:eastAsia="zh-CN"/>
        </w:rPr>
        <w:t>采购文件</w:t>
      </w:r>
      <w:r>
        <w:rPr>
          <w:rFonts w:hint="eastAsia" w:ascii="新宋体" w:hAnsi="新宋体" w:eastAsia="新宋体" w:cs="新宋体"/>
          <w:b/>
          <w:color w:val="auto"/>
          <w:sz w:val="22"/>
          <w:szCs w:val="22"/>
          <w:highlight w:val="none"/>
        </w:rPr>
        <w:t>规定的时间通过“政府采购云平台”组织开标、开启投标文件，所有供应商均应当准时</w:t>
      </w:r>
      <w:r>
        <w:rPr>
          <w:rFonts w:hint="eastAsia" w:ascii="新宋体" w:hAnsi="新宋体" w:eastAsia="新宋体" w:cs="新宋体"/>
          <w:b/>
          <w:color w:val="auto"/>
          <w:sz w:val="22"/>
          <w:szCs w:val="22"/>
          <w:highlight w:val="none"/>
          <w:lang w:eastAsia="zh-CN"/>
        </w:rPr>
        <w:t>（</w:t>
      </w:r>
      <w:r>
        <w:rPr>
          <w:rFonts w:hint="eastAsia" w:ascii="新宋体" w:hAnsi="新宋体" w:eastAsia="新宋体" w:cs="新宋体"/>
          <w:b/>
          <w:color w:val="auto"/>
          <w:sz w:val="22"/>
          <w:szCs w:val="22"/>
          <w:highlight w:val="none"/>
        </w:rPr>
        <w:t>在线</w:t>
      </w:r>
      <w:r>
        <w:rPr>
          <w:rFonts w:hint="eastAsia" w:ascii="新宋体" w:hAnsi="新宋体" w:eastAsia="新宋体" w:cs="新宋体"/>
          <w:b/>
          <w:color w:val="auto"/>
          <w:sz w:val="22"/>
          <w:szCs w:val="22"/>
          <w:highlight w:val="none"/>
          <w:lang w:eastAsia="zh-CN"/>
        </w:rPr>
        <w:t>）</w:t>
      </w:r>
      <w:r>
        <w:rPr>
          <w:rFonts w:hint="eastAsia" w:ascii="新宋体" w:hAnsi="新宋体" w:eastAsia="新宋体" w:cs="新宋体"/>
          <w:b/>
          <w:color w:val="auto"/>
          <w:sz w:val="22"/>
          <w:szCs w:val="22"/>
          <w:highlight w:val="none"/>
        </w:rPr>
        <w:t>参加。</w:t>
      </w:r>
      <w:r>
        <w:rPr>
          <w:rFonts w:hint="eastAsia" w:ascii="新宋体" w:hAnsi="新宋体" w:eastAsia="新宋体" w:cs="新宋体"/>
          <w:b/>
          <w:color w:val="auto"/>
          <w:kern w:val="0"/>
          <w:sz w:val="22"/>
          <w:szCs w:val="22"/>
          <w:highlight w:val="none"/>
        </w:rPr>
        <w:t>投标人如不参加开标大会的，视同认可开标结果，事后不得对采购相关人员、开标过程和开标结果提出异议，同时投标人因未在线参加开标而导致投标文件无法按时解密等一切后果由供应商自己承担。</w:t>
      </w:r>
    </w:p>
    <w:p w14:paraId="6B5FF9D2">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5、开标流程</w:t>
      </w:r>
    </w:p>
    <w:p w14:paraId="6014E8B6">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kern w:val="0"/>
          <w:sz w:val="22"/>
          <w:szCs w:val="22"/>
          <w:highlight w:val="none"/>
        </w:rPr>
        <w:t>5.1开标、评标</w:t>
      </w:r>
    </w:p>
    <w:p w14:paraId="112F3180">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（1）向各投标人发出电子加密投标文件【开始解密】通知，由供应商按</w:t>
      </w:r>
      <w:r>
        <w:rPr>
          <w:rFonts w:hint="eastAsia" w:ascii="新宋体" w:hAnsi="新宋体" w:eastAsia="新宋体" w:cs="新宋体"/>
          <w:color w:val="auto"/>
          <w:kern w:val="0"/>
          <w:sz w:val="22"/>
          <w:szCs w:val="22"/>
          <w:highlight w:val="none"/>
          <w:lang w:eastAsia="zh-CN"/>
        </w:rPr>
        <w:t>采购文件</w:t>
      </w:r>
      <w:r>
        <w:rPr>
          <w:rFonts w:hint="eastAsia" w:ascii="新宋体" w:hAnsi="新宋体" w:eastAsia="新宋体" w:cs="新宋体"/>
          <w:color w:val="auto"/>
          <w:kern w:val="0"/>
          <w:sz w:val="22"/>
          <w:szCs w:val="22"/>
          <w:highlight w:val="none"/>
        </w:rPr>
        <w:t>规定的时间内自行进行投标文件解密。投标人在规定的时间内无法完成已递交的“电子加密投标文件”解密的，如已按规 定递交了备份投标文件的，将由采购组织机构按“政府采购云平台”操作规范将备份投标文件上传至“政府采购云平台”，上传成功后，“电子加密投标文件”自动失效；</w:t>
      </w:r>
    </w:p>
    <w:p w14:paraId="25352F9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highlight w:val="none"/>
        </w:rPr>
      </w:pPr>
      <w:r>
        <w:rPr>
          <w:rFonts w:hint="eastAsia" w:ascii="新宋体" w:hAnsi="新宋体" w:eastAsia="新宋体" w:cs="新宋体"/>
          <w:bCs/>
          <w:color w:val="auto"/>
          <w:sz w:val="22"/>
          <w:szCs w:val="22"/>
          <w:highlight w:val="none"/>
        </w:rPr>
        <w:t>投标人不足3家的，不得开标。</w:t>
      </w:r>
    </w:p>
    <w:p w14:paraId="4A7CF2E7">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（2）解密成功后，开启投标人的《报价文件》，由供应商对自己报价文件相关内容进行签字确认，（不予确认的应说明理由，否则视为无异议）。</w:t>
      </w:r>
    </w:p>
    <w:p w14:paraId="3ED463D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（3）开启《投标文件》，进入资格审查；</w:t>
      </w:r>
      <w:r>
        <w:rPr>
          <w:rFonts w:hint="eastAsia" w:ascii="新宋体" w:hAnsi="新宋体" w:eastAsia="新宋体" w:cs="新宋体"/>
          <w:bCs/>
          <w:color w:val="auto"/>
          <w:sz w:val="22"/>
          <w:szCs w:val="22"/>
          <w:highlight w:val="none"/>
        </w:rPr>
        <w:t>合格投标人不足3家的，不得评标。</w:t>
      </w:r>
    </w:p>
    <w:p w14:paraId="7AF4B202">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color w:val="auto"/>
          <w:kern w:val="0"/>
          <w:sz w:val="22"/>
          <w:szCs w:val="22"/>
          <w:highlight w:val="none"/>
        </w:rPr>
      </w:pPr>
      <w:r>
        <w:rPr>
          <w:rFonts w:hint="eastAsia" w:ascii="新宋体" w:hAnsi="新宋体" w:eastAsia="新宋体" w:cs="新宋体"/>
          <w:b/>
          <w:color w:val="auto"/>
          <w:kern w:val="0"/>
          <w:sz w:val="22"/>
          <w:szCs w:val="22"/>
          <w:highlight w:val="none"/>
        </w:rPr>
        <w:t>备注：开标大会的结束后，</w:t>
      </w:r>
      <w:r>
        <w:rPr>
          <w:rFonts w:hint="eastAsia" w:ascii="新宋体" w:hAnsi="新宋体" w:eastAsia="新宋体" w:cs="新宋体"/>
          <w:b/>
          <w:color w:val="auto"/>
          <w:kern w:val="0"/>
          <w:sz w:val="22"/>
          <w:szCs w:val="22"/>
          <w:highlight w:val="none"/>
          <w:lang w:eastAsia="zh-CN"/>
        </w:rPr>
        <w:t>采购人</w:t>
      </w:r>
      <w:r>
        <w:rPr>
          <w:rFonts w:hint="eastAsia" w:ascii="新宋体" w:hAnsi="新宋体" w:eastAsia="新宋体" w:cs="新宋体"/>
          <w:b/>
          <w:color w:val="auto"/>
          <w:kern w:val="0"/>
          <w:sz w:val="22"/>
          <w:szCs w:val="22"/>
          <w:highlight w:val="none"/>
        </w:rPr>
        <w:t>或采购代理机构将对依法对投标人的资格进行审查，资格审查结束后进入符合性审查和商务技术的评审工作，具体见本章节“投标人资格审查”相关规定。</w:t>
      </w:r>
    </w:p>
    <w:p w14:paraId="05076BD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color w:val="auto"/>
          <w:kern w:val="0"/>
          <w:sz w:val="22"/>
          <w:szCs w:val="22"/>
          <w:highlight w:val="none"/>
        </w:rPr>
        <w:t>（4）开启资格审查通过的投标人的商务技术文件进入符合性审查，</w:t>
      </w:r>
      <w:r>
        <w:rPr>
          <w:rFonts w:hint="eastAsia" w:ascii="新宋体" w:hAnsi="新宋体" w:eastAsia="新宋体" w:cs="新宋体"/>
          <w:bCs/>
          <w:color w:val="auto"/>
          <w:sz w:val="22"/>
          <w:szCs w:val="22"/>
          <w:highlight w:val="none"/>
        </w:rPr>
        <w:t>以确定其是否满足</w:t>
      </w:r>
      <w:r>
        <w:rPr>
          <w:rFonts w:hint="eastAsia" w:ascii="新宋体" w:hAnsi="新宋体" w:eastAsia="新宋体" w:cs="新宋体"/>
          <w:bCs/>
          <w:color w:val="auto"/>
          <w:sz w:val="22"/>
          <w:szCs w:val="22"/>
          <w:highlight w:val="none"/>
          <w:lang w:eastAsia="zh-CN"/>
        </w:rPr>
        <w:t>采购文件</w:t>
      </w:r>
      <w:r>
        <w:rPr>
          <w:rFonts w:hint="eastAsia" w:ascii="新宋体" w:hAnsi="新宋体" w:eastAsia="新宋体" w:cs="新宋体"/>
          <w:bCs/>
          <w:color w:val="auto"/>
          <w:sz w:val="22"/>
          <w:szCs w:val="22"/>
          <w:highlight w:val="none"/>
        </w:rPr>
        <w:t>的实质性要求，合格投标人不足3家的，不得评标。</w:t>
      </w:r>
    </w:p>
    <w:p w14:paraId="57503439">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没有满足</w:t>
      </w:r>
      <w:r>
        <w:rPr>
          <w:rFonts w:hint="eastAsia" w:ascii="新宋体" w:hAnsi="新宋体" w:eastAsia="新宋体" w:cs="新宋体"/>
          <w:bCs/>
          <w:color w:val="auto"/>
          <w:sz w:val="22"/>
          <w:szCs w:val="22"/>
          <w:highlight w:val="none"/>
          <w:lang w:eastAsia="zh-CN"/>
        </w:rPr>
        <w:t>采购文件</w:t>
      </w:r>
      <w:r>
        <w:rPr>
          <w:rFonts w:hint="eastAsia" w:ascii="新宋体" w:hAnsi="新宋体" w:eastAsia="新宋体" w:cs="新宋体"/>
          <w:bCs/>
          <w:color w:val="auto"/>
          <w:sz w:val="22"/>
          <w:szCs w:val="22"/>
          <w:highlight w:val="none"/>
        </w:rPr>
        <w:t>的实质性要求的投标作无效标处理。评标委员会决定投标的实质性要求只根据投标文件本身的内容，而不寻求外部的证据。投标人不得通过修正或撤消不合要求的偏离或保留从而使其投标成为实质上响应的投标。</w:t>
      </w:r>
    </w:p>
    <w:p w14:paraId="0BDB9A8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highlight w:val="none"/>
        </w:rPr>
      </w:pPr>
      <w:r>
        <w:rPr>
          <w:rFonts w:hint="eastAsia" w:ascii="新宋体" w:hAnsi="新宋体" w:eastAsia="新宋体" w:cs="新宋体"/>
          <w:bCs/>
          <w:color w:val="auto"/>
          <w:sz w:val="22"/>
          <w:szCs w:val="22"/>
          <w:highlight w:val="none"/>
        </w:rPr>
        <w:t>（5）对通过资格审查、符合性审查的合格供应商进行商务技术部分的评审。</w:t>
      </w:r>
    </w:p>
    <w:p w14:paraId="3436BA2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（6）评标委员会对报价的合理性、准确性等进行审查核实。</w:t>
      </w:r>
    </w:p>
    <w:p w14:paraId="6885235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（7）评审结束后，公布中标（成交）候选供应商名单及</w:t>
      </w:r>
      <w:r>
        <w:rPr>
          <w:rFonts w:hint="eastAsia" w:ascii="新宋体" w:hAnsi="新宋体" w:eastAsia="新宋体" w:cs="新宋体"/>
          <w:color w:val="auto"/>
          <w:kern w:val="0"/>
          <w:sz w:val="22"/>
          <w:szCs w:val="22"/>
          <w:highlight w:val="none"/>
          <w:lang w:eastAsia="zh-CN"/>
        </w:rPr>
        <w:t>采购人</w:t>
      </w:r>
      <w:r>
        <w:rPr>
          <w:rFonts w:hint="eastAsia" w:ascii="新宋体" w:hAnsi="新宋体" w:eastAsia="新宋体" w:cs="新宋体"/>
          <w:color w:val="auto"/>
          <w:kern w:val="0"/>
          <w:sz w:val="22"/>
          <w:szCs w:val="22"/>
          <w:highlight w:val="none"/>
        </w:rPr>
        <w:t>最终确定中标或成交供应商名单的时间和公告方式等，未在场的投标人通过发送邮件形式通知。</w:t>
      </w:r>
    </w:p>
    <w:p w14:paraId="5DD1D619">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kern w:val="0"/>
          <w:sz w:val="22"/>
          <w:szCs w:val="22"/>
          <w:highlight w:val="none"/>
        </w:rPr>
        <w:t>特别说明：如遇“政府采购云平台”电子化开标或评审程序调整的，按调整后程序执行。</w:t>
      </w:r>
    </w:p>
    <w:p w14:paraId="12123366">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bookmarkStart w:id="20" w:name="_Toc33194393"/>
      <w:bookmarkStart w:id="21" w:name="_Toc24550037"/>
      <w:r>
        <w:rPr>
          <w:rFonts w:hint="eastAsia" w:ascii="新宋体" w:hAnsi="新宋体" w:eastAsia="新宋体" w:cs="新宋体"/>
          <w:color w:val="auto"/>
          <w:sz w:val="22"/>
          <w:szCs w:val="22"/>
          <w:highlight w:val="none"/>
        </w:rPr>
        <w:t>6、投标人资格审查</w:t>
      </w:r>
      <w:bookmarkEnd w:id="20"/>
      <w:bookmarkEnd w:id="21"/>
    </w:p>
    <w:p w14:paraId="6EBAC2B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color w:val="auto"/>
          <w:sz w:val="22"/>
          <w:szCs w:val="22"/>
          <w:highlight w:val="none"/>
        </w:rPr>
        <w:t>6.1开标大会结束后，</w:t>
      </w:r>
      <w:r>
        <w:rPr>
          <w:rFonts w:hint="eastAsia" w:ascii="新宋体" w:hAnsi="新宋体" w:eastAsia="新宋体" w:cs="新宋体"/>
          <w:b/>
          <w:color w:val="auto"/>
          <w:sz w:val="22"/>
          <w:szCs w:val="22"/>
          <w:highlight w:val="none"/>
          <w:lang w:eastAsia="zh-CN"/>
        </w:rPr>
        <w:t>采购人</w:t>
      </w:r>
      <w:r>
        <w:rPr>
          <w:rFonts w:hint="eastAsia" w:ascii="新宋体" w:hAnsi="新宋体" w:eastAsia="新宋体" w:cs="新宋体"/>
          <w:b/>
          <w:color w:val="auto"/>
          <w:sz w:val="22"/>
          <w:szCs w:val="22"/>
          <w:highlight w:val="none"/>
        </w:rPr>
        <w:t>或采购代理机构首先依法对各投标人的资格进行审查，审查各投标人的资格是否满足</w:t>
      </w:r>
      <w:r>
        <w:rPr>
          <w:rFonts w:hint="eastAsia" w:ascii="新宋体" w:hAnsi="新宋体" w:eastAsia="新宋体" w:cs="新宋体"/>
          <w:b/>
          <w:color w:val="auto"/>
          <w:sz w:val="22"/>
          <w:szCs w:val="22"/>
          <w:highlight w:val="none"/>
          <w:lang w:eastAsia="zh-CN"/>
        </w:rPr>
        <w:t>采购文件</w:t>
      </w:r>
      <w:r>
        <w:rPr>
          <w:rFonts w:hint="eastAsia" w:ascii="新宋体" w:hAnsi="新宋体" w:eastAsia="新宋体" w:cs="新宋体"/>
          <w:b/>
          <w:color w:val="auto"/>
          <w:sz w:val="22"/>
          <w:szCs w:val="22"/>
          <w:highlight w:val="none"/>
        </w:rPr>
        <w:t>的要求。</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或采购代理机构对投标人所提交的资格证明材料仅负审核的责任。如发现投标人所提交的资格证明材料不合法或与事实不符，</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可取消其中标资格并追究投标人的法律责任。</w:t>
      </w:r>
    </w:p>
    <w:p w14:paraId="59C4D811">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sz w:val="22"/>
          <w:szCs w:val="22"/>
          <w:highlight w:val="none"/>
        </w:rPr>
        <w:t>6.2投标人提交的资格证明材料无法证明其符合</w:t>
      </w:r>
      <w:r>
        <w:rPr>
          <w:rFonts w:hint="eastAsia" w:ascii="新宋体" w:hAnsi="新宋体" w:eastAsia="新宋体" w:cs="新宋体"/>
          <w:b/>
          <w:color w:val="auto"/>
          <w:sz w:val="22"/>
          <w:szCs w:val="22"/>
          <w:highlight w:val="none"/>
          <w:lang w:eastAsia="zh-CN"/>
        </w:rPr>
        <w:t>采购文件</w:t>
      </w:r>
      <w:r>
        <w:rPr>
          <w:rFonts w:hint="eastAsia" w:ascii="新宋体" w:hAnsi="新宋体" w:eastAsia="新宋体" w:cs="新宋体"/>
          <w:b/>
          <w:color w:val="auto"/>
          <w:sz w:val="22"/>
          <w:szCs w:val="22"/>
          <w:highlight w:val="none"/>
        </w:rPr>
        <w:t>规定的“投标人资格要求”的，</w:t>
      </w:r>
      <w:r>
        <w:rPr>
          <w:rFonts w:hint="eastAsia" w:ascii="新宋体" w:hAnsi="新宋体" w:eastAsia="新宋体" w:cs="新宋体"/>
          <w:b/>
          <w:color w:val="auto"/>
          <w:sz w:val="22"/>
          <w:szCs w:val="22"/>
          <w:highlight w:val="none"/>
          <w:lang w:eastAsia="zh-CN"/>
        </w:rPr>
        <w:t>采购人</w:t>
      </w:r>
      <w:r>
        <w:rPr>
          <w:rFonts w:hint="eastAsia" w:ascii="新宋体" w:hAnsi="新宋体" w:eastAsia="新宋体" w:cs="新宋体"/>
          <w:b/>
          <w:color w:val="auto"/>
          <w:sz w:val="22"/>
          <w:szCs w:val="22"/>
          <w:highlight w:val="none"/>
        </w:rPr>
        <w:t>或采购代理机构</w:t>
      </w:r>
      <w:r>
        <w:rPr>
          <w:rFonts w:hint="eastAsia" w:ascii="新宋体" w:hAnsi="新宋体" w:eastAsia="新宋体" w:cs="新宋体"/>
          <w:b/>
          <w:color w:val="auto"/>
          <w:kern w:val="0"/>
          <w:sz w:val="22"/>
          <w:szCs w:val="22"/>
          <w:highlight w:val="none"/>
        </w:rPr>
        <w:t>将对其作资格审查不通过处理（无效投标），并不再将其投标提交评标委员会进行后续评审。</w:t>
      </w:r>
    </w:p>
    <w:p w14:paraId="4A13EE77">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color w:val="auto"/>
          <w:sz w:val="22"/>
          <w:szCs w:val="22"/>
          <w:highlight w:val="none"/>
        </w:rPr>
        <w:t>6</w:t>
      </w:r>
      <w:r>
        <w:rPr>
          <w:rFonts w:hint="eastAsia" w:ascii="新宋体" w:hAnsi="新宋体" w:eastAsia="新宋体" w:cs="新宋体"/>
          <w:b/>
          <w:color w:val="auto"/>
          <w:kern w:val="0"/>
          <w:sz w:val="22"/>
          <w:szCs w:val="22"/>
          <w:highlight w:val="none"/>
        </w:rPr>
        <w:t>.3单位负责人为同一人或者存在直接控股、管理关系的不同供应商参加同一合同项下的政府采购活动的，相关投标人均作资格无效处理。</w:t>
      </w:r>
    </w:p>
    <w:p w14:paraId="74BFF71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7、评标委员按照</w:t>
      </w:r>
      <w:r>
        <w:rPr>
          <w:rFonts w:hint="eastAsia" w:ascii="新宋体" w:hAnsi="新宋体" w:eastAsia="新宋体" w:cs="新宋体"/>
          <w:bCs/>
          <w:color w:val="auto"/>
          <w:sz w:val="22"/>
          <w:szCs w:val="22"/>
          <w:highlight w:val="none"/>
          <w:lang w:eastAsia="zh-CN"/>
        </w:rPr>
        <w:t>采购文件</w:t>
      </w:r>
      <w:r>
        <w:rPr>
          <w:rFonts w:hint="eastAsia" w:ascii="新宋体" w:hAnsi="新宋体" w:eastAsia="新宋体" w:cs="新宋体"/>
          <w:bCs/>
          <w:color w:val="auto"/>
          <w:sz w:val="22"/>
          <w:szCs w:val="22"/>
          <w:highlight w:val="none"/>
        </w:rPr>
        <w:t>中规定的评标方法和标准，对投标文件进行商务和技术评估，综合比较与评价。</w:t>
      </w:r>
    </w:p>
    <w:p w14:paraId="4C30E0E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u w:val="single"/>
        </w:rPr>
      </w:pPr>
      <w:r>
        <w:rPr>
          <w:rFonts w:hint="eastAsia" w:ascii="新宋体" w:hAnsi="新宋体" w:eastAsia="新宋体" w:cs="新宋体"/>
          <w:b/>
          <w:color w:val="auto"/>
          <w:sz w:val="22"/>
          <w:szCs w:val="22"/>
          <w:highlight w:val="none"/>
          <w:u w:val="single"/>
        </w:rPr>
        <w:t>8、投标人存在下列情况之一的，投标无效：</w:t>
      </w:r>
    </w:p>
    <w:p w14:paraId="04FDB422">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（1）投标文件未按</w:t>
      </w:r>
      <w:r>
        <w:rPr>
          <w:rFonts w:hint="eastAsia" w:ascii="新宋体" w:hAnsi="新宋体" w:eastAsia="新宋体" w:cs="新宋体"/>
          <w:bCs/>
          <w:color w:val="auto"/>
          <w:sz w:val="22"/>
          <w:szCs w:val="22"/>
          <w:highlight w:val="none"/>
          <w:lang w:eastAsia="zh-CN"/>
        </w:rPr>
        <w:t>采购文件</w:t>
      </w:r>
      <w:r>
        <w:rPr>
          <w:rFonts w:hint="eastAsia" w:ascii="新宋体" w:hAnsi="新宋体" w:eastAsia="新宋体" w:cs="新宋体"/>
          <w:bCs/>
          <w:color w:val="auto"/>
          <w:sz w:val="22"/>
          <w:szCs w:val="22"/>
          <w:highlight w:val="none"/>
        </w:rPr>
        <w:t>要求签署、盖章的；</w:t>
      </w:r>
    </w:p>
    <w:p w14:paraId="1C2018E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（2）不具备</w:t>
      </w:r>
      <w:r>
        <w:rPr>
          <w:rFonts w:hint="eastAsia" w:ascii="新宋体" w:hAnsi="新宋体" w:eastAsia="新宋体" w:cs="新宋体"/>
          <w:bCs/>
          <w:color w:val="auto"/>
          <w:sz w:val="22"/>
          <w:szCs w:val="22"/>
          <w:highlight w:val="none"/>
          <w:lang w:eastAsia="zh-CN"/>
        </w:rPr>
        <w:t>采购文件</w:t>
      </w:r>
      <w:r>
        <w:rPr>
          <w:rFonts w:hint="eastAsia" w:ascii="新宋体" w:hAnsi="新宋体" w:eastAsia="新宋体" w:cs="新宋体"/>
          <w:bCs/>
          <w:color w:val="auto"/>
          <w:sz w:val="22"/>
          <w:szCs w:val="22"/>
          <w:highlight w:val="none"/>
        </w:rPr>
        <w:t xml:space="preserve">中规定的资格要求的； </w:t>
      </w:r>
    </w:p>
    <w:p w14:paraId="272991C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（3）明显不符合</w:t>
      </w:r>
      <w:r>
        <w:rPr>
          <w:rFonts w:hint="eastAsia" w:ascii="新宋体" w:hAnsi="新宋体" w:eastAsia="新宋体" w:cs="新宋体"/>
          <w:bCs/>
          <w:color w:val="auto"/>
          <w:sz w:val="22"/>
          <w:szCs w:val="22"/>
          <w:highlight w:val="none"/>
          <w:lang w:eastAsia="zh-CN"/>
        </w:rPr>
        <w:t>采购文件</w:t>
      </w:r>
      <w:r>
        <w:rPr>
          <w:rFonts w:hint="eastAsia" w:ascii="新宋体" w:hAnsi="新宋体" w:eastAsia="新宋体" w:cs="新宋体"/>
          <w:bCs/>
          <w:color w:val="auto"/>
          <w:sz w:val="22"/>
          <w:szCs w:val="22"/>
          <w:highlight w:val="none"/>
        </w:rPr>
        <w:t>中主要技术规格、技术标准的；</w:t>
      </w:r>
    </w:p>
    <w:p w14:paraId="30B6C3F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（4）“▲”标记条款负偏离或不响应的；</w:t>
      </w:r>
    </w:p>
    <w:p w14:paraId="6E48484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w:t>
      </w:r>
      <w:r>
        <w:rPr>
          <w:rFonts w:hint="eastAsia" w:ascii="新宋体" w:hAnsi="新宋体" w:eastAsia="新宋体" w:cs="新宋体"/>
          <w:bCs/>
          <w:color w:val="auto"/>
          <w:sz w:val="22"/>
          <w:szCs w:val="22"/>
          <w:highlight w:val="none"/>
          <w:lang w:val="en-US" w:eastAsia="zh-CN"/>
        </w:rPr>
        <w:t>5</w:t>
      </w:r>
      <w:r>
        <w:rPr>
          <w:rFonts w:hint="eastAsia" w:ascii="新宋体" w:hAnsi="新宋体" w:eastAsia="新宋体" w:cs="新宋体"/>
          <w:bCs/>
          <w:color w:val="auto"/>
          <w:sz w:val="22"/>
          <w:szCs w:val="22"/>
          <w:highlight w:val="none"/>
        </w:rPr>
        <w:t>）投标文件内容不全或关键字迹模糊无法辨认的；</w:t>
      </w:r>
    </w:p>
    <w:p w14:paraId="7AC3FA5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w:t>
      </w:r>
      <w:r>
        <w:rPr>
          <w:rFonts w:hint="eastAsia" w:ascii="新宋体" w:hAnsi="新宋体" w:eastAsia="新宋体" w:cs="新宋体"/>
          <w:bCs/>
          <w:color w:val="auto"/>
          <w:sz w:val="22"/>
          <w:szCs w:val="22"/>
          <w:highlight w:val="none"/>
          <w:lang w:val="en-US" w:eastAsia="zh-CN"/>
        </w:rPr>
        <w:t>6</w:t>
      </w:r>
      <w:r>
        <w:rPr>
          <w:rFonts w:hint="eastAsia" w:ascii="新宋体" w:hAnsi="新宋体" w:eastAsia="新宋体" w:cs="新宋体"/>
          <w:bCs/>
          <w:color w:val="auto"/>
          <w:sz w:val="22"/>
          <w:szCs w:val="22"/>
          <w:highlight w:val="none"/>
        </w:rPr>
        <w:t>）报价超过</w:t>
      </w:r>
      <w:r>
        <w:rPr>
          <w:rFonts w:hint="eastAsia" w:ascii="新宋体" w:hAnsi="新宋体" w:eastAsia="新宋体" w:cs="新宋体"/>
          <w:bCs/>
          <w:color w:val="auto"/>
          <w:sz w:val="22"/>
          <w:szCs w:val="22"/>
          <w:highlight w:val="none"/>
          <w:lang w:eastAsia="zh-CN"/>
        </w:rPr>
        <w:t>采购文件</w:t>
      </w:r>
      <w:r>
        <w:rPr>
          <w:rFonts w:hint="eastAsia" w:ascii="新宋体" w:hAnsi="新宋体" w:eastAsia="新宋体" w:cs="新宋体"/>
          <w:bCs/>
          <w:color w:val="auto"/>
          <w:sz w:val="22"/>
          <w:szCs w:val="22"/>
          <w:highlight w:val="none"/>
        </w:rPr>
        <w:t>中规定的预算金额的；</w:t>
      </w:r>
    </w:p>
    <w:p w14:paraId="4E35B819">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w:t>
      </w:r>
      <w:r>
        <w:rPr>
          <w:rFonts w:hint="eastAsia" w:ascii="新宋体" w:hAnsi="新宋体" w:eastAsia="新宋体" w:cs="新宋体"/>
          <w:bCs/>
          <w:color w:val="auto"/>
          <w:sz w:val="22"/>
          <w:szCs w:val="22"/>
          <w:highlight w:val="none"/>
          <w:lang w:val="en-US" w:eastAsia="zh-CN"/>
        </w:rPr>
        <w:t>7</w:t>
      </w:r>
      <w:r>
        <w:rPr>
          <w:rFonts w:hint="eastAsia" w:ascii="新宋体" w:hAnsi="新宋体" w:eastAsia="新宋体" w:cs="新宋体"/>
          <w:bCs/>
          <w:color w:val="auto"/>
          <w:sz w:val="22"/>
          <w:szCs w:val="22"/>
          <w:highlight w:val="none"/>
        </w:rPr>
        <w:t>）投标人代表没有法定代表人合法、有效委托的；</w:t>
      </w:r>
    </w:p>
    <w:p w14:paraId="0475486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w:t>
      </w:r>
      <w:r>
        <w:rPr>
          <w:rFonts w:hint="eastAsia" w:ascii="新宋体" w:hAnsi="新宋体" w:eastAsia="新宋体" w:cs="新宋体"/>
          <w:bCs/>
          <w:color w:val="auto"/>
          <w:sz w:val="22"/>
          <w:szCs w:val="22"/>
          <w:highlight w:val="none"/>
          <w:lang w:val="en-US" w:eastAsia="zh-CN"/>
        </w:rPr>
        <w:t>8</w:t>
      </w:r>
      <w:r>
        <w:rPr>
          <w:rFonts w:hint="eastAsia" w:ascii="新宋体" w:hAnsi="新宋体" w:eastAsia="新宋体" w:cs="新宋体"/>
          <w:bCs/>
          <w:color w:val="auto"/>
          <w:sz w:val="22"/>
          <w:szCs w:val="22"/>
          <w:highlight w:val="none"/>
        </w:rPr>
        <w:t>）投标文件存在一个或一个以上备选（替代）投标方案的；</w:t>
      </w:r>
    </w:p>
    <w:p w14:paraId="2E018BB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w:t>
      </w:r>
      <w:r>
        <w:rPr>
          <w:rFonts w:hint="eastAsia" w:ascii="新宋体" w:hAnsi="新宋体" w:eastAsia="新宋体" w:cs="新宋体"/>
          <w:bCs/>
          <w:color w:val="auto"/>
          <w:sz w:val="22"/>
          <w:szCs w:val="22"/>
          <w:highlight w:val="none"/>
          <w:lang w:val="en-US" w:eastAsia="zh-CN"/>
        </w:rPr>
        <w:t>9</w:t>
      </w:r>
      <w:r>
        <w:rPr>
          <w:rFonts w:hint="eastAsia" w:ascii="新宋体" w:hAnsi="新宋体" w:eastAsia="新宋体" w:cs="新宋体"/>
          <w:bCs/>
          <w:color w:val="auto"/>
          <w:sz w:val="22"/>
          <w:szCs w:val="22"/>
          <w:highlight w:val="none"/>
        </w:rPr>
        <w:t>）仅提交“备份投标文件”的；</w:t>
      </w:r>
    </w:p>
    <w:p w14:paraId="571215C6">
      <w:pPr>
        <w:spacing w:line="460" w:lineRule="exact"/>
        <w:ind w:firstLine="442" w:firstLineChars="200"/>
        <w:rPr>
          <w:rFonts w:ascii="新宋体" w:hAnsi="新宋体" w:eastAsia="新宋体" w:cs="新宋体"/>
          <w:bCs/>
          <w:color w:val="auto"/>
          <w:sz w:val="22"/>
          <w:szCs w:val="22"/>
          <w:highlight w:val="none"/>
        </w:rPr>
      </w:pPr>
      <w:r>
        <w:rPr>
          <w:rFonts w:hint="eastAsia" w:ascii="新宋体" w:hAnsi="新宋体" w:eastAsia="新宋体" w:cs="新宋体"/>
          <w:b/>
          <w:color w:val="auto"/>
          <w:sz w:val="22"/>
          <w:szCs w:val="22"/>
          <w:highlight w:val="none"/>
          <w:u w:val="single"/>
        </w:rPr>
        <w:t>（10）未提供食品药品监督管理部门核发的完整有效的医疗器械注册或备案证明，或提供的医疗器械注册或备案证明不足以证明所投设备可合法销售（适用于医疗器械）；</w:t>
      </w:r>
    </w:p>
    <w:p w14:paraId="2E47DDB6">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w:t>
      </w:r>
      <w:r>
        <w:rPr>
          <w:rFonts w:hint="eastAsia" w:ascii="新宋体" w:hAnsi="新宋体" w:eastAsia="新宋体" w:cs="新宋体"/>
          <w:bCs/>
          <w:color w:val="auto"/>
          <w:sz w:val="22"/>
          <w:szCs w:val="22"/>
          <w:highlight w:val="none"/>
          <w:lang w:val="en-US" w:eastAsia="zh-CN"/>
        </w:rPr>
        <w:t>11</w:t>
      </w:r>
      <w:r>
        <w:rPr>
          <w:rFonts w:hint="eastAsia" w:ascii="新宋体" w:hAnsi="新宋体" w:eastAsia="新宋体" w:cs="新宋体"/>
          <w:bCs/>
          <w:color w:val="auto"/>
          <w:sz w:val="22"/>
          <w:szCs w:val="22"/>
          <w:highlight w:val="none"/>
        </w:rPr>
        <w:t>）投标文件含有</w:t>
      </w:r>
      <w:r>
        <w:rPr>
          <w:rFonts w:hint="eastAsia" w:ascii="新宋体" w:hAnsi="新宋体" w:eastAsia="新宋体" w:cs="新宋体"/>
          <w:bCs/>
          <w:color w:val="auto"/>
          <w:sz w:val="22"/>
          <w:szCs w:val="22"/>
          <w:highlight w:val="none"/>
          <w:lang w:eastAsia="zh-CN"/>
        </w:rPr>
        <w:t>采购人</w:t>
      </w:r>
      <w:r>
        <w:rPr>
          <w:rFonts w:hint="eastAsia" w:ascii="新宋体" w:hAnsi="新宋体" w:eastAsia="新宋体" w:cs="新宋体"/>
          <w:bCs/>
          <w:color w:val="auto"/>
          <w:sz w:val="22"/>
          <w:szCs w:val="22"/>
          <w:highlight w:val="none"/>
        </w:rPr>
        <w:t>不能接受的附加条件的；</w:t>
      </w:r>
    </w:p>
    <w:p w14:paraId="7BA62AC6">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lang w:eastAsia="zh-CN"/>
        </w:rPr>
      </w:pPr>
      <w:r>
        <w:rPr>
          <w:rFonts w:hint="eastAsia" w:ascii="新宋体" w:hAnsi="新宋体" w:eastAsia="新宋体" w:cs="新宋体"/>
          <w:bCs/>
          <w:color w:val="auto"/>
          <w:sz w:val="22"/>
          <w:szCs w:val="22"/>
          <w:highlight w:val="none"/>
          <w:lang w:eastAsia="zh-CN"/>
        </w:rPr>
        <w:t>（</w:t>
      </w:r>
      <w:r>
        <w:rPr>
          <w:rFonts w:hint="eastAsia" w:ascii="新宋体" w:hAnsi="新宋体" w:eastAsia="新宋体" w:cs="新宋体"/>
          <w:bCs/>
          <w:color w:val="auto"/>
          <w:sz w:val="22"/>
          <w:szCs w:val="22"/>
          <w:highlight w:val="none"/>
          <w:lang w:val="en-US" w:eastAsia="zh-CN"/>
        </w:rPr>
        <w:t>12</w:t>
      </w:r>
      <w:r>
        <w:rPr>
          <w:rFonts w:hint="eastAsia" w:ascii="新宋体" w:hAnsi="新宋体" w:eastAsia="新宋体" w:cs="新宋体"/>
          <w:bCs/>
          <w:color w:val="auto"/>
          <w:sz w:val="22"/>
          <w:szCs w:val="22"/>
          <w:highlight w:val="none"/>
          <w:lang w:eastAsia="zh-CN"/>
        </w:rPr>
        <w:t>）</w:t>
      </w:r>
      <w:r>
        <w:rPr>
          <w:rFonts w:hint="eastAsia" w:ascii="新宋体" w:hAnsi="新宋体" w:eastAsia="新宋体" w:cs="新宋体"/>
          <w:b/>
          <w:bCs w:val="0"/>
          <w:color w:val="auto"/>
          <w:sz w:val="22"/>
          <w:szCs w:val="22"/>
          <w:highlight w:val="none"/>
          <w:lang w:eastAsia="zh-CN"/>
        </w:rPr>
        <w:t>如为联合体投标，未提供有效的联合体共同投标协议书的</w:t>
      </w:r>
      <w:r>
        <w:rPr>
          <w:rFonts w:hint="eastAsia" w:ascii="新宋体" w:hAnsi="新宋体" w:eastAsia="新宋体" w:cs="新宋体"/>
          <w:bCs/>
          <w:color w:val="auto"/>
          <w:sz w:val="22"/>
          <w:szCs w:val="22"/>
          <w:highlight w:val="none"/>
        </w:rPr>
        <w:t>；</w:t>
      </w:r>
    </w:p>
    <w:p w14:paraId="630A3DF9">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w:t>
      </w:r>
      <w:r>
        <w:rPr>
          <w:rFonts w:hint="eastAsia" w:ascii="新宋体" w:hAnsi="新宋体" w:eastAsia="新宋体" w:cs="新宋体"/>
          <w:bCs/>
          <w:color w:val="auto"/>
          <w:sz w:val="22"/>
          <w:szCs w:val="22"/>
          <w:highlight w:val="none"/>
          <w:lang w:val="en-US" w:eastAsia="zh-CN"/>
        </w:rPr>
        <w:t>3</w:t>
      </w:r>
      <w:r>
        <w:rPr>
          <w:rFonts w:hint="eastAsia" w:ascii="新宋体" w:hAnsi="新宋体" w:eastAsia="新宋体" w:cs="新宋体"/>
          <w:bCs/>
          <w:color w:val="auto"/>
          <w:sz w:val="22"/>
          <w:szCs w:val="22"/>
          <w:highlight w:val="none"/>
        </w:rPr>
        <w:t>）法律、法规和</w:t>
      </w:r>
      <w:r>
        <w:rPr>
          <w:rFonts w:hint="eastAsia" w:ascii="新宋体" w:hAnsi="新宋体" w:eastAsia="新宋体" w:cs="新宋体"/>
          <w:bCs/>
          <w:color w:val="auto"/>
          <w:sz w:val="22"/>
          <w:szCs w:val="22"/>
          <w:highlight w:val="none"/>
          <w:lang w:eastAsia="zh-CN"/>
        </w:rPr>
        <w:t>采购文件</w:t>
      </w:r>
      <w:r>
        <w:rPr>
          <w:rFonts w:hint="eastAsia" w:ascii="新宋体" w:hAnsi="新宋体" w:eastAsia="新宋体" w:cs="新宋体"/>
          <w:bCs/>
          <w:color w:val="auto"/>
          <w:sz w:val="22"/>
          <w:szCs w:val="22"/>
          <w:highlight w:val="none"/>
        </w:rPr>
        <w:t>规定的其他无效情形。</w:t>
      </w:r>
    </w:p>
    <w:p w14:paraId="35FF40AA">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9、有下列情形之一的，视为投标人串通投标，其投标无效</w:t>
      </w:r>
    </w:p>
    <w:p w14:paraId="5A7D54CA">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（1）不同投标人的投标文件由同一单位或者个人编制；</w:t>
      </w:r>
    </w:p>
    <w:p w14:paraId="05C4E110">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（2）不同投标人委托同一单位或者个人办理投标事宜；</w:t>
      </w:r>
    </w:p>
    <w:p w14:paraId="6A6964A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（3）不同投标人的投标文件载明的项目管理成员或者联系人员为同一人；</w:t>
      </w:r>
    </w:p>
    <w:p w14:paraId="03A263A2">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（4）不同投标人的投标文件异常一致或者投标报价呈规律性差异；</w:t>
      </w:r>
    </w:p>
    <w:p w14:paraId="3EEF3D64">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（5）不同投标人的投标文件相互混装</w:t>
      </w:r>
      <w:r>
        <w:rPr>
          <w:rFonts w:hint="eastAsia" w:ascii="新宋体" w:hAnsi="新宋体" w:eastAsia="新宋体" w:cs="新宋体"/>
          <w:color w:val="auto"/>
          <w:sz w:val="22"/>
          <w:szCs w:val="22"/>
          <w:highlight w:val="none"/>
          <w:lang w:eastAsia="zh-CN"/>
        </w:rPr>
        <w:t>；</w:t>
      </w:r>
    </w:p>
    <w:p w14:paraId="6270E54A">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6</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不同投标</w:t>
      </w:r>
      <w:r>
        <w:rPr>
          <w:rFonts w:hint="eastAsia" w:ascii="新宋体" w:hAnsi="新宋体" w:eastAsia="新宋体" w:cs="新宋体"/>
          <w:color w:val="auto"/>
          <w:sz w:val="22"/>
          <w:szCs w:val="22"/>
          <w:highlight w:val="none"/>
          <w:lang w:val="en-US" w:eastAsia="zh-CN"/>
        </w:rPr>
        <w:t>人</w:t>
      </w:r>
      <w:r>
        <w:rPr>
          <w:rFonts w:hint="eastAsia" w:ascii="新宋体" w:hAnsi="新宋体" w:eastAsia="新宋体" w:cs="新宋体"/>
          <w:color w:val="auto"/>
          <w:sz w:val="22"/>
          <w:szCs w:val="22"/>
          <w:highlight w:val="none"/>
        </w:rPr>
        <w:t>的 IP、MAC、硬件信息相同、响应文件细节错误一致且无合理解释等情形</w:t>
      </w:r>
      <w:r>
        <w:rPr>
          <w:rFonts w:hint="eastAsia" w:ascii="新宋体" w:hAnsi="新宋体" w:eastAsia="新宋体" w:cs="新宋体"/>
          <w:color w:val="auto"/>
          <w:sz w:val="22"/>
          <w:szCs w:val="22"/>
          <w:highlight w:val="none"/>
          <w:lang w:eastAsia="zh-CN"/>
        </w:rPr>
        <w:t>；</w:t>
      </w:r>
    </w:p>
    <w:p w14:paraId="1BC6130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7</w:t>
      </w:r>
      <w:r>
        <w:rPr>
          <w:rFonts w:hint="eastAsia" w:ascii="新宋体" w:hAnsi="新宋体" w:eastAsia="新宋体" w:cs="新宋体"/>
          <w:color w:val="auto"/>
          <w:sz w:val="22"/>
          <w:szCs w:val="22"/>
          <w:highlight w:val="none"/>
          <w:lang w:eastAsia="zh-CN"/>
        </w:rPr>
        <w:t>）不同供应商的电子投标(响应)文件上传时的手机号信息相同且无法合理解释的。</w:t>
      </w:r>
    </w:p>
    <w:p w14:paraId="66511D21">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10、投标文件报价出现前后不一致的，按照下列规定修正：</w:t>
      </w:r>
    </w:p>
    <w:p w14:paraId="7F010FC2">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（1）系统上传的投标文件中开标一览表（报价表）（加盖公章）内容与投标文件中相应内容不一致的，以系统上传的投标文件中开标一览表（报价表）（加盖公章）为准；</w:t>
      </w:r>
    </w:p>
    <w:p w14:paraId="05E7EA8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（2）大写金额和小写金额不一致的，以大写金额为准；</w:t>
      </w:r>
    </w:p>
    <w:p w14:paraId="450AEAF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（3）单价金额小数点或者百分比有明显错位的，以开标一览表的总价为准，并修改单价；</w:t>
      </w:r>
    </w:p>
    <w:p w14:paraId="7CF4F52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（4）总价金额与按单价汇总金额不一致的，以单价金额计算结果为准。</w:t>
      </w:r>
    </w:p>
    <w:p w14:paraId="7BCEA9F7">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同时出现两种以上不一致的，按照前款规定的顺序修正。修正后的报价按照本小节第12条第12.2款的规定经投标人确认后产生约束力，投标人不确认的，其投标无效。</w:t>
      </w:r>
    </w:p>
    <w:p w14:paraId="39F5F961">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11、</w:t>
      </w:r>
      <w:r>
        <w:rPr>
          <w:rFonts w:hint="eastAsia" w:ascii="新宋体" w:hAnsi="新宋体" w:eastAsia="新宋体" w:cs="新宋体"/>
          <w:bCs/>
          <w:color w:val="auto"/>
          <w:sz w:val="22"/>
          <w:szCs w:val="22"/>
          <w:highlight w:val="none"/>
          <w:lang w:val="en-US" w:eastAsia="zh-CN"/>
        </w:rPr>
        <w:t>评</w:t>
      </w:r>
      <w:r>
        <w:rPr>
          <w:rFonts w:hint="eastAsia" w:ascii="新宋体" w:hAnsi="新宋体" w:eastAsia="新宋体" w:cs="新宋体"/>
          <w:bCs/>
          <w:color w:val="auto"/>
          <w:sz w:val="22"/>
          <w:szCs w:val="22"/>
          <w:highlight w:val="none"/>
        </w:rPr>
        <w:t>标委员会成员对需要共同认定的事项存在争议的，应当按照少数服从多数的原则作出结论。持不同意见的评标委员会成员应当在评标报告上签署不同意见及理由，否则视为同意评标报告。</w:t>
      </w:r>
    </w:p>
    <w:p w14:paraId="33D8F2D1">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12、投标文件的澄清</w:t>
      </w:r>
    </w:p>
    <w:p w14:paraId="348228F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12.1在评标期间，评标委员会可要求投标人对于投标文件中含义不明确、同类问题表述不一致或者有明显文字和计算错误的内容，评标委员会应当以书面形式（或通过“政府采购云平台”在线询标）要求投标人在规定的时间内作出必要的澄清、说明或者补正。投标人澄清、说明或补正时间为30分钟。</w:t>
      </w:r>
    </w:p>
    <w:p w14:paraId="1C716AB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12.2投标人的澄清、说明或者补正应当采用书面形式（或通过“政府采购云平台”在线答复），并加盖公章，或者由法定代表人或其授权的代表签字。投标人的澄清、说明或者补正不得超出投标文件的范围或者改变投标文件的实质性内容。</w:t>
      </w:r>
    </w:p>
    <w:p w14:paraId="07AD4D62">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拒不按要求对其投标文件进行澄清，说明或补正的投标人，评标委员会可以否决其投标。</w:t>
      </w:r>
    </w:p>
    <w:p w14:paraId="0ED40B71">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12.2</w:t>
      </w:r>
      <w:r>
        <w:rPr>
          <w:rFonts w:hint="eastAsia" w:ascii="新宋体" w:hAnsi="新宋体" w:eastAsia="新宋体" w:cs="新宋体"/>
          <w:b/>
          <w:color w:val="auto"/>
          <w:sz w:val="22"/>
          <w:szCs w:val="22"/>
          <w:highlight w:val="none"/>
        </w:rPr>
        <w:t>经澄清后，若偏差仍存在，且不可接受，投标人则被认为是“没有实质性响应</w:t>
      </w:r>
      <w:r>
        <w:rPr>
          <w:rFonts w:hint="eastAsia" w:ascii="新宋体" w:hAnsi="新宋体" w:eastAsia="新宋体" w:cs="新宋体"/>
          <w:b/>
          <w:color w:val="auto"/>
          <w:sz w:val="22"/>
          <w:szCs w:val="22"/>
          <w:highlight w:val="none"/>
          <w:lang w:eastAsia="zh-CN"/>
        </w:rPr>
        <w:t>采购文件</w:t>
      </w:r>
      <w:r>
        <w:rPr>
          <w:rFonts w:hint="eastAsia" w:ascii="新宋体" w:hAnsi="新宋体" w:eastAsia="新宋体" w:cs="新宋体"/>
          <w:b/>
          <w:color w:val="auto"/>
          <w:sz w:val="22"/>
          <w:szCs w:val="22"/>
          <w:highlight w:val="none"/>
        </w:rPr>
        <w:t>要求”，其投标将被拒绝。</w:t>
      </w:r>
    </w:p>
    <w:p w14:paraId="70609E54">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13、评审结果的修改</w:t>
      </w:r>
    </w:p>
    <w:p w14:paraId="2EC4749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13.1评标结果汇总完成后，除下列情形外，任何人不得修改评标结果：</w:t>
      </w:r>
    </w:p>
    <w:p w14:paraId="194FF2C0">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（1）分值汇总计算错误的；</w:t>
      </w:r>
    </w:p>
    <w:p w14:paraId="0C03CD7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（2）分项评分超出评分标准范围的；</w:t>
      </w:r>
    </w:p>
    <w:p w14:paraId="60B320B4">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（3）评标委员会成员对客观评审因素评分不一致的；</w:t>
      </w:r>
    </w:p>
    <w:p w14:paraId="71151201">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（4）经评标委员会认定评分畸高、畸低的。</w:t>
      </w:r>
    </w:p>
    <w:p w14:paraId="34442539">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highlight w:val="none"/>
        </w:rPr>
      </w:pPr>
      <w:r>
        <w:rPr>
          <w:rFonts w:hint="eastAsia" w:ascii="新宋体" w:hAnsi="新宋体" w:eastAsia="新宋体" w:cs="新宋体"/>
          <w:bCs/>
          <w:color w:val="auto"/>
          <w:sz w:val="22"/>
          <w:szCs w:val="22"/>
          <w:highlight w:val="none"/>
        </w:rPr>
        <w:t>13.2书面评标报告签署前，经复核发现存在以上情形之一的，评标委员会将当场修改评标结果，并在</w:t>
      </w:r>
      <w:r>
        <w:rPr>
          <w:rFonts w:hint="eastAsia" w:ascii="新宋体" w:hAnsi="新宋体" w:eastAsia="新宋体" w:cs="新宋体"/>
          <w:b/>
          <w:color w:val="auto"/>
          <w:sz w:val="22"/>
          <w:szCs w:val="22"/>
          <w:highlight w:val="none"/>
        </w:rPr>
        <w:t>评标报告中记载。</w:t>
      </w:r>
    </w:p>
    <w:p w14:paraId="5D1AD975">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14</w:t>
      </w:r>
      <w:r>
        <w:rPr>
          <w:rFonts w:hint="eastAsia" w:ascii="新宋体" w:hAnsi="新宋体" w:eastAsia="新宋体" w:cs="新宋体"/>
          <w:color w:val="auto"/>
          <w:kern w:val="0"/>
          <w:sz w:val="22"/>
          <w:szCs w:val="22"/>
          <w:highlight w:val="none"/>
        </w:rPr>
        <w:t>、</w:t>
      </w:r>
      <w:r>
        <w:rPr>
          <w:rFonts w:hint="eastAsia" w:ascii="新宋体" w:hAnsi="新宋体" w:eastAsia="新宋体" w:cs="新宋体"/>
          <w:color w:val="auto"/>
          <w:sz w:val="22"/>
          <w:szCs w:val="22"/>
          <w:highlight w:val="none"/>
        </w:rPr>
        <w:t>确定中标候选人</w:t>
      </w:r>
    </w:p>
    <w:p w14:paraId="367BB52C">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14.1由评标委员会确定中标候选人。</w:t>
      </w:r>
    </w:p>
    <w:p w14:paraId="410D066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14.2评标委员会依据法律、法规及</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有关规定按评审后得分（即商务技术分与报价得分之和）由高到低顺序排序，得分前二名的投标人确定为该项目的第一和第二中标候选人（得分相同的，按投标报价由低到高顺序排列。得分且投标报价相同的并列。）向</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推荐。</w:t>
      </w:r>
    </w:p>
    <w:p w14:paraId="43E0C397">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
          <w:bCs/>
          <w:color w:val="auto"/>
          <w:sz w:val="22"/>
          <w:szCs w:val="22"/>
          <w:highlight w:val="none"/>
        </w:rPr>
        <w:t>15、确定中标人</w:t>
      </w:r>
    </w:p>
    <w:p w14:paraId="7133B05F">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color w:val="auto"/>
          <w:sz w:val="22"/>
          <w:szCs w:val="22"/>
          <w:highlight w:val="none"/>
        </w:rPr>
        <w:t>15</w:t>
      </w:r>
      <w:r>
        <w:rPr>
          <w:rFonts w:hint="eastAsia" w:ascii="新宋体" w:hAnsi="新宋体" w:eastAsia="新宋体" w:cs="新宋体"/>
          <w:b/>
          <w:bCs/>
          <w:color w:val="auto"/>
          <w:sz w:val="22"/>
          <w:szCs w:val="22"/>
          <w:highlight w:val="none"/>
        </w:rPr>
        <w:t>.1</w:t>
      </w:r>
      <w:r>
        <w:rPr>
          <w:rFonts w:hint="eastAsia" w:ascii="新宋体" w:hAnsi="新宋体" w:eastAsia="新宋体" w:cs="新宋体"/>
          <w:b/>
          <w:bCs/>
          <w:color w:val="auto"/>
          <w:sz w:val="22"/>
          <w:szCs w:val="22"/>
          <w:highlight w:val="none"/>
          <w:lang w:eastAsia="zh-CN"/>
        </w:rPr>
        <w:t>采购人</w:t>
      </w:r>
      <w:r>
        <w:rPr>
          <w:rFonts w:hint="eastAsia" w:ascii="新宋体" w:hAnsi="新宋体" w:eastAsia="新宋体" w:cs="新宋体"/>
          <w:b/>
          <w:bCs/>
          <w:color w:val="auto"/>
          <w:sz w:val="22"/>
          <w:szCs w:val="22"/>
          <w:highlight w:val="none"/>
        </w:rPr>
        <w:t>按照书面评标报告中推荐的中标候选供应商顺序确定中标人；也可以事先授权评标委员会按照推荐的中标候选供应商顺序直接确定中标人。中标候选人并列的，由评标委员会全体成员记名投票按少数服从多数的原则确定排名。</w:t>
      </w:r>
    </w:p>
    <w:p w14:paraId="3EC5B702">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15.2如中标人放弃中标；或未能在规定时间内与</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签订合同的；或者经质疑，</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审查后，确因排名第一的候选人在本次采购活动中存在违法违规行为或其他原因使质疑成立的，</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可以视情况直接确定排名第二的候选人为中标人或重新组织招标。</w:t>
      </w:r>
    </w:p>
    <w:p w14:paraId="4D12059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16、起草、签署评审报告</w:t>
      </w:r>
    </w:p>
    <w:p w14:paraId="42A4018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评审结束后，评标委员会将通过“政府采购云平台”起草评审报告，评标委员会成员应当在评审报告上签字，对自己的评审意见承担法律责任。对评审报告有异议的，应当在评审报告上签署不同意见，并说明理由，否则视为同意评审报告。</w:t>
      </w:r>
    </w:p>
    <w:p w14:paraId="78431011">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w:t>
      </w:r>
      <w:r>
        <w:rPr>
          <w:rFonts w:hint="eastAsia" w:ascii="新宋体" w:hAnsi="新宋体" w:eastAsia="新宋体" w:cs="新宋体"/>
          <w:color w:val="auto"/>
          <w:kern w:val="0"/>
          <w:sz w:val="22"/>
          <w:szCs w:val="22"/>
          <w:highlight w:val="none"/>
        </w:rPr>
        <w:t>、</w:t>
      </w:r>
      <w:r>
        <w:rPr>
          <w:rFonts w:hint="eastAsia" w:ascii="新宋体" w:hAnsi="新宋体" w:eastAsia="新宋体" w:cs="新宋体"/>
          <w:color w:val="auto"/>
          <w:sz w:val="22"/>
          <w:szCs w:val="22"/>
          <w:highlight w:val="none"/>
        </w:rPr>
        <w:t>中标人确定后，</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将在政府指定媒体公告中标结果，</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向中标人发出中标通知书。</w:t>
      </w:r>
    </w:p>
    <w:p w14:paraId="44E01270">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18、</w:t>
      </w:r>
      <w:r>
        <w:rPr>
          <w:rFonts w:hint="eastAsia" w:ascii="新宋体" w:hAnsi="新宋体" w:eastAsia="新宋体" w:cs="新宋体"/>
          <w:b/>
          <w:color w:val="auto"/>
          <w:sz w:val="22"/>
          <w:szCs w:val="22"/>
          <w:highlight w:val="none"/>
          <w:lang w:eastAsia="zh-CN"/>
        </w:rPr>
        <w:t>采购人</w:t>
      </w:r>
      <w:r>
        <w:rPr>
          <w:rFonts w:hint="eastAsia" w:ascii="新宋体" w:hAnsi="新宋体" w:eastAsia="新宋体" w:cs="新宋体"/>
          <w:b/>
          <w:color w:val="auto"/>
          <w:sz w:val="22"/>
          <w:szCs w:val="22"/>
          <w:highlight w:val="none"/>
        </w:rPr>
        <w:t>对决标结果不做任何解释，也不保证最低价中标。</w:t>
      </w:r>
    </w:p>
    <w:p w14:paraId="0BA4C2C4">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19、评标细则详见“评标原则及方法”。</w:t>
      </w:r>
    </w:p>
    <w:p w14:paraId="5CA60F24">
      <w:pPr>
        <w:spacing w:before="100" w:beforeAutospacing="1" w:after="100" w:afterAutospacing="1" w:line="460" w:lineRule="exact"/>
        <w:jc w:val="center"/>
        <w:outlineLvl w:val="1"/>
        <w:rPr>
          <w:rFonts w:hint="eastAsia" w:ascii="新宋体" w:hAnsi="新宋体" w:eastAsia="新宋体" w:cs="新宋体"/>
          <w:b/>
          <w:bCs/>
          <w:color w:val="auto"/>
          <w:sz w:val="26"/>
          <w:szCs w:val="26"/>
          <w:highlight w:val="none"/>
        </w:rPr>
      </w:pPr>
      <w:bookmarkStart w:id="22" w:name="_Toc23297"/>
      <w:bookmarkStart w:id="23" w:name="_Toc26836"/>
      <w:r>
        <w:rPr>
          <w:rFonts w:hint="eastAsia" w:ascii="新宋体" w:hAnsi="新宋体" w:eastAsia="新宋体" w:cs="新宋体"/>
          <w:b/>
          <w:bCs/>
          <w:color w:val="auto"/>
          <w:sz w:val="26"/>
          <w:szCs w:val="26"/>
          <w:highlight w:val="none"/>
        </w:rPr>
        <w:t>六、 授予合同</w:t>
      </w:r>
      <w:bookmarkEnd w:id="22"/>
      <w:bookmarkEnd w:id="23"/>
    </w:p>
    <w:p w14:paraId="6B6F6B04">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highlight w:val="none"/>
        </w:rPr>
        <w:t>1、中标通知书</w:t>
      </w:r>
    </w:p>
    <w:p w14:paraId="0642E2F4">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1.1</w:t>
      </w:r>
      <w:r>
        <w:rPr>
          <w:rFonts w:hint="eastAsia" w:ascii="新宋体" w:hAnsi="新宋体" w:eastAsia="新宋体" w:cs="新宋体"/>
          <w:color w:val="auto"/>
          <w:sz w:val="22"/>
          <w:szCs w:val="22"/>
          <w:highlight w:val="none"/>
        </w:rPr>
        <w:t>中标人确定后，</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 xml:space="preserve">将向中标人发出中标通知书。 </w:t>
      </w:r>
    </w:p>
    <w:p w14:paraId="5B1B0876">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1.2</w:t>
      </w:r>
      <w:r>
        <w:rPr>
          <w:rFonts w:hint="eastAsia" w:ascii="新宋体" w:hAnsi="新宋体" w:eastAsia="新宋体" w:cs="新宋体"/>
          <w:color w:val="auto"/>
          <w:sz w:val="22"/>
          <w:szCs w:val="22"/>
          <w:highlight w:val="none"/>
        </w:rPr>
        <w:t>中标通知书是合同的一个组成部分,对</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和中标人均具有同等法律效力。</w:t>
      </w:r>
    </w:p>
    <w:p w14:paraId="43F1619E">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highlight w:val="none"/>
        </w:rPr>
        <w:t>2、授标时更改采购货物数量的权力</w:t>
      </w:r>
    </w:p>
    <w:p w14:paraId="6D7247B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2.1</w:t>
      </w:r>
      <w:r>
        <w:rPr>
          <w:rFonts w:hint="eastAsia" w:ascii="新宋体" w:hAnsi="新宋体" w:eastAsia="新宋体" w:cs="新宋体"/>
          <w:bCs/>
          <w:color w:val="auto"/>
          <w:sz w:val="22"/>
          <w:szCs w:val="22"/>
          <w:highlight w:val="none"/>
          <w:lang w:eastAsia="zh-CN"/>
        </w:rPr>
        <w:t>采购人</w:t>
      </w:r>
      <w:r>
        <w:rPr>
          <w:rFonts w:hint="eastAsia" w:ascii="新宋体" w:hAnsi="新宋体" w:eastAsia="新宋体" w:cs="新宋体"/>
          <w:bCs/>
          <w:color w:val="auto"/>
          <w:sz w:val="22"/>
          <w:szCs w:val="22"/>
          <w:highlight w:val="none"/>
        </w:rPr>
        <w:t>在授予合同时有权对采购货物的数量和服务在一定幅度范围内予以增加或减少,但不得对单价和其他的条款和条件作任何改变。</w:t>
      </w:r>
    </w:p>
    <w:p w14:paraId="7EED2D9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highlight w:val="none"/>
        </w:rPr>
        <w:t>3、签订合同</w:t>
      </w:r>
    </w:p>
    <w:p w14:paraId="492CC16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Cs/>
          <w:color w:val="auto"/>
          <w:sz w:val="22"/>
          <w:szCs w:val="22"/>
          <w:highlight w:val="none"/>
        </w:rPr>
        <w:t>3.1中标人应按中标通知书规定的时间、地点与</w:t>
      </w:r>
      <w:r>
        <w:rPr>
          <w:rFonts w:hint="eastAsia" w:ascii="新宋体" w:hAnsi="新宋体" w:eastAsia="新宋体" w:cs="新宋体"/>
          <w:bCs/>
          <w:color w:val="auto"/>
          <w:sz w:val="22"/>
          <w:szCs w:val="22"/>
          <w:highlight w:val="none"/>
          <w:lang w:eastAsia="zh-CN"/>
        </w:rPr>
        <w:t>采购人</w:t>
      </w:r>
      <w:r>
        <w:rPr>
          <w:rFonts w:hint="eastAsia" w:ascii="新宋体" w:hAnsi="新宋体" w:eastAsia="新宋体" w:cs="新宋体"/>
          <w:bCs/>
          <w:color w:val="auto"/>
          <w:sz w:val="22"/>
          <w:szCs w:val="22"/>
          <w:highlight w:val="none"/>
        </w:rPr>
        <w:t>签订合同。</w:t>
      </w:r>
    </w:p>
    <w:p w14:paraId="03E6412D">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3.2</w:t>
      </w:r>
      <w:r>
        <w:rPr>
          <w:rFonts w:hint="eastAsia" w:ascii="新宋体" w:hAnsi="新宋体" w:eastAsia="新宋体" w:cs="新宋体"/>
          <w:b/>
          <w:color w:val="auto"/>
          <w:spacing w:val="6"/>
          <w:sz w:val="22"/>
          <w:szCs w:val="22"/>
          <w:highlight w:val="none"/>
        </w:rPr>
        <w:t>在签订合同前，</w:t>
      </w:r>
      <w:r>
        <w:rPr>
          <w:rFonts w:hint="eastAsia" w:ascii="新宋体" w:hAnsi="新宋体" w:eastAsia="新宋体" w:cs="新宋体"/>
          <w:b/>
          <w:color w:val="auto"/>
          <w:spacing w:val="6"/>
          <w:sz w:val="22"/>
          <w:szCs w:val="22"/>
          <w:highlight w:val="none"/>
          <w:lang w:eastAsia="zh-CN"/>
        </w:rPr>
        <w:t>采购人</w:t>
      </w:r>
      <w:r>
        <w:rPr>
          <w:rFonts w:hint="eastAsia" w:ascii="新宋体" w:hAnsi="新宋体" w:eastAsia="新宋体" w:cs="新宋体"/>
          <w:b/>
          <w:color w:val="auto"/>
          <w:spacing w:val="6"/>
          <w:sz w:val="22"/>
          <w:szCs w:val="22"/>
          <w:highlight w:val="none"/>
        </w:rPr>
        <w:t>有权在中标总价不变的前提下要求中标人对商务报价中的不平衡报价和缺漏项进行调整，如果中标人无合理理由拒绝调整，其中投标资格将被取消，保证金将不予退还，且将导致其它进一步的赔偿和处罚。</w:t>
      </w:r>
    </w:p>
    <w:p w14:paraId="74A8DFC8">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3.3</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、中标人的投标文件、投标修改文件、评标过程中有关澄清文件及经投标人和评委双方签字的询标纪要和中标通知书均作为合同附件。</w:t>
      </w:r>
    </w:p>
    <w:p w14:paraId="422F06DA">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3.4拒签合同的违约责任</w:t>
      </w:r>
    </w:p>
    <w:p w14:paraId="1EDDBC67">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66" w:firstLineChars="200"/>
        <w:textAlignment w:val="auto"/>
        <w:rPr>
          <w:rFonts w:hint="eastAsia" w:ascii="新宋体" w:hAnsi="新宋体" w:eastAsia="新宋体" w:cs="新宋体"/>
          <w:b/>
          <w:color w:val="auto"/>
          <w:spacing w:val="6"/>
          <w:sz w:val="22"/>
          <w:szCs w:val="22"/>
          <w:highlight w:val="none"/>
        </w:rPr>
      </w:pPr>
      <w:r>
        <w:rPr>
          <w:rFonts w:hint="eastAsia" w:ascii="新宋体" w:hAnsi="新宋体" w:eastAsia="新宋体" w:cs="新宋体"/>
          <w:b/>
          <w:color w:val="auto"/>
          <w:spacing w:val="6"/>
          <w:sz w:val="22"/>
          <w:szCs w:val="22"/>
          <w:highlight w:val="none"/>
        </w:rPr>
        <w:t>中标人接到中标通知书后，在规定时间内借故否认已经承诺的条件而拒签合同的，以违约处理。</w:t>
      </w:r>
    </w:p>
    <w:p w14:paraId="22F704D9">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highlight w:val="none"/>
          <w:lang w:val="en-US" w:eastAsia="zh-CN"/>
        </w:rPr>
        <w:t>4</w:t>
      </w:r>
      <w:r>
        <w:rPr>
          <w:rFonts w:hint="eastAsia" w:ascii="新宋体" w:hAnsi="新宋体" w:eastAsia="新宋体" w:cs="新宋体"/>
          <w:b/>
          <w:color w:val="auto"/>
          <w:sz w:val="22"/>
          <w:highlight w:val="none"/>
        </w:rPr>
        <w:t>、质疑与投诉</w:t>
      </w:r>
    </w:p>
    <w:p w14:paraId="793E2D5A">
      <w:pPr>
        <w:tabs>
          <w:tab w:val="left" w:pos="360"/>
        </w:tabs>
        <w:spacing w:line="460" w:lineRule="exact"/>
        <w:ind w:firstLine="464" w:firstLineChars="200"/>
        <w:rPr>
          <w:rFonts w:hint="eastAsia" w:ascii="新宋体" w:hAnsi="新宋体" w:eastAsia="新宋体" w:cs="新宋体"/>
          <w:b/>
          <w:bCs w:val="0"/>
          <w:color w:val="auto"/>
          <w:sz w:val="22"/>
          <w:highlight w:val="none"/>
          <w:lang w:val="en-US" w:eastAsia="zh-CN"/>
        </w:rPr>
      </w:pPr>
      <w:r>
        <w:rPr>
          <w:rFonts w:hint="eastAsia" w:ascii="新宋体" w:hAnsi="新宋体" w:eastAsia="新宋体" w:cs="新宋体"/>
          <w:b w:val="0"/>
          <w:bCs/>
          <w:color w:val="auto"/>
          <w:spacing w:val="6"/>
          <w:sz w:val="22"/>
          <w:szCs w:val="22"/>
          <w:highlight w:val="none"/>
          <w:lang w:val="en-US" w:eastAsia="zh-CN"/>
        </w:rPr>
        <w:t>4</w:t>
      </w:r>
      <w:r>
        <w:rPr>
          <w:rFonts w:hint="eastAsia" w:ascii="新宋体" w:hAnsi="新宋体" w:eastAsia="新宋体" w:cs="新宋体"/>
          <w:b w:val="0"/>
          <w:bCs/>
          <w:color w:val="auto"/>
          <w:spacing w:val="6"/>
          <w:sz w:val="22"/>
          <w:szCs w:val="22"/>
          <w:highlight w:val="none"/>
        </w:rPr>
        <w:t>.1</w:t>
      </w:r>
      <w:r>
        <w:rPr>
          <w:rFonts w:hint="eastAsia" w:ascii="新宋体" w:hAnsi="新宋体" w:eastAsia="新宋体" w:cs="新宋体"/>
          <w:b/>
          <w:bCs w:val="0"/>
          <w:color w:val="auto"/>
          <w:sz w:val="22"/>
          <w:highlight w:val="none"/>
          <w:lang w:val="en-US" w:eastAsia="zh-CN"/>
        </w:rPr>
        <w:t>特别提醒：</w:t>
      </w:r>
      <w:r>
        <w:rPr>
          <w:rFonts w:hint="eastAsia" w:ascii="新宋体" w:hAnsi="新宋体" w:eastAsia="新宋体" w:cs="新宋体"/>
          <w:color w:val="auto"/>
          <w:sz w:val="22"/>
          <w:highlight w:val="none"/>
          <w:lang w:val="en-US" w:eastAsia="zh-CN"/>
        </w:rPr>
        <w:t>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w:t>
      </w:r>
      <w:r>
        <w:rPr>
          <w:rFonts w:hint="eastAsia" w:ascii="新宋体" w:hAnsi="新宋体" w:eastAsia="新宋体" w:cs="新宋体"/>
          <w:bCs/>
          <w:color w:val="auto"/>
          <w:sz w:val="22"/>
          <w:highlight w:val="none"/>
          <w:lang w:eastAsia="zh-CN"/>
        </w:rPr>
        <w:t>，</w:t>
      </w:r>
      <w:r>
        <w:rPr>
          <w:rFonts w:hint="eastAsia" w:ascii="新宋体" w:hAnsi="新宋体" w:eastAsia="新宋体" w:cs="新宋体"/>
          <w:b/>
          <w:bCs w:val="0"/>
          <w:color w:val="auto"/>
          <w:sz w:val="22"/>
          <w:highlight w:val="none"/>
          <w:lang w:val="en-US" w:eastAsia="zh-CN"/>
        </w:rPr>
        <w:t>供应商在法定质疑期内应一次性提出针对同一采购程序环节的质疑，否则</w:t>
      </w:r>
      <w:r>
        <w:rPr>
          <w:rFonts w:hint="eastAsia" w:ascii="新宋体" w:hAnsi="新宋体" w:eastAsia="新宋体" w:cs="新宋体"/>
          <w:b/>
          <w:bCs w:val="0"/>
          <w:color w:val="auto"/>
          <w:sz w:val="22"/>
          <w:szCs w:val="22"/>
          <w:highlight w:val="none"/>
        </w:rPr>
        <w:t>不予受理、答复</w:t>
      </w:r>
      <w:r>
        <w:rPr>
          <w:rFonts w:hint="eastAsia" w:ascii="新宋体" w:hAnsi="新宋体" w:eastAsia="新宋体" w:cs="新宋体"/>
          <w:b/>
          <w:bCs w:val="0"/>
          <w:color w:val="auto"/>
          <w:sz w:val="22"/>
          <w:highlight w:val="none"/>
          <w:lang w:val="en-US" w:eastAsia="zh-CN"/>
        </w:rPr>
        <w:t>。</w:t>
      </w:r>
    </w:p>
    <w:p w14:paraId="51FF7353">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highlight w:val="none"/>
          <w:lang w:val="en-US" w:eastAsia="zh-CN"/>
        </w:rPr>
        <w:t>4</w:t>
      </w:r>
      <w:r>
        <w:rPr>
          <w:rFonts w:hint="eastAsia" w:ascii="新宋体" w:hAnsi="新宋体" w:eastAsia="新宋体" w:cs="新宋体"/>
          <w:color w:val="auto"/>
          <w:sz w:val="22"/>
          <w:highlight w:val="none"/>
        </w:rPr>
        <w:t>.2</w:t>
      </w: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或</w:t>
      </w:r>
      <w:r>
        <w:rPr>
          <w:rFonts w:hint="eastAsia" w:ascii="新宋体" w:hAnsi="新宋体" w:eastAsia="新宋体" w:cs="新宋体"/>
          <w:color w:val="auto"/>
          <w:sz w:val="22"/>
          <w:highlight w:val="none"/>
          <w:lang w:eastAsia="zh-CN"/>
        </w:rPr>
        <w:t>采购代理机构</w:t>
      </w:r>
      <w:r>
        <w:rPr>
          <w:rFonts w:hint="eastAsia" w:ascii="新宋体" w:hAnsi="新宋体" w:eastAsia="新宋体" w:cs="新宋体"/>
          <w:color w:val="auto"/>
          <w:sz w:val="22"/>
          <w:highlight w:val="none"/>
        </w:rPr>
        <w:t>在收到投标人的书面质疑后七个工作日内作出答复，但答复的内容不得涉及商业秘密。质疑投标人对</w:t>
      </w:r>
      <w:r>
        <w:rPr>
          <w:rFonts w:hint="eastAsia" w:ascii="新宋体" w:hAnsi="新宋体" w:eastAsia="新宋体" w:cs="新宋体"/>
          <w:color w:val="auto"/>
          <w:sz w:val="22"/>
          <w:highlight w:val="none"/>
          <w:lang w:eastAsia="zh-CN"/>
        </w:rPr>
        <w:t>采购人</w:t>
      </w:r>
      <w:r>
        <w:rPr>
          <w:rFonts w:hint="eastAsia" w:ascii="新宋体" w:hAnsi="新宋体" w:eastAsia="新宋体" w:cs="新宋体"/>
          <w:color w:val="auto"/>
          <w:sz w:val="22"/>
          <w:highlight w:val="none"/>
        </w:rPr>
        <w:t>或</w:t>
      </w:r>
      <w:r>
        <w:rPr>
          <w:rFonts w:hint="eastAsia" w:ascii="新宋体" w:hAnsi="新宋体" w:eastAsia="新宋体" w:cs="新宋体"/>
          <w:color w:val="auto"/>
          <w:sz w:val="22"/>
          <w:highlight w:val="none"/>
          <w:lang w:eastAsia="zh-CN"/>
        </w:rPr>
        <w:t>采购代理机构</w:t>
      </w:r>
      <w:r>
        <w:rPr>
          <w:rFonts w:hint="eastAsia" w:ascii="新宋体" w:hAnsi="新宋体" w:eastAsia="新宋体" w:cs="新宋体"/>
          <w:color w:val="auto"/>
          <w:sz w:val="22"/>
          <w:highlight w:val="none"/>
        </w:rPr>
        <w:t>的答复不满意，可以在答复期满后十五个工作日内向同级政府采购监督管理部门投诉。</w:t>
      </w:r>
    </w:p>
    <w:p w14:paraId="04DEC7FB">
      <w:pPr>
        <w:keepNext w:val="0"/>
        <w:keepLines w:val="0"/>
        <w:pageBreakBefore w:val="0"/>
        <w:widowControl w:val="0"/>
        <w:tabs>
          <w:tab w:val="left" w:pos="360"/>
        </w:tabs>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lang w:val="en-US" w:eastAsia="zh-CN"/>
        </w:rPr>
        <w:t>4</w:t>
      </w:r>
      <w:r>
        <w:rPr>
          <w:rFonts w:hint="eastAsia" w:ascii="新宋体" w:hAnsi="新宋体" w:eastAsia="新宋体" w:cs="新宋体"/>
          <w:color w:val="auto"/>
          <w:sz w:val="22"/>
          <w:highlight w:val="none"/>
        </w:rPr>
        <w:t>.3投诉人投诉时，应提交投诉书，投诉书应当由本人并由法定代表人签字盖公章，投诉书应说明具体的投诉事项及事实依据。投诉人对投诉书的真实性负责，恶意投诉将承当相应的法律和民事责任。</w:t>
      </w:r>
    </w:p>
    <w:p w14:paraId="2ECEFA03">
      <w:pPr>
        <w:rPr>
          <w:rFonts w:hint="eastAsia" w:ascii="新宋体" w:hAnsi="新宋体" w:eastAsia="新宋体" w:cs="新宋体"/>
          <w:color w:val="auto"/>
          <w:highlight w:val="none"/>
        </w:rPr>
      </w:pPr>
      <w:bookmarkStart w:id="24" w:name="_Toc28194"/>
      <w:r>
        <w:rPr>
          <w:rFonts w:hint="eastAsia" w:ascii="新宋体" w:hAnsi="新宋体" w:eastAsia="新宋体" w:cs="新宋体"/>
          <w:color w:val="auto"/>
          <w:highlight w:val="none"/>
        </w:rPr>
        <w:br w:type="page"/>
      </w:r>
    </w:p>
    <w:p w14:paraId="58472EAD">
      <w:pPr>
        <w:pStyle w:val="3"/>
        <w:numPr>
          <w:ilvl w:val="0"/>
          <w:numId w:val="0"/>
        </w:numPr>
        <w:tabs>
          <w:tab w:val="left" w:pos="840"/>
        </w:tabs>
        <w:jc w:val="center"/>
        <w:rPr>
          <w:rFonts w:hAnsi="宋体"/>
          <w:color w:val="auto"/>
          <w:sz w:val="36"/>
          <w:szCs w:val="36"/>
          <w:highlight w:val="none"/>
        </w:rPr>
      </w:pPr>
      <w:bookmarkStart w:id="25" w:name="_Toc14002"/>
      <w:r>
        <w:rPr>
          <w:rFonts w:hint="eastAsia" w:ascii="新宋体" w:hAnsi="新宋体" w:eastAsia="新宋体" w:cs="新宋体"/>
          <w:b/>
          <w:color w:val="auto"/>
          <w:kern w:val="2"/>
          <w:sz w:val="32"/>
          <w:szCs w:val="20"/>
          <w:highlight w:val="none"/>
          <w:lang w:val="en-US" w:eastAsia="zh-CN" w:bidi="ar-SA"/>
        </w:rPr>
        <w:t>第二部分</w:t>
      </w:r>
      <w:r>
        <w:rPr>
          <w:rFonts w:hint="eastAsia" w:ascii="新宋体" w:hAnsi="新宋体" w:eastAsia="新宋体" w:cs="新宋体"/>
          <w:color w:val="auto"/>
          <w:highlight w:val="none"/>
          <w:lang w:val="en-US" w:eastAsia="zh-CN"/>
        </w:rPr>
        <w:t xml:space="preserve"> </w:t>
      </w:r>
      <w:bookmarkStart w:id="26" w:name="_Toc31376"/>
      <w:r>
        <w:rPr>
          <w:rFonts w:hint="eastAsia" w:ascii="新宋体" w:hAnsi="新宋体" w:eastAsia="新宋体" w:cs="新宋体"/>
          <w:color w:val="auto"/>
          <w:highlight w:val="none"/>
          <w:lang w:val="en-US" w:eastAsia="zh-CN"/>
        </w:rPr>
        <w:t xml:space="preserve">  </w:t>
      </w:r>
      <w:r>
        <w:rPr>
          <w:rFonts w:hint="eastAsia" w:ascii="新宋体" w:hAnsi="新宋体" w:eastAsia="新宋体" w:cs="新宋体"/>
          <w:b/>
          <w:color w:val="auto"/>
          <w:kern w:val="2"/>
          <w:sz w:val="32"/>
          <w:szCs w:val="20"/>
          <w:highlight w:val="none"/>
          <w:lang w:val="en-US" w:eastAsia="zh-CN" w:bidi="ar-SA"/>
        </w:rPr>
        <w:t>合同条款</w:t>
      </w:r>
      <w:bookmarkEnd w:id="25"/>
      <w:bookmarkEnd w:id="26"/>
    </w:p>
    <w:p w14:paraId="0A1221E9">
      <w:pPr>
        <w:rPr>
          <w:rFonts w:ascii="宋体" w:hAnsi="宋体"/>
          <w:color w:val="auto"/>
          <w:highlight w:val="none"/>
        </w:rPr>
      </w:pPr>
    </w:p>
    <w:p w14:paraId="4989B1C0">
      <w:pPr>
        <w:spacing w:line="440" w:lineRule="exact"/>
        <w:ind w:firstLine="440" w:firstLineChars="200"/>
        <w:rPr>
          <w:rFonts w:ascii="宋体" w:hAnsi="宋体"/>
          <w:color w:val="auto"/>
          <w:sz w:val="22"/>
          <w:szCs w:val="22"/>
          <w:highlight w:val="none"/>
        </w:rPr>
      </w:pPr>
      <w:r>
        <w:rPr>
          <w:rFonts w:hint="eastAsia" w:ascii="宋体" w:hAnsi="宋体"/>
          <w:color w:val="auto"/>
          <w:sz w:val="22"/>
          <w:szCs w:val="22"/>
          <w:highlight w:val="none"/>
        </w:rPr>
        <w:t>说明：如甲、乙双方同意，合同格式也可以按照其他形式。但合同条款的基本内容应与《中标合同》要求的内容相一致。</w:t>
      </w:r>
    </w:p>
    <w:p w14:paraId="11FA54FF">
      <w:pPr>
        <w:spacing w:line="440" w:lineRule="exact"/>
        <w:rPr>
          <w:rFonts w:ascii="宋体" w:hAnsi="宋体"/>
          <w:color w:val="auto"/>
          <w:sz w:val="22"/>
          <w:szCs w:val="22"/>
          <w:highlight w:val="none"/>
        </w:rPr>
      </w:pPr>
    </w:p>
    <w:p w14:paraId="28693A25">
      <w:pPr>
        <w:autoSpaceDE w:val="0"/>
        <w:autoSpaceDN w:val="0"/>
        <w:spacing w:line="440" w:lineRule="exact"/>
        <w:jc w:val="center"/>
        <w:textAlignment w:val="bottom"/>
        <w:rPr>
          <w:rFonts w:ascii="宋体" w:hAnsi="宋体" w:cs="Arial"/>
          <w:color w:val="auto"/>
          <w:sz w:val="22"/>
          <w:szCs w:val="22"/>
          <w:highlight w:val="none"/>
        </w:rPr>
      </w:pPr>
    </w:p>
    <w:p w14:paraId="0710733C">
      <w:pPr>
        <w:autoSpaceDE w:val="0"/>
        <w:autoSpaceDN w:val="0"/>
        <w:spacing w:line="440" w:lineRule="exact"/>
        <w:jc w:val="center"/>
        <w:textAlignment w:val="bottom"/>
        <w:rPr>
          <w:rFonts w:ascii="宋体" w:hAnsi="宋体" w:cs="Arial"/>
          <w:b/>
          <w:color w:val="auto"/>
          <w:sz w:val="28"/>
          <w:szCs w:val="28"/>
          <w:highlight w:val="none"/>
        </w:rPr>
      </w:pPr>
      <w:r>
        <w:rPr>
          <w:rFonts w:hint="eastAsia" w:ascii="宋体" w:hAnsi="宋体" w:cs="Arial"/>
          <w:b/>
          <w:color w:val="auto"/>
          <w:sz w:val="28"/>
          <w:szCs w:val="28"/>
          <w:highlight w:val="none"/>
        </w:rPr>
        <w:t>中标合同</w:t>
      </w:r>
    </w:p>
    <w:p w14:paraId="027EA28A">
      <w:pPr>
        <w:autoSpaceDE w:val="0"/>
        <w:autoSpaceDN w:val="0"/>
        <w:spacing w:line="440" w:lineRule="exact"/>
        <w:jc w:val="center"/>
        <w:textAlignment w:val="bottom"/>
        <w:rPr>
          <w:rFonts w:ascii="宋体" w:hAnsi="宋体" w:cs="Arial"/>
          <w:color w:val="auto"/>
          <w:sz w:val="22"/>
          <w:szCs w:val="22"/>
          <w:highlight w:val="none"/>
        </w:rPr>
      </w:pPr>
    </w:p>
    <w:p w14:paraId="7C88DF84">
      <w:pPr>
        <w:autoSpaceDE w:val="0"/>
        <w:autoSpaceDN w:val="0"/>
        <w:spacing w:line="440" w:lineRule="exact"/>
        <w:jc w:val="center"/>
        <w:textAlignment w:val="bottom"/>
        <w:rPr>
          <w:rFonts w:ascii="宋体" w:hAnsi="宋体" w:cs="Arial"/>
          <w:color w:val="auto"/>
          <w:sz w:val="22"/>
          <w:szCs w:val="22"/>
          <w:highlight w:val="none"/>
        </w:rPr>
      </w:pPr>
    </w:p>
    <w:p w14:paraId="09763E3A">
      <w:pPr>
        <w:autoSpaceDE w:val="0"/>
        <w:autoSpaceDN w:val="0"/>
        <w:spacing w:line="440" w:lineRule="exact"/>
        <w:jc w:val="center"/>
        <w:textAlignment w:val="bottom"/>
        <w:rPr>
          <w:rFonts w:ascii="宋体" w:hAnsi="宋体" w:cs="Arial"/>
          <w:color w:val="auto"/>
          <w:sz w:val="22"/>
          <w:szCs w:val="22"/>
          <w:highlight w:val="none"/>
        </w:rPr>
      </w:pPr>
    </w:p>
    <w:p w14:paraId="09BD6B66">
      <w:pPr>
        <w:autoSpaceDE w:val="0"/>
        <w:autoSpaceDN w:val="0"/>
        <w:spacing w:line="440" w:lineRule="exact"/>
        <w:textAlignment w:val="bottom"/>
        <w:rPr>
          <w:rFonts w:ascii="宋体" w:hAnsi="宋体" w:cs="Arial"/>
          <w:color w:val="auto"/>
          <w:sz w:val="22"/>
          <w:szCs w:val="22"/>
          <w:highlight w:val="none"/>
        </w:rPr>
      </w:pP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项目名称：</w:t>
      </w:r>
      <w:r>
        <w:rPr>
          <w:rFonts w:hint="eastAsia" w:ascii="宋体" w:hAnsi="宋体" w:cs="Arial"/>
          <w:color w:val="auto"/>
          <w:sz w:val="22"/>
          <w:szCs w:val="22"/>
          <w:highlight w:val="none"/>
          <w:u w:val="single"/>
        </w:rPr>
        <w:t xml:space="preserve">                      </w:t>
      </w:r>
    </w:p>
    <w:p w14:paraId="6ED0670D">
      <w:pPr>
        <w:autoSpaceDE w:val="0"/>
        <w:autoSpaceDN w:val="0"/>
        <w:spacing w:line="440" w:lineRule="exact"/>
        <w:jc w:val="center"/>
        <w:textAlignment w:val="bottom"/>
        <w:rPr>
          <w:rFonts w:ascii="宋体" w:hAnsi="宋体" w:cs="Arial"/>
          <w:color w:val="auto"/>
          <w:sz w:val="22"/>
          <w:szCs w:val="22"/>
          <w:highlight w:val="none"/>
        </w:rPr>
      </w:pPr>
    </w:p>
    <w:p w14:paraId="55110136">
      <w:pPr>
        <w:autoSpaceDE w:val="0"/>
        <w:autoSpaceDN w:val="0"/>
        <w:spacing w:line="440" w:lineRule="exact"/>
        <w:textAlignment w:val="bottom"/>
        <w:rPr>
          <w:rFonts w:ascii="宋体" w:hAnsi="宋体" w:cs="Arial"/>
          <w:color w:val="auto"/>
          <w:sz w:val="22"/>
          <w:szCs w:val="22"/>
          <w:highlight w:val="none"/>
        </w:rPr>
      </w:pP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合同编号：</w:t>
      </w:r>
      <w:r>
        <w:rPr>
          <w:rFonts w:hint="eastAsia" w:ascii="宋体" w:hAnsi="宋体" w:cs="Arial"/>
          <w:color w:val="auto"/>
          <w:sz w:val="22"/>
          <w:szCs w:val="22"/>
          <w:highlight w:val="none"/>
          <w:u w:val="single"/>
        </w:rPr>
        <w:t xml:space="preserve">                      </w:t>
      </w:r>
    </w:p>
    <w:p w14:paraId="799AB6CF">
      <w:pPr>
        <w:autoSpaceDE w:val="0"/>
        <w:autoSpaceDN w:val="0"/>
        <w:spacing w:line="440" w:lineRule="exact"/>
        <w:textAlignment w:val="bottom"/>
        <w:rPr>
          <w:rFonts w:ascii="宋体" w:hAnsi="宋体" w:cs="Arial"/>
          <w:color w:val="auto"/>
          <w:sz w:val="22"/>
          <w:szCs w:val="22"/>
          <w:highlight w:val="none"/>
        </w:rPr>
      </w:pPr>
    </w:p>
    <w:p w14:paraId="7D3CEF70">
      <w:pPr>
        <w:autoSpaceDE w:val="0"/>
        <w:autoSpaceDN w:val="0"/>
        <w:spacing w:line="440" w:lineRule="exact"/>
        <w:textAlignment w:val="bottom"/>
        <w:rPr>
          <w:rFonts w:ascii="宋体" w:hAnsi="宋体" w:cs="Arial"/>
          <w:color w:val="auto"/>
          <w:sz w:val="22"/>
          <w:szCs w:val="22"/>
          <w:highlight w:val="none"/>
        </w:rPr>
      </w:pPr>
    </w:p>
    <w:p w14:paraId="6121726E">
      <w:pPr>
        <w:autoSpaceDE w:val="0"/>
        <w:autoSpaceDN w:val="0"/>
        <w:spacing w:line="440" w:lineRule="exact"/>
        <w:textAlignment w:val="bottom"/>
        <w:rPr>
          <w:rFonts w:ascii="宋体" w:hAnsi="宋体" w:cs="Arial"/>
          <w:color w:val="auto"/>
          <w:sz w:val="22"/>
          <w:szCs w:val="22"/>
          <w:highlight w:val="none"/>
        </w:rPr>
      </w:pPr>
    </w:p>
    <w:p w14:paraId="5E6A23F7">
      <w:pPr>
        <w:autoSpaceDE w:val="0"/>
        <w:autoSpaceDN w:val="0"/>
        <w:spacing w:line="440" w:lineRule="exact"/>
        <w:textAlignment w:val="bottom"/>
        <w:rPr>
          <w:rFonts w:ascii="宋体" w:hAnsi="宋体" w:cs="Arial"/>
          <w:color w:val="auto"/>
          <w:sz w:val="22"/>
          <w:szCs w:val="22"/>
          <w:highlight w:val="none"/>
        </w:rPr>
      </w:pPr>
    </w:p>
    <w:p w14:paraId="0C9A4361">
      <w:pPr>
        <w:autoSpaceDE w:val="0"/>
        <w:autoSpaceDN w:val="0"/>
        <w:spacing w:line="440" w:lineRule="exact"/>
        <w:textAlignment w:val="bottom"/>
        <w:rPr>
          <w:rFonts w:ascii="宋体" w:hAnsi="宋体" w:cs="Arial"/>
          <w:color w:val="auto"/>
          <w:sz w:val="22"/>
          <w:szCs w:val="22"/>
          <w:highlight w:val="none"/>
          <w:u w:val="single"/>
        </w:rPr>
      </w:pP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甲    方：</w:t>
      </w:r>
      <w:r>
        <w:rPr>
          <w:rFonts w:hint="eastAsia" w:ascii="宋体" w:hAnsi="宋体" w:cs="Arial"/>
          <w:color w:val="auto"/>
          <w:sz w:val="22"/>
          <w:szCs w:val="22"/>
          <w:highlight w:val="none"/>
          <w:u w:val="single"/>
        </w:rPr>
        <w:t xml:space="preserve">                      </w:t>
      </w:r>
    </w:p>
    <w:p w14:paraId="37E69357">
      <w:pPr>
        <w:autoSpaceDE w:val="0"/>
        <w:autoSpaceDN w:val="0"/>
        <w:spacing w:line="440" w:lineRule="exact"/>
        <w:textAlignment w:val="bottom"/>
        <w:rPr>
          <w:rFonts w:ascii="宋体" w:hAnsi="宋体" w:cs="Arial"/>
          <w:color w:val="auto"/>
          <w:sz w:val="22"/>
          <w:szCs w:val="22"/>
          <w:highlight w:val="none"/>
        </w:rPr>
      </w:pP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乙    方：</w:t>
      </w:r>
      <w:r>
        <w:rPr>
          <w:rFonts w:hint="eastAsia" w:ascii="宋体" w:hAnsi="宋体" w:cs="Arial"/>
          <w:color w:val="auto"/>
          <w:sz w:val="22"/>
          <w:szCs w:val="22"/>
          <w:highlight w:val="none"/>
          <w:u w:val="single"/>
        </w:rPr>
        <w:t xml:space="preserve">                      </w:t>
      </w:r>
    </w:p>
    <w:p w14:paraId="49564DC5">
      <w:pPr>
        <w:spacing w:line="440" w:lineRule="exact"/>
        <w:rPr>
          <w:rFonts w:ascii="宋体" w:hAnsi="宋体" w:cs="Arial"/>
          <w:color w:val="auto"/>
          <w:sz w:val="22"/>
          <w:szCs w:val="22"/>
          <w:highlight w:val="none"/>
          <w:u w:val="single"/>
        </w:rPr>
      </w:pP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ab/>
      </w:r>
      <w:r>
        <w:rPr>
          <w:rFonts w:hint="eastAsia" w:ascii="宋体" w:hAnsi="宋体" w:cs="Arial"/>
          <w:color w:val="auto"/>
          <w:sz w:val="22"/>
          <w:szCs w:val="22"/>
          <w:highlight w:val="none"/>
        </w:rPr>
        <w:t>签署日期：</w:t>
      </w:r>
      <w:r>
        <w:rPr>
          <w:rFonts w:hint="eastAsia" w:ascii="宋体" w:hAnsi="宋体" w:cs="Arial"/>
          <w:color w:val="auto"/>
          <w:sz w:val="22"/>
          <w:szCs w:val="22"/>
          <w:highlight w:val="none"/>
          <w:u w:val="single"/>
        </w:rPr>
        <w:t xml:space="preserve">                      </w:t>
      </w:r>
    </w:p>
    <w:p w14:paraId="2924258C">
      <w:pPr>
        <w:spacing w:line="440" w:lineRule="exact"/>
        <w:rPr>
          <w:rFonts w:ascii="宋体" w:hAnsi="宋体"/>
          <w:color w:val="auto"/>
          <w:sz w:val="22"/>
          <w:szCs w:val="22"/>
          <w:highlight w:val="none"/>
        </w:rPr>
      </w:pPr>
    </w:p>
    <w:bookmarkEnd w:id="24"/>
    <w:p w14:paraId="3EFE3F4D">
      <w:pPr>
        <w:rPr>
          <w:rFonts w:hint="eastAsia" w:ascii="宋体" w:hAnsi="宋体" w:cs="宋体"/>
          <w:b/>
          <w:color w:val="auto"/>
          <w:sz w:val="30"/>
          <w:szCs w:val="30"/>
          <w:highlight w:val="none"/>
        </w:rPr>
      </w:pPr>
      <w:r>
        <w:rPr>
          <w:rFonts w:hint="eastAsia" w:ascii="宋体" w:hAnsi="宋体" w:cs="宋体"/>
          <w:b/>
          <w:color w:val="auto"/>
          <w:sz w:val="30"/>
          <w:szCs w:val="30"/>
          <w:highlight w:val="none"/>
        </w:rPr>
        <w:br w:type="page"/>
      </w:r>
    </w:p>
    <w:p w14:paraId="0C78952D">
      <w:pPr>
        <w:snapToGrid w:val="0"/>
        <w:spacing w:line="360" w:lineRule="auto"/>
        <w:jc w:val="center"/>
        <w:rPr>
          <w:rFonts w:ascii="宋体" w:hAnsi="宋体" w:cs="宋体"/>
          <w:b/>
          <w:color w:val="auto"/>
          <w:sz w:val="30"/>
          <w:szCs w:val="30"/>
          <w:highlight w:val="none"/>
        </w:rPr>
      </w:pPr>
      <w:r>
        <w:rPr>
          <w:rFonts w:hint="eastAsia" w:ascii="宋体" w:hAnsi="宋体" w:cs="宋体"/>
          <w:b/>
          <w:color w:val="auto"/>
          <w:sz w:val="30"/>
          <w:szCs w:val="30"/>
          <w:highlight w:val="none"/>
        </w:rPr>
        <w:t>（具体条款以甲方为主协商确定）</w:t>
      </w:r>
    </w:p>
    <w:p w14:paraId="2019B95F">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发包人（甲方）：                  </w:t>
      </w:r>
    </w:p>
    <w:p w14:paraId="7745E0A1">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承包人（乙方）：                                  </w:t>
      </w:r>
    </w:p>
    <w:p w14:paraId="1E797ED8">
      <w:pPr>
        <w:keepNext w:val="0"/>
        <w:keepLines w:val="0"/>
        <w:pageBreakBefore w:val="0"/>
        <w:kinsoku/>
        <w:wordWrap/>
        <w:topLinePunct w:val="0"/>
        <w:bidi w:val="0"/>
        <w:spacing w:line="460" w:lineRule="exact"/>
        <w:ind w:firstLine="539" w:firstLine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鉴于甲方于</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年</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月</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日接受乙方对</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的投标，双方根据《中华人民共和国民法典》、本项目的</w:t>
      </w:r>
      <w:r>
        <w:rPr>
          <w:rFonts w:hint="eastAsia" w:ascii="新宋体" w:hAnsi="新宋体" w:eastAsia="新宋体" w:cs="新宋体"/>
          <w:color w:val="auto"/>
          <w:sz w:val="22"/>
          <w:szCs w:val="22"/>
          <w:highlight w:val="none"/>
          <w:lang w:eastAsia="zh-CN"/>
        </w:rPr>
        <w:t>采购</w:t>
      </w:r>
      <w:r>
        <w:rPr>
          <w:rFonts w:hint="eastAsia" w:ascii="新宋体" w:hAnsi="新宋体" w:eastAsia="新宋体" w:cs="新宋体"/>
          <w:color w:val="auto"/>
          <w:sz w:val="22"/>
          <w:szCs w:val="22"/>
          <w:highlight w:val="none"/>
        </w:rPr>
        <w:t>文件、投标文件及其他有关规定，经双方协商一致，签订本合同，共同遵守。</w:t>
      </w:r>
    </w:p>
    <w:p w14:paraId="1EA54B8D">
      <w:pPr>
        <w:keepNext w:val="0"/>
        <w:keepLines w:val="0"/>
        <w:pageBreakBefore w:val="0"/>
        <w:kinsoku/>
        <w:wordWrap/>
        <w:topLinePunct w:val="0"/>
        <w:bidi w:val="0"/>
        <w:spacing w:line="460" w:lineRule="exact"/>
        <w:ind w:firstLine="541" w:firstLineChars="245"/>
        <w:rPr>
          <w:rFonts w:hint="eastAsia"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一、</w:t>
      </w:r>
      <w:r>
        <w:rPr>
          <w:rFonts w:hint="eastAsia" w:ascii="新宋体" w:hAnsi="新宋体" w:eastAsia="新宋体" w:cs="新宋体"/>
          <w:b/>
          <w:color w:val="auto"/>
          <w:sz w:val="22"/>
          <w:szCs w:val="22"/>
          <w:highlight w:val="none"/>
        </w:rPr>
        <w:t>合同的组成部分</w:t>
      </w:r>
    </w:p>
    <w:p w14:paraId="36DB7CC5">
      <w:pPr>
        <w:keepNext w:val="0"/>
        <w:keepLines w:val="0"/>
        <w:pageBreakBefore w:val="0"/>
        <w:kinsoku/>
        <w:wordWrap/>
        <w:topLinePunct w:val="0"/>
        <w:bidi w:val="0"/>
        <w:spacing w:line="460" w:lineRule="exact"/>
        <w:ind w:firstLine="539" w:firstLine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(1) 合同主要条款                </w:t>
      </w:r>
    </w:p>
    <w:p w14:paraId="2E0C992E">
      <w:pPr>
        <w:keepNext w:val="0"/>
        <w:keepLines w:val="0"/>
        <w:pageBreakBefore w:val="0"/>
        <w:kinsoku/>
        <w:wordWrap/>
        <w:topLinePunct w:val="0"/>
        <w:bidi w:val="0"/>
        <w:spacing w:line="460" w:lineRule="exact"/>
        <w:ind w:firstLine="539" w:firstLine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 中标通知书</w:t>
      </w:r>
    </w:p>
    <w:p w14:paraId="5F78978F">
      <w:pPr>
        <w:keepNext w:val="0"/>
        <w:keepLines w:val="0"/>
        <w:pageBreakBefore w:val="0"/>
        <w:kinsoku/>
        <w:wordWrap/>
        <w:topLinePunct w:val="0"/>
        <w:bidi w:val="0"/>
        <w:spacing w:line="460" w:lineRule="exact"/>
        <w:ind w:firstLine="539" w:firstLine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(3) 投标分项报价表               </w:t>
      </w:r>
    </w:p>
    <w:p w14:paraId="39461328">
      <w:pPr>
        <w:keepNext w:val="0"/>
        <w:keepLines w:val="0"/>
        <w:pageBreakBefore w:val="0"/>
        <w:kinsoku/>
        <w:wordWrap/>
        <w:topLinePunct w:val="0"/>
        <w:bidi w:val="0"/>
        <w:spacing w:line="460" w:lineRule="exact"/>
        <w:ind w:firstLine="539" w:firstLine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(4) 技术规格、商务条款偏离表           </w:t>
      </w:r>
    </w:p>
    <w:p w14:paraId="03AB7DBA">
      <w:pPr>
        <w:keepNext w:val="0"/>
        <w:keepLines w:val="0"/>
        <w:pageBreakBefore w:val="0"/>
        <w:kinsoku/>
        <w:wordWrap/>
        <w:topLinePunct w:val="0"/>
        <w:bidi w:val="0"/>
        <w:spacing w:line="460" w:lineRule="exact"/>
        <w:ind w:firstLine="539" w:firstLine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(5) </w:t>
      </w:r>
      <w:r>
        <w:rPr>
          <w:rFonts w:hint="eastAsia" w:ascii="新宋体" w:hAnsi="新宋体" w:eastAsia="新宋体" w:cs="新宋体"/>
          <w:color w:val="auto"/>
          <w:sz w:val="22"/>
          <w:szCs w:val="22"/>
          <w:highlight w:val="none"/>
          <w:lang w:eastAsia="zh-CN"/>
        </w:rPr>
        <w:t>采购</w:t>
      </w:r>
      <w:r>
        <w:rPr>
          <w:rFonts w:hint="eastAsia" w:ascii="新宋体" w:hAnsi="新宋体" w:eastAsia="新宋体" w:cs="新宋体"/>
          <w:color w:val="auto"/>
          <w:sz w:val="22"/>
          <w:szCs w:val="22"/>
          <w:highlight w:val="none"/>
        </w:rPr>
        <w:t>内容及要求</w:t>
      </w:r>
    </w:p>
    <w:p w14:paraId="3724542B">
      <w:pPr>
        <w:keepNext w:val="0"/>
        <w:keepLines w:val="0"/>
        <w:pageBreakBefore w:val="0"/>
        <w:kinsoku/>
        <w:wordWrap/>
        <w:topLinePunct w:val="0"/>
        <w:bidi w:val="0"/>
        <w:spacing w:line="460" w:lineRule="exact"/>
        <w:ind w:firstLine="539" w:firstLine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(6) 合同补充条款或说明（如有的话）     </w:t>
      </w:r>
    </w:p>
    <w:p w14:paraId="271839E3">
      <w:pPr>
        <w:keepNext w:val="0"/>
        <w:keepLines w:val="0"/>
        <w:pageBreakBefore w:val="0"/>
        <w:kinsoku/>
        <w:wordWrap/>
        <w:topLinePunct w:val="0"/>
        <w:bidi w:val="0"/>
        <w:spacing w:line="460" w:lineRule="exact"/>
        <w:ind w:firstLine="539" w:firstLine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(7) 承诺书      （含询标记录和优惠条件）       </w:t>
      </w:r>
    </w:p>
    <w:p w14:paraId="610388BF">
      <w:pPr>
        <w:keepNext w:val="0"/>
        <w:keepLines w:val="0"/>
        <w:pageBreakBefore w:val="0"/>
        <w:kinsoku/>
        <w:wordWrap/>
        <w:topLinePunct w:val="0"/>
        <w:bidi w:val="0"/>
        <w:spacing w:line="460" w:lineRule="exact"/>
        <w:ind w:firstLine="541" w:firstLineChars="245"/>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二、合同价格</w:t>
      </w:r>
    </w:p>
    <w:p w14:paraId="6E6E721E">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本合同总价为人民币</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万元（大写：</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元整）</w:t>
      </w:r>
    </w:p>
    <w:p w14:paraId="7D8E392D">
      <w:pPr>
        <w:pStyle w:val="334"/>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设备清单：</w:t>
      </w:r>
    </w:p>
    <w:tbl>
      <w:tblPr>
        <w:tblStyle w:val="53"/>
        <w:tblpPr w:leftFromText="180" w:rightFromText="180" w:vertAnchor="text" w:horzAnchor="page" w:tblpX="1417" w:tblpY="331"/>
        <w:tblOverlap w:val="never"/>
        <w:tblW w:w="96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260"/>
        <w:gridCol w:w="1980"/>
        <w:gridCol w:w="720"/>
        <w:gridCol w:w="900"/>
        <w:gridCol w:w="1440"/>
        <w:gridCol w:w="1440"/>
        <w:gridCol w:w="1080"/>
      </w:tblGrid>
      <w:tr w14:paraId="3EB35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8" w:type="dxa"/>
            <w:shd w:val="clear" w:color="auto" w:fill="D9D9D9"/>
            <w:vAlign w:val="center"/>
          </w:tcPr>
          <w:p w14:paraId="77834467">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序号</w:t>
            </w:r>
          </w:p>
        </w:tc>
        <w:tc>
          <w:tcPr>
            <w:tcW w:w="1260" w:type="dxa"/>
            <w:shd w:val="clear" w:color="auto" w:fill="D9D9D9"/>
            <w:vAlign w:val="center"/>
          </w:tcPr>
          <w:p w14:paraId="40819E4B">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名  称</w:t>
            </w:r>
          </w:p>
        </w:tc>
        <w:tc>
          <w:tcPr>
            <w:tcW w:w="1980" w:type="dxa"/>
            <w:shd w:val="clear" w:color="auto" w:fill="D9D9D9"/>
            <w:vAlign w:val="center"/>
          </w:tcPr>
          <w:p w14:paraId="60AD0475">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品牌、规格型号</w:t>
            </w:r>
          </w:p>
        </w:tc>
        <w:tc>
          <w:tcPr>
            <w:tcW w:w="720" w:type="dxa"/>
            <w:shd w:val="clear" w:color="auto" w:fill="D9D9D9"/>
            <w:vAlign w:val="center"/>
          </w:tcPr>
          <w:p w14:paraId="62A9931C">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单位</w:t>
            </w:r>
          </w:p>
        </w:tc>
        <w:tc>
          <w:tcPr>
            <w:tcW w:w="900" w:type="dxa"/>
            <w:shd w:val="clear" w:color="auto" w:fill="D9D9D9"/>
            <w:vAlign w:val="center"/>
          </w:tcPr>
          <w:p w14:paraId="19D9DE92">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数量</w:t>
            </w:r>
          </w:p>
        </w:tc>
        <w:tc>
          <w:tcPr>
            <w:tcW w:w="1440" w:type="dxa"/>
            <w:shd w:val="clear" w:color="auto" w:fill="D9D9D9"/>
            <w:vAlign w:val="center"/>
          </w:tcPr>
          <w:p w14:paraId="4A698B25">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原产地</w:t>
            </w:r>
          </w:p>
        </w:tc>
        <w:tc>
          <w:tcPr>
            <w:tcW w:w="1440" w:type="dxa"/>
            <w:shd w:val="clear" w:color="auto" w:fill="D9D9D9"/>
            <w:vAlign w:val="center"/>
          </w:tcPr>
          <w:p w14:paraId="26505BCD">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制造商</w:t>
            </w:r>
          </w:p>
        </w:tc>
        <w:tc>
          <w:tcPr>
            <w:tcW w:w="1080" w:type="dxa"/>
            <w:shd w:val="clear" w:color="auto" w:fill="D9D9D9"/>
            <w:vAlign w:val="center"/>
          </w:tcPr>
          <w:p w14:paraId="3126198A">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价格（元）</w:t>
            </w:r>
          </w:p>
        </w:tc>
      </w:tr>
      <w:tr w14:paraId="5AA57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8" w:type="dxa"/>
            <w:vAlign w:val="center"/>
          </w:tcPr>
          <w:p w14:paraId="7A6012D2">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260" w:type="dxa"/>
            <w:vAlign w:val="center"/>
          </w:tcPr>
          <w:p w14:paraId="682BA44A">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980" w:type="dxa"/>
            <w:vAlign w:val="center"/>
          </w:tcPr>
          <w:p w14:paraId="4ED87781">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720" w:type="dxa"/>
            <w:vAlign w:val="center"/>
          </w:tcPr>
          <w:p w14:paraId="216B2E7B">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900" w:type="dxa"/>
            <w:vAlign w:val="center"/>
          </w:tcPr>
          <w:p w14:paraId="39DE2946">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440" w:type="dxa"/>
            <w:vAlign w:val="center"/>
          </w:tcPr>
          <w:p w14:paraId="2094B38B">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440" w:type="dxa"/>
            <w:vAlign w:val="center"/>
          </w:tcPr>
          <w:p w14:paraId="493C8659">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080" w:type="dxa"/>
            <w:vAlign w:val="center"/>
          </w:tcPr>
          <w:p w14:paraId="7888E013">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r>
      <w:tr w14:paraId="52EC3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8" w:type="dxa"/>
            <w:vAlign w:val="center"/>
          </w:tcPr>
          <w:p w14:paraId="44EE5D1C">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260" w:type="dxa"/>
            <w:vAlign w:val="center"/>
          </w:tcPr>
          <w:p w14:paraId="774929C2">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980" w:type="dxa"/>
            <w:vAlign w:val="center"/>
          </w:tcPr>
          <w:p w14:paraId="06C6AD5B">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720" w:type="dxa"/>
            <w:vAlign w:val="center"/>
          </w:tcPr>
          <w:p w14:paraId="2AEF71E0">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900" w:type="dxa"/>
            <w:vAlign w:val="center"/>
          </w:tcPr>
          <w:p w14:paraId="40DB6895">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440" w:type="dxa"/>
            <w:vAlign w:val="center"/>
          </w:tcPr>
          <w:p w14:paraId="199BE87A">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440" w:type="dxa"/>
            <w:vAlign w:val="center"/>
          </w:tcPr>
          <w:p w14:paraId="7CFF2127">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080" w:type="dxa"/>
            <w:vAlign w:val="center"/>
          </w:tcPr>
          <w:p w14:paraId="1442F71A">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r>
      <w:tr w14:paraId="0DF86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8" w:type="dxa"/>
            <w:vAlign w:val="center"/>
          </w:tcPr>
          <w:p w14:paraId="0168B65E">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260" w:type="dxa"/>
            <w:vAlign w:val="center"/>
          </w:tcPr>
          <w:p w14:paraId="15CBECDF">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980" w:type="dxa"/>
            <w:vAlign w:val="center"/>
          </w:tcPr>
          <w:p w14:paraId="3E2934C4">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720" w:type="dxa"/>
            <w:vAlign w:val="center"/>
          </w:tcPr>
          <w:p w14:paraId="5E908D57">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900" w:type="dxa"/>
            <w:vAlign w:val="center"/>
          </w:tcPr>
          <w:p w14:paraId="286A28C7">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440" w:type="dxa"/>
            <w:vAlign w:val="center"/>
          </w:tcPr>
          <w:p w14:paraId="2DA5A0C2">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440" w:type="dxa"/>
            <w:vAlign w:val="center"/>
          </w:tcPr>
          <w:p w14:paraId="3F25CD74">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c>
          <w:tcPr>
            <w:tcW w:w="1080" w:type="dxa"/>
            <w:vAlign w:val="center"/>
          </w:tcPr>
          <w:p w14:paraId="46169D04">
            <w:pPr>
              <w:keepNext w:val="0"/>
              <w:keepLines w:val="0"/>
              <w:pageBreakBefore w:val="0"/>
              <w:kinsoku/>
              <w:wordWrap/>
              <w:topLinePunct w:val="0"/>
              <w:bidi w:val="0"/>
              <w:spacing w:line="460" w:lineRule="exact"/>
              <w:jc w:val="center"/>
              <w:rPr>
                <w:rFonts w:hint="eastAsia" w:ascii="新宋体" w:hAnsi="新宋体" w:eastAsia="新宋体" w:cs="新宋体"/>
                <w:b/>
                <w:bCs/>
                <w:color w:val="auto"/>
                <w:sz w:val="22"/>
                <w:szCs w:val="22"/>
                <w:highlight w:val="none"/>
              </w:rPr>
            </w:pPr>
          </w:p>
        </w:tc>
      </w:tr>
    </w:tbl>
    <w:p w14:paraId="633EF06B">
      <w:pPr>
        <w:pStyle w:val="21"/>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所提供机型为2024年1月以后生产的最新机型</w:t>
      </w:r>
    </w:p>
    <w:p w14:paraId="7CF33DFD">
      <w:pPr>
        <w:pStyle w:val="21"/>
        <w:keepNext w:val="0"/>
        <w:keepLines w:val="0"/>
        <w:pageBreakBefore w:val="0"/>
        <w:kinsoku/>
        <w:wordWrap/>
        <w:topLinePunct w:val="0"/>
        <w:bidi w:val="0"/>
        <w:adjustRightInd w:val="0"/>
        <w:snapToGrid w:val="0"/>
        <w:spacing w:line="460" w:lineRule="exact"/>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三． 交货时间和地点</w:t>
      </w:r>
    </w:p>
    <w:p w14:paraId="1AE2C73A">
      <w:pPr>
        <w:keepNext w:val="0"/>
        <w:keepLines w:val="0"/>
        <w:pageBreakBefore w:val="0"/>
        <w:kinsoku/>
        <w:wordWrap/>
        <w:topLinePunct w:val="0"/>
        <w:bidi w:val="0"/>
        <w:spacing w:line="460" w:lineRule="exact"/>
        <w:ind w:left="2750" w:hanging="2750" w:hangingChars="1250"/>
        <w:rPr>
          <w:rFonts w:hint="eastAsia" w:ascii="新宋体" w:hAnsi="新宋体" w:eastAsia="新宋体" w:cs="新宋体"/>
          <w:b/>
          <w:bCs/>
          <w:color w:val="auto"/>
          <w:kern w:val="0"/>
          <w:sz w:val="22"/>
          <w:szCs w:val="22"/>
          <w:highlight w:val="none"/>
        </w:rPr>
      </w:pPr>
      <w:r>
        <w:rPr>
          <w:rFonts w:hint="eastAsia" w:ascii="新宋体" w:hAnsi="新宋体" w:eastAsia="新宋体" w:cs="新宋体"/>
          <w:bCs/>
          <w:color w:val="auto"/>
          <w:kern w:val="0"/>
          <w:sz w:val="22"/>
          <w:szCs w:val="22"/>
          <w:highlight w:val="none"/>
        </w:rPr>
        <w:t xml:space="preserve">1.   </w:t>
      </w:r>
      <w:r>
        <w:rPr>
          <w:rFonts w:hint="eastAsia" w:ascii="新宋体" w:hAnsi="新宋体" w:eastAsia="新宋体" w:cs="新宋体"/>
          <w:b/>
          <w:bCs/>
          <w:color w:val="auto"/>
          <w:kern w:val="0"/>
          <w:sz w:val="22"/>
          <w:szCs w:val="22"/>
          <w:highlight w:val="none"/>
        </w:rPr>
        <w:t>安装、交付使用时间：</w:t>
      </w:r>
      <w:r>
        <w:rPr>
          <w:rFonts w:hint="eastAsia" w:ascii="新宋体" w:hAnsi="新宋体" w:eastAsia="新宋体" w:cs="新宋体"/>
          <w:b/>
          <w:bCs/>
          <w:color w:val="auto"/>
          <w:kern w:val="0"/>
          <w:sz w:val="22"/>
          <w:szCs w:val="22"/>
          <w:highlight w:val="none"/>
          <w:u w:val="single"/>
        </w:rPr>
        <w:t>签订合同后30天内完成设备安装调试。</w:t>
      </w:r>
    </w:p>
    <w:p w14:paraId="6CF91A1B">
      <w:pPr>
        <w:keepNext w:val="0"/>
        <w:keepLines w:val="0"/>
        <w:pageBreakBefore w:val="0"/>
        <w:kinsoku/>
        <w:wordWrap/>
        <w:topLinePunct w:val="0"/>
        <w:bidi w:val="0"/>
        <w:spacing w:line="460" w:lineRule="exact"/>
        <w:rPr>
          <w:rFonts w:hint="eastAsia" w:ascii="新宋体" w:hAnsi="新宋体" w:eastAsia="新宋体" w:cs="新宋体"/>
          <w:bCs/>
          <w:color w:val="auto"/>
          <w:kern w:val="0"/>
          <w:sz w:val="22"/>
          <w:szCs w:val="22"/>
          <w:highlight w:val="none"/>
          <w:u w:val="single"/>
        </w:rPr>
      </w:pPr>
      <w:r>
        <w:rPr>
          <w:rFonts w:hint="eastAsia" w:ascii="新宋体" w:hAnsi="新宋体" w:eastAsia="新宋体" w:cs="新宋体"/>
          <w:bCs/>
          <w:color w:val="auto"/>
          <w:kern w:val="0"/>
          <w:sz w:val="22"/>
          <w:szCs w:val="22"/>
          <w:highlight w:val="none"/>
        </w:rPr>
        <w:t xml:space="preserve">2．  </w:t>
      </w:r>
      <w:r>
        <w:rPr>
          <w:rFonts w:hint="eastAsia" w:ascii="新宋体" w:hAnsi="新宋体" w:eastAsia="新宋体" w:cs="新宋体"/>
          <w:b/>
          <w:bCs/>
          <w:color w:val="auto"/>
          <w:kern w:val="0"/>
          <w:sz w:val="22"/>
          <w:szCs w:val="22"/>
          <w:highlight w:val="none"/>
        </w:rPr>
        <w:t>安装、交付使用地点：</w:t>
      </w:r>
      <w:r>
        <w:rPr>
          <w:rFonts w:hint="eastAsia" w:ascii="新宋体" w:hAnsi="新宋体" w:eastAsia="新宋体" w:cs="新宋体"/>
          <w:b/>
          <w:bCs/>
          <w:color w:val="auto"/>
          <w:kern w:val="0"/>
          <w:sz w:val="22"/>
          <w:szCs w:val="22"/>
          <w:highlight w:val="none"/>
          <w:u w:val="single"/>
        </w:rPr>
        <w:t>甲方指定地点。</w:t>
      </w:r>
    </w:p>
    <w:p w14:paraId="287A167C">
      <w:pPr>
        <w:pStyle w:val="21"/>
        <w:keepNext w:val="0"/>
        <w:keepLines w:val="0"/>
        <w:pageBreakBefore w:val="0"/>
        <w:kinsoku/>
        <w:wordWrap/>
        <w:topLinePunct w:val="0"/>
        <w:bidi w:val="0"/>
        <w:adjustRightInd w:val="0"/>
        <w:snapToGrid w:val="0"/>
        <w:spacing w:line="460" w:lineRule="exact"/>
        <w:rPr>
          <w:rFonts w:hint="eastAsia" w:ascii="新宋体" w:hAnsi="新宋体" w:eastAsia="新宋体" w:cs="新宋体"/>
          <w:b/>
          <w:color w:val="auto"/>
          <w:sz w:val="22"/>
          <w:szCs w:val="22"/>
          <w:highlight w:val="none"/>
        </w:rPr>
      </w:pPr>
      <w:bookmarkStart w:id="27" w:name="_Toc175826932"/>
      <w:bookmarkStart w:id="28" w:name="_Toc171189368"/>
      <w:bookmarkStart w:id="29" w:name="_Toc188355457"/>
      <w:r>
        <w:rPr>
          <w:rFonts w:hint="eastAsia" w:ascii="新宋体" w:hAnsi="新宋体" w:eastAsia="新宋体" w:cs="新宋体"/>
          <w:b/>
          <w:color w:val="auto"/>
          <w:sz w:val="22"/>
          <w:szCs w:val="22"/>
          <w:highlight w:val="none"/>
        </w:rPr>
        <w:t>四． 到货、安装、调试和验收</w:t>
      </w:r>
      <w:bookmarkEnd w:id="27"/>
      <w:bookmarkEnd w:id="28"/>
      <w:bookmarkEnd w:id="29"/>
    </w:p>
    <w:p w14:paraId="0737C79A">
      <w:pPr>
        <w:keepNext w:val="0"/>
        <w:keepLines w:val="0"/>
        <w:pageBreakBefore w:val="0"/>
        <w:kinsoku/>
        <w:wordWrap/>
        <w:topLinePunct w:val="0"/>
        <w:bidi w:val="0"/>
        <w:spacing w:line="460" w:lineRule="exact"/>
        <w:rPr>
          <w:rFonts w:hint="eastAsia" w:ascii="新宋体" w:hAnsi="新宋体" w:eastAsia="新宋体" w:cs="新宋体"/>
          <w:b/>
          <w:color w:val="auto"/>
          <w:spacing w:val="20"/>
          <w:sz w:val="22"/>
          <w:szCs w:val="22"/>
          <w:highlight w:val="none"/>
        </w:rPr>
      </w:pPr>
      <w:r>
        <w:rPr>
          <w:rFonts w:hint="eastAsia" w:ascii="新宋体" w:hAnsi="新宋体" w:eastAsia="新宋体" w:cs="新宋体"/>
          <w:color w:val="auto"/>
          <w:sz w:val="22"/>
          <w:szCs w:val="22"/>
          <w:highlight w:val="none"/>
        </w:rPr>
        <w:t xml:space="preserve">1.   </w:t>
      </w:r>
      <w:r>
        <w:rPr>
          <w:rFonts w:hint="eastAsia" w:ascii="新宋体" w:hAnsi="新宋体" w:eastAsia="新宋体" w:cs="新宋体"/>
          <w:b/>
          <w:color w:val="auto"/>
          <w:sz w:val="22"/>
          <w:szCs w:val="22"/>
          <w:highlight w:val="none"/>
        </w:rPr>
        <w:t>到货</w:t>
      </w:r>
      <w:r>
        <w:rPr>
          <w:rFonts w:hint="eastAsia" w:ascii="新宋体" w:hAnsi="新宋体" w:eastAsia="新宋体" w:cs="新宋体"/>
          <w:b/>
          <w:color w:val="auto"/>
          <w:spacing w:val="20"/>
          <w:sz w:val="22"/>
          <w:szCs w:val="22"/>
          <w:highlight w:val="none"/>
        </w:rPr>
        <w:t xml:space="preserve"> </w:t>
      </w:r>
    </w:p>
    <w:p w14:paraId="18DFC3EB">
      <w:pPr>
        <w:keepNext w:val="0"/>
        <w:keepLines w:val="0"/>
        <w:pageBreakBefore w:val="0"/>
        <w:kinsoku/>
        <w:wordWrap/>
        <w:topLinePunct w:val="0"/>
        <w:bidi w:val="0"/>
        <w:spacing w:line="460" w:lineRule="exact"/>
        <w:ind w:left="527" w:leftChars="251"/>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乙方必须在合同规定的时间内完成货物的供货。货物到达现场后，乙方必须派员到现场与甲方一起开箱并按供货清单验收,若有缺少或损坏，乙方应立即补足或更换全新同规格产品，直至甲方满意为止。</w:t>
      </w:r>
    </w:p>
    <w:p w14:paraId="3FC2FA20">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2.   </w:t>
      </w:r>
      <w:r>
        <w:rPr>
          <w:rFonts w:hint="eastAsia" w:ascii="新宋体" w:hAnsi="新宋体" w:eastAsia="新宋体" w:cs="新宋体"/>
          <w:b/>
          <w:color w:val="auto"/>
          <w:sz w:val="22"/>
          <w:szCs w:val="22"/>
          <w:highlight w:val="none"/>
        </w:rPr>
        <w:t>安装</w:t>
      </w:r>
    </w:p>
    <w:p w14:paraId="08EADE7F">
      <w:pPr>
        <w:keepNext w:val="0"/>
        <w:keepLines w:val="0"/>
        <w:pageBreakBefore w:val="0"/>
        <w:kinsoku/>
        <w:wordWrap/>
        <w:topLinePunct w:val="0"/>
        <w:bidi w:val="0"/>
        <w:spacing w:line="460" w:lineRule="exact"/>
        <w:ind w:left="550" w:hanging="550" w:hangingChars="250"/>
        <w:rPr>
          <w:rFonts w:hint="eastAsia" w:ascii="新宋体" w:hAnsi="新宋体" w:eastAsia="新宋体" w:cs="新宋体"/>
          <w:color w:val="auto"/>
          <w:sz w:val="22"/>
          <w:szCs w:val="22"/>
          <w:highlight w:val="none"/>
        </w:rPr>
      </w:pPr>
      <w:r>
        <w:rPr>
          <w:rFonts w:hint="eastAsia" w:ascii="新宋体" w:hAnsi="新宋体" w:eastAsia="新宋体" w:cs="新宋体"/>
          <w:bCs/>
          <w:color w:val="auto"/>
          <w:kern w:val="0"/>
          <w:sz w:val="22"/>
          <w:szCs w:val="22"/>
          <w:highlight w:val="none"/>
        </w:rPr>
        <w:t xml:space="preserve">2.1  </w:t>
      </w:r>
      <w:r>
        <w:rPr>
          <w:rFonts w:hint="eastAsia" w:ascii="新宋体" w:hAnsi="新宋体" w:eastAsia="新宋体" w:cs="新宋体"/>
          <w:color w:val="auto"/>
          <w:sz w:val="22"/>
          <w:szCs w:val="22"/>
          <w:highlight w:val="none"/>
        </w:rPr>
        <w:t>货物到达甲方指定地点后，乙方应按甲方规定的日期指派工程技术人员对货物进行安装调试，直至通过验收。货物的安装调试及现场培训应在合同规定的期限内完成。</w:t>
      </w:r>
    </w:p>
    <w:p w14:paraId="01E334E7">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Cs/>
          <w:color w:val="auto"/>
          <w:kern w:val="0"/>
          <w:sz w:val="22"/>
          <w:szCs w:val="22"/>
          <w:highlight w:val="none"/>
        </w:rPr>
        <w:t xml:space="preserve">2.2  </w:t>
      </w:r>
      <w:r>
        <w:rPr>
          <w:rFonts w:hint="eastAsia" w:ascii="新宋体" w:hAnsi="新宋体" w:eastAsia="新宋体" w:cs="新宋体"/>
          <w:color w:val="auto"/>
          <w:sz w:val="22"/>
          <w:szCs w:val="22"/>
          <w:highlight w:val="none"/>
        </w:rPr>
        <w:t>设备的安装必须符合有关标准和规范。安装过程中甲方将对货物的安装质量进行监督。</w:t>
      </w:r>
    </w:p>
    <w:p w14:paraId="30726A10">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3.   </w:t>
      </w:r>
      <w:r>
        <w:rPr>
          <w:rFonts w:hint="eastAsia" w:ascii="新宋体" w:hAnsi="新宋体" w:eastAsia="新宋体" w:cs="新宋体"/>
          <w:b/>
          <w:color w:val="auto"/>
          <w:sz w:val="22"/>
          <w:szCs w:val="22"/>
          <w:highlight w:val="none"/>
        </w:rPr>
        <w:t>调试</w:t>
      </w:r>
    </w:p>
    <w:p w14:paraId="50D6209B">
      <w:pPr>
        <w:keepNext w:val="0"/>
        <w:keepLines w:val="0"/>
        <w:pageBreakBefore w:val="0"/>
        <w:kinsoku/>
        <w:wordWrap/>
        <w:topLinePunct w:val="0"/>
        <w:bidi w:val="0"/>
        <w:spacing w:line="460" w:lineRule="exact"/>
        <w:ind w:left="548" w:leftChars="261"/>
        <w:rPr>
          <w:rFonts w:hint="eastAsia" w:ascii="新宋体" w:hAnsi="新宋体" w:eastAsia="新宋体" w:cs="新宋体"/>
          <w:color w:val="auto"/>
          <w:sz w:val="22"/>
          <w:szCs w:val="22"/>
          <w:highlight w:val="none"/>
        </w:rPr>
      </w:pPr>
      <w:r>
        <w:rPr>
          <w:rFonts w:hint="eastAsia" w:ascii="新宋体" w:hAnsi="新宋体" w:eastAsia="新宋体" w:cs="新宋体"/>
          <w:bCs/>
          <w:color w:val="auto"/>
          <w:kern w:val="0"/>
          <w:sz w:val="22"/>
          <w:szCs w:val="22"/>
          <w:highlight w:val="none"/>
        </w:rPr>
        <w:t>货物安装就位、校准后，乙方应按事先被甲方认可的调试验收计划对货物进行调试，并对货物所标注的各项技术参数进行测试，测试报告将在货物验收完毕后提交给甲方，但乙方应对测试的各种数据的真实性负责。</w:t>
      </w:r>
      <w:r>
        <w:rPr>
          <w:rFonts w:hint="eastAsia" w:ascii="新宋体" w:hAnsi="新宋体" w:eastAsia="新宋体" w:cs="新宋体"/>
          <w:color w:val="auto"/>
          <w:sz w:val="22"/>
          <w:szCs w:val="22"/>
          <w:highlight w:val="none"/>
        </w:rPr>
        <w:t>甲方也可以要求具有检测资质的第三方用专用仪器对货物进行功能 、性能测试，乙方负责所需的一切费用。</w:t>
      </w:r>
    </w:p>
    <w:p w14:paraId="17A11D67">
      <w:pPr>
        <w:keepNext w:val="0"/>
        <w:keepLines w:val="0"/>
        <w:pageBreakBefore w:val="0"/>
        <w:numPr>
          <w:ilvl w:val="0"/>
          <w:numId w:val="2"/>
        </w:numPr>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color w:val="auto"/>
          <w:sz w:val="22"/>
          <w:szCs w:val="22"/>
          <w:highlight w:val="none"/>
        </w:rPr>
        <w:t>验收</w:t>
      </w:r>
    </w:p>
    <w:p w14:paraId="3844C37A">
      <w:pPr>
        <w:keepNext w:val="0"/>
        <w:keepLines w:val="0"/>
        <w:pageBreakBefore w:val="0"/>
        <w:kinsoku/>
        <w:wordWrap/>
        <w:topLinePunct w:val="0"/>
        <w:bidi w:val="0"/>
        <w:spacing w:line="460" w:lineRule="exact"/>
        <w:ind w:left="548" w:leftChars="261"/>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货物经过试运行考核无故障（或存在的故障和隐患均已全部排除），并经相关部门检验合格，所有的技术资料和图纸已向甲方提交并被接受，验收视为合格，买卖双方签署验收合格证书。 若因乙方产品质量或安装技术问题导致验收不合格，乙方应及时予以处理，直至验收合格，期间发生的一切相关费用由乙方承担，甲方保留向乙方索赔的权利。</w:t>
      </w:r>
    </w:p>
    <w:p w14:paraId="720208A5">
      <w:pPr>
        <w:keepNext w:val="0"/>
        <w:keepLines w:val="0"/>
        <w:pageBreakBefore w:val="0"/>
        <w:kinsoku/>
        <w:wordWrap/>
        <w:topLinePunct w:val="0"/>
        <w:bidi w:val="0"/>
        <w:spacing w:line="460" w:lineRule="exact"/>
        <w:ind w:left="550" w:hanging="550" w:hanging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   若因乙方产品质量或安装技术问题导致货物二次验收都不合格，甲方有权选择退货，并保留向乙方索赔的权利。</w:t>
      </w:r>
    </w:p>
    <w:p w14:paraId="3ADEF0BA">
      <w:pPr>
        <w:keepNext w:val="0"/>
        <w:keepLines w:val="0"/>
        <w:pageBreakBefore w:val="0"/>
        <w:kinsoku/>
        <w:wordWrap/>
        <w:topLinePunct w:val="0"/>
        <w:bidi w:val="0"/>
        <w:spacing w:line="460" w:lineRule="exact"/>
        <w:ind w:left="550" w:hanging="550" w:hanging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6.   </w:t>
      </w:r>
      <w:r>
        <w:rPr>
          <w:rFonts w:hint="eastAsia" w:ascii="新宋体" w:hAnsi="新宋体" w:eastAsia="新宋体" w:cs="新宋体"/>
          <w:bCs/>
          <w:color w:val="auto"/>
          <w:kern w:val="0"/>
          <w:sz w:val="22"/>
          <w:szCs w:val="22"/>
          <w:highlight w:val="none"/>
        </w:rPr>
        <w:t>乙方在货物到货、安装、调试和验收期间应接受甲方的协调和管理，乙方应采取严格的防范措施，承担由于自身原因所造成的事故责任及其发生的一切费用。</w:t>
      </w:r>
    </w:p>
    <w:p w14:paraId="15003DA1">
      <w:pPr>
        <w:keepNext w:val="0"/>
        <w:keepLines w:val="0"/>
        <w:pageBreakBefore w:val="0"/>
        <w:kinsoku/>
        <w:wordWrap/>
        <w:topLinePunct w:val="0"/>
        <w:bidi w:val="0"/>
        <w:spacing w:line="460" w:lineRule="exact"/>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五． 技术文件资料的交付</w:t>
      </w:r>
    </w:p>
    <w:p w14:paraId="41D762EA">
      <w:pPr>
        <w:keepNext w:val="0"/>
        <w:keepLines w:val="0"/>
        <w:pageBreakBefore w:val="0"/>
        <w:kinsoku/>
        <w:wordWrap/>
        <w:topLinePunct w:val="0"/>
        <w:bidi w:val="0"/>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1．  货物交货的同时应提供下列资料：</w:t>
      </w:r>
    </w:p>
    <w:p w14:paraId="25F05662">
      <w:pPr>
        <w:keepNext w:val="0"/>
        <w:keepLines w:val="0"/>
        <w:pageBreakBefore w:val="0"/>
        <w:kinsoku/>
        <w:wordWrap/>
        <w:topLinePunct w:val="0"/>
        <w:bidi w:val="0"/>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1.1  随机的易损件、备品备件及特殊专用工具清单（如有）</w:t>
      </w:r>
    </w:p>
    <w:p w14:paraId="4B535F08">
      <w:pPr>
        <w:keepNext w:val="0"/>
        <w:keepLines w:val="0"/>
        <w:pageBreakBefore w:val="0"/>
        <w:kinsoku/>
        <w:wordWrap/>
        <w:topLinePunct w:val="0"/>
        <w:bidi w:val="0"/>
        <w:spacing w:line="460" w:lineRule="exact"/>
        <w:ind w:left="550" w:hanging="550" w:hangingChars="250"/>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1.2  相关的检验检测报告、合格证书、产品说明书、技术资料、操作手册、检修保养手册等技术资料。</w:t>
      </w:r>
    </w:p>
    <w:p w14:paraId="44690140">
      <w:pPr>
        <w:keepNext w:val="0"/>
        <w:keepLines w:val="0"/>
        <w:pageBreakBefore w:val="0"/>
        <w:kinsoku/>
        <w:wordWrap/>
        <w:topLinePunct w:val="0"/>
        <w:bidi w:val="0"/>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1.3  电气原理图，各系统功能及设备制作、安装说明。</w:t>
      </w:r>
    </w:p>
    <w:p w14:paraId="459AD3BF">
      <w:pPr>
        <w:pStyle w:val="21"/>
        <w:keepNext w:val="0"/>
        <w:keepLines w:val="0"/>
        <w:pageBreakBefore w:val="0"/>
        <w:kinsoku/>
        <w:wordWrap/>
        <w:topLinePunct w:val="0"/>
        <w:bidi w:val="0"/>
        <w:adjustRightInd w:val="0"/>
        <w:snapToGrid w:val="0"/>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六． 货物质量保证和标准</w:t>
      </w:r>
    </w:p>
    <w:p w14:paraId="363044DD">
      <w:pPr>
        <w:keepNext w:val="0"/>
        <w:keepLines w:val="0"/>
        <w:pageBreakBefore w:val="0"/>
        <w:kinsoku/>
        <w:wordWrap/>
        <w:topLinePunct w:val="0"/>
        <w:bidi w:val="0"/>
        <w:spacing w:line="460" w:lineRule="exact"/>
        <w:ind w:left="550" w:hanging="550" w:hangingChars="250"/>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 xml:space="preserve">1.   </w:t>
      </w:r>
      <w:r>
        <w:rPr>
          <w:rFonts w:hint="eastAsia" w:ascii="新宋体" w:hAnsi="新宋体" w:eastAsia="新宋体" w:cs="新宋体"/>
          <w:b/>
          <w:color w:val="auto"/>
          <w:sz w:val="22"/>
          <w:szCs w:val="22"/>
          <w:highlight w:val="none"/>
        </w:rPr>
        <w:t>本项目所有产品应提供自货物验收合格并交付使用后至少</w:t>
      </w:r>
      <w:r>
        <w:rPr>
          <w:rFonts w:hint="eastAsia" w:ascii="新宋体" w:hAnsi="新宋体" w:eastAsia="新宋体" w:cs="新宋体"/>
          <w:b/>
          <w:color w:val="auto"/>
          <w:sz w:val="22"/>
          <w:szCs w:val="22"/>
          <w:highlight w:val="none"/>
          <w:u w:val="single"/>
          <w:lang w:val="en-US" w:eastAsia="zh-CN"/>
        </w:rPr>
        <w:t xml:space="preserve">     </w:t>
      </w:r>
      <w:r>
        <w:rPr>
          <w:rFonts w:hint="eastAsia" w:ascii="新宋体" w:hAnsi="新宋体" w:eastAsia="新宋体" w:cs="新宋体"/>
          <w:b/>
          <w:color w:val="auto"/>
          <w:sz w:val="22"/>
          <w:szCs w:val="22"/>
          <w:highlight w:val="none"/>
        </w:rPr>
        <w:t>年</w:t>
      </w:r>
      <w:r>
        <w:rPr>
          <w:rFonts w:hint="eastAsia" w:ascii="新宋体" w:hAnsi="新宋体" w:eastAsia="新宋体" w:cs="新宋体"/>
          <w:b/>
          <w:color w:val="auto"/>
          <w:sz w:val="22"/>
          <w:szCs w:val="22"/>
          <w:highlight w:val="none"/>
        </w:rPr>
        <w:t>（</w:t>
      </w:r>
      <w:r>
        <w:rPr>
          <w:rFonts w:hint="eastAsia" w:ascii="新宋体" w:hAnsi="新宋体" w:eastAsia="新宋体" w:cs="新宋体"/>
          <w:b/>
          <w:color w:val="auto"/>
          <w:sz w:val="22"/>
          <w:szCs w:val="22"/>
          <w:highlight w:val="none"/>
          <w:u w:val="single"/>
          <w:lang w:val="en-US" w:eastAsia="zh-CN"/>
        </w:rPr>
        <w:t xml:space="preserve">     </w:t>
      </w:r>
      <w:r>
        <w:rPr>
          <w:rFonts w:hint="eastAsia" w:ascii="新宋体" w:hAnsi="新宋体" w:eastAsia="新宋体" w:cs="新宋体"/>
          <w:b/>
          <w:color w:val="auto"/>
          <w:sz w:val="22"/>
          <w:szCs w:val="22"/>
          <w:highlight w:val="none"/>
        </w:rPr>
        <w:t>个月）</w:t>
      </w:r>
      <w:r>
        <w:rPr>
          <w:rFonts w:hint="eastAsia" w:ascii="新宋体" w:hAnsi="新宋体" w:eastAsia="新宋体" w:cs="新宋体"/>
          <w:b/>
          <w:color w:val="auto"/>
          <w:sz w:val="22"/>
          <w:szCs w:val="22"/>
          <w:highlight w:val="none"/>
        </w:rPr>
        <w:t>的现场免费质保期</w:t>
      </w:r>
      <w:r>
        <w:rPr>
          <w:rFonts w:hint="eastAsia" w:ascii="新宋体" w:hAnsi="新宋体" w:eastAsia="新宋体" w:cs="新宋体"/>
          <w:b/>
          <w:color w:val="auto"/>
          <w:sz w:val="22"/>
          <w:szCs w:val="22"/>
          <w:highlight w:val="none"/>
        </w:rPr>
        <w:t>，如厂商本身承诺的产品质保期高于此要求的则按照厂商承诺执行</w:t>
      </w:r>
      <w:r>
        <w:rPr>
          <w:rFonts w:hint="eastAsia" w:ascii="新宋体" w:hAnsi="新宋体" w:eastAsia="新宋体" w:cs="新宋体"/>
          <w:b/>
          <w:color w:val="auto"/>
          <w:sz w:val="22"/>
          <w:szCs w:val="22"/>
          <w:highlight w:val="none"/>
        </w:rPr>
        <w:t>在质量保证期内，乙方对由于产品设计、工艺、材料、配套件的缺陷而造成的任何产品质量问题或故障负责。</w:t>
      </w:r>
    </w:p>
    <w:p w14:paraId="4FCEB387">
      <w:pPr>
        <w:keepNext w:val="0"/>
        <w:keepLines w:val="0"/>
        <w:pageBreakBefore w:val="0"/>
        <w:kinsoku/>
        <w:wordWrap/>
        <w:topLinePunct w:val="0"/>
        <w:bidi w:val="0"/>
        <w:spacing w:line="460" w:lineRule="exact"/>
        <w:ind w:left="550" w:hanging="550" w:hangingChars="250"/>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  货物的设计、制造、质量验收标准应符合国家（或国际）最新颁布的有关标准/规范要求或相应的国际标准。</w:t>
      </w:r>
    </w:p>
    <w:p w14:paraId="6391D127">
      <w:pPr>
        <w:keepNext w:val="0"/>
        <w:keepLines w:val="0"/>
        <w:pageBreakBefore w:val="0"/>
        <w:kinsoku/>
        <w:wordWrap/>
        <w:topLinePunct w:val="0"/>
        <w:bidi w:val="0"/>
        <w:spacing w:line="460" w:lineRule="exact"/>
        <w:ind w:left="537" w:hanging="536" w:hangingChars="244"/>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3．  凡需国家强制性认证或节能环保认证的产品、需提供国家权威部门出具的证书和认证标志。</w:t>
      </w:r>
    </w:p>
    <w:p w14:paraId="3A4EBBCE">
      <w:pPr>
        <w:pStyle w:val="334"/>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Cs/>
          <w:color w:val="auto"/>
          <w:kern w:val="0"/>
          <w:sz w:val="22"/>
          <w:szCs w:val="22"/>
          <w:highlight w:val="none"/>
        </w:rPr>
        <w:t xml:space="preserve">4.   </w:t>
      </w:r>
      <w:r>
        <w:rPr>
          <w:rFonts w:hint="eastAsia" w:ascii="新宋体" w:hAnsi="新宋体" w:eastAsia="新宋体" w:cs="新宋体"/>
          <w:color w:val="auto"/>
          <w:sz w:val="22"/>
          <w:szCs w:val="22"/>
          <w:highlight w:val="none"/>
        </w:rPr>
        <w:t>操作及分析软件终身免费升级。</w:t>
      </w:r>
    </w:p>
    <w:p w14:paraId="69141279">
      <w:pPr>
        <w:keepNext w:val="0"/>
        <w:keepLines w:val="0"/>
        <w:pageBreakBefore w:val="0"/>
        <w:kinsoku/>
        <w:wordWrap/>
        <w:topLinePunct w:val="0"/>
        <w:bidi w:val="0"/>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七． 技术服务和人员培训</w:t>
      </w:r>
    </w:p>
    <w:p w14:paraId="439C8DD7">
      <w:pPr>
        <w:keepNext w:val="0"/>
        <w:keepLines w:val="0"/>
        <w:pageBreakBefore w:val="0"/>
        <w:kinsoku/>
        <w:wordWrap/>
        <w:topLinePunct w:val="0"/>
        <w:bidi w:val="0"/>
        <w:spacing w:line="460" w:lineRule="exact"/>
        <w:ind w:left="537" w:hanging="536" w:hangingChars="244"/>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1.   维修技术服务。出现质量问题而甲方无法自行解决的，乙方在接到甲方的维修电话或传真通知后</w:t>
      </w:r>
      <w:r>
        <w:rPr>
          <w:rFonts w:hint="eastAsia" w:ascii="新宋体" w:hAnsi="新宋体" w:eastAsia="新宋体" w:cs="新宋体"/>
          <w:bCs/>
          <w:color w:val="auto"/>
          <w:kern w:val="0"/>
          <w:sz w:val="22"/>
          <w:szCs w:val="22"/>
          <w:highlight w:val="none"/>
          <w:u w:val="single"/>
          <w:lang w:val="en-US" w:eastAsia="zh-CN"/>
        </w:rPr>
        <w:t xml:space="preserve">    </w:t>
      </w:r>
      <w:r>
        <w:rPr>
          <w:rFonts w:hint="eastAsia" w:ascii="新宋体" w:hAnsi="新宋体" w:eastAsia="新宋体" w:cs="新宋体"/>
          <w:bCs/>
          <w:color w:val="auto"/>
          <w:kern w:val="0"/>
          <w:sz w:val="22"/>
          <w:szCs w:val="22"/>
          <w:highlight w:val="none"/>
        </w:rPr>
        <w:t>小时</w:t>
      </w:r>
      <w:r>
        <w:rPr>
          <w:rFonts w:hint="eastAsia" w:ascii="新宋体" w:hAnsi="新宋体" w:eastAsia="新宋体" w:cs="新宋体"/>
          <w:bCs/>
          <w:color w:val="auto"/>
          <w:kern w:val="0"/>
          <w:sz w:val="22"/>
          <w:szCs w:val="22"/>
          <w:highlight w:val="none"/>
        </w:rPr>
        <w:t>内作出响应，电话沟通无法解决的，乙方维修人员应在</w:t>
      </w:r>
      <w:r>
        <w:rPr>
          <w:rFonts w:hint="eastAsia" w:ascii="新宋体" w:hAnsi="新宋体" w:eastAsia="新宋体" w:cs="新宋体"/>
          <w:bCs/>
          <w:color w:val="auto"/>
          <w:kern w:val="0"/>
          <w:sz w:val="22"/>
          <w:szCs w:val="22"/>
          <w:highlight w:val="none"/>
          <w:u w:val="single"/>
          <w:lang w:val="en-US" w:eastAsia="zh-CN"/>
        </w:rPr>
        <w:t xml:space="preserve">      </w:t>
      </w:r>
      <w:r>
        <w:rPr>
          <w:rFonts w:hint="eastAsia" w:ascii="新宋体" w:hAnsi="新宋体" w:eastAsia="新宋体" w:cs="新宋体"/>
          <w:bCs/>
          <w:color w:val="auto"/>
          <w:kern w:val="0"/>
          <w:sz w:val="22"/>
          <w:szCs w:val="22"/>
          <w:highlight w:val="none"/>
        </w:rPr>
        <w:t>小时</w:t>
      </w:r>
      <w:r>
        <w:rPr>
          <w:rFonts w:hint="eastAsia" w:ascii="新宋体" w:hAnsi="新宋体" w:eastAsia="新宋体" w:cs="新宋体"/>
          <w:bCs/>
          <w:color w:val="auto"/>
          <w:kern w:val="0"/>
          <w:sz w:val="22"/>
          <w:szCs w:val="22"/>
          <w:highlight w:val="none"/>
        </w:rPr>
        <w:t>内到达现场进行维修（包括更换零部件），排除故障，重大质量问题一时无法解决的，乙方应提出解决问题的应急处理预案。提供7×24小时电话咨询服务。</w:t>
      </w:r>
    </w:p>
    <w:p w14:paraId="029CAA38">
      <w:pPr>
        <w:keepNext w:val="0"/>
        <w:keepLines w:val="0"/>
        <w:pageBreakBefore w:val="0"/>
        <w:kinsoku/>
        <w:wordWrap/>
        <w:topLinePunct w:val="0"/>
        <w:bidi w:val="0"/>
        <w:spacing w:line="460" w:lineRule="exact"/>
        <w:ind w:left="537" w:hanging="536" w:hangingChars="244"/>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  合同规定的期限内，乙方应派遣有经验的工程技术人员在安装调试现场对甲方指派人员进行操作和保养培训，使其能独立操作、维护、包养。培训计划方案（培训人数、时间、地点、教材、费用）应在投标文件中详细说明。其费用可单独报价，计入投标总价，如免费培训需在投标文件中作出说明。</w:t>
      </w:r>
    </w:p>
    <w:p w14:paraId="75DC2A0C">
      <w:pPr>
        <w:keepNext w:val="0"/>
        <w:keepLines w:val="0"/>
        <w:pageBreakBefore w:val="0"/>
        <w:kinsoku/>
        <w:wordWrap/>
        <w:topLinePunct w:val="0"/>
        <w:bidi w:val="0"/>
        <w:spacing w:line="460" w:lineRule="exact"/>
        <w:ind w:left="537" w:hanging="536" w:hangingChars="244"/>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3．  质保期内，乙方需免费提供每年不少于1次的回访维护保养。</w:t>
      </w:r>
    </w:p>
    <w:p w14:paraId="2E861570">
      <w:pPr>
        <w:keepNext w:val="0"/>
        <w:keepLines w:val="0"/>
        <w:pageBreakBefore w:val="0"/>
        <w:kinsoku/>
        <w:wordWrap/>
        <w:topLinePunct w:val="0"/>
        <w:bidi w:val="0"/>
        <w:spacing w:line="460" w:lineRule="exact"/>
        <w:ind w:left="550" w:hanging="550" w:hangingChars="250"/>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4．  质保期满后，乙方工程技术、维修人员也须不定期的进行回访，并为甲方提供优质、优价的终身维修和产品维护保养。</w:t>
      </w:r>
    </w:p>
    <w:p w14:paraId="477838AC">
      <w:pPr>
        <w:pStyle w:val="21"/>
        <w:keepNext w:val="0"/>
        <w:keepLines w:val="0"/>
        <w:pageBreakBefore w:val="0"/>
        <w:kinsoku/>
        <w:wordWrap/>
        <w:topLinePunct w:val="0"/>
        <w:bidi w:val="0"/>
        <w:adjustRightInd w:val="0"/>
        <w:snapToGrid w:val="0"/>
        <w:spacing w:line="460" w:lineRule="exact"/>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八． 付款方式与结算</w:t>
      </w:r>
    </w:p>
    <w:p w14:paraId="516DC71F">
      <w:pPr>
        <w:keepNext w:val="0"/>
        <w:keepLines w:val="0"/>
        <w:pageBreakBefore w:val="0"/>
        <w:kinsoku/>
        <w:wordWrap/>
        <w:topLinePunct w:val="0"/>
        <w:bidi w:val="0"/>
        <w:spacing w:line="460" w:lineRule="exact"/>
        <w:ind w:left="638" w:leftChars="304" w:firstLine="0" w:firstLineChars="0"/>
        <w:rPr>
          <w:rFonts w:hint="eastAsia" w:ascii="新宋体" w:hAnsi="新宋体" w:eastAsia="新宋体" w:cs="新宋体"/>
          <w:bCs/>
          <w:color w:val="auto"/>
          <w:kern w:val="0"/>
          <w:sz w:val="22"/>
          <w:szCs w:val="22"/>
          <w:highlight w:val="none"/>
        </w:rPr>
      </w:pPr>
      <w:r>
        <w:rPr>
          <w:rFonts w:hint="eastAsia" w:ascii="新宋体" w:hAnsi="新宋体" w:eastAsia="新宋体" w:cs="新宋体"/>
          <w:b/>
          <w:bCs w:val="0"/>
          <w:color w:val="auto"/>
          <w:sz w:val="22"/>
          <w:szCs w:val="22"/>
          <w:highlight w:val="none"/>
        </w:rPr>
        <w:t>付款方式：合同签订后7个工作日，甲方支付全部货款的40%作为预付款（乙方应先开具同等金额的国家税务发票，否则因此造成的责任由供应商自行承担，如乙方能提供全部货款剩余60%金额的银行、保险机构或其他金融机构（包括融资担保公司）保函并开具同等金额的国家税务发票，甲方将支付该款项，待验收合格后无息退还该保函），无保函待全部货物验收合格后7个工作日内甲方支付全部货款</w:t>
      </w:r>
      <w:r>
        <w:rPr>
          <w:rFonts w:hint="eastAsia" w:ascii="新宋体" w:hAnsi="新宋体" w:eastAsia="新宋体" w:cs="新宋体"/>
          <w:b/>
          <w:bCs w:val="0"/>
          <w:color w:val="auto"/>
          <w:kern w:val="0"/>
          <w:sz w:val="22"/>
          <w:szCs w:val="22"/>
          <w:highlight w:val="none"/>
        </w:rPr>
        <w:t>剩余的60%（乙方应先开具同等金额的发票，否则因此造成的责任由乙方自行承担）。</w:t>
      </w:r>
    </w:p>
    <w:p w14:paraId="02F61CFB">
      <w:pPr>
        <w:keepNext w:val="0"/>
        <w:keepLines w:val="0"/>
        <w:pageBreakBefore w:val="0"/>
        <w:kinsoku/>
        <w:wordWrap/>
        <w:topLinePunct w:val="0"/>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九、履约延误</w:t>
      </w:r>
    </w:p>
    <w:p w14:paraId="06498EAC">
      <w:pPr>
        <w:keepNext w:val="0"/>
        <w:keepLines w:val="0"/>
        <w:pageBreakBefore w:val="0"/>
        <w:kinsoku/>
        <w:wordWrap/>
        <w:topLinePunct w:val="0"/>
        <w:bidi w:val="0"/>
        <w:spacing w:line="460" w:lineRule="exact"/>
        <w:ind w:left="440" w:hanging="440" w:hanging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9.1 </w:t>
      </w:r>
      <w:r>
        <w:rPr>
          <w:rFonts w:hint="eastAsia" w:ascii="新宋体" w:hAnsi="新宋体" w:eastAsia="新宋体" w:cs="新宋体"/>
          <w:bCs/>
          <w:color w:val="auto"/>
          <w:sz w:val="22"/>
          <w:szCs w:val="22"/>
          <w:highlight w:val="none"/>
        </w:rPr>
        <w:t>除不可抗力外（买、卖双方明确当前新型冠状病毒肺炎的疫情情况不构成本合同所称的不可抗力），</w:t>
      </w:r>
      <w:r>
        <w:rPr>
          <w:rFonts w:hint="eastAsia" w:ascii="新宋体" w:hAnsi="新宋体" w:eastAsia="新宋体" w:cs="新宋体"/>
          <w:color w:val="auto"/>
          <w:sz w:val="22"/>
          <w:szCs w:val="22"/>
          <w:highlight w:val="none"/>
        </w:rPr>
        <w:t>乙方应按照合同规定的时间交货和提供服务。在履行合同过程中，如果乙方遇到妨碍按时交货和提供服务的情况时，应及时以书面形式将延误的事实、可能拖延的时间和原因通知甲方。甲方在收到乙方通知后，应尽快对情况进行分析评价，并确定是否同意延长交货时间以及是否收取误期赔偿费。延期应通过修改合同的方式由双方认可。</w:t>
      </w:r>
    </w:p>
    <w:p w14:paraId="4763FE7F">
      <w:pPr>
        <w:keepNext w:val="0"/>
        <w:keepLines w:val="0"/>
        <w:pageBreakBefore w:val="0"/>
        <w:kinsoku/>
        <w:wordWrap/>
        <w:topLinePunct w:val="0"/>
        <w:bidi w:val="0"/>
        <w:spacing w:line="460" w:lineRule="exact"/>
        <w:ind w:left="425" w:hanging="424" w:hangingChars="193"/>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9.2 除了合同条款中不可抗力原因或甲方同意延误并不收取赔偿费外，乙方延误交货或提供服务将按合同条款第10条规定被收取误期赔偿费。</w:t>
      </w:r>
    </w:p>
    <w:p w14:paraId="476FFB63">
      <w:pPr>
        <w:keepNext w:val="0"/>
        <w:keepLines w:val="0"/>
        <w:pageBreakBefore w:val="0"/>
        <w:kinsoku/>
        <w:wordWrap/>
        <w:topLinePunct w:val="0"/>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十. 违约终止合同</w:t>
      </w:r>
    </w:p>
    <w:p w14:paraId="3E8324F5">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10.1 甲方在乙方违约的情况下，如果发生下列情况之一，可考虑终止部分或全部合同：</w:t>
      </w:r>
    </w:p>
    <w:p w14:paraId="1651A35C">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（1）乙方未能在合同规定的期限内或甲方同意延长的期限内提供全部或部分的货物和服务；</w:t>
      </w:r>
    </w:p>
    <w:p w14:paraId="2A1A0CE5">
      <w:pPr>
        <w:keepNext w:val="0"/>
        <w:keepLines w:val="0"/>
        <w:pageBreakBefore w:val="0"/>
        <w:kinsoku/>
        <w:wordWrap/>
        <w:topLinePunct w:val="0"/>
        <w:bidi w:val="0"/>
        <w:spacing w:line="460" w:lineRule="exact"/>
        <w:ind w:left="539" w:hanging="539" w:hanging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乙方未能履行合同规定的任何其他义务或其投标承诺。乙方在收到甲方发出的违约通知后3天内，或经甲方书面认可延长的时间内未能纠正其过失。甲方可向乙方发出书面通知，终止部分或全部合同，通知到达乙方时合同即行解除。在这种情况下，并不影响甲方向乙方提出的索赔。</w:t>
      </w:r>
    </w:p>
    <w:p w14:paraId="41B22B99">
      <w:pPr>
        <w:keepNext w:val="0"/>
        <w:keepLines w:val="0"/>
        <w:pageBreakBefore w:val="0"/>
        <w:kinsoku/>
        <w:wordWrap/>
        <w:topLinePunct w:val="0"/>
        <w:bidi w:val="0"/>
        <w:spacing w:line="460" w:lineRule="exact"/>
        <w:ind w:left="549" w:leftChars="52" w:hanging="440" w:hanging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10.2如果甲方根据上述第10.1条的规定，终止了部分合同，甲方可以依其认为适当的条件和方法购买与未交产品类似的货物或服务，乙方应承担甲方因购买类似货物或服务而产生的额外支出。但是，乙方应继续执行合同中未终止的部分。</w:t>
      </w:r>
    </w:p>
    <w:p w14:paraId="23A895B2">
      <w:pPr>
        <w:keepNext w:val="0"/>
        <w:keepLines w:val="0"/>
        <w:pageBreakBefore w:val="0"/>
        <w:kinsoku/>
        <w:wordWrap/>
        <w:topLinePunct w:val="0"/>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十一. 违约赔偿费</w:t>
      </w:r>
    </w:p>
    <w:p w14:paraId="72DA25F7">
      <w:pPr>
        <w:keepNext w:val="0"/>
        <w:keepLines w:val="0"/>
        <w:pageBreakBefore w:val="0"/>
        <w:kinsoku/>
        <w:wordWrap/>
        <w:topLinePunct w:val="0"/>
        <w:bidi w:val="0"/>
        <w:spacing w:line="460" w:lineRule="exact"/>
        <w:ind w:left="325" w:leftChars="15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除不可抗力及甲方原因外，如乙方发生不能按时履约等情况，应及时以书面形式通知甲方。双方应本着友好的态度进行协商，妥善解决。如协商无效，按下列办法处以罚金：</w:t>
      </w:r>
    </w:p>
    <w:p w14:paraId="08510332">
      <w:pPr>
        <w:keepNext w:val="0"/>
        <w:keepLines w:val="0"/>
        <w:pageBreakBefore w:val="0"/>
        <w:kinsoku/>
        <w:wordWrap/>
        <w:topLinePunct w:val="0"/>
        <w:bidi w:val="0"/>
        <w:spacing w:line="460" w:lineRule="exact"/>
        <w:ind w:left="539" w:hanging="539" w:hanging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如果乙方未按照合同规定的时间完成交货，每延误一天的赔偿费按合同价的百分之零点二（0.2%）计收，直至最终通过验收并交付甲方使用为止。误期赔偿费最高限额为合同价的百分之五（5%）。一旦延到误期赔偿费的最高限额，甲方可考虑终止合同，并保留向乙方进一步索赔的权利。</w:t>
      </w:r>
    </w:p>
    <w:p w14:paraId="72A63AC8">
      <w:pPr>
        <w:keepNext w:val="0"/>
        <w:keepLines w:val="0"/>
        <w:pageBreakBefore w:val="0"/>
        <w:kinsoku/>
        <w:wordWrap/>
        <w:topLinePunct w:val="0"/>
        <w:bidi w:val="0"/>
        <w:spacing w:line="460" w:lineRule="exact"/>
        <w:ind w:left="539" w:hanging="539" w:hanging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（2）乙方因自身原因不能履行合同或擅自中途单方面取消履行合同义务，应向甲方偿付违约赔偿金，违约赔偿金按合同费的20％计算。</w:t>
      </w:r>
    </w:p>
    <w:p w14:paraId="720E86D4">
      <w:pPr>
        <w:keepNext w:val="0"/>
        <w:keepLines w:val="0"/>
        <w:pageBreakBefore w:val="0"/>
        <w:kinsoku/>
        <w:wordWrap/>
        <w:topLinePunct w:val="0"/>
        <w:bidi w:val="0"/>
        <w:spacing w:line="460" w:lineRule="exact"/>
        <w:ind w:left="539" w:hanging="539" w:hanging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（3）如出现以上本条前二款违约情形或因乙方违反本合同其他条款约定导致合同终止的，乙方应全额退还甲方预付款。</w:t>
      </w:r>
    </w:p>
    <w:p w14:paraId="501DDCF7">
      <w:pPr>
        <w:keepNext w:val="0"/>
        <w:keepLines w:val="0"/>
        <w:pageBreakBefore w:val="0"/>
        <w:kinsoku/>
        <w:wordWrap/>
        <w:topLinePunct w:val="0"/>
        <w:bidi w:val="0"/>
        <w:spacing w:line="460" w:lineRule="exact"/>
        <w:ind w:left="539" w:hanging="539" w:hangingChars="24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（4）经双方友好协商同意延期交货或经双方友好协商同意退货无须罚款则不在此例。</w:t>
      </w:r>
    </w:p>
    <w:p w14:paraId="6EC785F9">
      <w:pPr>
        <w:keepNext w:val="0"/>
        <w:keepLines w:val="0"/>
        <w:pageBreakBefore w:val="0"/>
        <w:kinsoku/>
        <w:wordWrap/>
        <w:topLinePunct w:val="0"/>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十二. 知识产权</w:t>
      </w:r>
    </w:p>
    <w:p w14:paraId="64FE5F67">
      <w:pPr>
        <w:keepNext w:val="0"/>
        <w:keepLines w:val="0"/>
        <w:pageBreakBefore w:val="0"/>
        <w:kinsoku/>
        <w:wordWrap/>
        <w:topLinePunct w:val="0"/>
        <w:bidi w:val="0"/>
        <w:spacing w:line="460" w:lineRule="exact"/>
        <w:ind w:left="393" w:leftChars="187"/>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乙方应保证，甲方在使用其提供货物或货物的任何一部分时，免受第三方提出的侵犯其专利权、商标权、版权和工业设计权的指控。任何涉及的知识产权纠纷，均由乙方承担全部经济、法律等责任。</w:t>
      </w:r>
    </w:p>
    <w:p w14:paraId="71112870">
      <w:pPr>
        <w:keepNext w:val="0"/>
        <w:keepLines w:val="0"/>
        <w:pageBreakBefore w:val="0"/>
        <w:kinsoku/>
        <w:wordWrap/>
        <w:topLinePunct w:val="0"/>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十三. 不可抗力</w:t>
      </w:r>
    </w:p>
    <w:p w14:paraId="69D7812D">
      <w:pPr>
        <w:keepNext w:val="0"/>
        <w:keepLines w:val="0"/>
        <w:pageBreakBefore w:val="0"/>
        <w:kinsoku/>
        <w:wordWrap/>
        <w:topLinePunct w:val="0"/>
        <w:bidi w:val="0"/>
        <w:spacing w:line="460" w:lineRule="exact"/>
        <w:ind w:left="439" w:leftChars="209"/>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如果双方中任何一方由于战争、严重火灾、水灾、破坏性台风和地震以及其它经双方同意属不可抗力的事故，致使合同履行受阻时，履行合同期限应予延长，延长时限应相当于事故所影响的时间，或双方协商解决。</w:t>
      </w:r>
    </w:p>
    <w:p w14:paraId="6BFCB1E8">
      <w:pPr>
        <w:keepNext w:val="0"/>
        <w:keepLines w:val="0"/>
        <w:pageBreakBefore w:val="0"/>
        <w:kinsoku/>
        <w:wordWrap/>
        <w:topLinePunct w:val="0"/>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十四.  转让和分包及产品不可替代</w:t>
      </w:r>
    </w:p>
    <w:p w14:paraId="655C449E">
      <w:pPr>
        <w:keepNext w:val="0"/>
        <w:keepLines w:val="0"/>
        <w:pageBreakBefore w:val="0"/>
        <w:kinsoku/>
        <w:wordWrap/>
        <w:topLinePunct w:val="0"/>
        <w:bidi w:val="0"/>
        <w:spacing w:line="460" w:lineRule="exact"/>
        <w:ind w:left="715" w:hanging="715" w:hangingChars="32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14.1 未经甲方事先书面同意，乙方不得转让和分包其履行合同的义务。</w:t>
      </w:r>
    </w:p>
    <w:p w14:paraId="01EF7979">
      <w:pPr>
        <w:keepNext w:val="0"/>
        <w:keepLines w:val="0"/>
        <w:pageBreakBefore w:val="0"/>
        <w:kinsoku/>
        <w:wordWrap/>
        <w:topLinePunct w:val="0"/>
        <w:bidi w:val="0"/>
        <w:spacing w:line="460" w:lineRule="exact"/>
        <w:ind w:left="550" w:hanging="550" w:hanging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14.2 产品不可替代，乙方在没有取得甲方的书面授权的情况下，不得将合同货物的生产制造转交其他生产厂商代工或以其他厂商的产品替代。</w:t>
      </w:r>
    </w:p>
    <w:p w14:paraId="1BB5C743">
      <w:pPr>
        <w:keepNext w:val="0"/>
        <w:keepLines w:val="0"/>
        <w:pageBreakBefore w:val="0"/>
        <w:kinsoku/>
        <w:wordWrap/>
        <w:topLinePunct w:val="0"/>
        <w:bidi w:val="0"/>
        <w:spacing w:line="460" w:lineRule="exact"/>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十五．争端的解决</w:t>
      </w:r>
    </w:p>
    <w:p w14:paraId="51298811">
      <w:pPr>
        <w:keepNext w:val="0"/>
        <w:keepLines w:val="0"/>
        <w:pageBreakBefore w:val="0"/>
        <w:kinsoku/>
        <w:wordWrap/>
        <w:topLinePunct w:val="0"/>
        <w:bidi w:val="0"/>
        <w:spacing w:line="460" w:lineRule="exact"/>
        <w:ind w:left="635" w:leftChars="-15" w:hanging="666" w:hangingChars="303"/>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15.1 凡有关本合同实施或与执行本合同中发生的一切争端，双方应通过友好协商，妥善解决。如通过协商还不能解决，可向甲方所在地人民法院提起诉讼。</w:t>
      </w:r>
      <w:bookmarkStart w:id="30" w:name="_Toc84779282"/>
    </w:p>
    <w:p w14:paraId="68C223CC">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15.2诉讼费用除人民法院另有裁决外，由败诉方承担。</w:t>
      </w:r>
    </w:p>
    <w:p w14:paraId="5188B967">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15.3在诉讼期间，除正在进行裁定的部分外，本合同其他部分应继续执行。</w:t>
      </w:r>
    </w:p>
    <w:bookmarkEnd w:id="30"/>
    <w:p w14:paraId="4B251537">
      <w:pPr>
        <w:keepNext w:val="0"/>
        <w:keepLines w:val="0"/>
        <w:pageBreakBefore w:val="0"/>
        <w:kinsoku/>
        <w:wordWrap/>
        <w:topLinePunct w:val="0"/>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16. 合同生效及其他</w:t>
      </w:r>
    </w:p>
    <w:p w14:paraId="44892F43">
      <w:pPr>
        <w:keepNext w:val="0"/>
        <w:keepLines w:val="0"/>
        <w:pageBreakBefore w:val="0"/>
        <w:kinsoku/>
        <w:wordWrap/>
        <w:overflowPunct w:val="0"/>
        <w:topLinePunct w:val="0"/>
        <w:bidi w:val="0"/>
        <w:spacing w:line="4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16.1合同生效：本合同自甲乙双方法定代表人签字、盖章之日起生效；</w:t>
      </w:r>
    </w:p>
    <w:p w14:paraId="0C42986C">
      <w:pPr>
        <w:keepNext w:val="0"/>
        <w:keepLines w:val="0"/>
        <w:pageBreakBefore w:val="0"/>
        <w:kinsoku/>
        <w:wordWrap/>
        <w:overflowPunct w:val="0"/>
        <w:topLinePunct w:val="0"/>
        <w:bidi w:val="0"/>
        <w:spacing w:line="4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16.2合同终止：本合同出现以下情况时终止。</w:t>
      </w:r>
    </w:p>
    <w:p w14:paraId="5BD460A5">
      <w:pPr>
        <w:keepNext w:val="0"/>
        <w:keepLines w:val="0"/>
        <w:pageBreakBefore w:val="0"/>
        <w:kinsoku/>
        <w:wordWrap/>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1、期限届满时自行终止。</w:t>
      </w:r>
    </w:p>
    <w:p w14:paraId="07D8D93D">
      <w:pPr>
        <w:keepNext w:val="0"/>
        <w:keepLines w:val="0"/>
        <w:pageBreakBefore w:val="0"/>
        <w:kinsoku/>
        <w:wordWrap/>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2、乙方未能在合同规定的期限内或甲方同意延长的期限内提供全部或部分的货物和服务；</w:t>
      </w:r>
    </w:p>
    <w:p w14:paraId="5C3F9077">
      <w:pPr>
        <w:keepNext w:val="0"/>
        <w:keepLines w:val="0"/>
        <w:pageBreakBefore w:val="0"/>
        <w:kinsoku/>
        <w:wordWrap/>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3、乙方未能履行合同规定义务，在收到甲方发出的违约整改通知后5个日历日内，或经甲方书面认可延长的时间内未能纠正其过失，甲方有权单方终止合同；甲方向乙方发出的终止合同书面通知函送达乙方，合同即时解除。</w:t>
      </w:r>
    </w:p>
    <w:p w14:paraId="46F7383D">
      <w:pPr>
        <w:keepNext w:val="0"/>
        <w:keepLines w:val="0"/>
        <w:pageBreakBefore w:val="0"/>
        <w:kinsoku/>
        <w:wordWrap/>
        <w:topLinePunct w:val="0"/>
        <w:bidi w:val="0"/>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color w:val="auto"/>
          <w:sz w:val="22"/>
          <w:szCs w:val="22"/>
          <w:highlight w:val="none"/>
        </w:rPr>
        <w:t xml:space="preserve">十七. </w:t>
      </w:r>
      <w:r>
        <w:rPr>
          <w:rFonts w:hint="eastAsia" w:ascii="新宋体" w:hAnsi="新宋体" w:eastAsia="新宋体" w:cs="新宋体"/>
          <w:b/>
          <w:bCs/>
          <w:color w:val="auto"/>
          <w:sz w:val="22"/>
          <w:szCs w:val="22"/>
          <w:highlight w:val="none"/>
        </w:rPr>
        <w:t>合同份数及其他</w:t>
      </w:r>
    </w:p>
    <w:p w14:paraId="676FEF86">
      <w:pPr>
        <w:keepNext w:val="0"/>
        <w:keepLines w:val="0"/>
        <w:pageBreakBefore w:val="0"/>
        <w:kinsoku/>
        <w:wordWrap/>
        <w:topLinePunct w:val="0"/>
        <w:bidi w:val="0"/>
        <w:spacing w:line="460" w:lineRule="exact"/>
        <w:ind w:left="660" w:hanging="660" w:hangingChars="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17.1  本合同一式伍份，甲方执贰份，乙方执贰份，</w:t>
      </w:r>
      <w:r>
        <w:rPr>
          <w:rFonts w:hint="eastAsia" w:ascii="新宋体" w:hAnsi="新宋体" w:eastAsia="新宋体" w:cs="新宋体"/>
          <w:color w:val="auto"/>
          <w:sz w:val="22"/>
          <w:szCs w:val="22"/>
          <w:highlight w:val="none"/>
          <w:lang w:eastAsia="zh-CN"/>
        </w:rPr>
        <w:t>采购</w:t>
      </w:r>
      <w:r>
        <w:rPr>
          <w:rFonts w:hint="eastAsia" w:ascii="新宋体" w:hAnsi="新宋体" w:eastAsia="新宋体" w:cs="新宋体"/>
          <w:color w:val="auto"/>
          <w:sz w:val="22"/>
          <w:szCs w:val="22"/>
          <w:highlight w:val="none"/>
        </w:rPr>
        <w:t>代理机构壹份，具有同等效力。</w:t>
      </w:r>
    </w:p>
    <w:p w14:paraId="5C972BB4">
      <w:pPr>
        <w:keepNext w:val="0"/>
        <w:keepLines w:val="0"/>
        <w:pageBreakBefore w:val="0"/>
        <w:kinsoku/>
        <w:wordWrap/>
        <w:topLinePunct w:val="0"/>
        <w:bidi w:val="0"/>
        <w:spacing w:line="460" w:lineRule="exact"/>
        <w:ind w:left="660" w:hanging="660" w:hangingChars="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17.2  如需修改或补充合同内容，经协商，双方应签署书面修改或补充协议，该协议将作为本合同的一个组成部分。</w:t>
      </w:r>
    </w:p>
    <w:p w14:paraId="0C572683">
      <w:pPr>
        <w:keepNext w:val="0"/>
        <w:keepLines w:val="0"/>
        <w:pageBreakBefore w:val="0"/>
        <w:kinsoku/>
        <w:wordWrap/>
        <w:overflowPunct w:val="0"/>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甲    方：（印章）                    乙    方：（印章）</w:t>
      </w:r>
    </w:p>
    <w:p w14:paraId="1ED2B46B">
      <w:pPr>
        <w:keepNext w:val="0"/>
        <w:keepLines w:val="0"/>
        <w:pageBreakBefore w:val="0"/>
        <w:kinsoku/>
        <w:wordWrap/>
        <w:overflowPunct w:val="0"/>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全权代表：（签字）                    全权代表：（签字）</w:t>
      </w:r>
    </w:p>
    <w:p w14:paraId="10115DB4">
      <w:pPr>
        <w:keepNext w:val="0"/>
        <w:keepLines w:val="0"/>
        <w:pageBreakBefore w:val="0"/>
        <w:kinsoku/>
        <w:wordWrap/>
        <w:overflowPunct w:val="0"/>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地    址：                           地    址：</w:t>
      </w:r>
    </w:p>
    <w:p w14:paraId="5661B6AC">
      <w:pPr>
        <w:keepNext w:val="0"/>
        <w:keepLines w:val="0"/>
        <w:pageBreakBefore w:val="0"/>
        <w:kinsoku/>
        <w:wordWrap/>
        <w:overflowPunct w:val="0"/>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邮政编码：                           邮政编码：</w:t>
      </w:r>
    </w:p>
    <w:p w14:paraId="63A4F45B">
      <w:pPr>
        <w:keepNext w:val="0"/>
        <w:keepLines w:val="0"/>
        <w:pageBreakBefore w:val="0"/>
        <w:kinsoku/>
        <w:wordWrap/>
        <w:overflowPunct w:val="0"/>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电    话：                           电    话：</w:t>
      </w:r>
    </w:p>
    <w:p w14:paraId="39D2B24C">
      <w:pPr>
        <w:keepNext w:val="0"/>
        <w:keepLines w:val="0"/>
        <w:pageBreakBefore w:val="0"/>
        <w:kinsoku/>
        <w:wordWrap/>
        <w:overflowPunct w:val="0"/>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传    真：                           传    真：</w:t>
      </w:r>
    </w:p>
    <w:p w14:paraId="7704E4FF">
      <w:pPr>
        <w:keepNext w:val="0"/>
        <w:keepLines w:val="0"/>
        <w:pageBreakBefore w:val="0"/>
        <w:kinsoku/>
        <w:wordWrap/>
        <w:overflowPunct w:val="0"/>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开户银行：                           开户银行：</w:t>
      </w:r>
    </w:p>
    <w:p w14:paraId="63591C02">
      <w:pPr>
        <w:keepNext w:val="0"/>
        <w:keepLines w:val="0"/>
        <w:pageBreakBefore w:val="0"/>
        <w:kinsoku/>
        <w:wordWrap/>
        <w:overflowPunct w:val="0"/>
        <w:topLinePunct w:val="0"/>
        <w:bidi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账    号：                           账    号：</w:t>
      </w:r>
    </w:p>
    <w:p w14:paraId="41324DD3">
      <w:pPr>
        <w:pStyle w:val="28"/>
        <w:keepNext w:val="0"/>
        <w:keepLines w:val="0"/>
        <w:pageBreakBefore w:val="0"/>
        <w:kinsoku/>
        <w:wordWrap/>
        <w:topLinePunct w:val="0"/>
        <w:bidi w:val="0"/>
        <w:snapToGrid w:val="0"/>
        <w:spacing w:line="460" w:lineRule="exact"/>
        <w:ind w:firstLine="442"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签订日期：                           签订日期：</w:t>
      </w:r>
    </w:p>
    <w:p w14:paraId="23F1AAFC">
      <w:pPr>
        <w:pStyle w:val="28"/>
        <w:keepNext w:val="0"/>
        <w:keepLines w:val="0"/>
        <w:pageBreakBefore w:val="0"/>
        <w:kinsoku/>
        <w:wordWrap/>
        <w:topLinePunct w:val="0"/>
        <w:bidi w:val="0"/>
        <w:snapToGrid w:val="0"/>
        <w:spacing w:line="460" w:lineRule="exact"/>
        <w:rPr>
          <w:rFonts w:hint="eastAsia" w:ascii="新宋体" w:hAnsi="新宋体" w:eastAsia="新宋体" w:cs="新宋体"/>
          <w:bCs/>
          <w:color w:val="auto"/>
          <w:sz w:val="22"/>
          <w:szCs w:val="22"/>
          <w:highlight w:val="none"/>
        </w:rPr>
      </w:pPr>
    </w:p>
    <w:p w14:paraId="1E5CE5CE">
      <w:pPr>
        <w:keepNext w:val="0"/>
        <w:keepLines w:val="0"/>
        <w:pageBreakBefore w:val="0"/>
        <w:kinsoku/>
        <w:wordWrap/>
        <w:topLinePunct w:val="0"/>
        <w:bidi w:val="0"/>
        <w:spacing w:line="460" w:lineRule="exact"/>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注：以上合同条款供采购人及成交供应商作为商务参考，具体签订时，采购人可根据自身项目情况与中标供应商协商另行修改拟定相关合同具体条款。</w:t>
      </w:r>
    </w:p>
    <w:p w14:paraId="296A8C3A">
      <w:pPr>
        <w:spacing w:line="460" w:lineRule="exact"/>
        <w:ind w:firstLine="541" w:firstLineChars="245"/>
        <w:rPr>
          <w:rFonts w:hint="eastAsia" w:ascii="新宋体" w:hAnsi="新宋体" w:eastAsia="新宋体" w:cs="新宋体"/>
          <w:b/>
          <w:bCs/>
          <w:color w:val="auto"/>
          <w:sz w:val="22"/>
          <w:szCs w:val="22"/>
          <w:highlight w:val="none"/>
        </w:rPr>
      </w:pPr>
    </w:p>
    <w:p w14:paraId="2965F883">
      <w:pPr>
        <w:pStyle w:val="3"/>
        <w:tabs>
          <w:tab w:val="left" w:pos="840"/>
        </w:tabs>
        <w:jc w:val="center"/>
        <w:rPr>
          <w:rFonts w:hAnsi="宋体"/>
          <w:color w:val="auto"/>
          <w:highlight w:val="none"/>
        </w:rPr>
      </w:pPr>
      <w:bookmarkStart w:id="31" w:name="_Toc10848"/>
      <w:bookmarkStart w:id="32" w:name="_Toc14880"/>
      <w:bookmarkStart w:id="33" w:name="_Toc19081"/>
      <w:r>
        <w:rPr>
          <w:rFonts w:hAnsi="宋体"/>
          <w:color w:val="auto"/>
          <w:highlight w:val="none"/>
        </w:rPr>
        <w:t>廉洁协议书</w:t>
      </w:r>
      <w:bookmarkEnd w:id="31"/>
      <w:bookmarkEnd w:id="32"/>
    </w:p>
    <w:p w14:paraId="5394BEA8">
      <w:pPr>
        <w:keepNext w:val="0"/>
        <w:keepLines w:val="0"/>
        <w:pageBreakBefore w:val="0"/>
        <w:widowControl w:val="0"/>
        <w:kinsoku/>
        <w:wordWrap/>
        <w:overflowPunct/>
        <w:topLinePunct w:val="0"/>
        <w:autoSpaceDE/>
        <w:autoSpaceDN/>
        <w:bidi w:val="0"/>
        <w:adjustRightInd/>
        <w:snapToGrid/>
        <w:spacing w:line="420" w:lineRule="exact"/>
        <w:ind w:left="660" w:hanging="660" w:hangingChars="300"/>
        <w:textAlignment w:val="auto"/>
        <w:rPr>
          <w:rFonts w:ascii="新宋体" w:hAnsi="新宋体" w:eastAsia="新宋体"/>
          <w:color w:val="auto"/>
          <w:sz w:val="22"/>
          <w:szCs w:val="22"/>
          <w:highlight w:val="none"/>
        </w:rPr>
      </w:pPr>
      <w:r>
        <w:rPr>
          <w:rFonts w:hint="eastAsia" w:ascii="新宋体" w:hAnsi="新宋体" w:eastAsia="新宋体"/>
          <w:color w:val="auto"/>
          <w:sz w:val="22"/>
          <w:szCs w:val="22"/>
          <w:highlight w:val="none"/>
        </w:rPr>
        <w:t>甲方：</w:t>
      </w:r>
    </w:p>
    <w:p w14:paraId="507F6B2D">
      <w:pPr>
        <w:keepNext w:val="0"/>
        <w:keepLines w:val="0"/>
        <w:pageBreakBefore w:val="0"/>
        <w:widowControl w:val="0"/>
        <w:kinsoku/>
        <w:wordWrap/>
        <w:overflowPunct/>
        <w:topLinePunct w:val="0"/>
        <w:autoSpaceDE/>
        <w:autoSpaceDN/>
        <w:bidi w:val="0"/>
        <w:adjustRightInd/>
        <w:snapToGrid/>
        <w:spacing w:line="420" w:lineRule="exact"/>
        <w:ind w:left="660" w:hanging="660" w:hangingChars="300"/>
        <w:textAlignment w:val="auto"/>
        <w:rPr>
          <w:rFonts w:ascii="新宋体" w:hAnsi="新宋体" w:eastAsia="新宋体"/>
          <w:color w:val="auto"/>
          <w:sz w:val="22"/>
          <w:szCs w:val="22"/>
          <w:highlight w:val="none"/>
        </w:rPr>
      </w:pPr>
      <w:r>
        <w:rPr>
          <w:rFonts w:hint="eastAsia" w:ascii="新宋体" w:hAnsi="新宋体" w:eastAsia="新宋体"/>
          <w:color w:val="auto"/>
          <w:sz w:val="22"/>
          <w:szCs w:val="22"/>
          <w:highlight w:val="none"/>
        </w:rPr>
        <w:t>乙方：</w:t>
      </w:r>
    </w:p>
    <w:p w14:paraId="73C2770B">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为了增强甲乙双方依法经营、廉洁从业意识，完善自我约束、自我监督机制，营造守法诚信、廉洁高效的工作环境，防止发生违法违纪行为，保护国家、集体和当事人的合法权益，根据国家有关法律法规和廉洁自律规定，特订立本廉洁协议书：</w:t>
      </w:r>
    </w:p>
    <w:p w14:paraId="42DA9BC6">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第一条 甲、乙双方的共同责任</w:t>
      </w:r>
    </w:p>
    <w:p w14:paraId="0FA0A14C">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（一）严格遵守国家有关工程建设、物资采购、招标投标等市场经济活动的法律法规、政策以及廉政建设规定。</w:t>
      </w:r>
    </w:p>
    <w:p w14:paraId="32AFEE5E">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（二）严格履行合同约定，自觉承担合同义务。</w:t>
      </w:r>
    </w:p>
    <w:p w14:paraId="7F449E73">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（三）业务活动必须坚持公平、公正、公开和诚实守信的原则（除法律法规另有规定者外），不得为获取不正当利益损害国家、集体和对方利益，不违反工程建设管理、物资采购、招标投标等方面的规章制度。</w:t>
      </w:r>
    </w:p>
    <w:p w14:paraId="0F73F0D2">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（四）建立健全自我制约制度，开展廉洁教育，公布举报电话，监督并认真查处违法违纪行为。</w:t>
      </w:r>
    </w:p>
    <w:p w14:paraId="15CACA83">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（五）发现对方在业务活动中有违规、违纪、违法行为的，应及时提醒对方，情节严重的，应向有关纪检监察部门举报。</w:t>
      </w:r>
    </w:p>
    <w:p w14:paraId="55C62068">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第二条 甲方的责任：</w:t>
      </w:r>
    </w:p>
    <w:p w14:paraId="6AD550BD">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甲方相关工作人员，在业务活动的事前、事中、事后，应遵守以下规定：</w:t>
      </w:r>
    </w:p>
    <w:p w14:paraId="280E02CD">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（一）贯彻落实xx有关党风廉政建设责任制及廉洁从业的规定，建立企业诚信档案；</w:t>
      </w:r>
    </w:p>
    <w:p w14:paraId="597B679C">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（二）按照公平、公正、公开和诚实守信的原则开展各项业务活动，为乙方提供公平的竞争环境与平台；</w:t>
      </w:r>
    </w:p>
    <w:p w14:paraId="266982BB">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（三）不向乙方泄漏涉及有关业务活动的秘密；</w:t>
      </w:r>
    </w:p>
    <w:p w14:paraId="39A0A483">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（四）不参与影响相关工作正常和公正开展的其他活动；</w:t>
      </w:r>
    </w:p>
    <w:p w14:paraId="3190AEE3">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（五）不在乙方和相关单位报销任何应由甲方或个人支付的费用；</w:t>
      </w:r>
    </w:p>
    <w:p w14:paraId="04A9A101">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（六）不要求、暗示及接受乙方和相关单位为个人装修住房、婚丧嫁娶、配偶子女的工作安排以及境内外旅游等提供方便；</w:t>
      </w:r>
    </w:p>
    <w:p w14:paraId="78C40C07">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（七）不收受或索取红包、礼金、购物卡、有价证券、贵重物品、感谢费和好处费等非正当利益；</w:t>
      </w:r>
    </w:p>
    <w:p w14:paraId="76858258">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（八）不向乙方介绍配偶、子女、亲属参与与甲方有关的经济活动，不得以任何理由向乙方和相关单位推荐第三方单位；</w:t>
      </w:r>
    </w:p>
    <w:p w14:paraId="490B2925">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（九）不违反《中共中央纪委关于严格禁止利用职务上的便利谋取不正当利益的若干规定》的内容。</w:t>
      </w:r>
    </w:p>
    <w:p w14:paraId="4985AE9C">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第三条 乙方的责任：</w:t>
      </w:r>
    </w:p>
    <w:p w14:paraId="7EBA4287">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在与甲方业务交往过程中，按照有关法律法规和程序开展工作，严格执行国家的有关方针、政策，并遵守以下规定：</w:t>
      </w:r>
    </w:p>
    <w:p w14:paraId="1A461840">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（一）不以任何理由为甲方和相关单位报销应由对方或个人支付的费用；</w:t>
      </w:r>
    </w:p>
    <w:p w14:paraId="32436B1D">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（二）不以任何理由向甲方负责人及其工作人员赠送红包、礼金、购物卡、有价证券、贵重物品、感谢费和好处费等非正当利益；</w:t>
      </w:r>
    </w:p>
    <w:p w14:paraId="51449227">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（三）不准为甲方、与甲方相关的单位或个人装修住房、婚丧嫁取、配偶子女的工作安排以及境内外旅游等提供方便；</w:t>
      </w:r>
    </w:p>
    <w:p w14:paraId="2A5F2AB0">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（四）不得以谋取非正当利益为目的，擅自与甲方工作人员就业务问题进行私下商谈或者达成利益默契；</w:t>
      </w:r>
    </w:p>
    <w:p w14:paraId="07F40E39">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（五）发现甲方工作人员有违反本廉洁协议书规定的，应向甲方单位举报。 受理部门：纪委、监察部；</w:t>
      </w:r>
    </w:p>
    <w:p w14:paraId="5252727B">
      <w:pPr>
        <w:keepNext w:val="0"/>
        <w:keepLines w:val="0"/>
        <w:pageBreakBefore w:val="0"/>
        <w:widowControl w:val="0"/>
        <w:kinsoku/>
        <w:wordWrap/>
        <w:overflowPunct/>
        <w:topLinePunct w:val="0"/>
        <w:autoSpaceDE/>
        <w:autoSpaceDN/>
        <w:bidi w:val="0"/>
        <w:adjustRightInd/>
        <w:snapToGrid/>
        <w:spacing w:line="420" w:lineRule="exact"/>
        <w:ind w:left="660" w:hanging="660" w:hangingChars="300"/>
        <w:textAlignment w:val="auto"/>
        <w:rPr>
          <w:rFonts w:ascii="新宋体" w:hAnsi="新宋体" w:eastAsia="新宋体"/>
          <w:color w:val="auto"/>
          <w:sz w:val="22"/>
          <w:szCs w:val="22"/>
          <w:highlight w:val="none"/>
        </w:rPr>
      </w:pPr>
      <w:r>
        <w:rPr>
          <w:rFonts w:hint="eastAsia" w:ascii="新宋体" w:hAnsi="新宋体" w:eastAsia="新宋体"/>
          <w:color w:val="auto"/>
          <w:sz w:val="22"/>
          <w:szCs w:val="22"/>
          <w:highlight w:val="none"/>
        </w:rPr>
        <w:t>举报电话：</w:t>
      </w:r>
      <w:r>
        <w:rPr>
          <w:rFonts w:hint="eastAsia" w:ascii="新宋体" w:hAnsi="新宋体" w:eastAsia="新宋体"/>
          <w:color w:val="auto"/>
          <w:sz w:val="22"/>
          <w:szCs w:val="22"/>
          <w:highlight w:val="none"/>
          <w:u w:val="single"/>
          <w:lang w:val="en-US" w:eastAsia="zh-CN"/>
        </w:rPr>
        <w:t xml:space="preserve">            </w:t>
      </w:r>
      <w:r>
        <w:rPr>
          <w:rFonts w:hint="eastAsia" w:ascii="新宋体" w:hAnsi="新宋体" w:eastAsia="新宋体"/>
          <w:color w:val="auto"/>
          <w:sz w:val="22"/>
          <w:szCs w:val="22"/>
          <w:highlight w:val="none"/>
          <w:u w:val="single"/>
        </w:rPr>
        <w:t xml:space="preserve"> </w:t>
      </w:r>
      <w:r>
        <w:rPr>
          <w:rFonts w:hint="eastAsia" w:ascii="新宋体" w:hAnsi="新宋体" w:eastAsia="新宋体"/>
          <w:color w:val="auto"/>
          <w:sz w:val="22"/>
          <w:szCs w:val="22"/>
          <w:highlight w:val="none"/>
        </w:rPr>
        <w:t>；举报邮箱：</w:t>
      </w:r>
      <w:r>
        <w:rPr>
          <w:rFonts w:hint="eastAsia" w:ascii="新宋体" w:hAnsi="新宋体" w:eastAsia="新宋体"/>
          <w:color w:val="auto"/>
          <w:sz w:val="22"/>
          <w:szCs w:val="22"/>
          <w:highlight w:val="none"/>
          <w:u w:val="single"/>
        </w:rPr>
        <w:t xml:space="preserve"> </w:t>
      </w:r>
      <w:r>
        <w:rPr>
          <w:rFonts w:hint="eastAsia" w:ascii="新宋体" w:hAnsi="新宋体" w:eastAsia="新宋体"/>
          <w:color w:val="auto"/>
          <w:sz w:val="22"/>
          <w:szCs w:val="22"/>
          <w:highlight w:val="none"/>
          <w:u w:val="single"/>
          <w:lang w:val="en-US" w:eastAsia="zh-CN"/>
        </w:rPr>
        <w:t xml:space="preserve">         </w:t>
      </w:r>
      <w:r>
        <w:rPr>
          <w:rFonts w:hint="eastAsia" w:ascii="新宋体" w:hAnsi="新宋体" w:eastAsia="新宋体"/>
          <w:color w:val="auto"/>
          <w:sz w:val="22"/>
          <w:szCs w:val="22"/>
          <w:highlight w:val="none"/>
        </w:rPr>
        <w:t>。</w:t>
      </w:r>
    </w:p>
    <w:p w14:paraId="5C210E73">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第四条 相关责任</w:t>
      </w:r>
    </w:p>
    <w:p w14:paraId="26482FB3">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（一）甲方违反本廉洁协议书第一、二条规定的，一经查实，严格按照管理权限，依据有关党纪、法律法规、规章制度给予纪律处分或组织处理；涉嫌犯罪的，移送司法机关依法追究刑事责任。</w:t>
      </w:r>
    </w:p>
    <w:p w14:paraId="6326F231">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（二）乙方违反本廉洁协议书第一、三条规定的，一经查实，根据《关于在xx公司内部公布行贿单位名单的实施意见（试行）》和其他有关规定，对乙方进行处理。涉嫌犯罪的，移送司法机关依法追究刑事责任。</w:t>
      </w:r>
    </w:p>
    <w:p w14:paraId="0D43BE8A">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（三）乙方违反本廉洁协议书第一、三条规定，给甲方单位造成经济损失的，应依法予以赔偿。</w:t>
      </w:r>
    </w:p>
    <w:p w14:paraId="6DB33A2F">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第五条 协议书生效及法律效力</w:t>
      </w:r>
    </w:p>
    <w:p w14:paraId="02C2BB32">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（一）本廉洁协议书经双方签字盖章后生效。</w:t>
      </w:r>
    </w:p>
    <w:p w14:paraId="32DC97FB">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（二）除非甲乙双方另行签订新的廉洁协议书，否则本廉洁协议书在甲方与乙方存在业务关系期间均对双方产生约束力。</w:t>
      </w:r>
    </w:p>
    <w:p w14:paraId="61CD5F72">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第六条 协议书份数</w:t>
      </w:r>
    </w:p>
    <w:p w14:paraId="4AC8B244">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本廉洁协议书一式四份，甲、乙双方各执两份。</w:t>
      </w:r>
    </w:p>
    <w:p w14:paraId="0B106F6E">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甲乙双方确认在签订本廉洁协议书前已仔细阅读条款内容，</w:t>
      </w:r>
    </w:p>
    <w:p w14:paraId="40FEA84D">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廉洁协议书所产生的法律责任已清楚知悉并承诺遵守。</w:t>
      </w:r>
    </w:p>
    <w:p w14:paraId="242AB210">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 xml:space="preserve">甲方（盖章）:                         </w:t>
      </w:r>
      <w:r>
        <w:rPr>
          <w:rFonts w:hint="eastAsia" w:ascii="新宋体" w:hAnsi="新宋体" w:eastAsia="新宋体" w:cs="Times New Roman"/>
          <w:color w:val="auto"/>
          <w:sz w:val="22"/>
          <w:szCs w:val="22"/>
          <w:highlight w:val="none"/>
          <w:lang w:val="en-US" w:eastAsia="zh-CN"/>
        </w:rPr>
        <w:t xml:space="preserve">  </w:t>
      </w:r>
      <w:r>
        <w:rPr>
          <w:rFonts w:hint="eastAsia" w:ascii="新宋体" w:hAnsi="新宋体" w:eastAsia="新宋体" w:cs="Times New Roman"/>
          <w:color w:val="auto"/>
          <w:sz w:val="22"/>
          <w:szCs w:val="22"/>
          <w:highlight w:val="none"/>
        </w:rPr>
        <w:t xml:space="preserve">  乙方（盖章）：</w:t>
      </w:r>
    </w:p>
    <w:p w14:paraId="081D29F4">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 xml:space="preserve">法定代表人                          </w:t>
      </w:r>
      <w:r>
        <w:rPr>
          <w:rFonts w:hint="eastAsia" w:ascii="新宋体" w:hAnsi="新宋体" w:eastAsia="新宋体" w:cs="Times New Roman"/>
          <w:color w:val="auto"/>
          <w:sz w:val="22"/>
          <w:szCs w:val="22"/>
          <w:highlight w:val="none"/>
          <w:lang w:val="en-US" w:eastAsia="zh-CN"/>
        </w:rPr>
        <w:t xml:space="preserve">  </w:t>
      </w:r>
      <w:r>
        <w:rPr>
          <w:rFonts w:hint="eastAsia" w:ascii="新宋体" w:hAnsi="新宋体" w:eastAsia="新宋体" w:cs="Times New Roman"/>
          <w:color w:val="auto"/>
          <w:sz w:val="22"/>
          <w:szCs w:val="22"/>
          <w:highlight w:val="none"/>
        </w:rPr>
        <w:t xml:space="preserve">      法定代表人</w:t>
      </w:r>
    </w:p>
    <w:p w14:paraId="73518008">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 xml:space="preserve">（或委托代理人）：                  </w:t>
      </w:r>
      <w:r>
        <w:rPr>
          <w:rFonts w:hint="eastAsia" w:ascii="新宋体" w:hAnsi="新宋体" w:eastAsia="新宋体" w:cs="Times New Roman"/>
          <w:color w:val="auto"/>
          <w:sz w:val="22"/>
          <w:szCs w:val="22"/>
          <w:highlight w:val="none"/>
          <w:lang w:val="en-US" w:eastAsia="zh-CN"/>
        </w:rPr>
        <w:t xml:space="preserve">  </w:t>
      </w:r>
      <w:r>
        <w:rPr>
          <w:rFonts w:hint="eastAsia" w:ascii="新宋体" w:hAnsi="新宋体" w:eastAsia="新宋体" w:cs="Times New Roman"/>
          <w:color w:val="auto"/>
          <w:sz w:val="22"/>
          <w:szCs w:val="22"/>
          <w:highlight w:val="none"/>
        </w:rPr>
        <w:t xml:space="preserve">   （或委托代理人）：</w:t>
      </w:r>
    </w:p>
    <w:p w14:paraId="2956D49A">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 xml:space="preserve">地址：                              </w:t>
      </w:r>
      <w:r>
        <w:rPr>
          <w:rFonts w:hint="eastAsia" w:ascii="新宋体" w:hAnsi="新宋体" w:eastAsia="新宋体" w:cs="Times New Roman"/>
          <w:color w:val="auto"/>
          <w:sz w:val="22"/>
          <w:szCs w:val="22"/>
          <w:highlight w:val="none"/>
          <w:lang w:val="en-US" w:eastAsia="zh-CN"/>
        </w:rPr>
        <w:t xml:space="preserve">  </w:t>
      </w:r>
      <w:r>
        <w:rPr>
          <w:rFonts w:hint="eastAsia" w:ascii="新宋体" w:hAnsi="新宋体" w:eastAsia="新宋体" w:cs="Times New Roman"/>
          <w:color w:val="auto"/>
          <w:sz w:val="22"/>
          <w:szCs w:val="22"/>
          <w:highlight w:val="none"/>
        </w:rPr>
        <w:t xml:space="preserve">     地址：</w:t>
      </w:r>
    </w:p>
    <w:p w14:paraId="0FEE57B2">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 xml:space="preserve">电话：                              </w:t>
      </w:r>
      <w:r>
        <w:rPr>
          <w:rFonts w:hint="eastAsia" w:ascii="新宋体" w:hAnsi="新宋体" w:eastAsia="新宋体" w:cs="Times New Roman"/>
          <w:color w:val="auto"/>
          <w:sz w:val="22"/>
          <w:szCs w:val="22"/>
          <w:highlight w:val="none"/>
          <w:lang w:val="en-US" w:eastAsia="zh-CN"/>
        </w:rPr>
        <w:t xml:space="preserve">  </w:t>
      </w:r>
      <w:r>
        <w:rPr>
          <w:rFonts w:hint="eastAsia" w:ascii="新宋体" w:hAnsi="新宋体" w:eastAsia="新宋体" w:cs="Times New Roman"/>
          <w:color w:val="auto"/>
          <w:sz w:val="22"/>
          <w:szCs w:val="22"/>
          <w:highlight w:val="none"/>
        </w:rPr>
        <w:t xml:space="preserve">     电话：</w:t>
      </w:r>
    </w:p>
    <w:p w14:paraId="598D6BEE">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eastAsia" w:ascii="新宋体" w:hAnsi="新宋体" w:eastAsia="新宋体" w:cs="Times New Roman"/>
          <w:color w:val="auto"/>
          <w:sz w:val="22"/>
          <w:szCs w:val="22"/>
          <w:highlight w:val="none"/>
        </w:rPr>
      </w:pPr>
      <w:r>
        <w:rPr>
          <w:rFonts w:hint="eastAsia" w:ascii="新宋体" w:hAnsi="新宋体" w:eastAsia="新宋体" w:cs="Times New Roman"/>
          <w:color w:val="auto"/>
          <w:sz w:val="22"/>
          <w:szCs w:val="22"/>
          <w:highlight w:val="none"/>
        </w:rPr>
        <w:t xml:space="preserve">   年 月 日                         </w:t>
      </w:r>
      <w:r>
        <w:rPr>
          <w:rFonts w:hint="eastAsia" w:ascii="新宋体" w:hAnsi="新宋体" w:eastAsia="新宋体" w:cs="Times New Roman"/>
          <w:color w:val="auto"/>
          <w:sz w:val="22"/>
          <w:szCs w:val="22"/>
          <w:highlight w:val="none"/>
          <w:lang w:val="en-US" w:eastAsia="zh-CN"/>
        </w:rPr>
        <w:t xml:space="preserve">  </w:t>
      </w:r>
      <w:r>
        <w:rPr>
          <w:rFonts w:hint="eastAsia" w:ascii="新宋体" w:hAnsi="新宋体" w:eastAsia="新宋体" w:cs="Times New Roman"/>
          <w:color w:val="auto"/>
          <w:sz w:val="22"/>
          <w:szCs w:val="22"/>
          <w:highlight w:val="none"/>
        </w:rPr>
        <w:t xml:space="preserve">         年 月 日</w:t>
      </w:r>
    </w:p>
    <w:p w14:paraId="116D0088">
      <w:pPr>
        <w:rPr>
          <w:rFonts w:hint="eastAsia" w:ascii="新宋体" w:hAnsi="新宋体" w:eastAsia="新宋体" w:cs="新宋体"/>
          <w:color w:val="auto"/>
          <w:highlight w:val="none"/>
        </w:rPr>
      </w:pPr>
      <w:r>
        <w:rPr>
          <w:rFonts w:hint="eastAsia" w:ascii="新宋体" w:hAnsi="新宋体" w:eastAsia="新宋体" w:cs="新宋体"/>
          <w:color w:val="auto"/>
          <w:highlight w:val="none"/>
        </w:rPr>
        <w:br w:type="page"/>
      </w:r>
    </w:p>
    <w:p w14:paraId="782D1031">
      <w:pPr>
        <w:pStyle w:val="3"/>
        <w:jc w:val="center"/>
        <w:rPr>
          <w:rFonts w:hint="eastAsia" w:ascii="新宋体" w:hAnsi="新宋体" w:eastAsia="新宋体" w:cs="新宋体"/>
          <w:color w:val="auto"/>
          <w:highlight w:val="none"/>
        </w:rPr>
      </w:pPr>
      <w:bookmarkStart w:id="34" w:name="_Toc15686"/>
      <w:r>
        <w:rPr>
          <w:rFonts w:hint="eastAsia" w:ascii="新宋体" w:hAnsi="新宋体" w:eastAsia="新宋体" w:cs="新宋体"/>
          <w:color w:val="auto"/>
          <w:highlight w:val="none"/>
        </w:rPr>
        <w:t>第三部分</w:t>
      </w:r>
      <w:r>
        <w:rPr>
          <w:rFonts w:hint="eastAsia" w:ascii="新宋体" w:hAnsi="新宋体" w:eastAsia="新宋体" w:cs="新宋体"/>
          <w:color w:val="auto"/>
          <w:highlight w:val="none"/>
          <w:lang w:val="en-US" w:eastAsia="zh-CN"/>
        </w:rPr>
        <w:t xml:space="preserve">   </w:t>
      </w:r>
      <w:r>
        <w:rPr>
          <w:rFonts w:hint="eastAsia" w:ascii="新宋体" w:hAnsi="新宋体" w:eastAsia="新宋体" w:cs="新宋体"/>
          <w:color w:val="auto"/>
          <w:highlight w:val="none"/>
        </w:rPr>
        <w:t>附件</w:t>
      </w:r>
      <w:bookmarkEnd w:id="33"/>
      <w:bookmarkEnd w:id="34"/>
    </w:p>
    <w:p w14:paraId="38E367B5">
      <w:pPr>
        <w:pStyle w:val="22"/>
        <w:spacing w:line="460" w:lineRule="exact"/>
        <w:ind w:left="433" w:hanging="433" w:hangingChars="196"/>
        <w:outlineLvl w:val="1"/>
        <w:rPr>
          <w:rFonts w:hint="eastAsia" w:ascii="新宋体" w:hAnsi="新宋体" w:eastAsia="新宋体" w:cs="新宋体"/>
          <w:b/>
          <w:color w:val="auto"/>
          <w:sz w:val="22"/>
          <w:highlight w:val="none"/>
        </w:rPr>
      </w:pPr>
      <w:bookmarkStart w:id="35" w:name="_Toc22705"/>
      <w:bookmarkStart w:id="36" w:name="_Toc7056"/>
      <w:r>
        <w:rPr>
          <w:rFonts w:hint="eastAsia" w:ascii="新宋体" w:hAnsi="新宋体" w:eastAsia="新宋体" w:cs="新宋体"/>
          <w:b/>
          <w:color w:val="auto"/>
          <w:sz w:val="22"/>
          <w:highlight w:val="none"/>
        </w:rPr>
        <w:t>附件一</w:t>
      </w:r>
      <w:bookmarkEnd w:id="35"/>
      <w:bookmarkEnd w:id="36"/>
    </w:p>
    <w:p w14:paraId="7B587071">
      <w:pPr>
        <w:spacing w:line="460" w:lineRule="exact"/>
        <w:jc w:val="center"/>
        <w:outlineLvl w:val="2"/>
        <w:rPr>
          <w:rFonts w:hint="eastAsia" w:ascii="新宋体" w:hAnsi="新宋体" w:eastAsia="新宋体" w:cs="新宋体"/>
          <w:color w:val="auto"/>
          <w:sz w:val="28"/>
          <w:szCs w:val="28"/>
          <w:highlight w:val="none"/>
        </w:rPr>
      </w:pPr>
      <w:bookmarkStart w:id="37" w:name="_Toc28749"/>
      <w:bookmarkStart w:id="38" w:name="_Toc4718"/>
      <w:bookmarkStart w:id="39" w:name="_Toc13365"/>
      <w:r>
        <w:rPr>
          <w:rFonts w:hint="eastAsia" w:ascii="新宋体" w:hAnsi="新宋体" w:eastAsia="新宋体" w:cs="新宋体"/>
          <w:b/>
          <w:bCs/>
          <w:color w:val="auto"/>
          <w:sz w:val="28"/>
          <w:szCs w:val="28"/>
          <w:highlight w:val="none"/>
        </w:rPr>
        <w:t>资格证明文件</w:t>
      </w:r>
      <w:bookmarkEnd w:id="37"/>
      <w:bookmarkEnd w:id="38"/>
      <w:r>
        <w:rPr>
          <w:rFonts w:hint="eastAsia" w:ascii="新宋体" w:hAnsi="新宋体" w:eastAsia="新宋体" w:cs="新宋体"/>
          <w:color w:val="auto"/>
          <w:sz w:val="28"/>
          <w:szCs w:val="28"/>
          <w:highlight w:val="none"/>
        </w:rPr>
        <w:t xml:space="preserve"> </w:t>
      </w:r>
    </w:p>
    <w:p w14:paraId="64B5EE12">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zh-CN" w:eastAsia="zh-CN"/>
        </w:rPr>
        <w:t>1、资格条件承诺函</w:t>
      </w:r>
    </w:p>
    <w:p w14:paraId="4D89569A">
      <w:pPr>
        <w:widowControl/>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eastAsia="zh-CN"/>
        </w:rPr>
        <w:t>温州市疾病预防控制中心（温州市卫生监督所）</w:t>
      </w:r>
      <w:r>
        <w:rPr>
          <w:rFonts w:hint="eastAsia" w:ascii="新宋体" w:hAnsi="新宋体" w:eastAsia="新宋体" w:cs="新宋体"/>
          <w:color w:val="auto"/>
          <w:kern w:val="0"/>
          <w:sz w:val="22"/>
          <w:szCs w:val="22"/>
          <w:highlight w:val="none"/>
        </w:rPr>
        <w:t>、温州历程招标有限公司：</w:t>
      </w:r>
    </w:p>
    <w:p w14:paraId="19322129">
      <w:pPr>
        <w:widowControl/>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我方参与</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（项目名称、编号）投标，现郑重承诺，</w:t>
      </w:r>
      <w:r>
        <w:rPr>
          <w:rFonts w:hint="eastAsia" w:ascii="新宋体" w:hAnsi="新宋体" w:eastAsia="新宋体" w:cs="新宋体"/>
          <w:color w:val="auto"/>
          <w:kern w:val="0"/>
          <w:sz w:val="22"/>
          <w:szCs w:val="22"/>
          <w:highlight w:val="none"/>
        </w:rPr>
        <w:t>参加本次采购活动前3年内</w:t>
      </w:r>
      <w:r>
        <w:rPr>
          <w:rFonts w:hint="eastAsia" w:ascii="新宋体" w:hAnsi="新宋体" w:eastAsia="新宋体" w:cs="新宋体"/>
          <w:color w:val="auto"/>
          <w:sz w:val="22"/>
          <w:szCs w:val="22"/>
          <w:highlight w:val="none"/>
        </w:rPr>
        <w:t>：</w:t>
      </w:r>
    </w:p>
    <w:p w14:paraId="6A67F121">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1、我方符合《中华人民共和国政府采购法》第22条规定的资格条件，即</w:t>
      </w:r>
    </w:p>
    <w:p w14:paraId="69321B5D">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（1）我方具有独立承担民事责任的能力；</w:t>
      </w:r>
    </w:p>
    <w:p w14:paraId="7F1657CD">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（2）我方具有良好的商业信誉和健全的财务会计制度；</w:t>
      </w:r>
    </w:p>
    <w:p w14:paraId="2E9C015C">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（3）我方具有履行合同所必需的设备和专业技术能力；</w:t>
      </w:r>
    </w:p>
    <w:p w14:paraId="6BF96881">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（4）我方有依法缴纳税收和社会保障资金的良好记录；</w:t>
      </w:r>
    </w:p>
    <w:p w14:paraId="6700F4EE">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5）我方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w:t>
      </w:r>
    </w:p>
    <w:p w14:paraId="3688E6D7">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2、到本项目投标截止时间为止，我方未被“信用中国（</w:t>
      </w:r>
      <w:r>
        <w:rPr>
          <w:rFonts w:hint="eastAsia" w:ascii="新宋体" w:hAnsi="新宋体" w:eastAsia="新宋体" w:cs="新宋体"/>
          <w:color w:val="auto"/>
          <w:highlight w:val="none"/>
        </w:rPr>
        <w:fldChar w:fldCharType="begin"/>
      </w:r>
      <w:r>
        <w:rPr>
          <w:rFonts w:hint="eastAsia" w:ascii="新宋体" w:hAnsi="新宋体" w:eastAsia="新宋体" w:cs="新宋体"/>
          <w:color w:val="auto"/>
          <w:highlight w:val="none"/>
        </w:rPr>
        <w:instrText xml:space="preserve"> HYPERLINK "http://www.creditchina.gov.cn）、" </w:instrText>
      </w:r>
      <w:r>
        <w:rPr>
          <w:rFonts w:hint="eastAsia" w:ascii="新宋体" w:hAnsi="新宋体" w:eastAsia="新宋体" w:cs="新宋体"/>
          <w:color w:val="auto"/>
          <w:highlight w:val="none"/>
        </w:rPr>
        <w:fldChar w:fldCharType="separate"/>
      </w:r>
      <w:r>
        <w:rPr>
          <w:rFonts w:hint="eastAsia" w:ascii="新宋体" w:hAnsi="新宋体" w:eastAsia="新宋体" w:cs="新宋体"/>
          <w:color w:val="auto"/>
          <w:kern w:val="0"/>
          <w:sz w:val="22"/>
          <w:szCs w:val="22"/>
          <w:highlight w:val="none"/>
        </w:rPr>
        <w:t>www.creditchina.gov.cn）、</w:t>
      </w:r>
      <w:r>
        <w:rPr>
          <w:rFonts w:hint="eastAsia" w:ascii="新宋体" w:hAnsi="新宋体" w:eastAsia="新宋体" w:cs="新宋体"/>
          <w:color w:val="auto"/>
          <w:kern w:val="0"/>
          <w:sz w:val="22"/>
          <w:szCs w:val="22"/>
          <w:highlight w:val="none"/>
        </w:rPr>
        <w:fldChar w:fldCharType="end"/>
      </w:r>
      <w:r>
        <w:rPr>
          <w:rFonts w:hint="eastAsia" w:ascii="新宋体" w:hAnsi="新宋体" w:eastAsia="新宋体" w:cs="新宋体"/>
          <w:color w:val="auto"/>
          <w:kern w:val="0"/>
          <w:sz w:val="22"/>
          <w:szCs w:val="22"/>
          <w:highlight w:val="none"/>
        </w:rPr>
        <w:t xml:space="preserve"> 中国政府采购网（www.ccgp.gov.cn）列入失信被执行人名单、重大税收违法案件当事人名单、政府采购严重违法失信行为记录名单。</w:t>
      </w:r>
    </w:p>
    <w:p w14:paraId="7FAC182A">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3、我方与参加本次项目同一合同项下政府采购活动的其他供应商不存在单位负责人为同一人或者直接控股、管理关系。</w:t>
      </w:r>
    </w:p>
    <w:p w14:paraId="503050DA">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4、我方不属于公益一类事业单位。</w:t>
      </w:r>
    </w:p>
    <w:p w14:paraId="2C7CD0D9">
      <w:pPr>
        <w:widowControl/>
        <w:snapToGrid w:val="0"/>
        <w:spacing w:line="460" w:lineRule="exact"/>
        <w:ind w:firstLine="440" w:firstLineChars="200"/>
        <w:jc w:val="left"/>
        <w:rPr>
          <w:rFonts w:hint="eastAsia" w:ascii="新宋体" w:hAnsi="新宋体" w:eastAsia="新宋体" w:cs="新宋体"/>
          <w:color w:val="auto"/>
          <w:kern w:val="0"/>
          <w:sz w:val="22"/>
          <w:szCs w:val="22"/>
          <w:highlight w:val="none"/>
        </w:rPr>
      </w:pPr>
    </w:p>
    <w:p w14:paraId="29B0B6FF">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以上承诺如有虚假，愿接受取消我方任何资格（投标/成交/签订合同）及其他任何形式的处理。</w:t>
      </w:r>
    </w:p>
    <w:p w14:paraId="6F6D5D5A">
      <w:pPr>
        <w:widowControl/>
        <w:snapToGrid w:val="0"/>
        <w:spacing w:line="460" w:lineRule="exact"/>
        <w:ind w:firstLine="440" w:firstLineChars="200"/>
        <w:jc w:val="left"/>
        <w:rPr>
          <w:rFonts w:hint="eastAsia" w:ascii="新宋体" w:hAnsi="新宋体" w:eastAsia="新宋体" w:cs="新宋体"/>
          <w:color w:val="auto"/>
          <w:kern w:val="0"/>
          <w:sz w:val="22"/>
          <w:szCs w:val="22"/>
          <w:highlight w:val="none"/>
        </w:rPr>
      </w:pPr>
    </w:p>
    <w:p w14:paraId="0D2431B9">
      <w:pPr>
        <w:snapToGrid w:val="0"/>
        <w:spacing w:line="460" w:lineRule="exact"/>
        <w:ind w:firstLine="5060" w:firstLineChars="2300"/>
        <w:rPr>
          <w:rFonts w:hint="eastAsia" w:ascii="新宋体" w:hAnsi="新宋体" w:eastAsia="新宋体" w:cs="新宋体"/>
          <w:color w:val="auto"/>
          <w:kern w:val="0"/>
          <w:sz w:val="22"/>
          <w:szCs w:val="22"/>
          <w:highlight w:val="none"/>
          <w:lang w:val="zh-CN"/>
        </w:rPr>
      </w:pPr>
    </w:p>
    <w:p w14:paraId="0C6396C6">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投标人全称（盖章） ：</w:t>
      </w:r>
    </w:p>
    <w:p w14:paraId="30ECB58D">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法定代表人或其授权代表（签字或盖章）：</w:t>
      </w:r>
    </w:p>
    <w:p w14:paraId="0DF71570">
      <w:pPr>
        <w:widowControl/>
        <w:snapToGrid w:val="0"/>
        <w:spacing w:line="460" w:lineRule="exact"/>
        <w:ind w:firstLine="440" w:firstLineChars="200"/>
        <w:jc w:val="left"/>
        <w:rPr>
          <w:rFonts w:hint="eastAsia" w:ascii="新宋体" w:hAnsi="新宋体" w:eastAsia="新宋体" w:cs="新宋体"/>
          <w:color w:val="auto"/>
          <w:kern w:val="0"/>
          <w:sz w:val="22"/>
          <w:szCs w:val="22"/>
          <w:highlight w:val="none"/>
        </w:rPr>
      </w:pPr>
    </w:p>
    <w:p w14:paraId="24A78676">
      <w:pPr>
        <w:pStyle w:val="22"/>
        <w:spacing w:line="460" w:lineRule="exact"/>
        <w:ind w:left="479" w:leftChars="228" w:firstLine="5280" w:firstLineChars="24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日期：     年  月  日</w:t>
      </w:r>
    </w:p>
    <w:p w14:paraId="4BF66FB4">
      <w:pPr>
        <w:rPr>
          <w:rFonts w:hint="eastAsia" w:ascii="新宋体" w:hAnsi="新宋体" w:eastAsia="新宋体" w:cs="新宋体"/>
          <w:color w:val="auto"/>
          <w:highlight w:val="none"/>
        </w:rPr>
      </w:pPr>
    </w:p>
    <w:p w14:paraId="32777D71">
      <w:pPr>
        <w:rPr>
          <w:rFonts w:hint="eastAsia" w:ascii="新宋体" w:hAnsi="新宋体" w:eastAsia="新宋体" w:cs="新宋体"/>
          <w:color w:val="auto"/>
          <w:highlight w:val="none"/>
        </w:rPr>
      </w:pPr>
    </w:p>
    <w:p w14:paraId="69B8D24A">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zh-CN" w:eastAsia="zh-CN"/>
        </w:rPr>
        <w:t>2、有效营业执照</w:t>
      </w:r>
    </w:p>
    <w:p w14:paraId="654A378B">
      <w:pPr>
        <w:pStyle w:val="48"/>
        <w:tabs>
          <w:tab w:val="left" w:pos="630"/>
          <w:tab w:val="left" w:pos="840"/>
          <w:tab w:val="left" w:pos="1050"/>
        </w:tabs>
        <w:adjustRightInd w:val="0"/>
        <w:snapToGrid w:val="0"/>
        <w:spacing w:before="0" w:beforeAutospacing="0" w:after="0" w:afterAutospacing="0" w:line="360" w:lineRule="auto"/>
        <w:ind w:left="420"/>
        <w:rPr>
          <w:rFonts w:hint="eastAsia" w:ascii="新宋体" w:hAnsi="新宋体" w:eastAsia="新宋体" w:cs="新宋体"/>
          <w:bCs/>
          <w:color w:val="auto"/>
          <w:highlight w:val="none"/>
        </w:rPr>
      </w:pPr>
    </w:p>
    <w:p w14:paraId="5A2DE8D3">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投标人须在投标文件中出具符合以下情况的证明材料复印件（五选一）：</w:t>
      </w:r>
    </w:p>
    <w:p w14:paraId="134A2BE7">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①如投标人是企业（包括合伙企业），提供在工商部门注册的有效“企业法人营业执照”或“营业执照”；</w:t>
      </w:r>
    </w:p>
    <w:p w14:paraId="0B7E26C9">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②如投标人是事业单位，提供有效的“事业单位法人证书”；</w:t>
      </w:r>
    </w:p>
    <w:p w14:paraId="31222DEE">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③如投标人是非企业专业服务机构的，提供执业许可证等证明文件；</w:t>
      </w:r>
    </w:p>
    <w:p w14:paraId="12A0A93F">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④如投标人是个体工商户，提供有效的“个体工商户营业执照”；</w:t>
      </w:r>
    </w:p>
    <w:p w14:paraId="60369B56">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⑤如投标人是自然人，提供有效的自然人身份证明（居民身份证正反面或公安机关出具的临时居民身份证正反面或港澳台胞证或护照）。</w:t>
      </w:r>
    </w:p>
    <w:p w14:paraId="3D895EC8">
      <w:pPr>
        <w:pStyle w:val="48"/>
        <w:tabs>
          <w:tab w:val="left" w:pos="312"/>
        </w:tabs>
        <w:adjustRightInd w:val="0"/>
        <w:snapToGrid w:val="0"/>
        <w:spacing w:before="0" w:beforeAutospacing="0" w:after="0" w:afterAutospacing="0" w:line="360" w:lineRule="auto"/>
        <w:rPr>
          <w:rFonts w:hint="eastAsia" w:ascii="新宋体" w:hAnsi="新宋体" w:eastAsia="新宋体" w:cs="新宋体"/>
          <w:bCs/>
          <w:color w:val="auto"/>
          <w:sz w:val="22"/>
          <w:szCs w:val="22"/>
          <w:highlight w:val="none"/>
        </w:rPr>
      </w:pPr>
    </w:p>
    <w:p w14:paraId="49BF3213">
      <w:pPr>
        <w:widowControl/>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725EB2E5">
      <w:pPr>
        <w:rPr>
          <w:rFonts w:hint="eastAsia" w:ascii="新宋体" w:hAnsi="新宋体" w:eastAsia="新宋体" w:cs="新宋体"/>
          <w:color w:val="auto"/>
          <w:highlight w:val="none"/>
        </w:rPr>
      </w:pPr>
    </w:p>
    <w:p w14:paraId="023371BF">
      <w:pPr>
        <w:rPr>
          <w:rFonts w:hint="eastAsia" w:ascii="新宋体" w:hAnsi="新宋体" w:eastAsia="新宋体" w:cs="新宋体"/>
          <w:color w:val="auto"/>
          <w:highlight w:val="none"/>
        </w:rPr>
      </w:pPr>
    </w:p>
    <w:p w14:paraId="4C0BF5C5">
      <w:pPr>
        <w:rPr>
          <w:rFonts w:hint="eastAsia" w:ascii="新宋体" w:hAnsi="新宋体" w:eastAsia="新宋体" w:cs="新宋体"/>
          <w:color w:val="auto"/>
          <w:highlight w:val="none"/>
        </w:rPr>
      </w:pPr>
    </w:p>
    <w:p w14:paraId="2F514FC6">
      <w:pPr>
        <w:rPr>
          <w:rFonts w:hint="eastAsia" w:ascii="新宋体" w:hAnsi="新宋体" w:eastAsia="新宋体" w:cs="新宋体"/>
          <w:color w:val="auto"/>
          <w:highlight w:val="none"/>
        </w:rPr>
      </w:pPr>
    </w:p>
    <w:p w14:paraId="46498EF1">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zh-CN" w:eastAsia="zh-CN"/>
        </w:rPr>
        <w:t>3、投标人信用查询</w:t>
      </w:r>
    </w:p>
    <w:p w14:paraId="4DE02660">
      <w:pPr>
        <w:tabs>
          <w:tab w:val="left" w:pos="360"/>
        </w:tabs>
        <w:spacing w:line="460" w:lineRule="exact"/>
        <w:ind w:firstLine="550" w:firstLineChars="250"/>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（1）投标人信用信息查询的查询渠道：“信用中国”（https://www.creditchina.gov.cn/）；“中国政府采购网”（http://www.ccgp.gov.cn/）；</w:t>
      </w:r>
    </w:p>
    <w:p w14:paraId="3AB329D6">
      <w:pPr>
        <w:tabs>
          <w:tab w:val="left" w:pos="360"/>
        </w:tabs>
        <w:spacing w:line="460" w:lineRule="exact"/>
        <w:ind w:firstLine="550" w:firstLineChars="250"/>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（2）投标人信用信息查询截止时点：</w:t>
      </w:r>
      <w:r>
        <w:rPr>
          <w:rFonts w:hint="eastAsia" w:ascii="新宋体" w:hAnsi="新宋体" w:eastAsia="新宋体" w:cs="新宋体"/>
          <w:color w:val="auto"/>
          <w:sz w:val="22"/>
          <w:highlight w:val="none"/>
          <w:lang w:eastAsia="zh-CN"/>
        </w:rPr>
        <w:t>采购</w:t>
      </w:r>
      <w:r>
        <w:rPr>
          <w:rFonts w:hint="eastAsia" w:ascii="新宋体" w:hAnsi="新宋体" w:eastAsia="新宋体" w:cs="新宋体"/>
          <w:color w:val="auto"/>
          <w:sz w:val="22"/>
          <w:highlight w:val="none"/>
        </w:rPr>
        <w:t>公告发布之日至投标截止时间前。</w:t>
      </w:r>
    </w:p>
    <w:p w14:paraId="38EEA120">
      <w:pPr>
        <w:tabs>
          <w:tab w:val="left" w:pos="360"/>
        </w:tabs>
        <w:spacing w:line="460" w:lineRule="exact"/>
        <w:ind w:firstLine="550" w:firstLineChars="250"/>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（3）投标人信用信息查询记录和证据留存的具体方式：网页截图；</w:t>
      </w:r>
    </w:p>
    <w:p w14:paraId="78EFC784">
      <w:pPr>
        <w:tabs>
          <w:tab w:val="left" w:pos="360"/>
        </w:tabs>
        <w:spacing w:line="460" w:lineRule="exact"/>
        <w:ind w:firstLine="552" w:firstLineChars="250"/>
        <w:rPr>
          <w:rFonts w:hint="eastAsia" w:ascii="新宋体" w:hAnsi="新宋体" w:eastAsia="新宋体" w:cs="新宋体"/>
          <w:b/>
          <w:bCs/>
          <w:color w:val="auto"/>
          <w:sz w:val="22"/>
          <w:highlight w:val="none"/>
          <w:u w:val="single"/>
        </w:rPr>
      </w:pPr>
      <w:r>
        <w:rPr>
          <w:rFonts w:hint="eastAsia" w:ascii="新宋体" w:hAnsi="新宋体" w:eastAsia="新宋体" w:cs="新宋体"/>
          <w:b/>
          <w:bCs/>
          <w:color w:val="auto"/>
          <w:sz w:val="22"/>
          <w:highlight w:val="none"/>
          <w:u w:val="single"/>
        </w:rPr>
        <w:t>（4）信用信息的使用规则：对列入失信被执行人、重大税收违法案件当事人名单、政府采购严重违法失信行为记录名单及其他不符合《中华人民共和国政府采购法》第二十二条规定条件的投标人，其投标做无效投标处理。</w:t>
      </w:r>
    </w:p>
    <w:p w14:paraId="1FC62921">
      <w:pPr>
        <w:tabs>
          <w:tab w:val="left" w:pos="360"/>
        </w:tabs>
        <w:spacing w:line="460" w:lineRule="exact"/>
        <w:ind w:firstLine="442" w:firstLineChars="200"/>
        <w:rPr>
          <w:rFonts w:hint="eastAsia" w:ascii="新宋体" w:hAnsi="新宋体" w:eastAsia="新宋体" w:cs="新宋体"/>
          <w:b/>
          <w:bCs/>
          <w:color w:val="auto"/>
          <w:sz w:val="22"/>
          <w:highlight w:val="none"/>
          <w:u w:val="single"/>
          <w:lang w:eastAsia="zh-CN"/>
        </w:rPr>
      </w:pPr>
      <w:r>
        <w:rPr>
          <w:rFonts w:hint="eastAsia" w:ascii="新宋体" w:hAnsi="新宋体" w:eastAsia="新宋体" w:cs="新宋体"/>
          <w:b/>
          <w:bCs/>
          <w:color w:val="auto"/>
          <w:sz w:val="22"/>
          <w:highlight w:val="none"/>
          <w:u w:val="single"/>
          <w:lang w:val="en-US" w:eastAsia="zh-CN"/>
        </w:rPr>
        <w:t>（5）</w:t>
      </w:r>
      <w:r>
        <w:rPr>
          <w:rFonts w:hint="eastAsia" w:ascii="新宋体" w:hAnsi="新宋体" w:eastAsia="新宋体" w:cs="新宋体"/>
          <w:b/>
          <w:bCs/>
          <w:color w:val="auto"/>
          <w:sz w:val="22"/>
          <w:highlight w:val="none"/>
          <w:u w:val="single"/>
          <w:lang w:eastAsia="zh-CN"/>
        </w:rPr>
        <w:t>联合体投标时，对所有联合体成员进行信用记录查询，联合体成员存在不良信用记录的，视同联合体存在不良信用记录。</w:t>
      </w:r>
    </w:p>
    <w:p w14:paraId="579FF30D">
      <w:pPr>
        <w:tabs>
          <w:tab w:val="left" w:pos="360"/>
        </w:tabs>
        <w:spacing w:line="460" w:lineRule="exact"/>
        <w:ind w:firstLine="552" w:firstLineChars="250"/>
        <w:rPr>
          <w:rFonts w:hint="eastAsia" w:ascii="新宋体" w:hAnsi="新宋体" w:eastAsia="新宋体" w:cs="新宋体"/>
          <w:b/>
          <w:bCs/>
          <w:color w:val="auto"/>
          <w:sz w:val="22"/>
          <w:highlight w:val="none"/>
          <w:u w:val="single"/>
        </w:rPr>
      </w:pPr>
    </w:p>
    <w:p w14:paraId="1F170D32">
      <w:pPr>
        <w:tabs>
          <w:tab w:val="left" w:pos="360"/>
        </w:tabs>
        <w:spacing w:line="460" w:lineRule="exact"/>
        <w:ind w:firstLine="552" w:firstLineChars="250"/>
        <w:rPr>
          <w:rFonts w:hint="eastAsia" w:ascii="新宋体" w:hAnsi="新宋体" w:eastAsia="新宋体" w:cs="新宋体"/>
          <w:b/>
          <w:bCs/>
          <w:color w:val="auto"/>
          <w:sz w:val="22"/>
          <w:highlight w:val="none"/>
          <w:u w:val="single"/>
        </w:rPr>
      </w:pPr>
    </w:p>
    <w:p w14:paraId="4B4DDE75">
      <w:pPr>
        <w:tabs>
          <w:tab w:val="left" w:pos="360"/>
        </w:tabs>
        <w:spacing w:line="460" w:lineRule="exact"/>
        <w:ind w:firstLine="552" w:firstLineChars="250"/>
        <w:rPr>
          <w:rFonts w:hint="eastAsia" w:ascii="新宋体" w:hAnsi="新宋体" w:eastAsia="新宋体" w:cs="新宋体"/>
          <w:b/>
          <w:bCs/>
          <w:color w:val="auto"/>
          <w:sz w:val="22"/>
          <w:highlight w:val="none"/>
          <w:u w:val="single"/>
        </w:rPr>
      </w:pPr>
    </w:p>
    <w:p w14:paraId="1B1CD8EB">
      <w:pPr>
        <w:tabs>
          <w:tab w:val="left" w:pos="360"/>
        </w:tabs>
        <w:spacing w:line="460" w:lineRule="exact"/>
        <w:ind w:firstLine="552" w:firstLineChars="250"/>
        <w:rPr>
          <w:rFonts w:hint="eastAsia" w:ascii="新宋体" w:hAnsi="新宋体" w:eastAsia="新宋体" w:cs="新宋体"/>
          <w:b/>
          <w:bCs/>
          <w:color w:val="auto"/>
          <w:sz w:val="22"/>
          <w:highlight w:val="none"/>
          <w:u w:val="single"/>
        </w:rPr>
      </w:pPr>
    </w:p>
    <w:p w14:paraId="5E693DA8">
      <w:pPr>
        <w:spacing w:line="420" w:lineRule="exact"/>
        <w:jc w:val="center"/>
        <w:outlineLvl w:val="3"/>
        <w:rPr>
          <w:rFonts w:hint="eastAsia" w:ascii="新宋体" w:hAnsi="新宋体" w:eastAsia="新宋体" w:cs="新宋体"/>
          <w:b/>
          <w:bCs/>
          <w:color w:val="auto"/>
          <w:sz w:val="28"/>
          <w:szCs w:val="28"/>
          <w:highlight w:val="none"/>
          <w:lang w:val="en-US" w:eastAsia="zh-CN"/>
        </w:rPr>
      </w:pPr>
      <w:r>
        <w:rPr>
          <w:rFonts w:hint="eastAsia" w:ascii="新宋体" w:hAnsi="新宋体" w:eastAsia="新宋体" w:cs="新宋体"/>
          <w:b/>
          <w:bCs/>
          <w:color w:val="auto"/>
          <w:sz w:val="28"/>
          <w:szCs w:val="28"/>
          <w:highlight w:val="none"/>
          <w:lang w:val="en-US" w:eastAsia="zh-CN"/>
        </w:rPr>
        <w:t>4、落实政府采购政策需满足的资格要求证明材料</w:t>
      </w:r>
    </w:p>
    <w:p w14:paraId="63A686BF">
      <w:pPr>
        <w:spacing w:line="460" w:lineRule="exact"/>
        <w:outlineLvl w:val="4"/>
        <w:rPr>
          <w:rFonts w:ascii="新宋体" w:hAnsi="新宋体" w:eastAsia="新宋体" w:cs="新宋体"/>
          <w:b/>
          <w:bCs/>
          <w:color w:val="auto"/>
          <w:sz w:val="24"/>
          <w:highlight w:val="none"/>
        </w:rPr>
      </w:pPr>
      <w:r>
        <w:rPr>
          <w:rFonts w:hint="eastAsia" w:ascii="新宋体" w:hAnsi="新宋体" w:eastAsia="新宋体" w:cs="新宋体"/>
          <w:b/>
          <w:bCs/>
          <w:color w:val="auto"/>
          <w:sz w:val="24"/>
          <w:highlight w:val="none"/>
          <w:lang w:eastAsia="zh-CN"/>
        </w:rPr>
        <w:t>（</w:t>
      </w:r>
      <w:r>
        <w:rPr>
          <w:rFonts w:hint="eastAsia" w:ascii="新宋体" w:hAnsi="新宋体" w:eastAsia="新宋体" w:cs="新宋体"/>
          <w:b/>
          <w:bCs/>
          <w:color w:val="auto"/>
          <w:sz w:val="24"/>
          <w:highlight w:val="none"/>
          <w:lang w:val="en-US" w:eastAsia="zh-CN"/>
        </w:rPr>
        <w:t>1</w:t>
      </w:r>
      <w:r>
        <w:rPr>
          <w:rFonts w:hint="eastAsia" w:ascii="新宋体" w:hAnsi="新宋体" w:eastAsia="新宋体" w:cs="新宋体"/>
          <w:b/>
          <w:bCs/>
          <w:color w:val="auto"/>
          <w:sz w:val="24"/>
          <w:highlight w:val="none"/>
          <w:lang w:eastAsia="zh-CN"/>
        </w:rPr>
        <w:t>）</w:t>
      </w:r>
      <w:r>
        <w:rPr>
          <w:rFonts w:hint="eastAsia" w:ascii="新宋体" w:hAnsi="新宋体" w:eastAsia="新宋体" w:cs="新宋体"/>
          <w:b/>
          <w:bCs/>
          <w:color w:val="auto"/>
          <w:sz w:val="24"/>
          <w:highlight w:val="none"/>
        </w:rPr>
        <w:t>中小企业的相关证明材料</w:t>
      </w:r>
    </w:p>
    <w:p w14:paraId="3F9E9EDE">
      <w:pPr>
        <w:snapToGrid w:val="0"/>
        <w:spacing w:line="460" w:lineRule="exact"/>
        <w:ind w:firstLine="464" w:firstLineChars="200"/>
        <w:jc w:val="center"/>
        <w:rPr>
          <w:rFonts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【非</w:t>
      </w:r>
      <w:r>
        <w:rPr>
          <w:rFonts w:hint="eastAsia" w:ascii="新宋体" w:hAnsi="新宋体" w:eastAsia="新宋体" w:cs="新宋体"/>
          <w:color w:val="auto"/>
          <w:spacing w:val="6"/>
          <w:sz w:val="22"/>
          <w:szCs w:val="22"/>
          <w:highlight w:val="none"/>
          <w:lang w:val="zh-CN"/>
        </w:rPr>
        <w:t>小型、微型</w:t>
      </w:r>
      <w:r>
        <w:rPr>
          <w:rFonts w:hint="eastAsia" w:ascii="新宋体" w:hAnsi="新宋体" w:eastAsia="新宋体" w:cs="新宋体"/>
          <w:color w:val="auto"/>
          <w:spacing w:val="6"/>
          <w:sz w:val="22"/>
          <w:szCs w:val="22"/>
          <w:highlight w:val="none"/>
        </w:rPr>
        <w:t>企业不用提供】</w:t>
      </w:r>
    </w:p>
    <w:p w14:paraId="1BD0BCFB">
      <w:pPr>
        <w:spacing w:line="380" w:lineRule="exact"/>
        <w:rPr>
          <w:rFonts w:ascii="新宋体" w:hAnsi="新宋体" w:eastAsia="新宋体" w:cs="新宋体"/>
          <w:color w:val="auto"/>
          <w:sz w:val="22"/>
          <w:szCs w:val="22"/>
          <w:highlight w:val="none"/>
        </w:rPr>
      </w:pPr>
    </w:p>
    <w:p w14:paraId="22E6CC82">
      <w:pPr>
        <w:spacing w:line="460" w:lineRule="exact"/>
        <w:ind w:firstLine="440" w:firstLineChars="200"/>
        <w:rPr>
          <w:rFonts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lang w:val="zh-CN"/>
        </w:rPr>
        <w:t>根据《政府采购促进中小企业发展管理办法》（财库〔2020〕46号）、《财政部关于进一步加大政府采购支持中小企业力度的通知》（财库〔2022〕19号）有关规定，对投标产品为小型或微型企业生产的，价格给予</w:t>
      </w:r>
      <w:r>
        <w:rPr>
          <w:rFonts w:hint="eastAsia" w:ascii="新宋体" w:hAnsi="新宋体" w:eastAsia="新宋体" w:cs="新宋体"/>
          <w:color w:val="auto"/>
          <w:sz w:val="22"/>
          <w:szCs w:val="22"/>
          <w:highlight w:val="none"/>
        </w:rPr>
        <w:t>10%</w:t>
      </w:r>
      <w:r>
        <w:rPr>
          <w:rFonts w:hint="eastAsia" w:ascii="新宋体" w:hAnsi="新宋体" w:eastAsia="新宋体" w:cs="新宋体"/>
          <w:color w:val="auto"/>
          <w:sz w:val="22"/>
          <w:szCs w:val="22"/>
          <w:highlight w:val="none"/>
          <w:lang w:val="zh-CN"/>
        </w:rPr>
        <w:t>的扣除，用扣除后的价格参与价格评分。</w:t>
      </w:r>
    </w:p>
    <w:p w14:paraId="33CB0059">
      <w:pPr>
        <w:spacing w:line="460" w:lineRule="exact"/>
        <w:ind w:firstLine="442" w:firstLineChars="200"/>
        <w:rPr>
          <w:rFonts w:ascii="新宋体" w:hAnsi="新宋体" w:eastAsia="新宋体" w:cs="新宋体"/>
          <w:b/>
          <w:bCs/>
          <w:color w:val="auto"/>
          <w:sz w:val="22"/>
          <w:szCs w:val="22"/>
          <w:highlight w:val="none"/>
          <w:lang w:val="zh-CN"/>
        </w:rPr>
      </w:pPr>
    </w:p>
    <w:p w14:paraId="2F30AC08">
      <w:pPr>
        <w:spacing w:line="460" w:lineRule="exact"/>
        <w:jc w:val="center"/>
        <w:rPr>
          <w:rFonts w:ascii="新宋体" w:hAnsi="新宋体" w:eastAsia="新宋体" w:cs="新宋体"/>
          <w:b/>
          <w:bCs/>
          <w:color w:val="auto"/>
          <w:sz w:val="22"/>
          <w:szCs w:val="22"/>
          <w:highlight w:val="none"/>
        </w:rPr>
      </w:pPr>
    </w:p>
    <w:p w14:paraId="2485218D">
      <w:pPr>
        <w:spacing w:line="46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w:t>
      </w:r>
      <w:r>
        <w:rPr>
          <w:rFonts w:hint="eastAsia" w:ascii="新宋体" w:hAnsi="新宋体" w:eastAsia="新宋体" w:cs="新宋体"/>
          <w:b/>
          <w:bCs/>
          <w:color w:val="auto"/>
          <w:spacing w:val="20"/>
          <w:sz w:val="22"/>
          <w:szCs w:val="22"/>
          <w:highlight w:val="none"/>
        </w:rPr>
        <w:t>中小企业声明函（货物）</w:t>
      </w:r>
      <w:r>
        <w:rPr>
          <w:rFonts w:hint="eastAsia" w:ascii="新宋体" w:hAnsi="新宋体" w:eastAsia="新宋体" w:cs="新宋体"/>
          <w:b/>
          <w:bCs/>
          <w:color w:val="auto"/>
          <w:sz w:val="22"/>
          <w:szCs w:val="22"/>
          <w:highlight w:val="none"/>
        </w:rPr>
        <w:t>》</w:t>
      </w:r>
    </w:p>
    <w:p w14:paraId="10CEC943">
      <w:pPr>
        <w:snapToGrid w:val="0"/>
        <w:spacing w:line="460" w:lineRule="exact"/>
        <w:jc w:val="center"/>
        <w:rPr>
          <w:rFonts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【不属于中小企业单位的无需填写、递交】</w:t>
      </w:r>
    </w:p>
    <w:p w14:paraId="6DABC310">
      <w:pPr>
        <w:spacing w:line="460" w:lineRule="exact"/>
        <w:ind w:firstLine="520" w:firstLineChars="200"/>
        <w:rPr>
          <w:rFonts w:ascii="新宋体" w:hAnsi="新宋体" w:eastAsia="新宋体" w:cs="新宋体"/>
          <w:color w:val="auto"/>
          <w:spacing w:val="20"/>
          <w:sz w:val="22"/>
          <w:szCs w:val="22"/>
          <w:highlight w:val="none"/>
        </w:rPr>
      </w:pPr>
      <w:r>
        <w:rPr>
          <w:rFonts w:hint="eastAsia" w:ascii="新宋体" w:hAnsi="新宋体" w:eastAsia="新宋体" w:cs="新宋体"/>
          <w:color w:val="auto"/>
          <w:spacing w:val="20"/>
          <w:sz w:val="22"/>
          <w:szCs w:val="22"/>
          <w:highlight w:val="none"/>
        </w:rPr>
        <w:t>本公司（联合体）郑重声明，根据《政府采购促进中小企业发展管理办法》（财库﹝2020﹞46 号）的规定，本公司（联合体）参加</w:t>
      </w:r>
      <w:r>
        <w:rPr>
          <w:rFonts w:hint="eastAsia" w:ascii="新宋体" w:hAnsi="新宋体" w:eastAsia="新宋体" w:cs="新宋体"/>
          <w:color w:val="auto"/>
          <w:spacing w:val="20"/>
          <w:sz w:val="22"/>
          <w:szCs w:val="22"/>
          <w:highlight w:val="none"/>
          <w:u w:val="single"/>
        </w:rPr>
        <w:t>（单位名称）</w:t>
      </w:r>
      <w:r>
        <w:rPr>
          <w:rFonts w:hint="eastAsia" w:ascii="新宋体" w:hAnsi="新宋体" w:eastAsia="新宋体" w:cs="新宋体"/>
          <w:color w:val="auto"/>
          <w:spacing w:val="20"/>
          <w:sz w:val="22"/>
          <w:szCs w:val="22"/>
          <w:highlight w:val="none"/>
        </w:rPr>
        <w:t>的</w:t>
      </w:r>
      <w:r>
        <w:rPr>
          <w:rFonts w:hint="eastAsia" w:ascii="新宋体" w:hAnsi="新宋体" w:eastAsia="新宋体" w:cs="新宋体"/>
          <w:color w:val="auto"/>
          <w:spacing w:val="20"/>
          <w:sz w:val="22"/>
          <w:szCs w:val="22"/>
          <w:highlight w:val="none"/>
          <w:u w:val="single"/>
        </w:rPr>
        <w:t>（项目名称）</w:t>
      </w:r>
      <w:r>
        <w:rPr>
          <w:rFonts w:hint="eastAsia" w:ascii="新宋体" w:hAnsi="新宋体" w:eastAsia="新宋体" w:cs="新宋体"/>
          <w:color w:val="auto"/>
          <w:spacing w:val="20"/>
          <w:sz w:val="22"/>
          <w:szCs w:val="22"/>
          <w:highlight w:val="none"/>
        </w:rPr>
        <w:t>采购活动，提供的货物全部由符合政策要求的中小企业制造。相关企业（含联合体中的中小企业、签订分包意向协议的中小企业）的具体情况如下：</w:t>
      </w:r>
    </w:p>
    <w:p w14:paraId="3337519A">
      <w:pPr>
        <w:spacing w:line="460" w:lineRule="exact"/>
        <w:ind w:firstLine="440" w:firstLineChars="200"/>
        <w:rPr>
          <w:rFonts w:ascii="新宋体" w:hAnsi="新宋体" w:eastAsia="新宋体" w:cs="新宋体"/>
          <w:color w:val="auto"/>
          <w:spacing w:val="20"/>
          <w:sz w:val="22"/>
          <w:szCs w:val="22"/>
          <w:highlight w:val="none"/>
        </w:rPr>
      </w:pPr>
      <w:r>
        <w:rPr>
          <w:rFonts w:hint="eastAsia" w:ascii="新宋体" w:hAnsi="新宋体" w:eastAsia="新宋体" w:cs="新宋体"/>
          <w:color w:val="auto"/>
          <w:sz w:val="22"/>
          <w:szCs w:val="22"/>
          <w:highlight w:val="none"/>
          <w:lang w:val="zh-CN"/>
        </w:rPr>
        <w:t>1.</w:t>
      </w:r>
      <w:r>
        <w:rPr>
          <w:rFonts w:hint="eastAsia" w:ascii="新宋体" w:hAnsi="新宋体" w:eastAsia="新宋体" w:cs="新宋体"/>
          <w:color w:val="auto"/>
          <w:sz w:val="22"/>
          <w:szCs w:val="22"/>
          <w:highlight w:val="none"/>
          <w:u w:val="single"/>
          <w:lang w:val="zh-CN"/>
        </w:rPr>
        <w:t>（标的名称）</w:t>
      </w:r>
      <w:r>
        <w:rPr>
          <w:rFonts w:hint="eastAsia" w:ascii="新宋体" w:hAnsi="新宋体" w:eastAsia="新宋体" w:cs="新宋体"/>
          <w:color w:val="auto"/>
          <w:sz w:val="22"/>
          <w:szCs w:val="22"/>
          <w:highlight w:val="none"/>
          <w:lang w:val="zh-CN"/>
        </w:rPr>
        <w:t xml:space="preserve"> ，属于</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pacing w:val="20"/>
          <w:sz w:val="22"/>
          <w:szCs w:val="22"/>
          <w:highlight w:val="none"/>
        </w:rPr>
        <w:t>行业；制造商为</w:t>
      </w:r>
      <w:r>
        <w:rPr>
          <w:rFonts w:hint="eastAsia" w:ascii="新宋体" w:hAnsi="新宋体" w:eastAsia="新宋体" w:cs="新宋体"/>
          <w:color w:val="auto"/>
          <w:spacing w:val="20"/>
          <w:sz w:val="22"/>
          <w:szCs w:val="22"/>
          <w:highlight w:val="none"/>
          <w:u w:val="single"/>
        </w:rPr>
        <w:t>（企业名称），</w:t>
      </w:r>
      <w:r>
        <w:rPr>
          <w:rFonts w:hint="eastAsia" w:ascii="新宋体" w:hAnsi="新宋体" w:eastAsia="新宋体" w:cs="新宋体"/>
          <w:color w:val="auto"/>
          <w:spacing w:val="20"/>
          <w:sz w:val="22"/>
          <w:szCs w:val="22"/>
          <w:highlight w:val="none"/>
        </w:rPr>
        <w:t>从业人员</w:t>
      </w:r>
      <w:r>
        <w:rPr>
          <w:rFonts w:hint="eastAsia" w:ascii="新宋体" w:hAnsi="新宋体" w:eastAsia="新宋体" w:cs="新宋体"/>
          <w:color w:val="auto"/>
          <w:spacing w:val="20"/>
          <w:sz w:val="22"/>
          <w:szCs w:val="22"/>
          <w:highlight w:val="none"/>
          <w:u w:val="single"/>
        </w:rPr>
        <w:t xml:space="preserve">    </w:t>
      </w:r>
      <w:r>
        <w:rPr>
          <w:rFonts w:hint="eastAsia" w:ascii="新宋体" w:hAnsi="新宋体" w:eastAsia="新宋体" w:cs="新宋体"/>
          <w:color w:val="auto"/>
          <w:spacing w:val="20"/>
          <w:sz w:val="22"/>
          <w:szCs w:val="22"/>
          <w:highlight w:val="none"/>
        </w:rPr>
        <w:t>人，营业收入为</w:t>
      </w:r>
      <w:r>
        <w:rPr>
          <w:rFonts w:hint="eastAsia" w:ascii="新宋体" w:hAnsi="新宋体" w:eastAsia="新宋体" w:cs="新宋体"/>
          <w:color w:val="auto"/>
          <w:spacing w:val="20"/>
          <w:sz w:val="22"/>
          <w:szCs w:val="22"/>
          <w:highlight w:val="none"/>
          <w:u w:val="single"/>
        </w:rPr>
        <w:t xml:space="preserve">     </w:t>
      </w:r>
      <w:r>
        <w:rPr>
          <w:rFonts w:hint="eastAsia" w:ascii="新宋体" w:hAnsi="新宋体" w:eastAsia="新宋体" w:cs="新宋体"/>
          <w:color w:val="auto"/>
          <w:spacing w:val="20"/>
          <w:sz w:val="22"/>
          <w:szCs w:val="22"/>
          <w:highlight w:val="none"/>
        </w:rPr>
        <w:t>万元，资产总额为</w:t>
      </w:r>
      <w:r>
        <w:rPr>
          <w:rFonts w:hint="eastAsia" w:ascii="新宋体" w:hAnsi="新宋体" w:eastAsia="新宋体" w:cs="新宋体"/>
          <w:color w:val="auto"/>
          <w:spacing w:val="20"/>
          <w:sz w:val="22"/>
          <w:szCs w:val="22"/>
          <w:highlight w:val="none"/>
          <w:u w:val="single"/>
        </w:rPr>
        <w:t xml:space="preserve">    </w:t>
      </w:r>
      <w:r>
        <w:rPr>
          <w:rFonts w:hint="eastAsia" w:ascii="新宋体" w:hAnsi="新宋体" w:eastAsia="新宋体" w:cs="新宋体"/>
          <w:color w:val="auto"/>
          <w:spacing w:val="20"/>
          <w:sz w:val="22"/>
          <w:szCs w:val="22"/>
          <w:highlight w:val="none"/>
        </w:rPr>
        <w:t>万元，属于</w:t>
      </w:r>
      <w:r>
        <w:rPr>
          <w:rFonts w:hint="eastAsia" w:ascii="新宋体" w:hAnsi="新宋体" w:eastAsia="新宋体" w:cs="新宋体"/>
          <w:color w:val="auto"/>
          <w:spacing w:val="20"/>
          <w:sz w:val="22"/>
          <w:szCs w:val="22"/>
          <w:highlight w:val="none"/>
          <w:u w:val="single"/>
        </w:rPr>
        <w:t>（中型企业、小型企业、微型企业）</w:t>
      </w:r>
      <w:r>
        <w:rPr>
          <w:rFonts w:hint="eastAsia" w:ascii="新宋体" w:hAnsi="新宋体" w:eastAsia="新宋体" w:cs="新宋体"/>
          <w:color w:val="auto"/>
          <w:spacing w:val="20"/>
          <w:sz w:val="22"/>
          <w:szCs w:val="22"/>
          <w:highlight w:val="none"/>
        </w:rPr>
        <w:t>；</w:t>
      </w:r>
    </w:p>
    <w:p w14:paraId="059E73D1">
      <w:pPr>
        <w:spacing w:line="460" w:lineRule="exact"/>
        <w:ind w:firstLine="520" w:firstLineChars="200"/>
        <w:rPr>
          <w:rFonts w:ascii="新宋体" w:hAnsi="新宋体" w:eastAsia="新宋体" w:cs="新宋体"/>
          <w:color w:val="auto"/>
          <w:spacing w:val="20"/>
          <w:sz w:val="22"/>
          <w:szCs w:val="22"/>
          <w:highlight w:val="none"/>
        </w:rPr>
      </w:pPr>
      <w:r>
        <w:rPr>
          <w:rFonts w:hint="eastAsia" w:ascii="新宋体" w:hAnsi="新宋体" w:eastAsia="新宋体" w:cs="新宋体"/>
          <w:color w:val="auto"/>
          <w:spacing w:val="20"/>
          <w:sz w:val="22"/>
          <w:szCs w:val="22"/>
          <w:highlight w:val="none"/>
        </w:rPr>
        <w:t>2.</w:t>
      </w:r>
      <w:r>
        <w:rPr>
          <w:rFonts w:hint="eastAsia" w:ascii="新宋体" w:hAnsi="新宋体" w:eastAsia="新宋体" w:cs="新宋体"/>
          <w:color w:val="auto"/>
          <w:spacing w:val="20"/>
          <w:sz w:val="22"/>
          <w:szCs w:val="22"/>
          <w:highlight w:val="none"/>
          <w:u w:val="single"/>
        </w:rPr>
        <w:t>（标的名称）</w:t>
      </w:r>
      <w:r>
        <w:rPr>
          <w:rFonts w:hint="eastAsia" w:ascii="新宋体" w:hAnsi="新宋体" w:eastAsia="新宋体" w:cs="新宋体"/>
          <w:color w:val="auto"/>
          <w:spacing w:val="20"/>
          <w:sz w:val="22"/>
          <w:szCs w:val="22"/>
          <w:highlight w:val="none"/>
        </w:rPr>
        <w:t xml:space="preserve"> ，属于</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pacing w:val="20"/>
          <w:sz w:val="22"/>
          <w:szCs w:val="22"/>
          <w:highlight w:val="none"/>
        </w:rPr>
        <w:t>行业；制造商为（企业名称），从业人员</w:t>
      </w:r>
      <w:r>
        <w:rPr>
          <w:rFonts w:hint="eastAsia" w:ascii="新宋体" w:hAnsi="新宋体" w:eastAsia="新宋体" w:cs="新宋体"/>
          <w:color w:val="auto"/>
          <w:spacing w:val="20"/>
          <w:sz w:val="22"/>
          <w:szCs w:val="22"/>
          <w:highlight w:val="none"/>
          <w:u w:val="single"/>
        </w:rPr>
        <w:t xml:space="preserve">   </w:t>
      </w:r>
      <w:r>
        <w:rPr>
          <w:rFonts w:hint="eastAsia" w:ascii="新宋体" w:hAnsi="新宋体" w:eastAsia="新宋体" w:cs="新宋体"/>
          <w:color w:val="auto"/>
          <w:spacing w:val="20"/>
          <w:sz w:val="22"/>
          <w:szCs w:val="22"/>
          <w:highlight w:val="none"/>
        </w:rPr>
        <w:t>人，营业收入为</w:t>
      </w:r>
      <w:r>
        <w:rPr>
          <w:rFonts w:hint="eastAsia" w:ascii="新宋体" w:hAnsi="新宋体" w:eastAsia="新宋体" w:cs="新宋体"/>
          <w:color w:val="auto"/>
          <w:spacing w:val="20"/>
          <w:sz w:val="22"/>
          <w:szCs w:val="22"/>
          <w:highlight w:val="none"/>
          <w:u w:val="single"/>
        </w:rPr>
        <w:t xml:space="preserve">     </w:t>
      </w:r>
      <w:r>
        <w:rPr>
          <w:rFonts w:hint="eastAsia" w:ascii="新宋体" w:hAnsi="新宋体" w:eastAsia="新宋体" w:cs="新宋体"/>
          <w:color w:val="auto"/>
          <w:spacing w:val="20"/>
          <w:sz w:val="22"/>
          <w:szCs w:val="22"/>
          <w:highlight w:val="none"/>
        </w:rPr>
        <w:t>万元，资产总额为</w:t>
      </w:r>
      <w:r>
        <w:rPr>
          <w:rFonts w:hint="eastAsia" w:ascii="新宋体" w:hAnsi="新宋体" w:eastAsia="新宋体" w:cs="新宋体"/>
          <w:color w:val="auto"/>
          <w:spacing w:val="20"/>
          <w:sz w:val="22"/>
          <w:szCs w:val="22"/>
          <w:highlight w:val="none"/>
          <w:u w:val="single"/>
        </w:rPr>
        <w:t xml:space="preserve">    </w:t>
      </w:r>
      <w:r>
        <w:rPr>
          <w:rFonts w:hint="eastAsia" w:ascii="新宋体" w:hAnsi="新宋体" w:eastAsia="新宋体" w:cs="新宋体"/>
          <w:color w:val="auto"/>
          <w:spacing w:val="20"/>
          <w:sz w:val="22"/>
          <w:szCs w:val="22"/>
          <w:highlight w:val="none"/>
        </w:rPr>
        <w:t>万元，属于</w:t>
      </w:r>
      <w:r>
        <w:rPr>
          <w:rFonts w:hint="eastAsia" w:ascii="新宋体" w:hAnsi="新宋体" w:eastAsia="新宋体" w:cs="新宋体"/>
          <w:color w:val="auto"/>
          <w:spacing w:val="20"/>
          <w:sz w:val="22"/>
          <w:szCs w:val="22"/>
          <w:highlight w:val="none"/>
          <w:u w:val="single"/>
        </w:rPr>
        <w:t>（中型企业、小型企业、微型企业）</w:t>
      </w:r>
      <w:r>
        <w:rPr>
          <w:rFonts w:hint="eastAsia" w:ascii="新宋体" w:hAnsi="新宋体" w:eastAsia="新宋体" w:cs="新宋体"/>
          <w:color w:val="auto"/>
          <w:spacing w:val="20"/>
          <w:sz w:val="22"/>
          <w:szCs w:val="22"/>
          <w:highlight w:val="none"/>
        </w:rPr>
        <w:t>；</w:t>
      </w:r>
    </w:p>
    <w:p w14:paraId="076B5F18">
      <w:pPr>
        <w:spacing w:line="460" w:lineRule="exact"/>
        <w:ind w:firstLine="520" w:firstLineChars="200"/>
        <w:rPr>
          <w:rFonts w:ascii="新宋体" w:hAnsi="新宋体" w:eastAsia="新宋体" w:cs="新宋体"/>
          <w:color w:val="auto"/>
          <w:spacing w:val="20"/>
          <w:sz w:val="22"/>
          <w:szCs w:val="22"/>
          <w:highlight w:val="none"/>
        </w:rPr>
      </w:pPr>
      <w:r>
        <w:rPr>
          <w:rFonts w:hint="eastAsia" w:ascii="新宋体" w:hAnsi="新宋体" w:eastAsia="新宋体" w:cs="新宋体"/>
          <w:color w:val="auto"/>
          <w:spacing w:val="20"/>
          <w:sz w:val="22"/>
          <w:szCs w:val="22"/>
          <w:highlight w:val="none"/>
        </w:rPr>
        <w:t>……</w:t>
      </w:r>
    </w:p>
    <w:p w14:paraId="6B04E73A">
      <w:pPr>
        <w:spacing w:line="460" w:lineRule="exact"/>
        <w:ind w:firstLine="520" w:firstLineChars="200"/>
        <w:rPr>
          <w:rFonts w:ascii="新宋体" w:hAnsi="新宋体" w:eastAsia="新宋体" w:cs="新宋体"/>
          <w:color w:val="auto"/>
          <w:spacing w:val="20"/>
          <w:sz w:val="22"/>
          <w:szCs w:val="22"/>
          <w:highlight w:val="none"/>
        </w:rPr>
      </w:pPr>
      <w:r>
        <w:rPr>
          <w:rFonts w:hint="eastAsia" w:ascii="新宋体" w:hAnsi="新宋体" w:eastAsia="新宋体" w:cs="新宋体"/>
          <w:color w:val="auto"/>
          <w:spacing w:val="20"/>
          <w:sz w:val="22"/>
          <w:szCs w:val="22"/>
          <w:highlight w:val="none"/>
        </w:rPr>
        <w:t>以上企业，不属于大企业的分支机构，不存在控股股东为大企业的情形，也不存在与大企业的负责人为同一人的情形。</w:t>
      </w:r>
    </w:p>
    <w:p w14:paraId="1E23DE3D">
      <w:pPr>
        <w:spacing w:line="460" w:lineRule="exact"/>
        <w:ind w:firstLine="520" w:firstLineChars="200"/>
        <w:rPr>
          <w:rFonts w:ascii="新宋体" w:hAnsi="新宋体" w:eastAsia="新宋体" w:cs="新宋体"/>
          <w:color w:val="auto"/>
          <w:sz w:val="22"/>
          <w:szCs w:val="22"/>
          <w:highlight w:val="none"/>
        </w:rPr>
      </w:pPr>
      <w:r>
        <w:rPr>
          <w:rFonts w:hint="eastAsia" w:ascii="新宋体" w:hAnsi="新宋体" w:eastAsia="新宋体" w:cs="新宋体"/>
          <w:color w:val="auto"/>
          <w:spacing w:val="20"/>
          <w:sz w:val="22"/>
          <w:szCs w:val="22"/>
          <w:highlight w:val="none"/>
        </w:rPr>
        <w:t>本企业对上述声明内容的真实性负责。如有虚假，将依法承担相应责任。</w:t>
      </w:r>
    </w:p>
    <w:p w14:paraId="072E6548">
      <w:pPr>
        <w:spacing w:line="460" w:lineRule="exact"/>
        <w:ind w:firstLine="4420" w:firstLineChars="1700"/>
        <w:rPr>
          <w:rFonts w:ascii="新宋体" w:hAnsi="新宋体" w:eastAsia="新宋体" w:cs="新宋体"/>
          <w:color w:val="auto"/>
          <w:spacing w:val="20"/>
          <w:sz w:val="22"/>
          <w:szCs w:val="22"/>
          <w:highlight w:val="none"/>
        </w:rPr>
      </w:pPr>
      <w:r>
        <w:rPr>
          <w:rFonts w:hint="eastAsia" w:ascii="新宋体" w:hAnsi="新宋体" w:eastAsia="新宋体" w:cs="新宋体"/>
          <w:color w:val="auto"/>
          <w:spacing w:val="20"/>
          <w:sz w:val="22"/>
          <w:szCs w:val="22"/>
          <w:highlight w:val="none"/>
        </w:rPr>
        <w:t>企业名称（盖章）：</w:t>
      </w:r>
    </w:p>
    <w:p w14:paraId="08367AD8">
      <w:pPr>
        <w:spacing w:line="460" w:lineRule="exact"/>
        <w:ind w:firstLine="4420" w:firstLineChars="1700"/>
        <w:rPr>
          <w:rFonts w:ascii="新宋体" w:hAnsi="新宋体" w:eastAsia="新宋体" w:cs="新宋体"/>
          <w:color w:val="auto"/>
          <w:spacing w:val="20"/>
          <w:sz w:val="22"/>
          <w:szCs w:val="22"/>
          <w:highlight w:val="none"/>
        </w:rPr>
      </w:pPr>
      <w:r>
        <w:rPr>
          <w:rFonts w:hint="eastAsia" w:ascii="新宋体" w:hAnsi="新宋体" w:eastAsia="新宋体" w:cs="新宋体"/>
          <w:color w:val="auto"/>
          <w:spacing w:val="20"/>
          <w:sz w:val="22"/>
          <w:szCs w:val="22"/>
          <w:highlight w:val="none"/>
        </w:rPr>
        <w:t>日 期：</w:t>
      </w:r>
    </w:p>
    <w:p w14:paraId="4586752E">
      <w:pPr>
        <w:rPr>
          <w:rFonts w:ascii="新宋体" w:hAnsi="新宋体" w:eastAsia="新宋体" w:cs="新宋体"/>
          <w:color w:val="auto"/>
          <w:spacing w:val="20"/>
          <w:sz w:val="22"/>
          <w:szCs w:val="22"/>
          <w:highlight w:val="none"/>
        </w:rPr>
      </w:pPr>
    </w:p>
    <w:p w14:paraId="0C54F35D">
      <w:pPr>
        <w:rPr>
          <w:rFonts w:hint="eastAsia" w:ascii="新宋体" w:hAnsi="新宋体" w:eastAsia="新宋体" w:cs="新宋体"/>
          <w:b/>
          <w:bCs/>
          <w:color w:val="auto"/>
          <w:sz w:val="24"/>
          <w:highlight w:val="none"/>
          <w:lang w:eastAsia="zh-CN"/>
        </w:rPr>
      </w:pPr>
      <w:r>
        <w:rPr>
          <w:rFonts w:hint="eastAsia" w:ascii="新宋体" w:hAnsi="新宋体" w:eastAsia="新宋体" w:cs="新宋体"/>
          <w:b/>
          <w:bCs/>
          <w:color w:val="auto"/>
          <w:sz w:val="24"/>
          <w:highlight w:val="none"/>
          <w:lang w:eastAsia="zh-CN"/>
        </w:rPr>
        <w:br w:type="page"/>
      </w:r>
    </w:p>
    <w:p w14:paraId="7725497F">
      <w:pPr>
        <w:spacing w:line="460" w:lineRule="exact"/>
        <w:outlineLvl w:val="4"/>
        <w:rPr>
          <w:rFonts w:ascii="新宋体" w:hAnsi="新宋体" w:eastAsia="新宋体" w:cs="新宋体"/>
          <w:b/>
          <w:bCs/>
          <w:color w:val="auto"/>
          <w:sz w:val="24"/>
          <w:highlight w:val="none"/>
        </w:rPr>
      </w:pPr>
      <w:r>
        <w:rPr>
          <w:rFonts w:hint="eastAsia" w:ascii="新宋体" w:hAnsi="新宋体" w:eastAsia="新宋体" w:cs="新宋体"/>
          <w:b/>
          <w:bCs/>
          <w:color w:val="auto"/>
          <w:sz w:val="24"/>
          <w:highlight w:val="none"/>
          <w:lang w:eastAsia="zh-CN"/>
        </w:rPr>
        <w:t>（</w:t>
      </w:r>
      <w:r>
        <w:rPr>
          <w:rFonts w:hint="eastAsia" w:ascii="新宋体" w:hAnsi="新宋体" w:eastAsia="新宋体" w:cs="新宋体"/>
          <w:b/>
          <w:bCs/>
          <w:color w:val="auto"/>
          <w:sz w:val="24"/>
          <w:highlight w:val="none"/>
          <w:lang w:val="en-US" w:eastAsia="zh-CN"/>
        </w:rPr>
        <w:t>2</w:t>
      </w:r>
      <w:r>
        <w:rPr>
          <w:rFonts w:hint="eastAsia" w:ascii="新宋体" w:hAnsi="新宋体" w:eastAsia="新宋体" w:cs="新宋体"/>
          <w:b/>
          <w:bCs/>
          <w:color w:val="auto"/>
          <w:sz w:val="24"/>
          <w:highlight w:val="none"/>
          <w:lang w:eastAsia="zh-CN"/>
        </w:rPr>
        <w:t>）</w:t>
      </w:r>
      <w:r>
        <w:rPr>
          <w:rFonts w:hint="eastAsia" w:ascii="新宋体" w:hAnsi="新宋体" w:eastAsia="新宋体" w:cs="新宋体"/>
          <w:b/>
          <w:bCs/>
          <w:color w:val="auto"/>
          <w:sz w:val="24"/>
          <w:highlight w:val="none"/>
        </w:rPr>
        <w:t>监狱企业的相关证明材料</w:t>
      </w:r>
    </w:p>
    <w:p w14:paraId="42492125">
      <w:pPr>
        <w:spacing w:line="460" w:lineRule="exact"/>
        <w:ind w:firstLine="466" w:firstLineChars="200"/>
        <w:rPr>
          <w:rFonts w:ascii="新宋体" w:hAnsi="新宋体" w:eastAsia="新宋体" w:cs="新宋体"/>
          <w:b/>
          <w:bCs/>
          <w:color w:val="auto"/>
          <w:sz w:val="22"/>
          <w:szCs w:val="22"/>
          <w:highlight w:val="none"/>
          <w:u w:val="single"/>
          <w:lang w:val="zh-CN"/>
        </w:rPr>
      </w:pPr>
      <w:r>
        <w:rPr>
          <w:rFonts w:hint="eastAsia" w:ascii="新宋体" w:hAnsi="新宋体" w:eastAsia="新宋体" w:cs="新宋体"/>
          <w:b/>
          <w:color w:val="auto"/>
          <w:spacing w:val="6"/>
          <w:sz w:val="22"/>
          <w:szCs w:val="22"/>
          <w:highlight w:val="none"/>
        </w:rPr>
        <w:t>需提供相关证明材料，</w:t>
      </w:r>
      <w:r>
        <w:rPr>
          <w:rFonts w:hint="eastAsia" w:ascii="新宋体" w:hAnsi="新宋体" w:eastAsia="新宋体" w:cs="新宋体"/>
          <w:b/>
          <w:bCs/>
          <w:color w:val="auto"/>
          <w:sz w:val="22"/>
          <w:szCs w:val="22"/>
          <w:highlight w:val="none"/>
          <w:u w:val="single"/>
          <w:lang w:val="zh-CN"/>
        </w:rPr>
        <w:t>未提供证明材料或不能清楚辨析</w:t>
      </w:r>
      <w:r>
        <w:rPr>
          <w:rFonts w:hint="eastAsia" w:ascii="新宋体" w:hAnsi="新宋体" w:eastAsia="新宋体" w:cs="新宋体"/>
          <w:b/>
          <w:bCs/>
          <w:color w:val="auto"/>
          <w:sz w:val="22"/>
          <w:szCs w:val="22"/>
          <w:highlight w:val="none"/>
          <w:u w:val="single"/>
        </w:rPr>
        <w:t>是监狱企业的按非监狱企业处理，所提供的证明材料应为最新的最近的</w:t>
      </w:r>
      <w:r>
        <w:rPr>
          <w:rFonts w:hint="eastAsia" w:ascii="新宋体" w:hAnsi="新宋体" w:eastAsia="新宋体" w:cs="新宋体"/>
          <w:b/>
          <w:bCs/>
          <w:color w:val="auto"/>
          <w:sz w:val="22"/>
          <w:szCs w:val="22"/>
          <w:highlight w:val="none"/>
          <w:u w:val="single"/>
          <w:lang w:val="zh-CN"/>
        </w:rPr>
        <w:t>。</w:t>
      </w:r>
    </w:p>
    <w:p w14:paraId="0D37B28E">
      <w:pPr>
        <w:adjustRightInd w:val="0"/>
        <w:snapToGrid w:val="0"/>
        <w:spacing w:line="300" w:lineRule="auto"/>
        <w:jc w:val="center"/>
        <w:rPr>
          <w:rFonts w:ascii="新宋体" w:hAnsi="新宋体" w:eastAsia="新宋体" w:cs="新宋体"/>
          <w:b/>
          <w:color w:val="auto"/>
          <w:spacing w:val="6"/>
          <w:sz w:val="22"/>
          <w:szCs w:val="22"/>
          <w:highlight w:val="none"/>
        </w:rPr>
      </w:pPr>
    </w:p>
    <w:p w14:paraId="28B2F0CE">
      <w:pPr>
        <w:adjustRightInd w:val="0"/>
        <w:snapToGrid w:val="0"/>
        <w:spacing w:line="300" w:lineRule="auto"/>
        <w:jc w:val="center"/>
        <w:rPr>
          <w:rFonts w:ascii="新宋体" w:hAnsi="新宋体" w:eastAsia="新宋体" w:cs="新宋体"/>
          <w:b/>
          <w:color w:val="auto"/>
          <w:spacing w:val="6"/>
          <w:sz w:val="22"/>
          <w:szCs w:val="22"/>
          <w:highlight w:val="none"/>
        </w:rPr>
      </w:pPr>
    </w:p>
    <w:p w14:paraId="4094D6D9">
      <w:pPr>
        <w:adjustRightInd w:val="0"/>
        <w:snapToGrid w:val="0"/>
        <w:spacing w:line="300" w:lineRule="auto"/>
        <w:jc w:val="center"/>
        <w:rPr>
          <w:rFonts w:ascii="新宋体" w:hAnsi="新宋体" w:eastAsia="新宋体" w:cs="新宋体"/>
          <w:b/>
          <w:color w:val="auto"/>
          <w:spacing w:val="6"/>
          <w:sz w:val="22"/>
          <w:szCs w:val="22"/>
          <w:highlight w:val="none"/>
        </w:rPr>
      </w:pPr>
    </w:p>
    <w:p w14:paraId="20567340">
      <w:pPr>
        <w:adjustRightInd w:val="0"/>
        <w:snapToGrid w:val="0"/>
        <w:spacing w:line="300" w:lineRule="auto"/>
        <w:jc w:val="center"/>
        <w:rPr>
          <w:rFonts w:ascii="新宋体" w:hAnsi="新宋体" w:eastAsia="新宋体" w:cs="新宋体"/>
          <w:color w:val="auto"/>
          <w:kern w:val="0"/>
          <w:sz w:val="22"/>
          <w:szCs w:val="22"/>
          <w:highlight w:val="none"/>
        </w:rPr>
      </w:pPr>
      <w:r>
        <w:rPr>
          <w:rFonts w:hint="eastAsia" w:ascii="新宋体" w:hAnsi="新宋体" w:eastAsia="新宋体" w:cs="新宋体"/>
          <w:b/>
          <w:color w:val="auto"/>
          <w:spacing w:val="6"/>
          <w:sz w:val="22"/>
          <w:szCs w:val="22"/>
          <w:highlight w:val="none"/>
        </w:rPr>
        <w:t>监狱企业声明函</w:t>
      </w:r>
    </w:p>
    <w:p w14:paraId="6895AB8F">
      <w:pPr>
        <w:snapToGrid w:val="0"/>
        <w:spacing w:line="460" w:lineRule="exact"/>
        <w:jc w:val="center"/>
        <w:rPr>
          <w:rFonts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【非监狱企业不用提供】</w:t>
      </w:r>
    </w:p>
    <w:p w14:paraId="48B2E1BE">
      <w:pPr>
        <w:snapToGrid w:val="0"/>
        <w:spacing w:line="460" w:lineRule="exact"/>
        <w:ind w:firstLine="464" w:firstLineChars="200"/>
        <w:rPr>
          <w:rFonts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 xml:space="preserve">本企业郑重声明，根据《关于政府采购支持监狱企业发展有关问题的通知》（财库[2014]68号）的规定，本企业为监狱企业。 </w:t>
      </w:r>
    </w:p>
    <w:p w14:paraId="10D9891D">
      <w:pPr>
        <w:snapToGrid w:val="0"/>
        <w:spacing w:line="460" w:lineRule="exact"/>
        <w:ind w:firstLine="464" w:firstLineChars="200"/>
        <w:rPr>
          <w:rFonts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根据上述标准，我企业属于监狱企业的理由为：</w:t>
      </w:r>
      <w:r>
        <w:rPr>
          <w:rFonts w:hint="eastAsia" w:ascii="新宋体" w:hAnsi="新宋体" w:eastAsia="新宋体" w:cs="新宋体"/>
          <w:color w:val="auto"/>
          <w:spacing w:val="6"/>
          <w:sz w:val="22"/>
          <w:szCs w:val="22"/>
          <w:highlight w:val="none"/>
          <w:u w:val="single"/>
        </w:rPr>
        <w:t xml:space="preserve">                                   </w:t>
      </w:r>
      <w:r>
        <w:rPr>
          <w:rFonts w:hint="eastAsia" w:ascii="新宋体" w:hAnsi="新宋体" w:eastAsia="新宋体" w:cs="新宋体"/>
          <w:color w:val="auto"/>
          <w:spacing w:val="6"/>
          <w:sz w:val="22"/>
          <w:szCs w:val="22"/>
          <w:highlight w:val="none"/>
        </w:rPr>
        <w:t xml:space="preserve">。 </w:t>
      </w:r>
    </w:p>
    <w:p w14:paraId="1059D7C4">
      <w:pPr>
        <w:snapToGrid w:val="0"/>
        <w:spacing w:line="460" w:lineRule="exact"/>
        <w:ind w:firstLine="464" w:firstLineChars="200"/>
        <w:rPr>
          <w:rFonts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本企业为参加（招标项目名称：</w:t>
      </w:r>
      <w:r>
        <w:rPr>
          <w:rFonts w:hint="eastAsia" w:ascii="新宋体" w:hAnsi="新宋体" w:eastAsia="新宋体" w:cs="新宋体"/>
          <w:color w:val="auto"/>
          <w:spacing w:val="6"/>
          <w:sz w:val="22"/>
          <w:szCs w:val="22"/>
          <w:highlight w:val="none"/>
          <w:u w:val="single"/>
        </w:rPr>
        <w:t xml:space="preserve">         </w:t>
      </w:r>
      <w:r>
        <w:rPr>
          <w:rFonts w:hint="eastAsia" w:ascii="新宋体" w:hAnsi="新宋体" w:eastAsia="新宋体" w:cs="新宋体"/>
          <w:color w:val="auto"/>
          <w:spacing w:val="6"/>
          <w:sz w:val="22"/>
          <w:szCs w:val="22"/>
          <w:highlight w:val="none"/>
        </w:rPr>
        <w:t>）（招标编号：</w:t>
      </w:r>
      <w:r>
        <w:rPr>
          <w:rFonts w:hint="eastAsia" w:ascii="新宋体" w:hAnsi="新宋体" w:eastAsia="新宋体" w:cs="新宋体"/>
          <w:color w:val="auto"/>
          <w:spacing w:val="6"/>
          <w:sz w:val="22"/>
          <w:szCs w:val="22"/>
          <w:highlight w:val="none"/>
          <w:u w:val="single"/>
        </w:rPr>
        <w:t xml:space="preserve">         </w:t>
      </w:r>
      <w:r>
        <w:rPr>
          <w:rFonts w:hint="eastAsia" w:ascii="新宋体" w:hAnsi="新宋体" w:eastAsia="新宋体" w:cs="新宋体"/>
          <w:color w:val="auto"/>
          <w:spacing w:val="6"/>
          <w:sz w:val="22"/>
          <w:szCs w:val="22"/>
          <w:highlight w:val="none"/>
        </w:rPr>
        <w:t xml:space="preserve">）采购活动并承担本工程。 </w:t>
      </w:r>
    </w:p>
    <w:p w14:paraId="6FDBBC71">
      <w:pPr>
        <w:snapToGrid w:val="0"/>
        <w:spacing w:line="460" w:lineRule="exact"/>
        <w:ind w:firstLine="464" w:firstLineChars="200"/>
        <w:rPr>
          <w:rFonts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 xml:space="preserve">本企业对上述声明的真实性负责。如有虚假，将依法承担相应责任。  </w:t>
      </w:r>
    </w:p>
    <w:p w14:paraId="1886FBE2">
      <w:pPr>
        <w:adjustRightInd w:val="0"/>
        <w:snapToGrid w:val="0"/>
        <w:spacing w:line="460" w:lineRule="exact"/>
        <w:ind w:firstLine="464" w:firstLineChars="200"/>
        <w:rPr>
          <w:rFonts w:ascii="新宋体" w:hAnsi="新宋体" w:eastAsia="新宋体" w:cs="新宋体"/>
          <w:color w:val="auto"/>
          <w:kern w:val="0"/>
          <w:sz w:val="22"/>
          <w:szCs w:val="22"/>
          <w:highlight w:val="none"/>
        </w:rPr>
      </w:pPr>
      <w:r>
        <w:rPr>
          <w:rFonts w:hint="eastAsia" w:ascii="新宋体" w:hAnsi="新宋体" w:eastAsia="新宋体" w:cs="新宋体"/>
          <w:color w:val="auto"/>
          <w:spacing w:val="6"/>
          <w:sz w:val="22"/>
          <w:szCs w:val="22"/>
          <w:highlight w:val="none"/>
        </w:rPr>
        <w:t>投标人全称（</w:t>
      </w:r>
      <w:r>
        <w:rPr>
          <w:rFonts w:hint="eastAsia" w:ascii="新宋体" w:hAnsi="新宋体" w:eastAsia="新宋体" w:cs="新宋体"/>
          <w:color w:val="auto"/>
          <w:kern w:val="0"/>
          <w:sz w:val="22"/>
          <w:szCs w:val="22"/>
          <w:highlight w:val="none"/>
        </w:rPr>
        <w:t>盖章）：</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 xml:space="preserve"> </w:t>
      </w:r>
    </w:p>
    <w:p w14:paraId="2DA497D1">
      <w:pPr>
        <w:adjustRightInd w:val="0"/>
        <w:snapToGrid w:val="0"/>
        <w:spacing w:line="460" w:lineRule="exact"/>
        <w:ind w:firstLine="464" w:firstLineChars="200"/>
        <w:rPr>
          <w:rFonts w:ascii="新宋体" w:hAnsi="新宋体" w:eastAsia="新宋体" w:cs="新宋体"/>
          <w:color w:val="auto"/>
          <w:kern w:val="0"/>
          <w:sz w:val="22"/>
          <w:szCs w:val="22"/>
          <w:highlight w:val="none"/>
        </w:rPr>
      </w:pPr>
      <w:r>
        <w:rPr>
          <w:rFonts w:hint="eastAsia" w:ascii="新宋体" w:hAnsi="新宋体" w:eastAsia="新宋体" w:cs="新宋体"/>
          <w:color w:val="auto"/>
          <w:spacing w:val="6"/>
          <w:sz w:val="22"/>
          <w:szCs w:val="22"/>
          <w:highlight w:val="none"/>
        </w:rPr>
        <w:t xml:space="preserve">日期：    年    月 </w:t>
      </w:r>
      <w:r>
        <w:rPr>
          <w:rFonts w:hint="eastAsia" w:ascii="新宋体" w:hAnsi="新宋体" w:eastAsia="新宋体" w:cs="新宋体"/>
          <w:color w:val="auto"/>
          <w:kern w:val="0"/>
          <w:sz w:val="22"/>
          <w:szCs w:val="22"/>
          <w:highlight w:val="none"/>
        </w:rPr>
        <w:t xml:space="preserve">  日 </w:t>
      </w:r>
    </w:p>
    <w:p w14:paraId="3896F2DC">
      <w:pPr>
        <w:snapToGrid w:val="0"/>
        <w:spacing w:line="460" w:lineRule="exact"/>
        <w:ind w:firstLine="464" w:firstLineChars="200"/>
        <w:rPr>
          <w:rFonts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 xml:space="preserve">监狱企业参加政府采购活动时，应当提供由省级以上监狱管理局、戒毒管理局（含新疆生产建设兵团）出具的属于监狱企业的证明文件。 </w:t>
      </w:r>
    </w:p>
    <w:p w14:paraId="2C78CD2F">
      <w:pPr>
        <w:adjustRightInd w:val="0"/>
        <w:snapToGrid w:val="0"/>
        <w:spacing w:line="460" w:lineRule="exact"/>
        <w:ind w:firstLine="464" w:firstLineChars="200"/>
        <w:rPr>
          <w:rFonts w:ascii="新宋体" w:hAnsi="新宋体" w:eastAsia="新宋体" w:cs="新宋体"/>
          <w:color w:val="auto"/>
          <w:kern w:val="0"/>
          <w:sz w:val="22"/>
          <w:szCs w:val="22"/>
          <w:highlight w:val="none"/>
        </w:rPr>
      </w:pPr>
      <w:r>
        <w:rPr>
          <w:rFonts w:hint="eastAsia" w:ascii="新宋体" w:hAnsi="新宋体" w:eastAsia="新宋体" w:cs="新宋体"/>
          <w:color w:val="auto"/>
          <w:spacing w:val="6"/>
          <w:sz w:val="22"/>
          <w:szCs w:val="22"/>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73AFB415">
      <w:pPr>
        <w:spacing w:line="460" w:lineRule="exact"/>
        <w:rPr>
          <w:rFonts w:ascii="新宋体" w:hAnsi="新宋体" w:eastAsia="新宋体" w:cs="新宋体"/>
          <w:color w:val="auto"/>
          <w:spacing w:val="20"/>
          <w:sz w:val="22"/>
          <w:szCs w:val="22"/>
          <w:highlight w:val="none"/>
        </w:rPr>
      </w:pPr>
    </w:p>
    <w:p w14:paraId="223DE647">
      <w:pPr>
        <w:spacing w:line="460" w:lineRule="exact"/>
        <w:rPr>
          <w:rFonts w:ascii="新宋体" w:hAnsi="新宋体" w:eastAsia="新宋体" w:cs="新宋体"/>
          <w:color w:val="auto"/>
          <w:spacing w:val="20"/>
          <w:sz w:val="22"/>
          <w:szCs w:val="22"/>
          <w:highlight w:val="none"/>
        </w:rPr>
      </w:pPr>
    </w:p>
    <w:p w14:paraId="7E71316A">
      <w:pPr>
        <w:spacing w:line="380" w:lineRule="exact"/>
        <w:rPr>
          <w:rFonts w:ascii="新宋体" w:hAnsi="新宋体" w:eastAsia="新宋体" w:cs="新宋体"/>
          <w:color w:val="auto"/>
          <w:sz w:val="22"/>
          <w:szCs w:val="22"/>
          <w:highlight w:val="none"/>
        </w:rPr>
      </w:pPr>
    </w:p>
    <w:p w14:paraId="6551CB87">
      <w:pPr>
        <w:spacing w:line="380" w:lineRule="exact"/>
        <w:rPr>
          <w:rFonts w:ascii="新宋体" w:hAnsi="新宋体" w:eastAsia="新宋体" w:cs="新宋体"/>
          <w:color w:val="auto"/>
          <w:sz w:val="22"/>
          <w:szCs w:val="22"/>
          <w:highlight w:val="none"/>
        </w:rPr>
      </w:pPr>
    </w:p>
    <w:p w14:paraId="2A176193">
      <w:pPr>
        <w:spacing w:line="380" w:lineRule="exact"/>
        <w:rPr>
          <w:rFonts w:ascii="新宋体" w:hAnsi="新宋体" w:eastAsia="新宋体" w:cs="新宋体"/>
          <w:color w:val="auto"/>
          <w:sz w:val="22"/>
          <w:szCs w:val="22"/>
          <w:highlight w:val="none"/>
        </w:rPr>
      </w:pPr>
    </w:p>
    <w:p w14:paraId="656B02C2">
      <w:pPr>
        <w:spacing w:line="380" w:lineRule="exact"/>
        <w:rPr>
          <w:rFonts w:ascii="新宋体" w:hAnsi="新宋体" w:eastAsia="新宋体" w:cs="新宋体"/>
          <w:color w:val="auto"/>
          <w:sz w:val="22"/>
          <w:szCs w:val="22"/>
          <w:highlight w:val="none"/>
        </w:rPr>
      </w:pPr>
    </w:p>
    <w:p w14:paraId="6F8B0E90">
      <w:pPr>
        <w:spacing w:line="380" w:lineRule="exact"/>
        <w:rPr>
          <w:rFonts w:ascii="新宋体" w:hAnsi="新宋体" w:eastAsia="新宋体" w:cs="新宋体"/>
          <w:color w:val="auto"/>
          <w:sz w:val="22"/>
          <w:szCs w:val="22"/>
          <w:highlight w:val="none"/>
        </w:rPr>
      </w:pPr>
    </w:p>
    <w:p w14:paraId="1A894E7F">
      <w:pPr>
        <w:spacing w:line="380" w:lineRule="exact"/>
        <w:rPr>
          <w:rFonts w:ascii="新宋体" w:hAnsi="新宋体" w:eastAsia="新宋体" w:cs="新宋体"/>
          <w:color w:val="auto"/>
          <w:sz w:val="22"/>
          <w:szCs w:val="22"/>
          <w:highlight w:val="none"/>
        </w:rPr>
      </w:pPr>
    </w:p>
    <w:p w14:paraId="098304F8">
      <w:pPr>
        <w:spacing w:line="380" w:lineRule="exact"/>
        <w:rPr>
          <w:rFonts w:ascii="新宋体" w:hAnsi="新宋体" w:eastAsia="新宋体" w:cs="新宋体"/>
          <w:color w:val="auto"/>
          <w:sz w:val="22"/>
          <w:szCs w:val="22"/>
          <w:highlight w:val="none"/>
        </w:rPr>
      </w:pPr>
    </w:p>
    <w:p w14:paraId="4434EB26">
      <w:pPr>
        <w:spacing w:line="380" w:lineRule="exact"/>
        <w:rPr>
          <w:rFonts w:ascii="新宋体" w:hAnsi="新宋体" w:eastAsia="新宋体" w:cs="新宋体"/>
          <w:color w:val="auto"/>
          <w:sz w:val="22"/>
          <w:szCs w:val="22"/>
          <w:highlight w:val="none"/>
        </w:rPr>
      </w:pPr>
    </w:p>
    <w:p w14:paraId="689252D9">
      <w:pPr>
        <w:pStyle w:val="22"/>
        <w:rPr>
          <w:rFonts w:ascii="新宋体" w:hAnsi="新宋体" w:eastAsia="新宋体" w:cs="新宋体"/>
          <w:color w:val="auto"/>
          <w:highlight w:val="none"/>
        </w:rPr>
      </w:pPr>
    </w:p>
    <w:p w14:paraId="36581A96">
      <w:pPr>
        <w:pStyle w:val="22"/>
        <w:rPr>
          <w:rFonts w:ascii="新宋体" w:hAnsi="新宋体" w:eastAsia="新宋体" w:cs="新宋体"/>
          <w:color w:val="auto"/>
          <w:highlight w:val="none"/>
        </w:rPr>
      </w:pPr>
    </w:p>
    <w:p w14:paraId="1594AB21">
      <w:pPr>
        <w:spacing w:line="460" w:lineRule="exact"/>
        <w:outlineLvl w:val="4"/>
        <w:rPr>
          <w:rFonts w:ascii="新宋体" w:hAnsi="新宋体" w:eastAsia="新宋体" w:cs="新宋体"/>
          <w:b/>
          <w:bCs/>
          <w:color w:val="auto"/>
          <w:sz w:val="24"/>
          <w:highlight w:val="none"/>
        </w:rPr>
      </w:pPr>
      <w:r>
        <w:rPr>
          <w:rFonts w:hint="eastAsia" w:ascii="新宋体" w:hAnsi="新宋体" w:eastAsia="新宋体" w:cs="新宋体"/>
          <w:b/>
          <w:bCs/>
          <w:color w:val="auto"/>
          <w:sz w:val="24"/>
          <w:highlight w:val="none"/>
          <w:lang w:eastAsia="zh-CN"/>
        </w:rPr>
        <w:t>（</w:t>
      </w:r>
      <w:r>
        <w:rPr>
          <w:rFonts w:hint="eastAsia" w:ascii="新宋体" w:hAnsi="新宋体" w:eastAsia="新宋体" w:cs="新宋体"/>
          <w:b/>
          <w:bCs/>
          <w:color w:val="auto"/>
          <w:sz w:val="24"/>
          <w:highlight w:val="none"/>
          <w:lang w:val="en-US" w:eastAsia="zh-CN"/>
        </w:rPr>
        <w:t>3</w:t>
      </w:r>
      <w:r>
        <w:rPr>
          <w:rFonts w:hint="eastAsia" w:ascii="新宋体" w:hAnsi="新宋体" w:eastAsia="新宋体" w:cs="新宋体"/>
          <w:b/>
          <w:bCs/>
          <w:color w:val="auto"/>
          <w:sz w:val="24"/>
          <w:highlight w:val="none"/>
          <w:lang w:eastAsia="zh-CN"/>
        </w:rPr>
        <w:t>）</w:t>
      </w:r>
      <w:r>
        <w:rPr>
          <w:rFonts w:hint="eastAsia" w:ascii="新宋体" w:hAnsi="新宋体" w:eastAsia="新宋体" w:cs="新宋体"/>
          <w:b/>
          <w:bCs/>
          <w:color w:val="auto"/>
          <w:sz w:val="24"/>
          <w:highlight w:val="none"/>
        </w:rPr>
        <w:t>残疾人福利性单位的相关证明材料</w:t>
      </w:r>
    </w:p>
    <w:p w14:paraId="5A963FA0">
      <w:pPr>
        <w:spacing w:line="460" w:lineRule="exact"/>
        <w:ind w:firstLine="520" w:firstLineChars="200"/>
        <w:rPr>
          <w:rFonts w:ascii="新宋体" w:hAnsi="新宋体" w:eastAsia="新宋体" w:cs="新宋体"/>
          <w:color w:val="auto"/>
          <w:spacing w:val="20"/>
          <w:sz w:val="22"/>
          <w:szCs w:val="22"/>
          <w:highlight w:val="none"/>
        </w:rPr>
      </w:pPr>
    </w:p>
    <w:p w14:paraId="09CF4EE0">
      <w:pPr>
        <w:spacing w:line="460" w:lineRule="exact"/>
        <w:rPr>
          <w:rFonts w:ascii="新宋体" w:hAnsi="新宋体" w:eastAsia="新宋体" w:cs="新宋体"/>
          <w:color w:val="auto"/>
          <w:spacing w:val="20"/>
          <w:sz w:val="22"/>
          <w:szCs w:val="22"/>
          <w:highlight w:val="none"/>
        </w:rPr>
      </w:pPr>
    </w:p>
    <w:p w14:paraId="43CB0735">
      <w:pPr>
        <w:spacing w:line="460" w:lineRule="exact"/>
        <w:rPr>
          <w:rFonts w:ascii="新宋体" w:hAnsi="新宋体" w:eastAsia="新宋体" w:cs="新宋体"/>
          <w:color w:val="auto"/>
          <w:spacing w:val="20"/>
          <w:sz w:val="22"/>
          <w:szCs w:val="22"/>
          <w:highlight w:val="none"/>
        </w:rPr>
      </w:pPr>
    </w:p>
    <w:p w14:paraId="0D9C22F0">
      <w:pPr>
        <w:spacing w:line="460" w:lineRule="exact"/>
        <w:jc w:val="center"/>
        <w:rPr>
          <w:rFonts w:ascii="新宋体" w:hAnsi="新宋体" w:eastAsia="新宋体" w:cs="新宋体"/>
          <w:color w:val="auto"/>
          <w:spacing w:val="6"/>
          <w:sz w:val="22"/>
          <w:szCs w:val="22"/>
          <w:highlight w:val="none"/>
        </w:rPr>
      </w:pPr>
      <w:r>
        <w:rPr>
          <w:rFonts w:hint="eastAsia" w:ascii="新宋体" w:hAnsi="新宋体" w:eastAsia="新宋体" w:cs="新宋体"/>
          <w:b/>
          <w:color w:val="auto"/>
          <w:spacing w:val="6"/>
          <w:sz w:val="22"/>
          <w:szCs w:val="22"/>
          <w:highlight w:val="none"/>
        </w:rPr>
        <w:t>残疾人福利性单位声明函</w:t>
      </w:r>
    </w:p>
    <w:p w14:paraId="60C01636">
      <w:pPr>
        <w:widowControl/>
        <w:adjustRightInd w:val="0"/>
        <w:snapToGrid w:val="0"/>
        <w:spacing w:line="460" w:lineRule="exact"/>
        <w:jc w:val="center"/>
        <w:rPr>
          <w:rFonts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【不属于残疾人福利性单位的无需填写、递交】</w:t>
      </w:r>
    </w:p>
    <w:p w14:paraId="706AE6CE">
      <w:pPr>
        <w:snapToGrid w:val="0"/>
        <w:spacing w:line="460" w:lineRule="exact"/>
        <w:jc w:val="center"/>
        <w:rPr>
          <w:rFonts w:ascii="新宋体" w:hAnsi="新宋体" w:eastAsia="新宋体" w:cs="新宋体"/>
          <w:b/>
          <w:bCs/>
          <w:color w:val="auto"/>
          <w:sz w:val="22"/>
          <w:szCs w:val="22"/>
          <w:highlight w:val="none"/>
        </w:rPr>
      </w:pPr>
    </w:p>
    <w:p w14:paraId="24BEA3F8">
      <w:pPr>
        <w:snapToGrid w:val="0"/>
        <w:spacing w:line="460" w:lineRule="exact"/>
        <w:ind w:firstLine="464" w:firstLineChars="200"/>
        <w:rPr>
          <w:rFonts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本单位郑重声明，根据《财政部民政部中国残疾人联合会关于促进残疾人就业政府采购政策的通知》（财库</w:t>
      </w:r>
      <w:r>
        <w:rPr>
          <w:rFonts w:hint="eastAsia" w:ascii="新宋体" w:hAnsi="新宋体" w:eastAsia="新宋体" w:cs="新宋体"/>
          <w:color w:val="auto"/>
          <w:sz w:val="22"/>
          <w:szCs w:val="22"/>
          <w:highlight w:val="none"/>
        </w:rPr>
        <w:t>〔2017〕141</w:t>
      </w:r>
      <w:r>
        <w:rPr>
          <w:rFonts w:hint="eastAsia" w:ascii="新宋体" w:hAnsi="新宋体" w:eastAsia="新宋体" w:cs="新宋体"/>
          <w:color w:val="auto"/>
          <w:spacing w:val="6"/>
          <w:sz w:val="22"/>
          <w:szCs w:val="22"/>
          <w:highlight w:val="none"/>
        </w:rPr>
        <w:t>号）的规定，本单位为符合条件的残疾人福利性单位，且本单位参加</w:t>
      </w:r>
      <w:r>
        <w:rPr>
          <w:rFonts w:hint="eastAsia" w:ascii="新宋体" w:hAnsi="新宋体" w:eastAsia="新宋体" w:cs="新宋体"/>
          <w:color w:val="auto"/>
          <w:spacing w:val="6"/>
          <w:sz w:val="22"/>
          <w:szCs w:val="22"/>
          <w:highlight w:val="none"/>
          <w:u w:val="single"/>
        </w:rPr>
        <w:t>（招标人名称）</w:t>
      </w:r>
      <w:r>
        <w:rPr>
          <w:rFonts w:hint="eastAsia" w:ascii="新宋体" w:hAnsi="新宋体" w:eastAsia="新宋体" w:cs="新宋体"/>
          <w:color w:val="auto"/>
          <w:spacing w:val="6"/>
          <w:sz w:val="22"/>
          <w:szCs w:val="22"/>
          <w:highlight w:val="none"/>
        </w:rPr>
        <w:t>单位的</w:t>
      </w:r>
      <w:r>
        <w:rPr>
          <w:rFonts w:hint="eastAsia" w:ascii="新宋体" w:hAnsi="新宋体" w:eastAsia="新宋体" w:cs="新宋体"/>
          <w:color w:val="auto"/>
          <w:spacing w:val="6"/>
          <w:sz w:val="22"/>
          <w:szCs w:val="22"/>
          <w:highlight w:val="none"/>
          <w:u w:val="single"/>
        </w:rPr>
        <w:t>（招标项目名称）</w:t>
      </w:r>
      <w:r>
        <w:rPr>
          <w:rFonts w:hint="eastAsia" w:ascii="新宋体" w:hAnsi="新宋体" w:eastAsia="新宋体" w:cs="新宋体"/>
          <w:color w:val="auto"/>
          <w:spacing w:val="6"/>
          <w:sz w:val="22"/>
          <w:szCs w:val="22"/>
          <w:highlight w:val="none"/>
        </w:rPr>
        <w:t>项目采购活动提供本单位制造的货物（由本单位承担工程/提供服务），或者提供其他残疾人福利性单位制造的货物（不包括使用非残疾人福利性单位注册商标的货物）。</w:t>
      </w:r>
    </w:p>
    <w:p w14:paraId="68257CDB">
      <w:pPr>
        <w:snapToGrid w:val="0"/>
        <w:spacing w:line="460" w:lineRule="exact"/>
        <w:ind w:firstLine="464" w:firstLineChars="200"/>
        <w:rPr>
          <w:rFonts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本单位对上述声明的真实性负责。如有虚假，将依法承担相应责任。</w:t>
      </w:r>
    </w:p>
    <w:p w14:paraId="3D38446D">
      <w:pPr>
        <w:snapToGrid w:val="0"/>
        <w:spacing w:line="460" w:lineRule="exact"/>
        <w:ind w:firstLine="464" w:firstLineChars="200"/>
        <w:rPr>
          <w:rFonts w:ascii="新宋体" w:hAnsi="新宋体" w:eastAsia="新宋体" w:cs="新宋体"/>
          <w:color w:val="auto"/>
          <w:spacing w:val="6"/>
          <w:sz w:val="22"/>
          <w:szCs w:val="22"/>
          <w:highlight w:val="none"/>
        </w:rPr>
      </w:pPr>
    </w:p>
    <w:p w14:paraId="32F89025">
      <w:pPr>
        <w:snapToGrid w:val="0"/>
        <w:spacing w:line="460" w:lineRule="exact"/>
        <w:ind w:firstLine="464" w:firstLineChars="200"/>
        <w:rPr>
          <w:rFonts w:ascii="新宋体" w:hAnsi="新宋体" w:eastAsia="新宋体" w:cs="新宋体"/>
          <w:color w:val="auto"/>
          <w:spacing w:val="6"/>
          <w:sz w:val="22"/>
          <w:szCs w:val="22"/>
          <w:highlight w:val="none"/>
        </w:rPr>
      </w:pPr>
    </w:p>
    <w:p w14:paraId="752D003A">
      <w:pPr>
        <w:adjustRightInd w:val="0"/>
        <w:snapToGrid w:val="0"/>
        <w:spacing w:line="460" w:lineRule="exact"/>
        <w:ind w:firstLine="440" w:firstLineChars="200"/>
        <w:rPr>
          <w:rFonts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rPr>
        <w:t>投标人全称（盖章）：</w:t>
      </w:r>
      <w:r>
        <w:rPr>
          <w:rFonts w:hint="eastAsia" w:ascii="新宋体" w:hAnsi="新宋体" w:eastAsia="新宋体" w:cs="新宋体"/>
          <w:color w:val="auto"/>
          <w:kern w:val="0"/>
          <w:sz w:val="22"/>
          <w:szCs w:val="22"/>
          <w:highlight w:val="none"/>
          <w:u w:val="single"/>
        </w:rPr>
        <w:t xml:space="preserve">                    </w:t>
      </w:r>
    </w:p>
    <w:p w14:paraId="7C7F012C">
      <w:pPr>
        <w:pStyle w:val="22"/>
        <w:spacing w:line="460" w:lineRule="exact"/>
        <w:ind w:left="877" w:leftChars="208"/>
        <w:rPr>
          <w:rFonts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日期：    年   月   日</w:t>
      </w:r>
    </w:p>
    <w:p w14:paraId="70CEAD21">
      <w:pPr>
        <w:pStyle w:val="22"/>
        <w:spacing w:line="460" w:lineRule="exact"/>
        <w:ind w:left="860" w:hanging="440"/>
        <w:rPr>
          <w:rFonts w:ascii="新宋体" w:hAnsi="新宋体" w:eastAsia="新宋体" w:cs="新宋体"/>
          <w:color w:val="auto"/>
          <w:kern w:val="0"/>
          <w:sz w:val="22"/>
          <w:szCs w:val="22"/>
          <w:highlight w:val="none"/>
        </w:rPr>
      </w:pPr>
    </w:p>
    <w:p w14:paraId="13907BEB">
      <w:pPr>
        <w:spacing w:line="460" w:lineRule="exact"/>
        <w:rPr>
          <w:rFonts w:hint="eastAsia" w:ascii="新宋体" w:hAnsi="新宋体" w:eastAsia="新宋体" w:cs="新宋体"/>
          <w:color w:val="auto"/>
          <w:spacing w:val="20"/>
          <w:sz w:val="22"/>
          <w:szCs w:val="22"/>
          <w:highlight w:val="none"/>
        </w:rPr>
      </w:pPr>
    </w:p>
    <w:p w14:paraId="2479DF88">
      <w:pPr>
        <w:pStyle w:val="22"/>
        <w:rPr>
          <w:rFonts w:hint="eastAsia" w:ascii="新宋体" w:hAnsi="新宋体" w:eastAsia="新宋体" w:cs="新宋体"/>
          <w:color w:val="auto"/>
          <w:highlight w:val="none"/>
        </w:rPr>
      </w:pPr>
    </w:p>
    <w:p w14:paraId="5D8897D8">
      <w:pPr>
        <w:rPr>
          <w:rFonts w:hint="eastAsia" w:ascii="新宋体" w:hAnsi="新宋体" w:eastAsia="新宋体" w:cs="新宋体"/>
          <w:color w:val="auto"/>
          <w:highlight w:val="none"/>
        </w:rPr>
      </w:pPr>
    </w:p>
    <w:p w14:paraId="4EA19CB0">
      <w:pPr>
        <w:tabs>
          <w:tab w:val="left" w:pos="360"/>
        </w:tabs>
        <w:spacing w:line="460" w:lineRule="exact"/>
        <w:rPr>
          <w:rFonts w:hint="eastAsia" w:ascii="新宋体" w:hAnsi="新宋体" w:eastAsia="新宋体" w:cs="新宋体"/>
          <w:b/>
          <w:bCs/>
          <w:color w:val="auto"/>
          <w:sz w:val="22"/>
          <w:highlight w:val="none"/>
          <w:u w:val="single"/>
        </w:rPr>
      </w:pPr>
    </w:p>
    <w:p w14:paraId="5E04A97C">
      <w:pPr>
        <w:rPr>
          <w:rFonts w:hint="eastAsia" w:ascii="新宋体" w:hAnsi="新宋体" w:eastAsia="新宋体" w:cs="新宋体"/>
          <w:b/>
          <w:bCs/>
          <w:color w:val="auto"/>
          <w:sz w:val="28"/>
          <w:szCs w:val="28"/>
          <w:highlight w:val="none"/>
          <w:lang w:val="en-US" w:eastAsia="zh-CN"/>
        </w:rPr>
      </w:pPr>
      <w:r>
        <w:rPr>
          <w:rFonts w:hint="eastAsia" w:ascii="新宋体" w:hAnsi="新宋体" w:eastAsia="新宋体" w:cs="新宋体"/>
          <w:b/>
          <w:bCs/>
          <w:color w:val="auto"/>
          <w:sz w:val="28"/>
          <w:szCs w:val="28"/>
          <w:highlight w:val="none"/>
          <w:lang w:val="en-US" w:eastAsia="zh-CN"/>
        </w:rPr>
        <w:br w:type="page"/>
      </w:r>
    </w:p>
    <w:p w14:paraId="242AB8C5">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en-US" w:eastAsia="zh-CN"/>
        </w:rPr>
        <w:t>5</w:t>
      </w:r>
      <w:r>
        <w:rPr>
          <w:rFonts w:hint="eastAsia" w:ascii="新宋体" w:hAnsi="新宋体" w:eastAsia="新宋体" w:cs="新宋体"/>
          <w:b/>
          <w:bCs/>
          <w:color w:val="auto"/>
          <w:sz w:val="28"/>
          <w:szCs w:val="28"/>
          <w:highlight w:val="none"/>
          <w:lang w:val="zh-CN" w:eastAsia="zh-CN"/>
        </w:rPr>
        <w:t>、政府采购活动现场确认声明书</w:t>
      </w:r>
    </w:p>
    <w:p w14:paraId="59ECF904">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kern w:val="0"/>
          <w:sz w:val="22"/>
          <w:szCs w:val="22"/>
          <w:highlight w:val="none"/>
        </w:rPr>
        <w:t>温州历程招标有限公司：</w:t>
      </w:r>
    </w:p>
    <w:p w14:paraId="78F9F42B">
      <w:pPr>
        <w:spacing w:line="460" w:lineRule="exact"/>
        <w:ind w:firstLine="440" w:firstLineChars="200"/>
        <w:rPr>
          <w:rFonts w:hint="eastAsia" w:ascii="新宋体" w:hAnsi="新宋体" w:eastAsia="新宋体" w:cs="新宋体"/>
          <w:color w:val="auto"/>
          <w:highlight w:val="none"/>
        </w:rPr>
      </w:pPr>
      <w:r>
        <w:rPr>
          <w:rFonts w:hint="eastAsia" w:ascii="新宋体" w:hAnsi="新宋体" w:eastAsia="新宋体" w:cs="新宋体"/>
          <w:color w:val="auto"/>
          <w:kern w:val="0"/>
          <w:sz w:val="22"/>
          <w:szCs w:val="22"/>
          <w:highlight w:val="none"/>
        </w:rPr>
        <w:t>本人经由</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（供应商名称）负责人</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（姓名）合法授权参加</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项目（编号：</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）采购活动，经与本单位法人代表（负责人）联系确认，现就有关公平竞争事项郑重声明如下：</w:t>
      </w:r>
    </w:p>
    <w:p w14:paraId="02FCF150">
      <w:pPr>
        <w:numPr>
          <w:ilvl w:val="0"/>
          <w:numId w:val="0"/>
        </w:num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eastAsia="zh-CN"/>
        </w:rPr>
        <w:t>（</w:t>
      </w:r>
      <w:r>
        <w:rPr>
          <w:rFonts w:hint="eastAsia" w:ascii="新宋体" w:hAnsi="新宋体" w:eastAsia="新宋体" w:cs="新宋体"/>
          <w:color w:val="auto"/>
          <w:kern w:val="0"/>
          <w:sz w:val="22"/>
          <w:szCs w:val="22"/>
          <w:highlight w:val="none"/>
          <w:lang w:val="en-US" w:eastAsia="zh-CN"/>
        </w:rPr>
        <w:t>一</w:t>
      </w:r>
      <w:r>
        <w:rPr>
          <w:rFonts w:hint="eastAsia" w:ascii="新宋体" w:hAnsi="新宋体" w:eastAsia="新宋体" w:cs="新宋体"/>
          <w:color w:val="auto"/>
          <w:kern w:val="0"/>
          <w:sz w:val="22"/>
          <w:szCs w:val="22"/>
          <w:highlight w:val="none"/>
          <w:lang w:eastAsia="zh-CN"/>
        </w:rPr>
        <w:t>）</w:t>
      </w:r>
      <w:r>
        <w:rPr>
          <w:rFonts w:hint="eastAsia" w:ascii="新宋体" w:hAnsi="新宋体" w:eastAsia="新宋体" w:cs="新宋体"/>
          <w:color w:val="auto"/>
          <w:kern w:val="0"/>
          <w:sz w:val="22"/>
          <w:szCs w:val="22"/>
          <w:highlight w:val="none"/>
        </w:rPr>
        <w:t>本单位与</w:t>
      </w:r>
      <w:r>
        <w:rPr>
          <w:rFonts w:hint="eastAsia" w:ascii="新宋体" w:hAnsi="新宋体" w:eastAsia="新宋体" w:cs="新宋体"/>
          <w:color w:val="auto"/>
          <w:kern w:val="0"/>
          <w:sz w:val="22"/>
          <w:szCs w:val="22"/>
          <w:highlight w:val="none"/>
          <w:lang w:eastAsia="zh-CN"/>
        </w:rPr>
        <w:t>采购人</w:t>
      </w:r>
      <w:r>
        <w:rPr>
          <w:rFonts w:hint="eastAsia" w:ascii="新宋体" w:hAnsi="新宋体" w:eastAsia="新宋体" w:cs="新宋体"/>
          <w:color w:val="auto"/>
          <w:kern w:val="0"/>
          <w:sz w:val="22"/>
          <w:szCs w:val="22"/>
          <w:highlight w:val="none"/>
        </w:rPr>
        <w:t xml:space="preserve">之间 </w:t>
      </w:r>
      <w:r>
        <w:rPr>
          <w:rFonts w:hint="eastAsia" w:ascii="新宋体" w:hAnsi="新宋体" w:eastAsia="新宋体" w:cs="新宋体"/>
          <w:color w:val="auto"/>
          <w:kern w:val="0"/>
          <w:sz w:val="22"/>
          <w:szCs w:val="22"/>
          <w:highlight w:val="none"/>
          <w:lang w:eastAsia="zh-CN"/>
        </w:rPr>
        <w:t>□</w:t>
      </w:r>
      <w:r>
        <w:rPr>
          <w:rFonts w:hint="eastAsia" w:ascii="新宋体" w:hAnsi="新宋体" w:eastAsia="新宋体" w:cs="新宋体"/>
          <w:color w:val="auto"/>
          <w:kern w:val="0"/>
          <w:sz w:val="22"/>
          <w:szCs w:val="22"/>
          <w:highlight w:val="none"/>
        </w:rPr>
        <w:t xml:space="preserve">不存在利害关系 </w:t>
      </w:r>
      <w:r>
        <w:rPr>
          <w:rFonts w:hint="eastAsia" w:ascii="新宋体" w:hAnsi="新宋体" w:eastAsia="新宋体" w:cs="新宋体"/>
          <w:color w:val="auto"/>
          <w:kern w:val="0"/>
          <w:sz w:val="22"/>
          <w:szCs w:val="22"/>
          <w:highlight w:val="none"/>
          <w:lang w:eastAsia="zh-CN"/>
        </w:rPr>
        <w:t>□</w:t>
      </w:r>
      <w:r>
        <w:rPr>
          <w:rFonts w:hint="eastAsia" w:ascii="新宋体" w:hAnsi="新宋体" w:eastAsia="新宋体" w:cs="新宋体"/>
          <w:color w:val="auto"/>
          <w:kern w:val="0"/>
          <w:sz w:val="22"/>
          <w:szCs w:val="22"/>
          <w:highlight w:val="none"/>
        </w:rPr>
        <w:t>存在下列利害关系：</w:t>
      </w:r>
    </w:p>
    <w:p w14:paraId="6A5E82DC">
      <w:p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 xml:space="preserve">A.投资关系    </w:t>
      </w:r>
    </w:p>
    <w:p w14:paraId="4CB9C22C">
      <w:p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 xml:space="preserve">B.行政隶属关系    </w:t>
      </w:r>
    </w:p>
    <w:p w14:paraId="47899153">
      <w:p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 xml:space="preserve">C.业务指导关系  </w:t>
      </w:r>
    </w:p>
    <w:p w14:paraId="537F536C">
      <w:pPr>
        <w:spacing w:line="460" w:lineRule="exact"/>
        <w:ind w:firstLine="660" w:firstLineChars="300"/>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D.其他可能影响采购公正的利害关系</w:t>
      </w:r>
      <w:r>
        <w:rPr>
          <w:rStyle w:val="333"/>
          <w:rFonts w:hint="eastAsia" w:ascii="新宋体" w:hAnsi="新宋体" w:eastAsia="新宋体" w:cs="新宋体"/>
          <w:color w:val="auto"/>
          <w:sz w:val="22"/>
          <w:szCs w:val="22"/>
          <w:highlight w:val="none"/>
        </w:rPr>
        <w:t xml:space="preserve">（如有，请如实说明）                 </w:t>
      </w:r>
      <w:r>
        <w:rPr>
          <w:rFonts w:hint="eastAsia" w:ascii="新宋体" w:hAnsi="新宋体" w:eastAsia="新宋体" w:cs="新宋体"/>
          <w:color w:val="auto"/>
          <w:kern w:val="0"/>
          <w:sz w:val="22"/>
          <w:szCs w:val="22"/>
          <w:highlight w:val="none"/>
        </w:rPr>
        <w:t>。</w:t>
      </w:r>
    </w:p>
    <w:p w14:paraId="197AD319">
      <w:pPr>
        <w:numPr>
          <w:ilvl w:val="0"/>
          <w:numId w:val="0"/>
        </w:num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eastAsia="zh-CN"/>
        </w:rPr>
        <w:t>（</w:t>
      </w:r>
      <w:r>
        <w:rPr>
          <w:rFonts w:hint="eastAsia" w:ascii="新宋体" w:hAnsi="新宋体" w:eastAsia="新宋体" w:cs="新宋体"/>
          <w:color w:val="auto"/>
          <w:kern w:val="0"/>
          <w:sz w:val="22"/>
          <w:szCs w:val="22"/>
          <w:highlight w:val="none"/>
          <w:lang w:val="en-US" w:eastAsia="zh-CN"/>
        </w:rPr>
        <w:t>二</w:t>
      </w:r>
      <w:r>
        <w:rPr>
          <w:rFonts w:hint="eastAsia" w:ascii="新宋体" w:hAnsi="新宋体" w:eastAsia="新宋体" w:cs="新宋体"/>
          <w:color w:val="auto"/>
          <w:kern w:val="0"/>
          <w:sz w:val="22"/>
          <w:szCs w:val="22"/>
          <w:highlight w:val="none"/>
          <w:lang w:eastAsia="zh-CN"/>
        </w:rPr>
        <w:t>）</w:t>
      </w:r>
      <w:r>
        <w:rPr>
          <w:rFonts w:hint="eastAsia" w:ascii="新宋体" w:hAnsi="新宋体" w:eastAsia="新宋体" w:cs="新宋体"/>
          <w:color w:val="auto"/>
          <w:kern w:val="0"/>
          <w:sz w:val="22"/>
          <w:szCs w:val="22"/>
          <w:highlight w:val="none"/>
        </w:rPr>
        <w:t xml:space="preserve">现已清楚知道参加本项目采购活动的其他所有供应商名称，本单位 </w:t>
      </w:r>
    </w:p>
    <w:p w14:paraId="51E42658">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eastAsia="zh-CN"/>
        </w:rPr>
        <w:t>□</w:t>
      </w:r>
      <w:r>
        <w:rPr>
          <w:rFonts w:hint="eastAsia" w:ascii="新宋体" w:hAnsi="新宋体" w:eastAsia="新宋体" w:cs="新宋体"/>
          <w:color w:val="auto"/>
          <w:kern w:val="0"/>
          <w:sz w:val="22"/>
          <w:szCs w:val="22"/>
          <w:highlight w:val="none"/>
        </w:rPr>
        <w:t>与其他所有供应商之间均不存在利害关系</w:t>
      </w:r>
    </w:p>
    <w:p w14:paraId="055BF60F">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eastAsia="zh-CN"/>
        </w:rPr>
        <w:t>□</w:t>
      </w:r>
      <w:r>
        <w:rPr>
          <w:rFonts w:hint="eastAsia" w:ascii="新宋体" w:hAnsi="新宋体" w:eastAsia="新宋体" w:cs="新宋体"/>
          <w:color w:val="auto"/>
          <w:kern w:val="0"/>
          <w:sz w:val="22"/>
          <w:szCs w:val="22"/>
          <w:highlight w:val="none"/>
        </w:rPr>
        <w:t>与</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供应商名称）之间存在下列利害关系</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w:t>
      </w:r>
    </w:p>
    <w:p w14:paraId="1EF97125">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en-US" w:eastAsia="zh-CN"/>
        </w:rPr>
        <w:t>A.</w:t>
      </w:r>
      <w:r>
        <w:rPr>
          <w:rFonts w:hint="eastAsia" w:ascii="新宋体" w:hAnsi="新宋体" w:eastAsia="新宋体" w:cs="新宋体"/>
          <w:color w:val="auto"/>
          <w:kern w:val="0"/>
          <w:sz w:val="22"/>
          <w:szCs w:val="22"/>
          <w:highlight w:val="none"/>
        </w:rPr>
        <w:t>法定代表人或负责人或实际控制人是同一人</w:t>
      </w:r>
    </w:p>
    <w:p w14:paraId="394A67C1">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B.法定代表人或负责人或实际控制人是夫妻关系</w:t>
      </w:r>
    </w:p>
    <w:p w14:paraId="7E82006B">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C.法定代表人或负责人或实际控制人是直系血亲关系</w:t>
      </w:r>
    </w:p>
    <w:p w14:paraId="4E384FE0">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D.法定代表人或负责人或实际控制人存在三代以内旁系血亲关系</w:t>
      </w:r>
    </w:p>
    <w:p w14:paraId="33FEA4CE">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lang w:val="en-US" w:eastAsia="zh-CN"/>
        </w:rPr>
      </w:pPr>
      <w:r>
        <w:rPr>
          <w:rFonts w:hint="eastAsia" w:ascii="新宋体" w:hAnsi="新宋体" w:eastAsia="新宋体" w:cs="新宋体"/>
          <w:color w:val="auto"/>
          <w:kern w:val="0"/>
          <w:sz w:val="22"/>
          <w:szCs w:val="22"/>
          <w:highlight w:val="none"/>
          <w:lang w:val="en-US" w:eastAsia="zh-CN"/>
        </w:rPr>
        <w:t>E.法定代表人或负责人或实际控制人存在近姻亲关系</w:t>
      </w:r>
    </w:p>
    <w:p w14:paraId="4CC6F9A2">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F.法定代表人或负责人或实际控制人存在股份控制或实际控制关系</w:t>
      </w:r>
    </w:p>
    <w:p w14:paraId="1779FA77">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G.存在共同直接或间接投资设立子公司、联营企业和合营企业情况</w:t>
      </w:r>
    </w:p>
    <w:p w14:paraId="5596A8F5">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H.存在分级代理或代销关系、同一生产制造商关系、管理关系、重要业务（占主营业务收入50%以上）或重要财务往来关系（如融资）等其他实质性控制关系</w:t>
      </w:r>
    </w:p>
    <w:p w14:paraId="3992D5D9">
      <w:pPr>
        <w:numPr>
          <w:ilvl w:val="0"/>
          <w:numId w:val="0"/>
        </w:numPr>
        <w:spacing w:line="460" w:lineRule="exact"/>
        <w:ind w:firstLine="660" w:firstLineChars="3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I.其他利害关系情况</w:t>
      </w:r>
      <w:r>
        <w:rPr>
          <w:rFonts w:hint="eastAsia" w:ascii="新宋体" w:hAnsi="新宋体" w:eastAsia="新宋体" w:cs="新宋体"/>
          <w:color w:val="auto"/>
          <w:kern w:val="0"/>
          <w:sz w:val="22"/>
          <w:szCs w:val="22"/>
          <w:highlight w:val="none"/>
          <w:u w:val="single"/>
        </w:rPr>
        <w:t xml:space="preserve">                              。</w:t>
      </w:r>
    </w:p>
    <w:p w14:paraId="383D1374">
      <w:pPr>
        <w:pStyle w:val="22"/>
        <w:spacing w:line="460" w:lineRule="exact"/>
        <w:ind w:left="0" w:firstLine="0" w:firstLineChars="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（三）现已清楚知道并严格遵守政府采购法律法规和现场纪律</w:t>
      </w:r>
    </w:p>
    <w:p w14:paraId="6E811D17">
      <w:pPr>
        <w:pStyle w:val="22"/>
        <w:spacing w:line="460" w:lineRule="exact"/>
        <w:ind w:left="0" w:firstLine="0" w:firstLineChars="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（四）我发现</w:t>
      </w:r>
      <w:r>
        <w:rPr>
          <w:rStyle w:val="333"/>
          <w:rFonts w:hint="eastAsia" w:ascii="新宋体" w:hAnsi="新宋体" w:eastAsia="新宋体" w:cs="新宋体"/>
          <w:color w:val="auto"/>
          <w:sz w:val="22"/>
          <w:szCs w:val="22"/>
          <w:highlight w:val="none"/>
        </w:rPr>
        <w:t xml:space="preserve">                  </w:t>
      </w:r>
      <w:r>
        <w:rPr>
          <w:rStyle w:val="333"/>
          <w:rFonts w:hint="eastAsia" w:ascii="新宋体" w:hAnsi="新宋体" w:eastAsia="新宋体" w:cs="新宋体"/>
          <w:color w:val="auto"/>
          <w:sz w:val="22"/>
          <w:szCs w:val="22"/>
          <w:highlight w:val="none"/>
          <w:u w:val="none"/>
        </w:rPr>
        <w:t>与</w:t>
      </w:r>
      <w:r>
        <w:rPr>
          <w:rStyle w:val="333"/>
          <w:rFonts w:hint="eastAsia" w:ascii="新宋体" w:hAnsi="新宋体" w:eastAsia="新宋体" w:cs="新宋体"/>
          <w:color w:val="auto"/>
          <w:sz w:val="22"/>
          <w:szCs w:val="22"/>
          <w:highlight w:val="none"/>
        </w:rPr>
        <w:t xml:space="preserve">                  （供应商名称）</w:t>
      </w:r>
      <w:r>
        <w:rPr>
          <w:rFonts w:hint="eastAsia" w:ascii="新宋体" w:hAnsi="新宋体" w:eastAsia="新宋体" w:cs="新宋体"/>
          <w:color w:val="auto"/>
          <w:kern w:val="0"/>
          <w:sz w:val="22"/>
          <w:szCs w:val="22"/>
          <w:highlight w:val="none"/>
        </w:rPr>
        <w:t>之间存在或可能存在上述第二条第</w:t>
      </w:r>
      <w:r>
        <w:rPr>
          <w:rStyle w:val="333"/>
          <w:rFonts w:hint="eastAsia" w:ascii="新宋体" w:hAnsi="新宋体" w:eastAsia="新宋体" w:cs="新宋体"/>
          <w:color w:val="auto"/>
          <w:sz w:val="22"/>
          <w:szCs w:val="22"/>
          <w:highlight w:val="none"/>
        </w:rPr>
        <w:t xml:space="preserve">        </w:t>
      </w:r>
      <w:r>
        <w:rPr>
          <w:rFonts w:hint="eastAsia" w:ascii="新宋体" w:hAnsi="新宋体" w:eastAsia="新宋体" w:cs="新宋体"/>
          <w:color w:val="auto"/>
          <w:kern w:val="0"/>
          <w:sz w:val="22"/>
          <w:szCs w:val="22"/>
          <w:highlight w:val="none"/>
        </w:rPr>
        <w:t>项利害关系。</w:t>
      </w:r>
    </w:p>
    <w:p w14:paraId="775E2392">
      <w:pPr>
        <w:pStyle w:val="22"/>
        <w:spacing w:line="460" w:lineRule="exact"/>
        <w:ind w:left="0" w:firstLine="0" w:firstLineChars="0"/>
        <w:rPr>
          <w:rFonts w:hint="eastAsia" w:ascii="新宋体" w:hAnsi="新宋体" w:eastAsia="新宋体" w:cs="新宋体"/>
          <w:b/>
          <w:color w:val="auto"/>
          <w:kern w:val="0"/>
          <w:sz w:val="22"/>
          <w:szCs w:val="22"/>
          <w:highlight w:val="none"/>
          <w:lang w:eastAsia="zh-CN"/>
        </w:rPr>
      </w:pPr>
      <w:r>
        <w:rPr>
          <w:rFonts w:hint="eastAsia" w:ascii="新宋体" w:hAnsi="新宋体" w:eastAsia="新宋体" w:cs="新宋体"/>
          <w:b/>
          <w:color w:val="auto"/>
          <w:kern w:val="0"/>
          <w:sz w:val="22"/>
          <w:szCs w:val="22"/>
          <w:highlight w:val="none"/>
        </w:rPr>
        <w:t>供应商代表签名</w:t>
      </w:r>
      <w:r>
        <w:rPr>
          <w:rFonts w:hint="eastAsia" w:ascii="新宋体" w:hAnsi="新宋体" w:eastAsia="新宋体" w:cs="新宋体"/>
          <w:b/>
          <w:color w:val="auto"/>
          <w:kern w:val="0"/>
          <w:sz w:val="22"/>
          <w:szCs w:val="22"/>
          <w:highlight w:val="none"/>
          <w:lang w:eastAsia="zh-CN"/>
        </w:rPr>
        <w:t>：</w:t>
      </w:r>
    </w:p>
    <w:p w14:paraId="0A66DE41">
      <w:pPr>
        <w:pStyle w:val="22"/>
        <w:spacing w:line="460" w:lineRule="exact"/>
        <w:ind w:left="0" w:firstLine="0" w:firstLineChars="0"/>
        <w:jc w:val="right"/>
        <w:rPr>
          <w:rFonts w:hint="eastAsia" w:ascii="新宋体" w:hAnsi="新宋体" w:eastAsia="新宋体" w:cs="新宋体"/>
          <w:b/>
          <w:color w:val="auto"/>
          <w:kern w:val="0"/>
          <w:sz w:val="22"/>
          <w:szCs w:val="22"/>
          <w:highlight w:val="none"/>
        </w:rPr>
      </w:pPr>
    </w:p>
    <w:p w14:paraId="67A84923">
      <w:pPr>
        <w:pStyle w:val="22"/>
        <w:spacing w:line="460" w:lineRule="exact"/>
        <w:ind w:left="0" w:firstLine="0" w:firstLineChars="0"/>
        <w:jc w:val="right"/>
        <w:rPr>
          <w:rFonts w:hint="eastAsia" w:ascii="新宋体" w:hAnsi="新宋体" w:eastAsia="新宋体" w:cs="新宋体"/>
          <w:b/>
          <w:color w:val="auto"/>
          <w:kern w:val="0"/>
          <w:sz w:val="22"/>
          <w:szCs w:val="22"/>
          <w:highlight w:val="none"/>
        </w:rPr>
      </w:pPr>
    </w:p>
    <w:p w14:paraId="7FF61A12">
      <w:pPr>
        <w:pStyle w:val="22"/>
        <w:spacing w:line="460" w:lineRule="exact"/>
        <w:ind w:left="0" w:firstLine="0" w:firstLineChars="0"/>
        <w:jc w:val="right"/>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kern w:val="0"/>
          <w:sz w:val="22"/>
          <w:szCs w:val="22"/>
          <w:highlight w:val="none"/>
        </w:rPr>
        <w:t>日期</w:t>
      </w:r>
      <w:r>
        <w:rPr>
          <w:rFonts w:hint="eastAsia" w:ascii="新宋体" w:hAnsi="新宋体" w:eastAsia="新宋体" w:cs="新宋体"/>
          <w:b/>
          <w:color w:val="auto"/>
          <w:kern w:val="0"/>
          <w:sz w:val="22"/>
          <w:szCs w:val="22"/>
          <w:highlight w:val="none"/>
          <w:lang w:eastAsia="zh-CN"/>
        </w:rPr>
        <w:t>：</w:t>
      </w:r>
      <w:r>
        <w:rPr>
          <w:rFonts w:hint="eastAsia" w:ascii="新宋体" w:hAnsi="新宋体" w:eastAsia="新宋体" w:cs="新宋体"/>
          <w:b/>
          <w:color w:val="auto"/>
          <w:kern w:val="0"/>
          <w:sz w:val="22"/>
          <w:szCs w:val="22"/>
          <w:highlight w:val="none"/>
          <w:lang w:val="en-US" w:eastAsia="zh-CN"/>
        </w:rPr>
        <w:t xml:space="preserve">    </w:t>
      </w:r>
      <w:r>
        <w:rPr>
          <w:rFonts w:hint="eastAsia" w:ascii="新宋体" w:hAnsi="新宋体" w:eastAsia="新宋体" w:cs="新宋体"/>
          <w:b/>
          <w:color w:val="auto"/>
          <w:kern w:val="0"/>
          <w:sz w:val="22"/>
          <w:szCs w:val="22"/>
          <w:highlight w:val="none"/>
        </w:rPr>
        <w:t>年    月    日</w:t>
      </w:r>
    </w:p>
    <w:p w14:paraId="58B1C241">
      <w:pPr>
        <w:pStyle w:val="22"/>
        <w:spacing w:line="460" w:lineRule="exact"/>
        <w:ind w:left="0" w:firstLine="0" w:firstLineChars="0"/>
        <w:jc w:val="right"/>
        <w:rPr>
          <w:rFonts w:hint="eastAsia" w:ascii="新宋体" w:hAnsi="新宋体" w:eastAsia="新宋体" w:cs="新宋体"/>
          <w:b/>
          <w:color w:val="auto"/>
          <w:kern w:val="0"/>
          <w:sz w:val="22"/>
          <w:szCs w:val="22"/>
          <w:highlight w:val="none"/>
        </w:rPr>
      </w:pPr>
    </w:p>
    <w:p w14:paraId="62376DC7">
      <w:pPr>
        <w:spacing w:line="400" w:lineRule="exact"/>
        <w:jc w:val="center"/>
        <w:outlineLvl w:val="3"/>
        <w:rPr>
          <w:rFonts w:hint="eastAsia" w:ascii="新宋体" w:hAnsi="新宋体" w:eastAsia="新宋体" w:cs="新宋体"/>
          <w:b/>
          <w:bCs/>
          <w:color w:val="auto"/>
          <w:sz w:val="28"/>
          <w:szCs w:val="28"/>
          <w:highlight w:val="none"/>
          <w:lang w:val="en-US" w:eastAsia="zh-CN"/>
        </w:rPr>
      </w:pPr>
      <w:r>
        <w:rPr>
          <w:rFonts w:hint="eastAsia" w:ascii="新宋体" w:hAnsi="新宋体" w:eastAsia="新宋体" w:cs="新宋体"/>
          <w:b/>
          <w:bCs/>
          <w:color w:val="auto"/>
          <w:sz w:val="28"/>
          <w:szCs w:val="28"/>
          <w:highlight w:val="none"/>
          <w:lang w:val="en-US" w:eastAsia="zh-CN"/>
        </w:rPr>
        <w:t>6、联合体共同投标协议书（如有）</w:t>
      </w:r>
    </w:p>
    <w:p w14:paraId="00959EC8">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牵头人名称：</w:t>
      </w:r>
      <w:r>
        <w:rPr>
          <w:rFonts w:hint="eastAsia" w:ascii="新宋体" w:hAnsi="新宋体" w:eastAsia="新宋体" w:cs="新宋体"/>
          <w:color w:val="auto"/>
          <w:sz w:val="22"/>
          <w:szCs w:val="22"/>
          <w:highlight w:val="none"/>
          <w:u w:val="single"/>
        </w:rPr>
        <w:t xml:space="preserve">                                                        </w:t>
      </w:r>
    </w:p>
    <w:p w14:paraId="58059C2B">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法定代表人（或企业负责人）</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u w:val="single"/>
        </w:rPr>
        <w:t xml:space="preserve">                                        </w:t>
      </w:r>
    </w:p>
    <w:p w14:paraId="20250DAD">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5"/>
          <w:sz w:val="22"/>
          <w:szCs w:val="22"/>
          <w:highlight w:val="none"/>
        </w:rPr>
        <w:t>法定住</w:t>
      </w:r>
      <w:r>
        <w:rPr>
          <w:rFonts w:hint="eastAsia" w:ascii="新宋体" w:hAnsi="新宋体" w:eastAsia="新宋体" w:cs="新宋体"/>
          <w:color w:val="auto"/>
          <w:sz w:val="22"/>
          <w:szCs w:val="22"/>
          <w:highlight w:val="none"/>
        </w:rPr>
        <w:t>所：</w:t>
      </w:r>
      <w:r>
        <w:rPr>
          <w:rFonts w:hint="eastAsia" w:ascii="新宋体" w:hAnsi="新宋体" w:eastAsia="新宋体" w:cs="新宋体"/>
          <w:color w:val="auto"/>
          <w:sz w:val="22"/>
          <w:szCs w:val="22"/>
          <w:highlight w:val="none"/>
          <w:u w:val="single"/>
        </w:rPr>
        <w:t xml:space="preserve">                                                        </w:t>
      </w:r>
    </w:p>
    <w:p w14:paraId="0363405C">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联合体</w:t>
      </w:r>
      <w:r>
        <w:rPr>
          <w:rFonts w:hint="eastAsia" w:ascii="新宋体" w:hAnsi="新宋体" w:eastAsia="新宋体" w:cs="新宋体"/>
          <w:color w:val="auto"/>
          <w:sz w:val="22"/>
          <w:szCs w:val="22"/>
          <w:highlight w:val="none"/>
        </w:rPr>
        <w:t>成员名称：</w:t>
      </w:r>
      <w:r>
        <w:rPr>
          <w:rFonts w:hint="eastAsia" w:ascii="新宋体" w:hAnsi="新宋体" w:eastAsia="新宋体" w:cs="新宋体"/>
          <w:color w:val="auto"/>
          <w:sz w:val="22"/>
          <w:szCs w:val="22"/>
          <w:highlight w:val="none"/>
          <w:u w:val="single"/>
        </w:rPr>
        <w:t xml:space="preserve">                                                    </w:t>
      </w:r>
    </w:p>
    <w:p w14:paraId="5558C937">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法定代表人（或企业负责人）</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u w:val="single"/>
        </w:rPr>
        <w:t xml:space="preserve">                                       </w:t>
      </w:r>
    </w:p>
    <w:p w14:paraId="5F79678D">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5"/>
          <w:sz w:val="22"/>
          <w:szCs w:val="22"/>
          <w:highlight w:val="none"/>
        </w:rPr>
        <w:t>法定住</w:t>
      </w:r>
      <w:r>
        <w:rPr>
          <w:rFonts w:hint="eastAsia" w:ascii="新宋体" w:hAnsi="新宋体" w:eastAsia="新宋体" w:cs="新宋体"/>
          <w:color w:val="auto"/>
          <w:sz w:val="22"/>
          <w:szCs w:val="22"/>
          <w:highlight w:val="none"/>
        </w:rPr>
        <w:t>所：</w:t>
      </w:r>
      <w:r>
        <w:rPr>
          <w:rFonts w:hint="eastAsia" w:ascii="新宋体" w:hAnsi="新宋体" w:eastAsia="新宋体" w:cs="新宋体"/>
          <w:color w:val="auto"/>
          <w:sz w:val="22"/>
          <w:szCs w:val="22"/>
          <w:highlight w:val="none"/>
          <w:u w:val="single"/>
        </w:rPr>
        <w:t xml:space="preserve">                                                        </w:t>
      </w:r>
    </w:p>
    <w:p w14:paraId="28D59B9F">
      <w:pPr>
        <w:keepNext w:val="0"/>
        <w:keepLines w:val="0"/>
        <w:pageBreakBefore w:val="0"/>
        <w:widowControl w:val="0"/>
        <w:kinsoku/>
        <w:wordWrap/>
        <w:overflowPunct/>
        <w:topLinePunct w:val="0"/>
        <w:autoSpaceDE/>
        <w:autoSpaceDN/>
        <w:bidi w:val="0"/>
        <w:adjustRightInd/>
        <w:snapToGrid/>
        <w:spacing w:line="460" w:lineRule="exact"/>
        <w:ind w:firstLine="376" w:firstLineChars="171"/>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鉴于上述各成员单位经过友好协商，自愿组成</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（联合体名称）联合体，共同参加</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（招标人名称）（以下简称招标人）</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（项目名称）（以下简称合同）。现就联合体投标事宜订立如下协议：</w:t>
      </w:r>
    </w:p>
    <w:p w14:paraId="72761C64">
      <w:pPr>
        <w:keepNext w:val="0"/>
        <w:keepLines w:val="0"/>
        <w:pageBreakBefore w:val="0"/>
        <w:widowControl w:val="0"/>
        <w:kinsoku/>
        <w:wordWrap/>
        <w:overflowPunct/>
        <w:topLinePunct w:val="0"/>
        <w:autoSpaceDE/>
        <w:autoSpaceDN/>
        <w:bidi w:val="0"/>
        <w:adjustRightInd/>
        <w:snapToGrid/>
        <w:spacing w:line="460" w:lineRule="exact"/>
        <w:ind w:firstLine="376" w:firstLineChars="171"/>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（某成员单位名称）为</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（联合体名称）牵头人。</w:t>
      </w:r>
    </w:p>
    <w:p w14:paraId="385F1704">
      <w:pPr>
        <w:keepNext w:val="0"/>
        <w:keepLines w:val="0"/>
        <w:pageBreakBefore w:val="0"/>
        <w:widowControl w:val="0"/>
        <w:kinsoku/>
        <w:wordWrap/>
        <w:overflowPunct/>
        <w:topLinePunct w:val="0"/>
        <w:autoSpaceDE/>
        <w:autoSpaceDN/>
        <w:bidi w:val="0"/>
        <w:adjustRightInd/>
        <w:snapToGrid/>
        <w:spacing w:line="460" w:lineRule="exact"/>
        <w:ind w:firstLine="376" w:firstLineChars="171"/>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2、在本项目投标阶段，联合体牵头人合法代表联合体各成员负责本</w:t>
      </w:r>
      <w:r>
        <w:rPr>
          <w:rFonts w:hint="eastAsia" w:ascii="新宋体" w:hAnsi="新宋体" w:eastAsia="新宋体" w:cs="新宋体"/>
          <w:color w:val="auto"/>
          <w:sz w:val="22"/>
          <w:szCs w:val="22"/>
          <w:highlight w:val="none"/>
          <w:lang w:eastAsia="zh-CN"/>
        </w:rPr>
        <w:t>项目</w:t>
      </w:r>
      <w:r>
        <w:rPr>
          <w:rFonts w:hint="eastAsia" w:ascii="新宋体" w:hAnsi="新宋体" w:eastAsia="新宋体" w:cs="新宋体"/>
          <w:color w:val="auto"/>
          <w:sz w:val="22"/>
          <w:szCs w:val="22"/>
          <w:highlight w:val="none"/>
        </w:rPr>
        <w:t>投标文件编制活动，代表联合体提交和接收相关的资料、信息及指示，并处理投标和中标有关的一切事务；联合体中标后，联合体牵头人负责合同订立和合同实施阶段的主办、组织和协调工作。</w:t>
      </w:r>
    </w:p>
    <w:p w14:paraId="2293F383">
      <w:pPr>
        <w:keepNext w:val="0"/>
        <w:keepLines w:val="0"/>
        <w:pageBreakBefore w:val="0"/>
        <w:widowControl w:val="0"/>
        <w:kinsoku/>
        <w:wordWrap/>
        <w:overflowPunct/>
        <w:topLinePunct w:val="0"/>
        <w:autoSpaceDE/>
        <w:autoSpaceDN/>
        <w:bidi w:val="0"/>
        <w:adjustRightInd/>
        <w:snapToGrid/>
        <w:spacing w:line="460" w:lineRule="exact"/>
        <w:ind w:firstLine="376" w:firstLineChars="171"/>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3、联合体将严格按照</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的各项要求，递交投标文件，履行投标义务和中标后的合同，共同承担合同规定的一切义务和责任，联合体各成员单位按照内部职责的划分，承担各自所负的责任和风险，并向招标人承担连带责任。</w:t>
      </w:r>
    </w:p>
    <w:p w14:paraId="577ED9D8">
      <w:pPr>
        <w:keepNext w:val="0"/>
        <w:keepLines w:val="0"/>
        <w:pageBreakBefore w:val="0"/>
        <w:widowControl w:val="0"/>
        <w:kinsoku/>
        <w:wordWrap/>
        <w:overflowPunct/>
        <w:topLinePunct w:val="0"/>
        <w:autoSpaceDE/>
        <w:autoSpaceDN/>
        <w:bidi w:val="0"/>
        <w:adjustRightInd/>
        <w:snapToGrid/>
        <w:spacing w:line="460" w:lineRule="exact"/>
        <w:ind w:firstLine="376" w:firstLineChars="171"/>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4、联合体各成员单位内部的职责分工如下：</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w:t>
      </w:r>
    </w:p>
    <w:p w14:paraId="1BD09F29">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按照本条上述分工，联合体成员单位</w:t>
      </w:r>
      <w:r>
        <w:rPr>
          <w:rFonts w:hint="eastAsia" w:ascii="新宋体" w:hAnsi="新宋体" w:eastAsia="新宋体" w:cs="新宋体"/>
          <w:color w:val="auto"/>
          <w:sz w:val="22"/>
          <w:szCs w:val="22"/>
          <w:highlight w:val="none"/>
          <w:lang w:val="en-US" w:eastAsia="zh-CN"/>
        </w:rPr>
        <w:t>合同份额占合同总金额的占比</w:t>
      </w:r>
      <w:r>
        <w:rPr>
          <w:rFonts w:hint="eastAsia" w:ascii="新宋体" w:hAnsi="新宋体" w:eastAsia="新宋体" w:cs="新宋体"/>
          <w:color w:val="auto"/>
          <w:sz w:val="22"/>
          <w:szCs w:val="22"/>
          <w:highlight w:val="none"/>
        </w:rPr>
        <w:t>比例如下：</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w:t>
      </w:r>
    </w:p>
    <w:p w14:paraId="07F09531">
      <w:pPr>
        <w:keepNext w:val="0"/>
        <w:keepLines w:val="0"/>
        <w:pageBreakBefore w:val="0"/>
        <w:widowControl w:val="0"/>
        <w:kinsoku/>
        <w:wordWrap/>
        <w:overflowPunct/>
        <w:topLinePunct w:val="0"/>
        <w:autoSpaceDE/>
        <w:autoSpaceDN/>
        <w:bidi w:val="0"/>
        <w:adjustRightInd/>
        <w:snapToGrid/>
        <w:spacing w:line="460" w:lineRule="exact"/>
        <w:ind w:firstLine="352" w:firstLineChars="16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5、联合体中标后，本联合体协议是合同的附件，对联合体各成员单位有合同约束力。</w:t>
      </w:r>
    </w:p>
    <w:p w14:paraId="11885E5A">
      <w:pPr>
        <w:keepNext w:val="0"/>
        <w:keepLines w:val="0"/>
        <w:pageBreakBefore w:val="0"/>
        <w:widowControl w:val="0"/>
        <w:kinsoku/>
        <w:wordWrap/>
        <w:overflowPunct/>
        <w:topLinePunct w:val="0"/>
        <w:autoSpaceDE/>
        <w:autoSpaceDN/>
        <w:bidi w:val="0"/>
        <w:adjustRightInd/>
        <w:snapToGrid/>
        <w:spacing w:line="460" w:lineRule="exact"/>
        <w:ind w:firstLine="352" w:firstLineChars="16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6、本协议书自签署之日起生效，联合体未中标或者中标时合同履行完毕后自动失效。</w:t>
      </w:r>
    </w:p>
    <w:p w14:paraId="24526D3C">
      <w:pPr>
        <w:keepNext w:val="0"/>
        <w:keepLines w:val="0"/>
        <w:pageBreakBefore w:val="0"/>
        <w:widowControl w:val="0"/>
        <w:kinsoku/>
        <w:wordWrap/>
        <w:overflowPunct/>
        <w:topLinePunct w:val="0"/>
        <w:autoSpaceDE/>
        <w:autoSpaceDN/>
        <w:bidi w:val="0"/>
        <w:adjustRightInd/>
        <w:snapToGrid/>
        <w:spacing w:line="460" w:lineRule="exact"/>
        <w:ind w:firstLine="352" w:firstLineChars="16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7、本协议书一式</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份，联合体成员和招标人各执一份。</w:t>
      </w:r>
    </w:p>
    <w:p w14:paraId="27925554">
      <w:pPr>
        <w:keepNext w:val="0"/>
        <w:keepLines w:val="0"/>
        <w:pageBreakBefore w:val="0"/>
        <w:widowControl w:val="0"/>
        <w:kinsoku/>
        <w:wordWrap/>
        <w:overflowPunct/>
        <w:topLinePunct w:val="0"/>
        <w:autoSpaceDE/>
        <w:autoSpaceDN/>
        <w:bidi w:val="0"/>
        <w:adjustRightInd/>
        <w:snapToGrid/>
        <w:spacing w:line="460" w:lineRule="exact"/>
        <w:ind w:firstLine="2785" w:firstLineChars="1266"/>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牵头人名称：</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（盖单位公章）</w:t>
      </w:r>
    </w:p>
    <w:p w14:paraId="10D867F8">
      <w:pPr>
        <w:keepNext w:val="0"/>
        <w:keepLines w:val="0"/>
        <w:pageBreakBefore w:val="0"/>
        <w:widowControl w:val="0"/>
        <w:kinsoku/>
        <w:wordWrap/>
        <w:overflowPunct/>
        <w:topLinePunct w:val="0"/>
        <w:autoSpaceDE/>
        <w:autoSpaceDN/>
        <w:bidi w:val="0"/>
        <w:adjustRightInd/>
        <w:snapToGrid/>
        <w:spacing w:line="460" w:lineRule="exact"/>
        <w:ind w:firstLine="1100" w:firstLineChars="5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法定代表人（或企业负责人）</w:t>
      </w:r>
      <w:r>
        <w:rPr>
          <w:rFonts w:hint="eastAsia" w:ascii="新宋体" w:hAnsi="新宋体" w:eastAsia="新宋体" w:cs="新宋体"/>
          <w:color w:val="auto"/>
          <w:sz w:val="22"/>
          <w:szCs w:val="22"/>
          <w:highlight w:val="none"/>
        </w:rPr>
        <w:t>或授权代表：</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（签字或盖章）</w:t>
      </w:r>
    </w:p>
    <w:p w14:paraId="7DB25F5B">
      <w:pPr>
        <w:keepNext w:val="0"/>
        <w:keepLines w:val="0"/>
        <w:pageBreakBefore w:val="0"/>
        <w:widowControl w:val="0"/>
        <w:kinsoku/>
        <w:wordWrap/>
        <w:overflowPunct/>
        <w:topLinePunct w:val="0"/>
        <w:autoSpaceDE/>
        <w:autoSpaceDN/>
        <w:bidi w:val="0"/>
        <w:adjustRightInd/>
        <w:snapToGrid/>
        <w:spacing w:line="460" w:lineRule="exact"/>
        <w:ind w:firstLine="2785" w:firstLineChars="1266"/>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联合体</w:t>
      </w:r>
      <w:r>
        <w:rPr>
          <w:rFonts w:hint="eastAsia" w:ascii="新宋体" w:hAnsi="新宋体" w:eastAsia="新宋体" w:cs="新宋体"/>
          <w:color w:val="auto"/>
          <w:sz w:val="22"/>
          <w:szCs w:val="22"/>
          <w:highlight w:val="none"/>
        </w:rPr>
        <w:t>成员名称：</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（盖单位公章）</w:t>
      </w:r>
    </w:p>
    <w:p w14:paraId="226B2D6A">
      <w:pPr>
        <w:keepNext w:val="0"/>
        <w:keepLines w:val="0"/>
        <w:pageBreakBefore w:val="0"/>
        <w:widowControl w:val="0"/>
        <w:kinsoku/>
        <w:wordWrap/>
        <w:overflowPunct/>
        <w:topLinePunct w:val="0"/>
        <w:autoSpaceDE/>
        <w:autoSpaceDN/>
        <w:bidi w:val="0"/>
        <w:adjustRightInd/>
        <w:snapToGrid/>
        <w:spacing w:line="460" w:lineRule="exact"/>
        <w:ind w:firstLine="1100" w:firstLineChars="5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法定代表人（或企业负责人）</w:t>
      </w:r>
      <w:r>
        <w:rPr>
          <w:rFonts w:hint="eastAsia" w:ascii="新宋体" w:hAnsi="新宋体" w:eastAsia="新宋体" w:cs="新宋体"/>
          <w:color w:val="auto"/>
          <w:sz w:val="22"/>
          <w:szCs w:val="22"/>
          <w:highlight w:val="none"/>
        </w:rPr>
        <w:t>或授权代表：</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（签字或盖章）</w:t>
      </w:r>
    </w:p>
    <w:p w14:paraId="65333970">
      <w:pPr>
        <w:keepNext w:val="0"/>
        <w:keepLines w:val="0"/>
        <w:pageBreakBefore w:val="0"/>
        <w:widowControl w:val="0"/>
        <w:kinsoku/>
        <w:wordWrap/>
        <w:overflowPunct/>
        <w:topLinePunct w:val="0"/>
        <w:autoSpaceDE/>
        <w:autoSpaceDN/>
        <w:bidi w:val="0"/>
        <w:adjustRightInd/>
        <w:snapToGrid/>
        <w:spacing w:line="460" w:lineRule="exact"/>
        <w:jc w:val="righ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u w:val="single"/>
          <w:lang w:val="en-US" w:eastAsia="zh-CN"/>
        </w:rPr>
        <w:t xml:space="preserve">  </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年</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月</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 xml:space="preserve">日             </w:t>
      </w:r>
    </w:p>
    <w:p w14:paraId="1124FE7E">
      <w:pPr>
        <w:keepNext w:val="0"/>
        <w:keepLines w:val="0"/>
        <w:pageBreakBefore w:val="0"/>
        <w:widowControl w:val="0"/>
        <w:kinsoku/>
        <w:wordWrap/>
        <w:overflowPunct/>
        <w:topLinePunct w:val="0"/>
        <w:autoSpaceDE/>
        <w:autoSpaceDN/>
        <w:bidi w:val="0"/>
        <w:adjustRightInd/>
        <w:snapToGrid/>
        <w:spacing w:line="460" w:lineRule="exact"/>
        <w:ind w:right="420"/>
        <w:textAlignment w:val="auto"/>
        <w:rPr>
          <w:rFonts w:hint="eastAsia" w:ascii="新宋体" w:hAnsi="新宋体" w:eastAsia="新宋体" w:cs="新宋体"/>
          <w:color w:val="auto"/>
          <w:sz w:val="22"/>
          <w:szCs w:val="22"/>
          <w:highlight w:val="none"/>
        </w:rPr>
      </w:pPr>
    </w:p>
    <w:p w14:paraId="5C7F16DB">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eastAsia" w:ascii="新宋体" w:hAnsi="新宋体" w:eastAsia="新宋体" w:cs="新宋体"/>
          <w:b/>
          <w:color w:val="auto"/>
          <w:sz w:val="22"/>
          <w:highlight w:val="none"/>
          <w:lang w:val="en-US" w:eastAsia="zh-CN"/>
        </w:rPr>
      </w:pPr>
      <w:r>
        <w:rPr>
          <w:rFonts w:hint="eastAsia" w:ascii="新宋体" w:hAnsi="新宋体" w:eastAsia="新宋体" w:cs="新宋体"/>
          <w:color w:val="auto"/>
          <w:sz w:val="22"/>
          <w:szCs w:val="22"/>
          <w:highlight w:val="none"/>
        </w:rPr>
        <w:t>备注：本协议书由授权代表签字或盖章的，应附</w:t>
      </w:r>
      <w:r>
        <w:rPr>
          <w:rFonts w:hint="eastAsia" w:ascii="新宋体" w:hAnsi="新宋体" w:eastAsia="新宋体" w:cs="新宋体"/>
          <w:color w:val="auto"/>
          <w:sz w:val="22"/>
          <w:szCs w:val="22"/>
          <w:highlight w:val="none"/>
          <w:lang w:eastAsia="zh-CN"/>
        </w:rPr>
        <w:t>法定代表人（或企业负责人）</w:t>
      </w:r>
      <w:r>
        <w:rPr>
          <w:rFonts w:hint="eastAsia" w:ascii="新宋体" w:hAnsi="新宋体" w:eastAsia="新宋体" w:cs="新宋体"/>
          <w:color w:val="auto"/>
          <w:sz w:val="22"/>
          <w:szCs w:val="22"/>
          <w:highlight w:val="none"/>
        </w:rPr>
        <w:t>签字或盖章的授权委托书。</w:t>
      </w:r>
    </w:p>
    <w:p w14:paraId="5B303782">
      <w:pPr>
        <w:pStyle w:val="22"/>
        <w:spacing w:line="460" w:lineRule="exact"/>
        <w:ind w:left="0" w:firstLine="0" w:firstLineChars="0"/>
        <w:jc w:val="both"/>
        <w:rPr>
          <w:rFonts w:hint="eastAsia" w:ascii="新宋体" w:hAnsi="新宋体" w:eastAsia="新宋体" w:cs="新宋体"/>
          <w:b/>
          <w:color w:val="auto"/>
          <w:kern w:val="0"/>
          <w:sz w:val="22"/>
          <w:szCs w:val="22"/>
          <w:highlight w:val="none"/>
        </w:rPr>
      </w:pPr>
    </w:p>
    <w:p w14:paraId="07EB5C0F">
      <w:pPr>
        <w:pStyle w:val="22"/>
        <w:spacing w:line="460" w:lineRule="exact"/>
        <w:ind w:left="0" w:firstLine="0" w:firstLineChars="0"/>
        <w:jc w:val="right"/>
        <w:rPr>
          <w:rFonts w:hint="eastAsia"/>
          <w:color w:val="auto"/>
          <w:highlight w:val="none"/>
        </w:rPr>
      </w:pPr>
      <w:r>
        <w:rPr>
          <w:rFonts w:hint="eastAsia" w:ascii="新宋体" w:hAnsi="新宋体" w:eastAsia="新宋体" w:cs="新宋体"/>
          <w:b/>
          <w:bCs/>
          <w:color w:val="auto"/>
          <w:sz w:val="22"/>
          <w:szCs w:val="22"/>
          <w:highlight w:val="none"/>
        </w:rPr>
        <w:br w:type="page"/>
      </w:r>
    </w:p>
    <w:bookmarkEnd w:id="39"/>
    <w:p w14:paraId="501DD4ED">
      <w:pPr>
        <w:pStyle w:val="22"/>
        <w:spacing w:line="460" w:lineRule="exact"/>
        <w:ind w:left="433" w:hanging="433" w:hangingChars="196"/>
        <w:outlineLvl w:val="1"/>
        <w:rPr>
          <w:rFonts w:hint="eastAsia" w:ascii="新宋体" w:hAnsi="新宋体" w:eastAsia="新宋体" w:cs="新宋体"/>
          <w:b/>
          <w:color w:val="auto"/>
          <w:sz w:val="22"/>
          <w:szCs w:val="22"/>
          <w:highlight w:val="none"/>
        </w:rPr>
      </w:pPr>
      <w:bookmarkStart w:id="40" w:name="_Toc8846"/>
      <w:bookmarkStart w:id="41" w:name="_Toc19402"/>
      <w:r>
        <w:rPr>
          <w:rFonts w:hint="eastAsia" w:ascii="新宋体" w:hAnsi="新宋体" w:eastAsia="新宋体" w:cs="新宋体"/>
          <w:b/>
          <w:color w:val="auto"/>
          <w:sz w:val="22"/>
          <w:szCs w:val="22"/>
          <w:highlight w:val="none"/>
        </w:rPr>
        <w:t>附件二</w:t>
      </w:r>
      <w:bookmarkEnd w:id="40"/>
      <w:bookmarkEnd w:id="41"/>
      <w:bookmarkStart w:id="42" w:name="_Toc16516"/>
    </w:p>
    <w:p w14:paraId="629263A6">
      <w:pPr>
        <w:spacing w:line="460" w:lineRule="exact"/>
        <w:jc w:val="center"/>
        <w:outlineLvl w:val="2"/>
        <w:rPr>
          <w:rFonts w:hint="eastAsia" w:ascii="新宋体" w:hAnsi="新宋体" w:eastAsia="新宋体" w:cs="新宋体"/>
          <w:b/>
          <w:bCs/>
          <w:color w:val="auto"/>
          <w:sz w:val="28"/>
          <w:szCs w:val="28"/>
          <w:highlight w:val="none"/>
        </w:rPr>
      </w:pPr>
      <w:bookmarkStart w:id="43" w:name="_Toc15481"/>
      <w:r>
        <w:rPr>
          <w:rFonts w:hint="eastAsia" w:ascii="新宋体" w:hAnsi="新宋体" w:eastAsia="新宋体" w:cs="新宋体"/>
          <w:b/>
          <w:bCs/>
          <w:color w:val="auto"/>
          <w:sz w:val="28"/>
          <w:szCs w:val="28"/>
          <w:highlight w:val="none"/>
        </w:rPr>
        <w:t>报价文件</w:t>
      </w:r>
      <w:bookmarkEnd w:id="43"/>
    </w:p>
    <w:p w14:paraId="0B58CC2D">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en-US" w:eastAsia="zh-CN"/>
        </w:rPr>
        <w:t>1</w:t>
      </w:r>
      <w:r>
        <w:rPr>
          <w:rFonts w:hint="eastAsia" w:ascii="新宋体" w:hAnsi="新宋体" w:eastAsia="新宋体" w:cs="新宋体"/>
          <w:b/>
          <w:bCs/>
          <w:color w:val="auto"/>
          <w:sz w:val="28"/>
          <w:szCs w:val="28"/>
          <w:highlight w:val="none"/>
          <w:lang w:val="zh-CN" w:eastAsia="zh-CN"/>
        </w:rPr>
        <w:t>、投标报价一览表</w:t>
      </w:r>
    </w:p>
    <w:p w14:paraId="02A0857F">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项目编号：</w:t>
      </w:r>
    </w:p>
    <w:p w14:paraId="61DFAC67">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highlight w:val="none"/>
        </w:rPr>
      </w:pPr>
      <w:r>
        <w:rPr>
          <w:rFonts w:hint="eastAsia" w:ascii="新宋体" w:hAnsi="新宋体" w:eastAsia="新宋体" w:cs="新宋体"/>
          <w:color w:val="auto"/>
          <w:sz w:val="22"/>
          <w:szCs w:val="22"/>
          <w:highlight w:val="none"/>
        </w:rPr>
        <w:t>项目名称：</w:t>
      </w:r>
    </w:p>
    <w:tbl>
      <w:tblPr>
        <w:tblStyle w:val="53"/>
        <w:tblW w:w="95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29"/>
        <w:gridCol w:w="2673"/>
        <w:gridCol w:w="1432"/>
        <w:gridCol w:w="1213"/>
        <w:gridCol w:w="1530"/>
      </w:tblGrid>
      <w:tr w14:paraId="0C6C2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2729" w:type="dxa"/>
            <w:vAlign w:val="center"/>
          </w:tcPr>
          <w:p w14:paraId="3DE3F58C">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bCs/>
                <w:color w:val="auto"/>
                <w:sz w:val="22"/>
                <w:szCs w:val="22"/>
                <w:highlight w:val="none"/>
                <w:lang w:eastAsia="zh-CN"/>
              </w:rPr>
            </w:pPr>
            <w:r>
              <w:rPr>
                <w:rFonts w:hint="eastAsia" w:ascii="新宋体" w:hAnsi="新宋体" w:eastAsia="新宋体" w:cs="新宋体"/>
                <w:bCs/>
                <w:color w:val="auto"/>
                <w:sz w:val="22"/>
                <w:szCs w:val="22"/>
                <w:highlight w:val="none"/>
              </w:rPr>
              <w:t>项目</w:t>
            </w:r>
            <w:r>
              <w:rPr>
                <w:rFonts w:hint="eastAsia" w:ascii="新宋体" w:hAnsi="新宋体" w:eastAsia="新宋体" w:cs="新宋体"/>
                <w:bCs/>
                <w:color w:val="auto"/>
                <w:sz w:val="22"/>
                <w:szCs w:val="22"/>
                <w:highlight w:val="none"/>
                <w:lang w:val="en-US" w:eastAsia="zh-CN"/>
              </w:rPr>
              <w:t>内容</w:t>
            </w:r>
          </w:p>
        </w:tc>
        <w:tc>
          <w:tcPr>
            <w:tcW w:w="2673" w:type="dxa"/>
            <w:vAlign w:val="center"/>
          </w:tcPr>
          <w:p w14:paraId="591F8C46">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投标报价（元）</w:t>
            </w:r>
          </w:p>
        </w:tc>
        <w:tc>
          <w:tcPr>
            <w:tcW w:w="1432" w:type="dxa"/>
            <w:vAlign w:val="center"/>
          </w:tcPr>
          <w:p w14:paraId="5BF73225">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交货日期</w:t>
            </w:r>
          </w:p>
        </w:tc>
        <w:tc>
          <w:tcPr>
            <w:tcW w:w="1213" w:type="dxa"/>
            <w:vAlign w:val="center"/>
          </w:tcPr>
          <w:p w14:paraId="7EF79A09">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交货地点</w:t>
            </w:r>
          </w:p>
        </w:tc>
        <w:tc>
          <w:tcPr>
            <w:tcW w:w="1530" w:type="dxa"/>
            <w:vAlign w:val="center"/>
          </w:tcPr>
          <w:p w14:paraId="47E97B5F">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备注</w:t>
            </w:r>
          </w:p>
        </w:tc>
      </w:tr>
      <w:tr w14:paraId="06A2C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trPr>
        <w:tc>
          <w:tcPr>
            <w:tcW w:w="2729" w:type="dxa"/>
            <w:vMerge w:val="restart"/>
            <w:vAlign w:val="center"/>
          </w:tcPr>
          <w:p w14:paraId="34969F70">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bCs/>
                <w:color w:val="auto"/>
                <w:sz w:val="22"/>
                <w:szCs w:val="22"/>
                <w:highlight w:val="none"/>
                <w:lang w:eastAsia="zh-CN"/>
              </w:rPr>
            </w:pPr>
            <w:r>
              <w:rPr>
                <w:rFonts w:hint="eastAsia" w:ascii="新宋体" w:hAnsi="新宋体" w:eastAsia="新宋体" w:cs="新宋体"/>
                <w:color w:val="auto"/>
                <w:kern w:val="2"/>
                <w:sz w:val="22"/>
                <w:szCs w:val="22"/>
                <w:highlight w:val="none"/>
                <w:lang w:val="en-US" w:eastAsia="zh-CN" w:bidi="ar-SA"/>
              </w:rPr>
              <w:t>热脱附气质联用仪</w:t>
            </w:r>
          </w:p>
        </w:tc>
        <w:tc>
          <w:tcPr>
            <w:tcW w:w="2673" w:type="dxa"/>
            <w:vAlign w:val="center"/>
          </w:tcPr>
          <w:p w14:paraId="0B34AA90">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小写：</w:t>
            </w:r>
          </w:p>
        </w:tc>
        <w:tc>
          <w:tcPr>
            <w:tcW w:w="1432" w:type="dxa"/>
            <w:vMerge w:val="restart"/>
          </w:tcPr>
          <w:p w14:paraId="236B3684">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bCs/>
                <w:color w:val="auto"/>
                <w:sz w:val="22"/>
                <w:szCs w:val="22"/>
                <w:highlight w:val="none"/>
              </w:rPr>
            </w:pPr>
          </w:p>
        </w:tc>
        <w:tc>
          <w:tcPr>
            <w:tcW w:w="1213" w:type="dxa"/>
            <w:vMerge w:val="restart"/>
          </w:tcPr>
          <w:p w14:paraId="18CE2C0C">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bCs/>
                <w:color w:val="auto"/>
                <w:sz w:val="22"/>
                <w:szCs w:val="22"/>
                <w:highlight w:val="none"/>
              </w:rPr>
            </w:pPr>
            <w:r>
              <w:rPr>
                <w:rFonts w:hint="eastAsia" w:ascii="新宋体" w:hAnsi="新宋体" w:eastAsia="新宋体" w:cs="新宋体"/>
                <w:color w:val="auto"/>
                <w:sz w:val="22"/>
                <w:szCs w:val="22"/>
                <w:highlight w:val="none"/>
              </w:rPr>
              <w:t xml:space="preserve"> </w:t>
            </w:r>
          </w:p>
        </w:tc>
        <w:tc>
          <w:tcPr>
            <w:tcW w:w="1530" w:type="dxa"/>
            <w:vMerge w:val="restart"/>
          </w:tcPr>
          <w:p w14:paraId="7D9D0438">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bCs/>
                <w:color w:val="auto"/>
                <w:sz w:val="22"/>
                <w:szCs w:val="22"/>
                <w:highlight w:val="none"/>
              </w:rPr>
            </w:pPr>
          </w:p>
        </w:tc>
      </w:tr>
      <w:tr w14:paraId="68022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2729" w:type="dxa"/>
            <w:vMerge w:val="continue"/>
          </w:tcPr>
          <w:p w14:paraId="4610DBE7">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bCs/>
                <w:color w:val="auto"/>
                <w:sz w:val="22"/>
                <w:szCs w:val="22"/>
                <w:highlight w:val="none"/>
              </w:rPr>
            </w:pPr>
          </w:p>
        </w:tc>
        <w:tc>
          <w:tcPr>
            <w:tcW w:w="2673" w:type="dxa"/>
            <w:vAlign w:val="center"/>
          </w:tcPr>
          <w:p w14:paraId="54765F17">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大写：</w:t>
            </w:r>
          </w:p>
        </w:tc>
        <w:tc>
          <w:tcPr>
            <w:tcW w:w="1432" w:type="dxa"/>
            <w:vMerge w:val="continue"/>
          </w:tcPr>
          <w:p w14:paraId="15220182">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bCs/>
                <w:color w:val="auto"/>
                <w:sz w:val="22"/>
                <w:szCs w:val="22"/>
                <w:highlight w:val="none"/>
              </w:rPr>
            </w:pPr>
          </w:p>
        </w:tc>
        <w:tc>
          <w:tcPr>
            <w:tcW w:w="1213" w:type="dxa"/>
            <w:vMerge w:val="continue"/>
          </w:tcPr>
          <w:p w14:paraId="7A3800C5">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color w:val="auto"/>
                <w:sz w:val="22"/>
                <w:szCs w:val="22"/>
                <w:highlight w:val="none"/>
              </w:rPr>
            </w:pPr>
          </w:p>
        </w:tc>
        <w:tc>
          <w:tcPr>
            <w:tcW w:w="1530" w:type="dxa"/>
            <w:vMerge w:val="continue"/>
          </w:tcPr>
          <w:p w14:paraId="1F0AFB9E">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bCs/>
                <w:color w:val="auto"/>
                <w:sz w:val="22"/>
                <w:szCs w:val="22"/>
                <w:highlight w:val="none"/>
              </w:rPr>
            </w:pPr>
          </w:p>
        </w:tc>
      </w:tr>
    </w:tbl>
    <w:p w14:paraId="77521087">
      <w:pPr>
        <w:keepNext w:val="0"/>
        <w:keepLines w:val="0"/>
        <w:pageBreakBefore w:val="0"/>
        <w:widowControl w:val="0"/>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highlight w:val="none"/>
        </w:rPr>
      </w:pPr>
    </w:p>
    <w:p w14:paraId="5E55AE6A">
      <w:pPr>
        <w:keepNext w:val="0"/>
        <w:keepLines w:val="0"/>
        <w:pageBreakBefore w:val="0"/>
        <w:widowControl w:val="0"/>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highlight w:val="none"/>
        </w:rPr>
      </w:pPr>
      <w:r>
        <w:rPr>
          <w:rFonts w:hint="eastAsia" w:ascii="新宋体" w:hAnsi="新宋体" w:eastAsia="新宋体" w:cs="新宋体"/>
          <w:b/>
          <w:color w:val="auto"/>
          <w:sz w:val="22"/>
          <w:highlight w:val="none"/>
        </w:rPr>
        <w:t>说明：</w:t>
      </w:r>
    </w:p>
    <w:p w14:paraId="1E37E0EB">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highlight w:val="none"/>
        </w:rPr>
      </w:pPr>
      <w:r>
        <w:rPr>
          <w:rFonts w:hint="eastAsia" w:ascii="新宋体" w:hAnsi="新宋体" w:eastAsia="新宋体" w:cs="新宋体"/>
          <w:b/>
          <w:color w:val="auto"/>
          <w:sz w:val="22"/>
          <w:highlight w:val="none"/>
          <w:lang w:val="en-US" w:eastAsia="zh-CN"/>
        </w:rPr>
        <w:t>1、</w:t>
      </w:r>
      <w:r>
        <w:rPr>
          <w:rFonts w:hint="eastAsia" w:ascii="新宋体" w:hAnsi="新宋体" w:eastAsia="新宋体" w:cs="新宋体"/>
          <w:b/>
          <w:color w:val="auto"/>
          <w:sz w:val="22"/>
          <w:highlight w:val="none"/>
        </w:rPr>
        <w:t>此栏投标报价应与</w:t>
      </w:r>
      <w:r>
        <w:rPr>
          <w:rFonts w:hint="eastAsia" w:ascii="新宋体" w:hAnsi="新宋体" w:eastAsia="新宋体" w:cs="新宋体"/>
          <w:b/>
          <w:color w:val="auto"/>
          <w:sz w:val="22"/>
          <w:highlight w:val="none"/>
          <w:lang w:val="en-US" w:eastAsia="zh-CN"/>
        </w:rPr>
        <w:t>附件二</w:t>
      </w:r>
      <w:r>
        <w:rPr>
          <w:rFonts w:hint="eastAsia" w:ascii="新宋体" w:hAnsi="新宋体" w:eastAsia="新宋体" w:cs="新宋体"/>
          <w:b/>
          <w:color w:val="auto"/>
          <w:sz w:val="22"/>
          <w:highlight w:val="none"/>
        </w:rPr>
        <w:t>“</w:t>
      </w:r>
      <w:r>
        <w:rPr>
          <w:rFonts w:hint="eastAsia" w:ascii="新宋体" w:hAnsi="新宋体" w:eastAsia="新宋体" w:cs="新宋体"/>
          <w:b/>
          <w:color w:val="auto"/>
          <w:sz w:val="22"/>
          <w:highlight w:val="none"/>
          <w:lang w:val="en-US" w:eastAsia="zh-CN"/>
        </w:rPr>
        <w:t>2</w:t>
      </w:r>
      <w:r>
        <w:rPr>
          <w:rFonts w:hint="eastAsia" w:ascii="新宋体" w:hAnsi="新宋体" w:eastAsia="新宋体" w:cs="新宋体"/>
          <w:b/>
          <w:color w:val="auto"/>
          <w:sz w:val="22"/>
          <w:highlight w:val="none"/>
        </w:rPr>
        <w:t>、投标分项报价表”中的总计价相一致。</w:t>
      </w:r>
    </w:p>
    <w:p w14:paraId="2CDADD0B">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b/>
          <w:color w:val="auto"/>
          <w:sz w:val="22"/>
          <w:highlight w:val="none"/>
          <w:lang w:eastAsia="zh-CN"/>
        </w:rPr>
      </w:pPr>
      <w:r>
        <w:rPr>
          <w:rFonts w:hint="eastAsia" w:ascii="新宋体" w:hAnsi="新宋体" w:eastAsia="新宋体" w:cs="新宋体"/>
          <w:b/>
          <w:color w:val="auto"/>
          <w:sz w:val="22"/>
          <w:highlight w:val="none"/>
          <w:lang w:val="en-US" w:eastAsia="zh-CN"/>
        </w:rPr>
        <w:t>2、</w:t>
      </w:r>
      <w:r>
        <w:rPr>
          <w:rFonts w:hint="eastAsia" w:ascii="新宋体" w:hAnsi="新宋体" w:eastAsia="新宋体" w:cs="新宋体"/>
          <w:b/>
          <w:color w:val="auto"/>
          <w:sz w:val="22"/>
          <w:highlight w:val="none"/>
        </w:rPr>
        <w:t>不提供此表格将被视为没有实质性响应</w:t>
      </w:r>
      <w:r>
        <w:rPr>
          <w:rFonts w:hint="eastAsia" w:ascii="新宋体" w:hAnsi="新宋体" w:eastAsia="新宋体" w:cs="新宋体"/>
          <w:b/>
          <w:color w:val="auto"/>
          <w:sz w:val="22"/>
          <w:highlight w:val="none"/>
          <w:lang w:eastAsia="zh-CN"/>
        </w:rPr>
        <w:t>采购文件</w:t>
      </w:r>
    </w:p>
    <w:p w14:paraId="64015422">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新宋体" w:hAnsi="新宋体" w:eastAsia="新宋体" w:cs="新宋体"/>
          <w:color w:val="auto"/>
          <w:sz w:val="22"/>
          <w:szCs w:val="22"/>
          <w:highlight w:val="none"/>
        </w:rPr>
      </w:pPr>
    </w:p>
    <w:p w14:paraId="47EBD1AB">
      <w:pPr>
        <w:keepNext w:val="0"/>
        <w:keepLines w:val="0"/>
        <w:pageBreakBefore w:val="0"/>
        <w:widowControl w:val="0"/>
        <w:kinsoku/>
        <w:wordWrap/>
        <w:overflowPunct/>
        <w:topLinePunct w:val="0"/>
        <w:autoSpaceDE/>
        <w:autoSpaceDN/>
        <w:bidi w:val="0"/>
        <w:adjustRightInd/>
        <w:snapToGrid/>
        <w:spacing w:line="460" w:lineRule="exact"/>
        <w:ind w:firstLine="5060" w:firstLineChars="23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投标人全称（盖章）：</w:t>
      </w:r>
    </w:p>
    <w:p w14:paraId="6B6B21E6">
      <w:pPr>
        <w:keepNext w:val="0"/>
        <w:keepLines w:val="0"/>
        <w:pageBreakBefore w:val="0"/>
        <w:widowControl w:val="0"/>
        <w:kinsoku/>
        <w:wordWrap/>
        <w:overflowPunct/>
        <w:topLinePunct w:val="0"/>
        <w:autoSpaceDE/>
        <w:autoSpaceDN/>
        <w:bidi w:val="0"/>
        <w:adjustRightInd/>
        <w:snapToGrid/>
        <w:spacing w:line="460" w:lineRule="exact"/>
        <w:ind w:firstLine="5060" w:firstLineChars="23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投标人代表（签字）：</w:t>
      </w:r>
    </w:p>
    <w:p w14:paraId="7BE26317">
      <w:pPr>
        <w:keepNext w:val="0"/>
        <w:keepLines w:val="0"/>
        <w:pageBreakBefore w:val="0"/>
        <w:widowControl w:val="0"/>
        <w:kinsoku/>
        <w:wordWrap/>
        <w:overflowPunct/>
        <w:topLinePunct w:val="0"/>
        <w:autoSpaceDE/>
        <w:autoSpaceDN/>
        <w:bidi w:val="0"/>
        <w:adjustRightInd/>
        <w:snapToGrid/>
        <w:spacing w:line="460" w:lineRule="exact"/>
        <w:ind w:firstLine="5060" w:firstLineChars="23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w:t>
      </w:r>
    </w:p>
    <w:p w14:paraId="75296834">
      <w:pPr>
        <w:keepNext w:val="0"/>
        <w:keepLines w:val="0"/>
        <w:pageBreakBefore w:val="0"/>
        <w:widowControl w:val="0"/>
        <w:kinsoku/>
        <w:wordWrap/>
        <w:overflowPunct/>
        <w:topLinePunct w:val="0"/>
        <w:autoSpaceDE/>
        <w:autoSpaceDN/>
        <w:bidi w:val="0"/>
        <w:adjustRightInd/>
        <w:snapToGrid/>
        <w:spacing w:line="460" w:lineRule="exact"/>
        <w:ind w:firstLine="220" w:firstLineChars="1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w:t>
      </w:r>
    </w:p>
    <w:p w14:paraId="2332A292">
      <w:pPr>
        <w:pStyle w:val="52"/>
        <w:ind w:left="860" w:hanging="440"/>
        <w:rPr>
          <w:rFonts w:hint="eastAsia" w:ascii="新宋体" w:hAnsi="新宋体" w:eastAsia="新宋体" w:cs="新宋体"/>
          <w:color w:val="auto"/>
          <w:sz w:val="22"/>
          <w:szCs w:val="22"/>
          <w:highlight w:val="none"/>
        </w:rPr>
      </w:pPr>
    </w:p>
    <w:p w14:paraId="5F85C358">
      <w:pPr>
        <w:pStyle w:val="52"/>
        <w:ind w:left="860" w:hanging="440"/>
        <w:rPr>
          <w:rFonts w:hint="eastAsia" w:ascii="新宋体" w:hAnsi="新宋体" w:eastAsia="新宋体" w:cs="新宋体"/>
          <w:color w:val="auto"/>
          <w:sz w:val="22"/>
          <w:szCs w:val="22"/>
          <w:highlight w:val="none"/>
        </w:rPr>
      </w:pPr>
    </w:p>
    <w:p w14:paraId="659E3A6E">
      <w:pPr>
        <w:pStyle w:val="52"/>
        <w:ind w:left="860" w:hanging="440"/>
        <w:rPr>
          <w:rFonts w:hint="eastAsia" w:ascii="新宋体" w:hAnsi="新宋体" w:eastAsia="新宋体" w:cs="新宋体"/>
          <w:color w:val="auto"/>
          <w:sz w:val="22"/>
          <w:szCs w:val="22"/>
          <w:highlight w:val="none"/>
        </w:rPr>
      </w:pPr>
    </w:p>
    <w:p w14:paraId="060B21B3">
      <w:pPr>
        <w:pStyle w:val="52"/>
        <w:ind w:left="860" w:hanging="440"/>
        <w:rPr>
          <w:rFonts w:hint="eastAsia" w:ascii="新宋体" w:hAnsi="新宋体" w:eastAsia="新宋体" w:cs="新宋体"/>
          <w:color w:val="auto"/>
          <w:sz w:val="22"/>
          <w:szCs w:val="22"/>
          <w:highlight w:val="none"/>
        </w:rPr>
      </w:pPr>
    </w:p>
    <w:p w14:paraId="1FADA377">
      <w:pPr>
        <w:pStyle w:val="52"/>
        <w:ind w:left="860" w:hanging="440"/>
        <w:rPr>
          <w:rFonts w:hint="eastAsia" w:ascii="新宋体" w:hAnsi="新宋体" w:eastAsia="新宋体" w:cs="新宋体"/>
          <w:color w:val="auto"/>
          <w:sz w:val="22"/>
          <w:szCs w:val="22"/>
          <w:highlight w:val="none"/>
        </w:rPr>
      </w:pPr>
    </w:p>
    <w:p w14:paraId="1EE0B8E3">
      <w:pPr>
        <w:pStyle w:val="52"/>
        <w:ind w:left="860" w:hanging="440"/>
        <w:rPr>
          <w:rFonts w:hint="eastAsia" w:ascii="新宋体" w:hAnsi="新宋体" w:eastAsia="新宋体" w:cs="新宋体"/>
          <w:color w:val="auto"/>
          <w:sz w:val="22"/>
          <w:szCs w:val="22"/>
          <w:highlight w:val="none"/>
        </w:rPr>
      </w:pPr>
    </w:p>
    <w:p w14:paraId="4F13858D">
      <w:pPr>
        <w:pStyle w:val="52"/>
        <w:ind w:left="860" w:hanging="440"/>
        <w:rPr>
          <w:rFonts w:hint="eastAsia" w:ascii="新宋体" w:hAnsi="新宋体" w:eastAsia="新宋体" w:cs="新宋体"/>
          <w:color w:val="auto"/>
          <w:sz w:val="22"/>
          <w:szCs w:val="22"/>
          <w:highlight w:val="none"/>
        </w:rPr>
      </w:pPr>
    </w:p>
    <w:p w14:paraId="4765D5FC">
      <w:pPr>
        <w:pStyle w:val="52"/>
        <w:ind w:left="860" w:hanging="440"/>
        <w:rPr>
          <w:rFonts w:hint="eastAsia" w:ascii="新宋体" w:hAnsi="新宋体" w:eastAsia="新宋体" w:cs="新宋体"/>
          <w:color w:val="auto"/>
          <w:sz w:val="22"/>
          <w:szCs w:val="22"/>
          <w:highlight w:val="none"/>
        </w:rPr>
      </w:pPr>
    </w:p>
    <w:p w14:paraId="5B1AA42F">
      <w:pPr>
        <w:pStyle w:val="52"/>
        <w:ind w:left="860" w:hanging="440"/>
        <w:rPr>
          <w:rFonts w:hint="eastAsia" w:ascii="新宋体" w:hAnsi="新宋体" w:eastAsia="新宋体" w:cs="新宋体"/>
          <w:color w:val="auto"/>
          <w:sz w:val="22"/>
          <w:szCs w:val="22"/>
          <w:highlight w:val="none"/>
        </w:rPr>
      </w:pPr>
    </w:p>
    <w:p w14:paraId="685150BF">
      <w:pPr>
        <w:pStyle w:val="52"/>
        <w:ind w:left="860" w:hanging="440"/>
        <w:rPr>
          <w:rFonts w:hint="eastAsia" w:ascii="新宋体" w:hAnsi="新宋体" w:eastAsia="新宋体" w:cs="新宋体"/>
          <w:color w:val="auto"/>
          <w:sz w:val="22"/>
          <w:szCs w:val="22"/>
          <w:highlight w:val="none"/>
        </w:rPr>
      </w:pPr>
    </w:p>
    <w:p w14:paraId="659CE232">
      <w:pPr>
        <w:pStyle w:val="52"/>
        <w:ind w:left="860" w:hanging="440"/>
        <w:rPr>
          <w:rFonts w:hint="eastAsia" w:ascii="新宋体" w:hAnsi="新宋体" w:eastAsia="新宋体" w:cs="新宋体"/>
          <w:color w:val="auto"/>
          <w:sz w:val="22"/>
          <w:szCs w:val="22"/>
          <w:highlight w:val="none"/>
        </w:rPr>
      </w:pPr>
    </w:p>
    <w:p w14:paraId="2823CFEC">
      <w:pPr>
        <w:pStyle w:val="52"/>
        <w:ind w:left="0" w:leftChars="0" w:firstLine="0" w:firstLineChars="0"/>
        <w:rPr>
          <w:rFonts w:hint="eastAsia" w:ascii="新宋体" w:hAnsi="新宋体" w:eastAsia="新宋体" w:cs="新宋体"/>
          <w:color w:val="auto"/>
          <w:sz w:val="22"/>
          <w:szCs w:val="22"/>
          <w:highlight w:val="none"/>
        </w:rPr>
      </w:pPr>
    </w:p>
    <w:p w14:paraId="766FCF8B">
      <w:pPr>
        <w:pStyle w:val="52"/>
        <w:ind w:left="860" w:hanging="440"/>
        <w:rPr>
          <w:rFonts w:hint="eastAsia" w:ascii="新宋体" w:hAnsi="新宋体" w:eastAsia="新宋体" w:cs="新宋体"/>
          <w:color w:val="auto"/>
          <w:sz w:val="22"/>
          <w:szCs w:val="22"/>
          <w:highlight w:val="none"/>
        </w:rPr>
      </w:pPr>
    </w:p>
    <w:p w14:paraId="35594934">
      <w:pPr>
        <w:rPr>
          <w:rFonts w:hint="eastAsia" w:ascii="新宋体" w:hAnsi="新宋体" w:eastAsia="新宋体" w:cs="新宋体"/>
          <w:b/>
          <w:color w:val="auto"/>
          <w:sz w:val="22"/>
          <w:szCs w:val="22"/>
          <w:highlight w:val="none"/>
          <w:lang w:val="zh-CN"/>
        </w:rPr>
      </w:pPr>
      <w:r>
        <w:rPr>
          <w:rFonts w:hint="eastAsia" w:ascii="新宋体" w:hAnsi="新宋体" w:eastAsia="新宋体" w:cs="新宋体"/>
          <w:b/>
          <w:color w:val="auto"/>
          <w:sz w:val="22"/>
          <w:szCs w:val="22"/>
          <w:highlight w:val="none"/>
          <w:lang w:val="zh-CN"/>
        </w:rPr>
        <w:br w:type="page"/>
      </w:r>
    </w:p>
    <w:p w14:paraId="74E8F99C">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en-US" w:eastAsia="zh-CN"/>
        </w:rPr>
        <w:t>2</w:t>
      </w:r>
      <w:r>
        <w:rPr>
          <w:rFonts w:hint="eastAsia" w:ascii="新宋体" w:hAnsi="新宋体" w:eastAsia="新宋体" w:cs="新宋体"/>
          <w:b/>
          <w:bCs/>
          <w:color w:val="auto"/>
          <w:sz w:val="28"/>
          <w:szCs w:val="28"/>
          <w:highlight w:val="none"/>
          <w:lang w:val="zh-CN" w:eastAsia="zh-CN"/>
        </w:rPr>
        <w:t>、分项报价表</w:t>
      </w:r>
    </w:p>
    <w:p w14:paraId="60FEEDB8">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项目编号：</w:t>
      </w:r>
    </w:p>
    <w:p w14:paraId="7C8EDE02">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项目名称：</w:t>
      </w:r>
    </w:p>
    <w:tbl>
      <w:tblPr>
        <w:tblStyle w:val="53"/>
        <w:tblW w:w="9995" w:type="dxa"/>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5"/>
        <w:gridCol w:w="1605"/>
        <w:gridCol w:w="1477"/>
        <w:gridCol w:w="1570"/>
        <w:gridCol w:w="708"/>
        <w:gridCol w:w="708"/>
        <w:gridCol w:w="1143"/>
        <w:gridCol w:w="1000"/>
        <w:gridCol w:w="1159"/>
      </w:tblGrid>
      <w:tr w14:paraId="655CC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5" w:type="dxa"/>
            <w:vAlign w:val="center"/>
          </w:tcPr>
          <w:p w14:paraId="6E1F3F7B">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项目</w:t>
            </w:r>
          </w:p>
        </w:tc>
        <w:tc>
          <w:tcPr>
            <w:tcW w:w="1605" w:type="dxa"/>
            <w:vAlign w:val="center"/>
          </w:tcPr>
          <w:p w14:paraId="48FE1FA5">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货物名称</w:t>
            </w:r>
          </w:p>
        </w:tc>
        <w:tc>
          <w:tcPr>
            <w:tcW w:w="1477" w:type="dxa"/>
            <w:vAlign w:val="center"/>
          </w:tcPr>
          <w:p w14:paraId="51116906">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品牌型号规格、产地</w:t>
            </w:r>
          </w:p>
        </w:tc>
        <w:tc>
          <w:tcPr>
            <w:tcW w:w="1570" w:type="dxa"/>
            <w:vAlign w:val="center"/>
          </w:tcPr>
          <w:p w14:paraId="78A6E17A">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制造厂商名称</w:t>
            </w:r>
          </w:p>
        </w:tc>
        <w:tc>
          <w:tcPr>
            <w:tcW w:w="708" w:type="dxa"/>
            <w:vAlign w:val="center"/>
          </w:tcPr>
          <w:p w14:paraId="7A764FAF">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单位</w:t>
            </w:r>
          </w:p>
        </w:tc>
        <w:tc>
          <w:tcPr>
            <w:tcW w:w="708" w:type="dxa"/>
            <w:vAlign w:val="center"/>
          </w:tcPr>
          <w:p w14:paraId="3FCE4CBD">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数量</w:t>
            </w:r>
          </w:p>
        </w:tc>
        <w:tc>
          <w:tcPr>
            <w:tcW w:w="1143" w:type="dxa"/>
            <w:vAlign w:val="center"/>
          </w:tcPr>
          <w:p w14:paraId="774012B9">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出厂单价</w:t>
            </w:r>
          </w:p>
          <w:p w14:paraId="0571B7FE">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（含税）</w:t>
            </w:r>
          </w:p>
        </w:tc>
        <w:tc>
          <w:tcPr>
            <w:tcW w:w="1000" w:type="dxa"/>
            <w:vAlign w:val="center"/>
          </w:tcPr>
          <w:p w14:paraId="20D8D887">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总价</w:t>
            </w:r>
          </w:p>
          <w:p w14:paraId="6B7502FE">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（含税）</w:t>
            </w:r>
          </w:p>
        </w:tc>
        <w:tc>
          <w:tcPr>
            <w:tcW w:w="1159" w:type="dxa"/>
            <w:vAlign w:val="center"/>
          </w:tcPr>
          <w:p w14:paraId="54BF9B0E">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免费</w:t>
            </w:r>
          </w:p>
          <w:p w14:paraId="546A1827">
            <w:pPr>
              <w:spacing w:line="460" w:lineRule="exact"/>
              <w:ind w:right="-11"/>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保修期</w:t>
            </w:r>
          </w:p>
        </w:tc>
      </w:tr>
      <w:tr w14:paraId="06C80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5" w:type="dxa"/>
            <w:vAlign w:val="center"/>
          </w:tcPr>
          <w:p w14:paraId="64E369E3">
            <w:pPr>
              <w:widowControl/>
              <w:spacing w:line="460" w:lineRule="exact"/>
              <w:jc w:val="center"/>
              <w:textAlignment w:val="center"/>
              <w:rPr>
                <w:rFonts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bidi="ar"/>
              </w:rPr>
              <w:t>1</w:t>
            </w:r>
          </w:p>
        </w:tc>
        <w:tc>
          <w:tcPr>
            <w:tcW w:w="1605" w:type="dxa"/>
            <w:vAlign w:val="center"/>
          </w:tcPr>
          <w:p w14:paraId="6ADFEEB2">
            <w:pPr>
              <w:widowControl/>
              <w:jc w:val="center"/>
              <w:textAlignment w:val="center"/>
              <w:rPr>
                <w:rFonts w:ascii="新宋体" w:hAnsi="新宋体" w:eastAsia="新宋体" w:cs="新宋体"/>
                <w:color w:val="auto"/>
                <w:sz w:val="22"/>
                <w:szCs w:val="22"/>
                <w:highlight w:val="none"/>
              </w:rPr>
            </w:pPr>
          </w:p>
        </w:tc>
        <w:tc>
          <w:tcPr>
            <w:tcW w:w="1477" w:type="dxa"/>
            <w:vAlign w:val="center"/>
          </w:tcPr>
          <w:p w14:paraId="44E06403">
            <w:pPr>
              <w:spacing w:line="460" w:lineRule="exact"/>
              <w:jc w:val="center"/>
              <w:rPr>
                <w:rFonts w:ascii="新宋体" w:hAnsi="新宋体" w:eastAsia="新宋体" w:cs="新宋体"/>
                <w:color w:val="auto"/>
                <w:sz w:val="22"/>
                <w:szCs w:val="22"/>
                <w:highlight w:val="none"/>
              </w:rPr>
            </w:pPr>
          </w:p>
        </w:tc>
        <w:tc>
          <w:tcPr>
            <w:tcW w:w="1570" w:type="dxa"/>
            <w:vAlign w:val="center"/>
          </w:tcPr>
          <w:p w14:paraId="14C38434">
            <w:pPr>
              <w:spacing w:line="460" w:lineRule="exact"/>
              <w:ind w:right="-11"/>
              <w:jc w:val="center"/>
              <w:rPr>
                <w:rFonts w:ascii="新宋体" w:hAnsi="新宋体" w:eastAsia="新宋体" w:cs="新宋体"/>
                <w:color w:val="auto"/>
                <w:sz w:val="22"/>
                <w:szCs w:val="22"/>
                <w:highlight w:val="none"/>
              </w:rPr>
            </w:pPr>
          </w:p>
        </w:tc>
        <w:tc>
          <w:tcPr>
            <w:tcW w:w="708" w:type="dxa"/>
            <w:vAlign w:val="center"/>
          </w:tcPr>
          <w:p w14:paraId="292154D4">
            <w:pPr>
              <w:widowControl/>
              <w:jc w:val="center"/>
              <w:textAlignment w:val="center"/>
              <w:rPr>
                <w:rFonts w:ascii="新宋体" w:hAnsi="新宋体" w:eastAsia="新宋体" w:cs="新宋体"/>
                <w:color w:val="auto"/>
                <w:sz w:val="22"/>
                <w:szCs w:val="22"/>
                <w:highlight w:val="none"/>
              </w:rPr>
            </w:pPr>
          </w:p>
        </w:tc>
        <w:tc>
          <w:tcPr>
            <w:tcW w:w="708" w:type="dxa"/>
            <w:vAlign w:val="center"/>
          </w:tcPr>
          <w:p w14:paraId="4AFFDA45">
            <w:pPr>
              <w:spacing w:line="460" w:lineRule="exact"/>
              <w:jc w:val="center"/>
              <w:rPr>
                <w:rFonts w:ascii="新宋体" w:hAnsi="新宋体" w:eastAsia="新宋体" w:cs="新宋体"/>
                <w:color w:val="auto"/>
                <w:sz w:val="22"/>
                <w:szCs w:val="22"/>
                <w:highlight w:val="none"/>
              </w:rPr>
            </w:pPr>
          </w:p>
        </w:tc>
        <w:tc>
          <w:tcPr>
            <w:tcW w:w="1143" w:type="dxa"/>
            <w:vAlign w:val="center"/>
          </w:tcPr>
          <w:p w14:paraId="2BC7F8E3">
            <w:pPr>
              <w:spacing w:line="460" w:lineRule="exact"/>
              <w:ind w:right="-11"/>
              <w:jc w:val="center"/>
              <w:rPr>
                <w:rFonts w:ascii="新宋体" w:hAnsi="新宋体" w:eastAsia="新宋体" w:cs="新宋体"/>
                <w:color w:val="auto"/>
                <w:sz w:val="22"/>
                <w:szCs w:val="22"/>
                <w:highlight w:val="none"/>
              </w:rPr>
            </w:pPr>
          </w:p>
        </w:tc>
        <w:tc>
          <w:tcPr>
            <w:tcW w:w="1000" w:type="dxa"/>
            <w:vAlign w:val="center"/>
          </w:tcPr>
          <w:p w14:paraId="74084482">
            <w:pPr>
              <w:spacing w:line="460" w:lineRule="exact"/>
              <w:ind w:right="-11"/>
              <w:jc w:val="center"/>
              <w:rPr>
                <w:rFonts w:ascii="新宋体" w:hAnsi="新宋体" w:eastAsia="新宋体" w:cs="新宋体"/>
                <w:color w:val="auto"/>
                <w:sz w:val="22"/>
                <w:szCs w:val="22"/>
                <w:highlight w:val="none"/>
              </w:rPr>
            </w:pPr>
          </w:p>
        </w:tc>
        <w:tc>
          <w:tcPr>
            <w:tcW w:w="1159" w:type="dxa"/>
            <w:vAlign w:val="center"/>
          </w:tcPr>
          <w:p w14:paraId="12B417B8">
            <w:pPr>
              <w:spacing w:line="460" w:lineRule="exact"/>
              <w:ind w:right="-11"/>
              <w:jc w:val="center"/>
              <w:rPr>
                <w:rFonts w:ascii="新宋体" w:hAnsi="新宋体" w:eastAsia="新宋体" w:cs="新宋体"/>
                <w:color w:val="auto"/>
                <w:sz w:val="22"/>
                <w:szCs w:val="22"/>
                <w:highlight w:val="none"/>
              </w:rPr>
            </w:pPr>
          </w:p>
        </w:tc>
      </w:tr>
      <w:tr w14:paraId="4528F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5" w:type="dxa"/>
            <w:vAlign w:val="center"/>
          </w:tcPr>
          <w:p w14:paraId="1E8DA180">
            <w:pPr>
              <w:widowControl/>
              <w:spacing w:line="460" w:lineRule="exact"/>
              <w:jc w:val="center"/>
              <w:textAlignment w:val="center"/>
              <w:rPr>
                <w:rFonts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bidi="ar"/>
              </w:rPr>
              <w:t>2</w:t>
            </w:r>
          </w:p>
        </w:tc>
        <w:tc>
          <w:tcPr>
            <w:tcW w:w="1605" w:type="dxa"/>
            <w:vAlign w:val="center"/>
          </w:tcPr>
          <w:p w14:paraId="067F3633">
            <w:pPr>
              <w:widowControl/>
              <w:jc w:val="center"/>
              <w:textAlignment w:val="center"/>
              <w:rPr>
                <w:rFonts w:ascii="新宋体" w:hAnsi="新宋体" w:eastAsia="新宋体" w:cs="新宋体"/>
                <w:color w:val="auto"/>
                <w:sz w:val="22"/>
                <w:szCs w:val="22"/>
                <w:highlight w:val="none"/>
              </w:rPr>
            </w:pPr>
          </w:p>
        </w:tc>
        <w:tc>
          <w:tcPr>
            <w:tcW w:w="1477" w:type="dxa"/>
            <w:vAlign w:val="center"/>
          </w:tcPr>
          <w:p w14:paraId="12C7352C">
            <w:pPr>
              <w:spacing w:line="460" w:lineRule="exact"/>
              <w:jc w:val="center"/>
              <w:rPr>
                <w:rFonts w:ascii="新宋体" w:hAnsi="新宋体" w:eastAsia="新宋体" w:cs="新宋体"/>
                <w:color w:val="auto"/>
                <w:sz w:val="22"/>
                <w:szCs w:val="22"/>
                <w:highlight w:val="none"/>
              </w:rPr>
            </w:pPr>
          </w:p>
        </w:tc>
        <w:tc>
          <w:tcPr>
            <w:tcW w:w="1570" w:type="dxa"/>
            <w:vAlign w:val="center"/>
          </w:tcPr>
          <w:p w14:paraId="3E066656">
            <w:pPr>
              <w:spacing w:line="460" w:lineRule="exact"/>
              <w:ind w:right="-11"/>
              <w:jc w:val="center"/>
              <w:rPr>
                <w:rFonts w:ascii="新宋体" w:hAnsi="新宋体" w:eastAsia="新宋体" w:cs="新宋体"/>
                <w:color w:val="auto"/>
                <w:sz w:val="22"/>
                <w:szCs w:val="22"/>
                <w:highlight w:val="none"/>
              </w:rPr>
            </w:pPr>
          </w:p>
        </w:tc>
        <w:tc>
          <w:tcPr>
            <w:tcW w:w="708" w:type="dxa"/>
            <w:vAlign w:val="center"/>
          </w:tcPr>
          <w:p w14:paraId="0DB06AFB">
            <w:pPr>
              <w:widowControl/>
              <w:jc w:val="center"/>
              <w:textAlignment w:val="center"/>
              <w:rPr>
                <w:rFonts w:ascii="新宋体" w:hAnsi="新宋体" w:eastAsia="新宋体" w:cs="新宋体"/>
                <w:color w:val="auto"/>
                <w:sz w:val="22"/>
                <w:szCs w:val="22"/>
                <w:highlight w:val="none"/>
              </w:rPr>
            </w:pPr>
          </w:p>
        </w:tc>
        <w:tc>
          <w:tcPr>
            <w:tcW w:w="708" w:type="dxa"/>
            <w:vAlign w:val="center"/>
          </w:tcPr>
          <w:p w14:paraId="637EFD58">
            <w:pPr>
              <w:spacing w:line="460" w:lineRule="exact"/>
              <w:jc w:val="center"/>
              <w:rPr>
                <w:rFonts w:ascii="新宋体" w:hAnsi="新宋体" w:eastAsia="新宋体" w:cs="新宋体"/>
                <w:color w:val="auto"/>
                <w:sz w:val="22"/>
                <w:szCs w:val="22"/>
                <w:highlight w:val="none"/>
              </w:rPr>
            </w:pPr>
          </w:p>
        </w:tc>
        <w:tc>
          <w:tcPr>
            <w:tcW w:w="1143" w:type="dxa"/>
            <w:vAlign w:val="center"/>
          </w:tcPr>
          <w:p w14:paraId="0937EF65">
            <w:pPr>
              <w:spacing w:line="460" w:lineRule="exact"/>
              <w:ind w:right="-11"/>
              <w:jc w:val="center"/>
              <w:rPr>
                <w:rFonts w:ascii="新宋体" w:hAnsi="新宋体" w:eastAsia="新宋体" w:cs="新宋体"/>
                <w:color w:val="auto"/>
                <w:sz w:val="22"/>
                <w:szCs w:val="22"/>
                <w:highlight w:val="none"/>
              </w:rPr>
            </w:pPr>
          </w:p>
        </w:tc>
        <w:tc>
          <w:tcPr>
            <w:tcW w:w="1000" w:type="dxa"/>
            <w:vAlign w:val="center"/>
          </w:tcPr>
          <w:p w14:paraId="12D78620">
            <w:pPr>
              <w:spacing w:line="460" w:lineRule="exact"/>
              <w:ind w:right="-11"/>
              <w:jc w:val="center"/>
              <w:rPr>
                <w:rFonts w:ascii="新宋体" w:hAnsi="新宋体" w:eastAsia="新宋体" w:cs="新宋体"/>
                <w:color w:val="auto"/>
                <w:sz w:val="22"/>
                <w:szCs w:val="22"/>
                <w:highlight w:val="none"/>
              </w:rPr>
            </w:pPr>
          </w:p>
        </w:tc>
        <w:tc>
          <w:tcPr>
            <w:tcW w:w="1159" w:type="dxa"/>
            <w:vAlign w:val="center"/>
          </w:tcPr>
          <w:p w14:paraId="5B3EE5F2">
            <w:pPr>
              <w:spacing w:line="460" w:lineRule="exact"/>
              <w:ind w:right="-11"/>
              <w:jc w:val="center"/>
              <w:rPr>
                <w:rFonts w:ascii="新宋体" w:hAnsi="新宋体" w:eastAsia="新宋体" w:cs="新宋体"/>
                <w:color w:val="auto"/>
                <w:sz w:val="22"/>
                <w:szCs w:val="22"/>
                <w:highlight w:val="none"/>
              </w:rPr>
            </w:pPr>
          </w:p>
        </w:tc>
      </w:tr>
      <w:tr w14:paraId="30ADE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5" w:type="dxa"/>
            <w:vAlign w:val="center"/>
          </w:tcPr>
          <w:p w14:paraId="765E7CDB">
            <w:pPr>
              <w:widowControl/>
              <w:spacing w:line="460" w:lineRule="exact"/>
              <w:jc w:val="center"/>
              <w:textAlignment w:val="center"/>
              <w:rPr>
                <w:rFonts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bidi="ar"/>
              </w:rPr>
              <w:t>3</w:t>
            </w:r>
          </w:p>
        </w:tc>
        <w:tc>
          <w:tcPr>
            <w:tcW w:w="1605" w:type="dxa"/>
            <w:vAlign w:val="center"/>
          </w:tcPr>
          <w:p w14:paraId="16113E60">
            <w:pPr>
              <w:widowControl/>
              <w:jc w:val="center"/>
              <w:textAlignment w:val="center"/>
              <w:rPr>
                <w:rFonts w:ascii="新宋体" w:hAnsi="新宋体" w:eastAsia="新宋体" w:cs="新宋体"/>
                <w:color w:val="auto"/>
                <w:sz w:val="22"/>
                <w:szCs w:val="22"/>
                <w:highlight w:val="none"/>
              </w:rPr>
            </w:pPr>
          </w:p>
        </w:tc>
        <w:tc>
          <w:tcPr>
            <w:tcW w:w="1477" w:type="dxa"/>
            <w:vAlign w:val="center"/>
          </w:tcPr>
          <w:p w14:paraId="4796C3AB">
            <w:pPr>
              <w:spacing w:line="460" w:lineRule="exact"/>
              <w:jc w:val="center"/>
              <w:rPr>
                <w:rFonts w:ascii="新宋体" w:hAnsi="新宋体" w:eastAsia="新宋体" w:cs="新宋体"/>
                <w:color w:val="auto"/>
                <w:sz w:val="22"/>
                <w:szCs w:val="22"/>
                <w:highlight w:val="none"/>
              </w:rPr>
            </w:pPr>
          </w:p>
        </w:tc>
        <w:tc>
          <w:tcPr>
            <w:tcW w:w="1570" w:type="dxa"/>
            <w:vAlign w:val="center"/>
          </w:tcPr>
          <w:p w14:paraId="6A01ED84">
            <w:pPr>
              <w:spacing w:line="460" w:lineRule="exact"/>
              <w:ind w:right="-11"/>
              <w:jc w:val="center"/>
              <w:rPr>
                <w:rFonts w:ascii="新宋体" w:hAnsi="新宋体" w:eastAsia="新宋体" w:cs="新宋体"/>
                <w:color w:val="auto"/>
                <w:sz w:val="22"/>
                <w:szCs w:val="22"/>
                <w:highlight w:val="none"/>
              </w:rPr>
            </w:pPr>
          </w:p>
        </w:tc>
        <w:tc>
          <w:tcPr>
            <w:tcW w:w="708" w:type="dxa"/>
            <w:vAlign w:val="center"/>
          </w:tcPr>
          <w:p w14:paraId="23B52A5E">
            <w:pPr>
              <w:widowControl/>
              <w:jc w:val="center"/>
              <w:textAlignment w:val="center"/>
              <w:rPr>
                <w:rFonts w:ascii="新宋体" w:hAnsi="新宋体" w:eastAsia="新宋体" w:cs="新宋体"/>
                <w:color w:val="auto"/>
                <w:sz w:val="22"/>
                <w:szCs w:val="22"/>
                <w:highlight w:val="none"/>
              </w:rPr>
            </w:pPr>
          </w:p>
        </w:tc>
        <w:tc>
          <w:tcPr>
            <w:tcW w:w="708" w:type="dxa"/>
            <w:vAlign w:val="center"/>
          </w:tcPr>
          <w:p w14:paraId="5D5F8B4B">
            <w:pPr>
              <w:spacing w:line="460" w:lineRule="exact"/>
              <w:jc w:val="center"/>
              <w:rPr>
                <w:rFonts w:ascii="新宋体" w:hAnsi="新宋体" w:eastAsia="新宋体" w:cs="新宋体"/>
                <w:color w:val="auto"/>
                <w:sz w:val="22"/>
                <w:szCs w:val="22"/>
                <w:highlight w:val="none"/>
              </w:rPr>
            </w:pPr>
          </w:p>
        </w:tc>
        <w:tc>
          <w:tcPr>
            <w:tcW w:w="1143" w:type="dxa"/>
            <w:vAlign w:val="center"/>
          </w:tcPr>
          <w:p w14:paraId="1C199489">
            <w:pPr>
              <w:spacing w:line="460" w:lineRule="exact"/>
              <w:ind w:right="-11"/>
              <w:jc w:val="center"/>
              <w:rPr>
                <w:rFonts w:ascii="新宋体" w:hAnsi="新宋体" w:eastAsia="新宋体" w:cs="新宋体"/>
                <w:color w:val="auto"/>
                <w:sz w:val="22"/>
                <w:szCs w:val="22"/>
                <w:highlight w:val="none"/>
              </w:rPr>
            </w:pPr>
          </w:p>
        </w:tc>
        <w:tc>
          <w:tcPr>
            <w:tcW w:w="1000" w:type="dxa"/>
            <w:vAlign w:val="center"/>
          </w:tcPr>
          <w:p w14:paraId="17866308">
            <w:pPr>
              <w:spacing w:line="460" w:lineRule="exact"/>
              <w:ind w:right="-11"/>
              <w:jc w:val="center"/>
              <w:rPr>
                <w:rFonts w:ascii="新宋体" w:hAnsi="新宋体" w:eastAsia="新宋体" w:cs="新宋体"/>
                <w:color w:val="auto"/>
                <w:sz w:val="22"/>
                <w:szCs w:val="22"/>
                <w:highlight w:val="none"/>
              </w:rPr>
            </w:pPr>
          </w:p>
        </w:tc>
        <w:tc>
          <w:tcPr>
            <w:tcW w:w="1159" w:type="dxa"/>
            <w:vAlign w:val="center"/>
          </w:tcPr>
          <w:p w14:paraId="22F43CAB">
            <w:pPr>
              <w:spacing w:line="460" w:lineRule="exact"/>
              <w:ind w:right="-11"/>
              <w:jc w:val="center"/>
              <w:rPr>
                <w:rFonts w:ascii="新宋体" w:hAnsi="新宋体" w:eastAsia="新宋体" w:cs="新宋体"/>
                <w:color w:val="auto"/>
                <w:sz w:val="22"/>
                <w:szCs w:val="22"/>
                <w:highlight w:val="none"/>
              </w:rPr>
            </w:pPr>
          </w:p>
        </w:tc>
      </w:tr>
      <w:tr w14:paraId="3EB18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5" w:type="dxa"/>
            <w:vAlign w:val="center"/>
          </w:tcPr>
          <w:p w14:paraId="7B55F41F">
            <w:pPr>
              <w:widowControl/>
              <w:spacing w:line="460" w:lineRule="exact"/>
              <w:jc w:val="center"/>
              <w:textAlignment w:val="center"/>
              <w:rPr>
                <w:rFonts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bidi="ar"/>
              </w:rPr>
              <w:t>4</w:t>
            </w:r>
          </w:p>
        </w:tc>
        <w:tc>
          <w:tcPr>
            <w:tcW w:w="1605" w:type="dxa"/>
            <w:vAlign w:val="center"/>
          </w:tcPr>
          <w:p w14:paraId="598A7EF7">
            <w:pPr>
              <w:widowControl/>
              <w:jc w:val="center"/>
              <w:textAlignment w:val="center"/>
              <w:rPr>
                <w:rFonts w:ascii="新宋体" w:hAnsi="新宋体" w:eastAsia="新宋体" w:cs="新宋体"/>
                <w:color w:val="auto"/>
                <w:sz w:val="22"/>
                <w:szCs w:val="22"/>
                <w:highlight w:val="none"/>
              </w:rPr>
            </w:pPr>
          </w:p>
        </w:tc>
        <w:tc>
          <w:tcPr>
            <w:tcW w:w="1477" w:type="dxa"/>
            <w:vAlign w:val="center"/>
          </w:tcPr>
          <w:p w14:paraId="74964C0C">
            <w:pPr>
              <w:spacing w:line="460" w:lineRule="exact"/>
              <w:jc w:val="center"/>
              <w:rPr>
                <w:rFonts w:ascii="新宋体" w:hAnsi="新宋体" w:eastAsia="新宋体" w:cs="新宋体"/>
                <w:color w:val="auto"/>
                <w:sz w:val="22"/>
                <w:szCs w:val="22"/>
                <w:highlight w:val="none"/>
              </w:rPr>
            </w:pPr>
          </w:p>
        </w:tc>
        <w:tc>
          <w:tcPr>
            <w:tcW w:w="1570" w:type="dxa"/>
            <w:vAlign w:val="center"/>
          </w:tcPr>
          <w:p w14:paraId="68E7597B">
            <w:pPr>
              <w:spacing w:line="460" w:lineRule="exact"/>
              <w:ind w:right="-11"/>
              <w:jc w:val="center"/>
              <w:rPr>
                <w:rFonts w:ascii="新宋体" w:hAnsi="新宋体" w:eastAsia="新宋体" w:cs="新宋体"/>
                <w:color w:val="auto"/>
                <w:sz w:val="22"/>
                <w:szCs w:val="22"/>
                <w:highlight w:val="none"/>
              </w:rPr>
            </w:pPr>
          </w:p>
        </w:tc>
        <w:tc>
          <w:tcPr>
            <w:tcW w:w="708" w:type="dxa"/>
            <w:vAlign w:val="center"/>
          </w:tcPr>
          <w:p w14:paraId="3C722AC3">
            <w:pPr>
              <w:widowControl/>
              <w:jc w:val="center"/>
              <w:textAlignment w:val="center"/>
              <w:rPr>
                <w:rFonts w:ascii="新宋体" w:hAnsi="新宋体" w:eastAsia="新宋体" w:cs="新宋体"/>
                <w:color w:val="auto"/>
                <w:sz w:val="22"/>
                <w:szCs w:val="22"/>
                <w:highlight w:val="none"/>
              </w:rPr>
            </w:pPr>
          </w:p>
        </w:tc>
        <w:tc>
          <w:tcPr>
            <w:tcW w:w="708" w:type="dxa"/>
            <w:vAlign w:val="center"/>
          </w:tcPr>
          <w:p w14:paraId="156B33D6">
            <w:pPr>
              <w:spacing w:line="460" w:lineRule="exact"/>
              <w:jc w:val="center"/>
              <w:rPr>
                <w:rFonts w:ascii="新宋体" w:hAnsi="新宋体" w:eastAsia="新宋体" w:cs="新宋体"/>
                <w:color w:val="auto"/>
                <w:sz w:val="22"/>
                <w:szCs w:val="22"/>
                <w:highlight w:val="none"/>
              </w:rPr>
            </w:pPr>
          </w:p>
        </w:tc>
        <w:tc>
          <w:tcPr>
            <w:tcW w:w="1143" w:type="dxa"/>
            <w:vAlign w:val="center"/>
          </w:tcPr>
          <w:p w14:paraId="2B4DDFE0">
            <w:pPr>
              <w:spacing w:line="460" w:lineRule="exact"/>
              <w:ind w:right="-11"/>
              <w:jc w:val="center"/>
              <w:rPr>
                <w:rFonts w:ascii="新宋体" w:hAnsi="新宋体" w:eastAsia="新宋体" w:cs="新宋体"/>
                <w:color w:val="auto"/>
                <w:sz w:val="22"/>
                <w:szCs w:val="22"/>
                <w:highlight w:val="none"/>
              </w:rPr>
            </w:pPr>
          </w:p>
        </w:tc>
        <w:tc>
          <w:tcPr>
            <w:tcW w:w="1000" w:type="dxa"/>
            <w:vAlign w:val="center"/>
          </w:tcPr>
          <w:p w14:paraId="5F6ED0A5">
            <w:pPr>
              <w:spacing w:line="460" w:lineRule="exact"/>
              <w:ind w:right="-11"/>
              <w:jc w:val="center"/>
              <w:rPr>
                <w:rFonts w:ascii="新宋体" w:hAnsi="新宋体" w:eastAsia="新宋体" w:cs="新宋体"/>
                <w:color w:val="auto"/>
                <w:sz w:val="22"/>
                <w:szCs w:val="22"/>
                <w:highlight w:val="none"/>
              </w:rPr>
            </w:pPr>
          </w:p>
        </w:tc>
        <w:tc>
          <w:tcPr>
            <w:tcW w:w="1159" w:type="dxa"/>
            <w:vAlign w:val="center"/>
          </w:tcPr>
          <w:p w14:paraId="1AE49070">
            <w:pPr>
              <w:spacing w:line="460" w:lineRule="exact"/>
              <w:ind w:right="-11"/>
              <w:jc w:val="center"/>
              <w:rPr>
                <w:rFonts w:ascii="新宋体" w:hAnsi="新宋体" w:eastAsia="新宋体" w:cs="新宋体"/>
                <w:color w:val="auto"/>
                <w:sz w:val="22"/>
                <w:szCs w:val="22"/>
                <w:highlight w:val="none"/>
              </w:rPr>
            </w:pPr>
          </w:p>
        </w:tc>
      </w:tr>
      <w:tr w14:paraId="16594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5" w:type="dxa"/>
            <w:vAlign w:val="center"/>
          </w:tcPr>
          <w:p w14:paraId="738DD00D">
            <w:pPr>
              <w:widowControl/>
              <w:spacing w:line="460" w:lineRule="exact"/>
              <w:jc w:val="center"/>
              <w:textAlignment w:val="center"/>
              <w:rPr>
                <w:rFonts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bidi="ar"/>
              </w:rPr>
              <w:t>5</w:t>
            </w:r>
          </w:p>
        </w:tc>
        <w:tc>
          <w:tcPr>
            <w:tcW w:w="1605" w:type="dxa"/>
            <w:vAlign w:val="center"/>
          </w:tcPr>
          <w:p w14:paraId="621CE353">
            <w:pPr>
              <w:widowControl/>
              <w:jc w:val="center"/>
              <w:textAlignment w:val="center"/>
              <w:rPr>
                <w:rFonts w:ascii="新宋体" w:hAnsi="新宋体" w:eastAsia="新宋体" w:cs="新宋体"/>
                <w:color w:val="auto"/>
                <w:sz w:val="22"/>
                <w:szCs w:val="22"/>
                <w:highlight w:val="none"/>
              </w:rPr>
            </w:pPr>
          </w:p>
        </w:tc>
        <w:tc>
          <w:tcPr>
            <w:tcW w:w="1477" w:type="dxa"/>
            <w:vAlign w:val="center"/>
          </w:tcPr>
          <w:p w14:paraId="5897BC7C">
            <w:pPr>
              <w:spacing w:line="460" w:lineRule="exact"/>
              <w:jc w:val="center"/>
              <w:rPr>
                <w:rFonts w:ascii="新宋体" w:hAnsi="新宋体" w:eastAsia="新宋体" w:cs="新宋体"/>
                <w:color w:val="auto"/>
                <w:sz w:val="22"/>
                <w:szCs w:val="22"/>
                <w:highlight w:val="none"/>
              </w:rPr>
            </w:pPr>
          </w:p>
        </w:tc>
        <w:tc>
          <w:tcPr>
            <w:tcW w:w="1570" w:type="dxa"/>
            <w:vAlign w:val="center"/>
          </w:tcPr>
          <w:p w14:paraId="6C5588B7">
            <w:pPr>
              <w:spacing w:line="460" w:lineRule="exact"/>
              <w:ind w:right="-11"/>
              <w:jc w:val="center"/>
              <w:rPr>
                <w:rFonts w:ascii="新宋体" w:hAnsi="新宋体" w:eastAsia="新宋体" w:cs="新宋体"/>
                <w:color w:val="auto"/>
                <w:sz w:val="22"/>
                <w:szCs w:val="22"/>
                <w:highlight w:val="none"/>
              </w:rPr>
            </w:pPr>
          </w:p>
        </w:tc>
        <w:tc>
          <w:tcPr>
            <w:tcW w:w="708" w:type="dxa"/>
            <w:vAlign w:val="center"/>
          </w:tcPr>
          <w:p w14:paraId="717FF43A">
            <w:pPr>
              <w:widowControl/>
              <w:jc w:val="center"/>
              <w:textAlignment w:val="center"/>
              <w:rPr>
                <w:rFonts w:ascii="新宋体" w:hAnsi="新宋体" w:eastAsia="新宋体" w:cs="新宋体"/>
                <w:color w:val="auto"/>
                <w:sz w:val="22"/>
                <w:szCs w:val="22"/>
                <w:highlight w:val="none"/>
              </w:rPr>
            </w:pPr>
          </w:p>
        </w:tc>
        <w:tc>
          <w:tcPr>
            <w:tcW w:w="708" w:type="dxa"/>
            <w:vAlign w:val="center"/>
          </w:tcPr>
          <w:p w14:paraId="53D8FE7A">
            <w:pPr>
              <w:spacing w:line="460" w:lineRule="exact"/>
              <w:jc w:val="center"/>
              <w:rPr>
                <w:rFonts w:ascii="新宋体" w:hAnsi="新宋体" w:eastAsia="新宋体" w:cs="新宋体"/>
                <w:color w:val="auto"/>
                <w:sz w:val="22"/>
                <w:szCs w:val="22"/>
                <w:highlight w:val="none"/>
              </w:rPr>
            </w:pPr>
          </w:p>
        </w:tc>
        <w:tc>
          <w:tcPr>
            <w:tcW w:w="1143" w:type="dxa"/>
            <w:vAlign w:val="center"/>
          </w:tcPr>
          <w:p w14:paraId="5049BF6A">
            <w:pPr>
              <w:spacing w:line="460" w:lineRule="exact"/>
              <w:ind w:right="-11"/>
              <w:jc w:val="center"/>
              <w:rPr>
                <w:rFonts w:ascii="新宋体" w:hAnsi="新宋体" w:eastAsia="新宋体" w:cs="新宋体"/>
                <w:color w:val="auto"/>
                <w:sz w:val="22"/>
                <w:szCs w:val="22"/>
                <w:highlight w:val="none"/>
              </w:rPr>
            </w:pPr>
          </w:p>
        </w:tc>
        <w:tc>
          <w:tcPr>
            <w:tcW w:w="1000" w:type="dxa"/>
            <w:vAlign w:val="center"/>
          </w:tcPr>
          <w:p w14:paraId="476A93B6">
            <w:pPr>
              <w:spacing w:line="460" w:lineRule="exact"/>
              <w:ind w:right="-11"/>
              <w:jc w:val="center"/>
              <w:rPr>
                <w:rFonts w:ascii="新宋体" w:hAnsi="新宋体" w:eastAsia="新宋体" w:cs="新宋体"/>
                <w:color w:val="auto"/>
                <w:sz w:val="22"/>
                <w:szCs w:val="22"/>
                <w:highlight w:val="none"/>
              </w:rPr>
            </w:pPr>
          </w:p>
        </w:tc>
        <w:tc>
          <w:tcPr>
            <w:tcW w:w="1159" w:type="dxa"/>
            <w:vAlign w:val="center"/>
          </w:tcPr>
          <w:p w14:paraId="6E1E40E5">
            <w:pPr>
              <w:spacing w:line="460" w:lineRule="exact"/>
              <w:ind w:right="-11"/>
              <w:jc w:val="center"/>
              <w:rPr>
                <w:rFonts w:ascii="新宋体" w:hAnsi="新宋体" w:eastAsia="新宋体" w:cs="新宋体"/>
                <w:color w:val="auto"/>
                <w:sz w:val="22"/>
                <w:szCs w:val="22"/>
                <w:highlight w:val="none"/>
              </w:rPr>
            </w:pPr>
          </w:p>
        </w:tc>
      </w:tr>
      <w:tr w14:paraId="3734E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5" w:type="dxa"/>
            <w:vAlign w:val="center"/>
          </w:tcPr>
          <w:p w14:paraId="6513DB8D">
            <w:pPr>
              <w:widowControl/>
              <w:spacing w:line="460" w:lineRule="exact"/>
              <w:jc w:val="center"/>
              <w:textAlignment w:val="center"/>
              <w:rPr>
                <w:rFonts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bidi="ar"/>
              </w:rPr>
              <w:t>6</w:t>
            </w:r>
          </w:p>
        </w:tc>
        <w:tc>
          <w:tcPr>
            <w:tcW w:w="1605" w:type="dxa"/>
            <w:vAlign w:val="center"/>
          </w:tcPr>
          <w:p w14:paraId="37C6FD61">
            <w:pPr>
              <w:widowControl/>
              <w:jc w:val="center"/>
              <w:textAlignment w:val="center"/>
              <w:rPr>
                <w:rFonts w:ascii="新宋体" w:hAnsi="新宋体" w:eastAsia="新宋体" w:cs="新宋体"/>
                <w:color w:val="auto"/>
                <w:sz w:val="22"/>
                <w:szCs w:val="22"/>
                <w:highlight w:val="none"/>
              </w:rPr>
            </w:pPr>
          </w:p>
        </w:tc>
        <w:tc>
          <w:tcPr>
            <w:tcW w:w="1477" w:type="dxa"/>
            <w:vAlign w:val="center"/>
          </w:tcPr>
          <w:p w14:paraId="34C83C76">
            <w:pPr>
              <w:spacing w:line="460" w:lineRule="exact"/>
              <w:jc w:val="center"/>
              <w:rPr>
                <w:rFonts w:ascii="新宋体" w:hAnsi="新宋体" w:eastAsia="新宋体" w:cs="新宋体"/>
                <w:color w:val="auto"/>
                <w:sz w:val="22"/>
                <w:szCs w:val="22"/>
                <w:highlight w:val="none"/>
              </w:rPr>
            </w:pPr>
          </w:p>
        </w:tc>
        <w:tc>
          <w:tcPr>
            <w:tcW w:w="1570" w:type="dxa"/>
            <w:vAlign w:val="center"/>
          </w:tcPr>
          <w:p w14:paraId="25B87A13">
            <w:pPr>
              <w:spacing w:line="460" w:lineRule="exact"/>
              <w:ind w:right="-11"/>
              <w:jc w:val="center"/>
              <w:rPr>
                <w:rFonts w:ascii="新宋体" w:hAnsi="新宋体" w:eastAsia="新宋体" w:cs="新宋体"/>
                <w:color w:val="auto"/>
                <w:sz w:val="22"/>
                <w:szCs w:val="22"/>
                <w:highlight w:val="none"/>
              </w:rPr>
            </w:pPr>
          </w:p>
        </w:tc>
        <w:tc>
          <w:tcPr>
            <w:tcW w:w="708" w:type="dxa"/>
            <w:vAlign w:val="center"/>
          </w:tcPr>
          <w:p w14:paraId="63B57122">
            <w:pPr>
              <w:widowControl/>
              <w:jc w:val="center"/>
              <w:textAlignment w:val="center"/>
              <w:rPr>
                <w:rFonts w:ascii="新宋体" w:hAnsi="新宋体" w:eastAsia="新宋体" w:cs="新宋体"/>
                <w:color w:val="auto"/>
                <w:sz w:val="22"/>
                <w:szCs w:val="22"/>
                <w:highlight w:val="none"/>
              </w:rPr>
            </w:pPr>
          </w:p>
        </w:tc>
        <w:tc>
          <w:tcPr>
            <w:tcW w:w="708" w:type="dxa"/>
            <w:vAlign w:val="center"/>
          </w:tcPr>
          <w:p w14:paraId="775C93AF">
            <w:pPr>
              <w:spacing w:line="460" w:lineRule="exact"/>
              <w:jc w:val="center"/>
              <w:rPr>
                <w:rFonts w:ascii="新宋体" w:hAnsi="新宋体" w:eastAsia="新宋体" w:cs="新宋体"/>
                <w:color w:val="auto"/>
                <w:sz w:val="22"/>
                <w:szCs w:val="22"/>
                <w:highlight w:val="none"/>
              </w:rPr>
            </w:pPr>
          </w:p>
        </w:tc>
        <w:tc>
          <w:tcPr>
            <w:tcW w:w="1143" w:type="dxa"/>
            <w:vAlign w:val="center"/>
          </w:tcPr>
          <w:p w14:paraId="34A23696">
            <w:pPr>
              <w:spacing w:line="460" w:lineRule="exact"/>
              <w:ind w:right="-11"/>
              <w:jc w:val="center"/>
              <w:rPr>
                <w:rFonts w:ascii="新宋体" w:hAnsi="新宋体" w:eastAsia="新宋体" w:cs="新宋体"/>
                <w:color w:val="auto"/>
                <w:sz w:val="22"/>
                <w:szCs w:val="22"/>
                <w:highlight w:val="none"/>
              </w:rPr>
            </w:pPr>
          </w:p>
        </w:tc>
        <w:tc>
          <w:tcPr>
            <w:tcW w:w="1000" w:type="dxa"/>
            <w:vAlign w:val="center"/>
          </w:tcPr>
          <w:p w14:paraId="19332658">
            <w:pPr>
              <w:spacing w:line="460" w:lineRule="exact"/>
              <w:ind w:right="-11"/>
              <w:jc w:val="center"/>
              <w:rPr>
                <w:rFonts w:ascii="新宋体" w:hAnsi="新宋体" w:eastAsia="新宋体" w:cs="新宋体"/>
                <w:color w:val="auto"/>
                <w:sz w:val="22"/>
                <w:szCs w:val="22"/>
                <w:highlight w:val="none"/>
              </w:rPr>
            </w:pPr>
          </w:p>
        </w:tc>
        <w:tc>
          <w:tcPr>
            <w:tcW w:w="1159" w:type="dxa"/>
            <w:vAlign w:val="center"/>
          </w:tcPr>
          <w:p w14:paraId="7FE21888">
            <w:pPr>
              <w:spacing w:line="460" w:lineRule="exact"/>
              <w:ind w:right="-11"/>
              <w:jc w:val="center"/>
              <w:rPr>
                <w:rFonts w:ascii="新宋体" w:hAnsi="新宋体" w:eastAsia="新宋体" w:cs="新宋体"/>
                <w:color w:val="auto"/>
                <w:sz w:val="22"/>
                <w:szCs w:val="22"/>
                <w:highlight w:val="none"/>
              </w:rPr>
            </w:pPr>
          </w:p>
        </w:tc>
      </w:tr>
      <w:tr w14:paraId="779294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5" w:type="dxa"/>
            <w:vAlign w:val="center"/>
          </w:tcPr>
          <w:p w14:paraId="44E6CB35">
            <w:pPr>
              <w:widowControl/>
              <w:spacing w:line="460" w:lineRule="exact"/>
              <w:jc w:val="center"/>
              <w:textAlignment w:val="center"/>
              <w:rPr>
                <w:rFonts w:ascii="新宋体" w:hAnsi="新宋体" w:eastAsia="新宋体" w:cs="新宋体"/>
                <w:color w:val="auto"/>
                <w:kern w:val="0"/>
                <w:sz w:val="22"/>
                <w:szCs w:val="22"/>
                <w:highlight w:val="none"/>
                <w:lang w:bidi="ar"/>
              </w:rPr>
            </w:pPr>
          </w:p>
        </w:tc>
        <w:tc>
          <w:tcPr>
            <w:tcW w:w="1605" w:type="dxa"/>
            <w:vAlign w:val="center"/>
          </w:tcPr>
          <w:p w14:paraId="48A4D033">
            <w:pPr>
              <w:widowControl/>
              <w:jc w:val="center"/>
              <w:textAlignment w:val="center"/>
              <w:rPr>
                <w:rFonts w:ascii="新宋体" w:hAnsi="新宋体" w:eastAsia="新宋体" w:cs="新宋体"/>
                <w:color w:val="auto"/>
                <w:kern w:val="0"/>
                <w:szCs w:val="21"/>
                <w:highlight w:val="none"/>
              </w:rPr>
            </w:pPr>
          </w:p>
        </w:tc>
        <w:tc>
          <w:tcPr>
            <w:tcW w:w="1477" w:type="dxa"/>
            <w:vAlign w:val="center"/>
          </w:tcPr>
          <w:p w14:paraId="6C77F0EA">
            <w:pPr>
              <w:spacing w:line="460" w:lineRule="exact"/>
              <w:jc w:val="center"/>
              <w:rPr>
                <w:rFonts w:ascii="新宋体" w:hAnsi="新宋体" w:eastAsia="新宋体" w:cs="新宋体"/>
                <w:color w:val="auto"/>
                <w:sz w:val="22"/>
                <w:szCs w:val="22"/>
                <w:highlight w:val="none"/>
              </w:rPr>
            </w:pPr>
          </w:p>
        </w:tc>
        <w:tc>
          <w:tcPr>
            <w:tcW w:w="1570" w:type="dxa"/>
            <w:vAlign w:val="center"/>
          </w:tcPr>
          <w:p w14:paraId="2BDCF80F">
            <w:pPr>
              <w:spacing w:line="460" w:lineRule="exact"/>
              <w:ind w:right="-11"/>
              <w:jc w:val="center"/>
              <w:rPr>
                <w:rFonts w:ascii="新宋体" w:hAnsi="新宋体" w:eastAsia="新宋体" w:cs="新宋体"/>
                <w:color w:val="auto"/>
                <w:sz w:val="22"/>
                <w:szCs w:val="22"/>
                <w:highlight w:val="none"/>
              </w:rPr>
            </w:pPr>
          </w:p>
        </w:tc>
        <w:tc>
          <w:tcPr>
            <w:tcW w:w="708" w:type="dxa"/>
            <w:vAlign w:val="center"/>
          </w:tcPr>
          <w:p w14:paraId="3B02962B">
            <w:pPr>
              <w:widowControl/>
              <w:jc w:val="center"/>
              <w:textAlignment w:val="center"/>
              <w:rPr>
                <w:rFonts w:ascii="新宋体" w:hAnsi="新宋体" w:eastAsia="新宋体" w:cs="新宋体"/>
                <w:color w:val="auto"/>
                <w:szCs w:val="21"/>
                <w:highlight w:val="none"/>
              </w:rPr>
            </w:pPr>
          </w:p>
        </w:tc>
        <w:tc>
          <w:tcPr>
            <w:tcW w:w="708" w:type="dxa"/>
            <w:vAlign w:val="center"/>
          </w:tcPr>
          <w:p w14:paraId="6462ABB9">
            <w:pPr>
              <w:spacing w:line="460" w:lineRule="exact"/>
              <w:jc w:val="center"/>
              <w:rPr>
                <w:rFonts w:ascii="新宋体" w:hAnsi="新宋体" w:eastAsia="新宋体" w:cs="新宋体"/>
                <w:color w:val="auto"/>
                <w:sz w:val="22"/>
                <w:szCs w:val="22"/>
                <w:highlight w:val="none"/>
              </w:rPr>
            </w:pPr>
          </w:p>
        </w:tc>
        <w:tc>
          <w:tcPr>
            <w:tcW w:w="1143" w:type="dxa"/>
            <w:vAlign w:val="center"/>
          </w:tcPr>
          <w:p w14:paraId="6302F326">
            <w:pPr>
              <w:spacing w:line="460" w:lineRule="exact"/>
              <w:ind w:right="-11"/>
              <w:jc w:val="center"/>
              <w:rPr>
                <w:rFonts w:ascii="新宋体" w:hAnsi="新宋体" w:eastAsia="新宋体" w:cs="新宋体"/>
                <w:color w:val="auto"/>
                <w:sz w:val="22"/>
                <w:szCs w:val="22"/>
                <w:highlight w:val="none"/>
              </w:rPr>
            </w:pPr>
          </w:p>
        </w:tc>
        <w:tc>
          <w:tcPr>
            <w:tcW w:w="1000" w:type="dxa"/>
            <w:vAlign w:val="center"/>
          </w:tcPr>
          <w:p w14:paraId="08E51241">
            <w:pPr>
              <w:spacing w:line="460" w:lineRule="exact"/>
              <w:ind w:right="-11"/>
              <w:jc w:val="center"/>
              <w:rPr>
                <w:rFonts w:ascii="新宋体" w:hAnsi="新宋体" w:eastAsia="新宋体" w:cs="新宋体"/>
                <w:color w:val="auto"/>
                <w:sz w:val="22"/>
                <w:szCs w:val="22"/>
                <w:highlight w:val="none"/>
              </w:rPr>
            </w:pPr>
          </w:p>
        </w:tc>
        <w:tc>
          <w:tcPr>
            <w:tcW w:w="1159" w:type="dxa"/>
            <w:vAlign w:val="center"/>
          </w:tcPr>
          <w:p w14:paraId="4A89A362">
            <w:pPr>
              <w:spacing w:line="460" w:lineRule="exact"/>
              <w:ind w:right="-11"/>
              <w:jc w:val="center"/>
              <w:rPr>
                <w:rFonts w:ascii="新宋体" w:hAnsi="新宋体" w:eastAsia="新宋体" w:cs="新宋体"/>
                <w:color w:val="auto"/>
                <w:sz w:val="22"/>
                <w:szCs w:val="22"/>
                <w:highlight w:val="none"/>
              </w:rPr>
            </w:pPr>
          </w:p>
        </w:tc>
      </w:tr>
      <w:tr w14:paraId="44DBF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5" w:type="dxa"/>
            <w:vAlign w:val="center"/>
          </w:tcPr>
          <w:p w14:paraId="6E6F4BDB">
            <w:pPr>
              <w:widowControl/>
              <w:spacing w:line="460" w:lineRule="exact"/>
              <w:jc w:val="center"/>
              <w:textAlignment w:val="center"/>
              <w:rPr>
                <w:rFonts w:ascii="新宋体" w:hAnsi="新宋体" w:eastAsia="新宋体" w:cs="新宋体"/>
                <w:color w:val="auto"/>
                <w:kern w:val="0"/>
                <w:sz w:val="22"/>
                <w:szCs w:val="22"/>
                <w:highlight w:val="none"/>
                <w:lang w:bidi="ar"/>
              </w:rPr>
            </w:pPr>
          </w:p>
        </w:tc>
        <w:tc>
          <w:tcPr>
            <w:tcW w:w="1605" w:type="dxa"/>
            <w:vAlign w:val="center"/>
          </w:tcPr>
          <w:p w14:paraId="176BC9DE">
            <w:pPr>
              <w:widowControl/>
              <w:spacing w:line="460" w:lineRule="exact"/>
              <w:textAlignment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w:t>
            </w:r>
          </w:p>
        </w:tc>
        <w:tc>
          <w:tcPr>
            <w:tcW w:w="1477" w:type="dxa"/>
            <w:vAlign w:val="center"/>
          </w:tcPr>
          <w:p w14:paraId="28C1DAE6">
            <w:pPr>
              <w:spacing w:line="460" w:lineRule="exact"/>
              <w:jc w:val="center"/>
              <w:rPr>
                <w:rFonts w:ascii="新宋体" w:hAnsi="新宋体" w:eastAsia="新宋体" w:cs="新宋体"/>
                <w:color w:val="auto"/>
                <w:sz w:val="22"/>
                <w:szCs w:val="22"/>
                <w:highlight w:val="none"/>
              </w:rPr>
            </w:pPr>
          </w:p>
        </w:tc>
        <w:tc>
          <w:tcPr>
            <w:tcW w:w="1570" w:type="dxa"/>
            <w:vAlign w:val="center"/>
          </w:tcPr>
          <w:p w14:paraId="37E1482F">
            <w:pPr>
              <w:spacing w:line="460" w:lineRule="exact"/>
              <w:ind w:right="-11"/>
              <w:jc w:val="center"/>
              <w:rPr>
                <w:rFonts w:ascii="新宋体" w:hAnsi="新宋体" w:eastAsia="新宋体" w:cs="新宋体"/>
                <w:color w:val="auto"/>
                <w:sz w:val="22"/>
                <w:szCs w:val="22"/>
                <w:highlight w:val="none"/>
              </w:rPr>
            </w:pPr>
          </w:p>
        </w:tc>
        <w:tc>
          <w:tcPr>
            <w:tcW w:w="708" w:type="dxa"/>
            <w:vAlign w:val="center"/>
          </w:tcPr>
          <w:p w14:paraId="218C2265">
            <w:pPr>
              <w:spacing w:line="460" w:lineRule="exact"/>
              <w:jc w:val="center"/>
              <w:rPr>
                <w:rFonts w:ascii="新宋体" w:hAnsi="新宋体" w:eastAsia="新宋体" w:cs="新宋体"/>
                <w:color w:val="auto"/>
                <w:sz w:val="22"/>
                <w:szCs w:val="22"/>
                <w:highlight w:val="none"/>
              </w:rPr>
            </w:pPr>
          </w:p>
        </w:tc>
        <w:tc>
          <w:tcPr>
            <w:tcW w:w="708" w:type="dxa"/>
            <w:vAlign w:val="center"/>
          </w:tcPr>
          <w:p w14:paraId="2C2F2C78">
            <w:pPr>
              <w:spacing w:line="460" w:lineRule="exact"/>
              <w:jc w:val="center"/>
              <w:rPr>
                <w:rFonts w:ascii="新宋体" w:hAnsi="新宋体" w:eastAsia="新宋体" w:cs="新宋体"/>
                <w:color w:val="auto"/>
                <w:sz w:val="22"/>
                <w:szCs w:val="22"/>
                <w:highlight w:val="none"/>
              </w:rPr>
            </w:pPr>
          </w:p>
        </w:tc>
        <w:tc>
          <w:tcPr>
            <w:tcW w:w="1143" w:type="dxa"/>
            <w:vAlign w:val="center"/>
          </w:tcPr>
          <w:p w14:paraId="33719AFE">
            <w:pPr>
              <w:spacing w:line="460" w:lineRule="exact"/>
              <w:ind w:right="-11"/>
              <w:jc w:val="center"/>
              <w:rPr>
                <w:rFonts w:ascii="新宋体" w:hAnsi="新宋体" w:eastAsia="新宋体" w:cs="新宋体"/>
                <w:color w:val="auto"/>
                <w:sz w:val="22"/>
                <w:szCs w:val="22"/>
                <w:highlight w:val="none"/>
              </w:rPr>
            </w:pPr>
          </w:p>
        </w:tc>
        <w:tc>
          <w:tcPr>
            <w:tcW w:w="1000" w:type="dxa"/>
            <w:vAlign w:val="center"/>
          </w:tcPr>
          <w:p w14:paraId="0495D26E">
            <w:pPr>
              <w:spacing w:line="460" w:lineRule="exact"/>
              <w:ind w:right="-11"/>
              <w:jc w:val="center"/>
              <w:rPr>
                <w:rFonts w:ascii="新宋体" w:hAnsi="新宋体" w:eastAsia="新宋体" w:cs="新宋体"/>
                <w:color w:val="auto"/>
                <w:sz w:val="22"/>
                <w:szCs w:val="22"/>
                <w:highlight w:val="none"/>
              </w:rPr>
            </w:pPr>
          </w:p>
        </w:tc>
        <w:tc>
          <w:tcPr>
            <w:tcW w:w="1159" w:type="dxa"/>
            <w:vAlign w:val="center"/>
          </w:tcPr>
          <w:p w14:paraId="29399B62">
            <w:pPr>
              <w:spacing w:line="460" w:lineRule="exact"/>
              <w:ind w:right="-11"/>
              <w:jc w:val="center"/>
              <w:rPr>
                <w:rFonts w:ascii="新宋体" w:hAnsi="新宋体" w:eastAsia="新宋体" w:cs="新宋体"/>
                <w:color w:val="auto"/>
                <w:sz w:val="22"/>
                <w:szCs w:val="22"/>
                <w:highlight w:val="none"/>
              </w:rPr>
            </w:pPr>
          </w:p>
        </w:tc>
      </w:tr>
      <w:tr w14:paraId="125AD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07" w:type="dxa"/>
            <w:gridSpan w:val="3"/>
            <w:vAlign w:val="center"/>
          </w:tcPr>
          <w:p w14:paraId="2EB587E8">
            <w:pPr>
              <w:spacing w:line="460" w:lineRule="exact"/>
              <w:ind w:right="-11"/>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运杂及保险费（含卸货）</w:t>
            </w:r>
          </w:p>
        </w:tc>
        <w:tc>
          <w:tcPr>
            <w:tcW w:w="6288" w:type="dxa"/>
            <w:gridSpan w:val="6"/>
          </w:tcPr>
          <w:p w14:paraId="6461ACF5">
            <w:pPr>
              <w:spacing w:line="460" w:lineRule="exact"/>
              <w:rPr>
                <w:rFonts w:ascii="新宋体" w:hAnsi="新宋体" w:eastAsia="新宋体" w:cs="新宋体"/>
                <w:color w:val="auto"/>
                <w:sz w:val="22"/>
                <w:szCs w:val="22"/>
                <w:highlight w:val="none"/>
              </w:rPr>
            </w:pPr>
          </w:p>
        </w:tc>
      </w:tr>
      <w:tr w14:paraId="07B3D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07" w:type="dxa"/>
            <w:gridSpan w:val="3"/>
            <w:vAlign w:val="center"/>
          </w:tcPr>
          <w:p w14:paraId="3EFA0409">
            <w:pPr>
              <w:spacing w:line="460" w:lineRule="exact"/>
              <w:ind w:right="-11"/>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安装调试费（包括设备的测试、调试、验收等费用）</w:t>
            </w:r>
          </w:p>
        </w:tc>
        <w:tc>
          <w:tcPr>
            <w:tcW w:w="6288" w:type="dxa"/>
            <w:gridSpan w:val="6"/>
          </w:tcPr>
          <w:p w14:paraId="5BAA84B2">
            <w:pPr>
              <w:spacing w:line="460" w:lineRule="exact"/>
              <w:rPr>
                <w:rFonts w:ascii="新宋体" w:hAnsi="新宋体" w:eastAsia="新宋体" w:cs="新宋体"/>
                <w:color w:val="auto"/>
                <w:sz w:val="22"/>
                <w:szCs w:val="22"/>
                <w:highlight w:val="none"/>
              </w:rPr>
            </w:pPr>
          </w:p>
        </w:tc>
      </w:tr>
      <w:tr w14:paraId="11BE2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07" w:type="dxa"/>
            <w:gridSpan w:val="3"/>
            <w:vAlign w:val="center"/>
          </w:tcPr>
          <w:p w14:paraId="3BD50F57">
            <w:pPr>
              <w:spacing w:line="460" w:lineRule="exact"/>
              <w:ind w:right="-11"/>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培训费、技术服务费、售后服务费等</w:t>
            </w:r>
          </w:p>
        </w:tc>
        <w:tc>
          <w:tcPr>
            <w:tcW w:w="6288" w:type="dxa"/>
            <w:gridSpan w:val="6"/>
          </w:tcPr>
          <w:p w14:paraId="1833DFAF">
            <w:pPr>
              <w:spacing w:line="460" w:lineRule="exact"/>
              <w:rPr>
                <w:rFonts w:ascii="新宋体" w:hAnsi="新宋体" w:eastAsia="新宋体" w:cs="新宋体"/>
                <w:color w:val="auto"/>
                <w:sz w:val="22"/>
                <w:szCs w:val="22"/>
                <w:highlight w:val="none"/>
              </w:rPr>
            </w:pPr>
          </w:p>
        </w:tc>
      </w:tr>
      <w:tr w14:paraId="16FA3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07" w:type="dxa"/>
            <w:gridSpan w:val="3"/>
            <w:vAlign w:val="center"/>
          </w:tcPr>
          <w:p w14:paraId="02238404">
            <w:pPr>
              <w:spacing w:line="460" w:lineRule="exact"/>
              <w:ind w:right="-11"/>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税金</w:t>
            </w:r>
          </w:p>
        </w:tc>
        <w:tc>
          <w:tcPr>
            <w:tcW w:w="6288" w:type="dxa"/>
            <w:gridSpan w:val="6"/>
          </w:tcPr>
          <w:p w14:paraId="0F5FD12E">
            <w:pPr>
              <w:spacing w:line="460" w:lineRule="exact"/>
              <w:rPr>
                <w:rFonts w:ascii="新宋体" w:hAnsi="新宋体" w:eastAsia="新宋体" w:cs="新宋体"/>
                <w:color w:val="auto"/>
                <w:sz w:val="22"/>
                <w:szCs w:val="22"/>
                <w:highlight w:val="none"/>
              </w:rPr>
            </w:pPr>
          </w:p>
        </w:tc>
      </w:tr>
      <w:tr w14:paraId="24BD7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07" w:type="dxa"/>
            <w:gridSpan w:val="3"/>
            <w:vAlign w:val="center"/>
          </w:tcPr>
          <w:p w14:paraId="20CCC921">
            <w:pPr>
              <w:spacing w:line="460" w:lineRule="exact"/>
              <w:ind w:right="-11"/>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总计价</w:t>
            </w:r>
          </w:p>
        </w:tc>
        <w:tc>
          <w:tcPr>
            <w:tcW w:w="6288" w:type="dxa"/>
            <w:gridSpan w:val="6"/>
          </w:tcPr>
          <w:p w14:paraId="30CD8EBC">
            <w:pPr>
              <w:spacing w:line="460" w:lineRule="exact"/>
              <w:rPr>
                <w:rFonts w:ascii="新宋体" w:hAnsi="新宋体" w:eastAsia="新宋体" w:cs="新宋体"/>
                <w:color w:val="auto"/>
                <w:sz w:val="22"/>
                <w:szCs w:val="22"/>
                <w:highlight w:val="none"/>
              </w:rPr>
            </w:pPr>
          </w:p>
        </w:tc>
      </w:tr>
    </w:tbl>
    <w:p w14:paraId="0111DFEA">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color w:val="auto"/>
          <w:sz w:val="22"/>
          <w:szCs w:val="22"/>
          <w:highlight w:val="none"/>
        </w:rPr>
        <w:t>说明：</w:t>
      </w:r>
      <w:r>
        <w:rPr>
          <w:rFonts w:hint="eastAsia" w:ascii="新宋体" w:hAnsi="新宋体" w:eastAsia="新宋体" w:cs="新宋体"/>
          <w:b/>
          <w:bCs/>
          <w:color w:val="auto"/>
          <w:sz w:val="22"/>
          <w:szCs w:val="22"/>
          <w:highlight w:val="none"/>
        </w:rPr>
        <w:t>1、此表总计价应与</w:t>
      </w:r>
      <w:r>
        <w:rPr>
          <w:rFonts w:hint="eastAsia" w:ascii="新宋体" w:hAnsi="新宋体" w:eastAsia="新宋体" w:cs="新宋体"/>
          <w:b/>
          <w:bCs/>
          <w:color w:val="auto"/>
          <w:sz w:val="22"/>
          <w:szCs w:val="22"/>
          <w:highlight w:val="none"/>
          <w:lang w:val="en-US" w:eastAsia="zh-CN"/>
        </w:rPr>
        <w:t>附件二</w:t>
      </w:r>
      <w:r>
        <w:rPr>
          <w:rFonts w:hint="eastAsia" w:ascii="新宋体" w:hAnsi="新宋体" w:eastAsia="新宋体" w:cs="新宋体"/>
          <w:b/>
          <w:bCs/>
          <w:color w:val="auto"/>
          <w:sz w:val="22"/>
          <w:szCs w:val="22"/>
          <w:highlight w:val="none"/>
        </w:rPr>
        <w:t>“</w:t>
      </w:r>
      <w:r>
        <w:rPr>
          <w:rFonts w:hint="eastAsia" w:ascii="新宋体" w:hAnsi="新宋体" w:eastAsia="新宋体" w:cs="新宋体"/>
          <w:b/>
          <w:bCs/>
          <w:color w:val="auto"/>
          <w:sz w:val="22"/>
          <w:szCs w:val="22"/>
          <w:highlight w:val="none"/>
          <w:lang w:val="en-US" w:eastAsia="zh-CN"/>
        </w:rPr>
        <w:t>1</w:t>
      </w:r>
      <w:r>
        <w:rPr>
          <w:rFonts w:hint="eastAsia" w:ascii="新宋体" w:hAnsi="新宋体" w:eastAsia="新宋体" w:cs="新宋体"/>
          <w:b/>
          <w:bCs/>
          <w:color w:val="auto"/>
          <w:sz w:val="22"/>
          <w:szCs w:val="22"/>
          <w:highlight w:val="none"/>
        </w:rPr>
        <w:t>、</w:t>
      </w:r>
      <w:r>
        <w:rPr>
          <w:rFonts w:hint="eastAsia" w:ascii="新宋体" w:hAnsi="新宋体" w:eastAsia="新宋体" w:cs="新宋体"/>
          <w:b/>
          <w:bCs/>
          <w:color w:val="auto"/>
          <w:sz w:val="22"/>
          <w:szCs w:val="22"/>
          <w:highlight w:val="none"/>
          <w:lang w:val="en-US" w:eastAsia="zh-CN"/>
        </w:rPr>
        <w:t>投标</w:t>
      </w:r>
      <w:r>
        <w:rPr>
          <w:rFonts w:hint="eastAsia" w:ascii="新宋体" w:hAnsi="新宋体" w:eastAsia="新宋体" w:cs="新宋体"/>
          <w:b/>
          <w:bCs/>
          <w:color w:val="auto"/>
          <w:sz w:val="22"/>
          <w:szCs w:val="22"/>
          <w:highlight w:val="none"/>
        </w:rPr>
        <w:t>报价一览表”中报价相一致。</w:t>
      </w:r>
    </w:p>
    <w:p w14:paraId="695AFA82">
      <w:pPr>
        <w:keepNext w:val="0"/>
        <w:keepLines w:val="0"/>
        <w:pageBreakBefore w:val="0"/>
        <w:widowControl w:val="0"/>
        <w:kinsoku/>
        <w:wordWrap/>
        <w:overflowPunct/>
        <w:topLinePunct w:val="0"/>
        <w:autoSpaceDE/>
        <w:autoSpaceDN/>
        <w:bidi w:val="0"/>
        <w:adjustRightInd/>
        <w:snapToGrid/>
        <w:spacing w:line="460" w:lineRule="exact"/>
        <w:ind w:firstLine="663" w:firstLineChars="300"/>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2、不提供详细分项报价将视为没有实质性响应</w:t>
      </w:r>
      <w:r>
        <w:rPr>
          <w:rFonts w:hint="eastAsia" w:ascii="新宋体" w:hAnsi="新宋体" w:eastAsia="新宋体" w:cs="新宋体"/>
          <w:b/>
          <w:bCs/>
          <w:color w:val="auto"/>
          <w:sz w:val="22"/>
          <w:szCs w:val="22"/>
          <w:highlight w:val="none"/>
          <w:lang w:eastAsia="zh-CN"/>
        </w:rPr>
        <w:t>采购文件</w:t>
      </w:r>
      <w:r>
        <w:rPr>
          <w:rFonts w:hint="eastAsia" w:ascii="新宋体" w:hAnsi="新宋体" w:eastAsia="新宋体" w:cs="新宋体"/>
          <w:b/>
          <w:bCs/>
          <w:color w:val="auto"/>
          <w:sz w:val="22"/>
          <w:szCs w:val="22"/>
          <w:highlight w:val="none"/>
        </w:rPr>
        <w:t>。</w:t>
      </w:r>
    </w:p>
    <w:p w14:paraId="0AF316F5">
      <w:pPr>
        <w:keepNext w:val="0"/>
        <w:keepLines w:val="0"/>
        <w:pageBreakBefore w:val="0"/>
        <w:widowControl w:val="0"/>
        <w:kinsoku/>
        <w:wordWrap/>
        <w:overflowPunct/>
        <w:topLinePunct w:val="0"/>
        <w:autoSpaceDE/>
        <w:autoSpaceDN/>
        <w:bidi w:val="0"/>
        <w:adjustRightInd/>
        <w:snapToGrid/>
        <w:spacing w:line="460" w:lineRule="exact"/>
        <w:ind w:firstLine="663" w:firstLineChars="3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3、如果免费请在该项内容栏内注明“免”，如果含在产品价格中则填“含”，如无此项内容则填“无”。</w:t>
      </w:r>
    </w:p>
    <w:p w14:paraId="17D838E8">
      <w:pPr>
        <w:keepNext w:val="0"/>
        <w:keepLines w:val="0"/>
        <w:pageBreakBefore w:val="0"/>
        <w:widowControl w:val="0"/>
        <w:kinsoku/>
        <w:wordWrap/>
        <w:overflowPunct/>
        <w:topLinePunct w:val="0"/>
        <w:autoSpaceDE/>
        <w:autoSpaceDN/>
        <w:bidi w:val="0"/>
        <w:adjustRightInd/>
        <w:snapToGrid/>
        <w:spacing w:line="460" w:lineRule="exact"/>
        <w:ind w:firstLine="5060" w:firstLineChars="23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投标人全称（盖章）：</w:t>
      </w:r>
    </w:p>
    <w:p w14:paraId="3A0CD72A">
      <w:pPr>
        <w:keepNext w:val="0"/>
        <w:keepLines w:val="0"/>
        <w:pageBreakBefore w:val="0"/>
        <w:widowControl w:val="0"/>
        <w:kinsoku/>
        <w:wordWrap/>
        <w:overflowPunct/>
        <w:topLinePunct w:val="0"/>
        <w:autoSpaceDE/>
        <w:autoSpaceDN/>
        <w:bidi w:val="0"/>
        <w:adjustRightInd/>
        <w:snapToGrid/>
        <w:spacing w:line="460" w:lineRule="exact"/>
        <w:ind w:firstLine="5060" w:firstLineChars="23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投标人代表（签字）：</w:t>
      </w:r>
    </w:p>
    <w:p w14:paraId="51D2EAD4">
      <w:pPr>
        <w:keepNext w:val="0"/>
        <w:keepLines w:val="0"/>
        <w:pageBreakBefore w:val="0"/>
        <w:widowControl w:val="0"/>
        <w:kinsoku/>
        <w:wordWrap/>
        <w:overflowPunct/>
        <w:topLinePunct w:val="0"/>
        <w:autoSpaceDE/>
        <w:autoSpaceDN/>
        <w:bidi w:val="0"/>
        <w:adjustRightInd/>
        <w:snapToGrid/>
        <w:spacing w:line="460" w:lineRule="exact"/>
        <w:ind w:firstLine="5060" w:firstLineChars="23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w:t>
      </w:r>
    </w:p>
    <w:p w14:paraId="5D5C313A">
      <w:pPr>
        <w:rPr>
          <w:rFonts w:hint="eastAsia" w:ascii="新宋体" w:hAnsi="新宋体" w:eastAsia="新宋体" w:cs="新宋体"/>
          <w:color w:val="auto"/>
          <w:sz w:val="22"/>
          <w:szCs w:val="22"/>
          <w:highlight w:val="none"/>
        </w:rPr>
      </w:pPr>
    </w:p>
    <w:p w14:paraId="09177276">
      <w:pPr>
        <w:rPr>
          <w:rFonts w:hint="eastAsia" w:ascii="新宋体" w:hAnsi="新宋体" w:eastAsia="新宋体" w:cs="新宋体"/>
          <w:b/>
          <w:bCs/>
          <w:color w:val="auto"/>
          <w:sz w:val="28"/>
          <w:szCs w:val="28"/>
          <w:highlight w:val="none"/>
        </w:rPr>
      </w:pPr>
    </w:p>
    <w:p w14:paraId="3BF31A51">
      <w:pPr>
        <w:pStyle w:val="22"/>
        <w:rPr>
          <w:rFonts w:hint="eastAsia" w:ascii="新宋体" w:hAnsi="新宋体" w:eastAsia="新宋体" w:cs="新宋体"/>
          <w:b/>
          <w:bCs/>
          <w:color w:val="auto"/>
          <w:sz w:val="28"/>
          <w:szCs w:val="28"/>
          <w:highlight w:val="none"/>
        </w:rPr>
      </w:pPr>
    </w:p>
    <w:p w14:paraId="4B4F4CC7">
      <w:pPr>
        <w:rPr>
          <w:rFonts w:hint="eastAsia" w:ascii="新宋体" w:hAnsi="新宋体" w:eastAsia="新宋体" w:cs="新宋体"/>
          <w:b/>
          <w:color w:val="auto"/>
          <w:sz w:val="28"/>
          <w:szCs w:val="28"/>
          <w:highlight w:val="none"/>
          <w:lang w:val="en-US" w:eastAsia="zh-CN"/>
        </w:rPr>
      </w:pPr>
      <w:r>
        <w:rPr>
          <w:rFonts w:hint="eastAsia" w:ascii="新宋体" w:hAnsi="新宋体" w:eastAsia="新宋体" w:cs="新宋体"/>
          <w:b/>
          <w:color w:val="auto"/>
          <w:sz w:val="28"/>
          <w:szCs w:val="28"/>
          <w:highlight w:val="none"/>
          <w:lang w:val="en-US" w:eastAsia="zh-CN"/>
        </w:rPr>
        <w:br w:type="page"/>
      </w:r>
    </w:p>
    <w:p w14:paraId="4F83C539">
      <w:pPr>
        <w:outlineLvl w:val="1"/>
        <w:rPr>
          <w:rFonts w:hint="eastAsia" w:ascii="新宋体" w:hAnsi="新宋体" w:eastAsia="新宋体" w:cs="新宋体"/>
          <w:b/>
          <w:bCs/>
          <w:color w:val="auto"/>
          <w:sz w:val="22"/>
          <w:szCs w:val="22"/>
          <w:highlight w:val="none"/>
        </w:rPr>
      </w:pPr>
      <w:bookmarkStart w:id="44" w:name="_Toc18657"/>
      <w:r>
        <w:rPr>
          <w:rFonts w:hint="eastAsia" w:ascii="新宋体" w:hAnsi="新宋体" w:eastAsia="新宋体" w:cs="新宋体"/>
          <w:b/>
          <w:bCs/>
          <w:color w:val="auto"/>
          <w:sz w:val="22"/>
          <w:szCs w:val="22"/>
          <w:highlight w:val="none"/>
        </w:rPr>
        <w:t>附件三</w:t>
      </w:r>
      <w:bookmarkEnd w:id="42"/>
      <w:bookmarkEnd w:id="44"/>
    </w:p>
    <w:p w14:paraId="5DFFC592">
      <w:pPr>
        <w:spacing w:line="460" w:lineRule="exact"/>
        <w:jc w:val="center"/>
        <w:outlineLvl w:val="2"/>
        <w:rPr>
          <w:rFonts w:hint="eastAsia" w:ascii="新宋体" w:hAnsi="新宋体" w:eastAsia="新宋体" w:cs="新宋体"/>
          <w:b/>
          <w:bCs/>
          <w:color w:val="auto"/>
          <w:sz w:val="28"/>
          <w:szCs w:val="28"/>
          <w:highlight w:val="none"/>
          <w:lang w:val="zh-CN"/>
        </w:rPr>
      </w:pPr>
      <w:bookmarkStart w:id="45" w:name="_Toc4257"/>
      <w:bookmarkStart w:id="46" w:name="_Toc29102"/>
      <w:r>
        <w:rPr>
          <w:rFonts w:hint="eastAsia" w:ascii="新宋体" w:hAnsi="新宋体" w:eastAsia="新宋体" w:cs="新宋体"/>
          <w:b/>
          <w:bCs/>
          <w:color w:val="auto"/>
          <w:sz w:val="28"/>
          <w:szCs w:val="28"/>
          <w:highlight w:val="none"/>
          <w:lang w:val="zh-CN"/>
        </w:rPr>
        <w:t>商务技术文件</w:t>
      </w:r>
      <w:bookmarkEnd w:id="45"/>
      <w:bookmarkEnd w:id="46"/>
    </w:p>
    <w:p w14:paraId="63135F8F">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zh-CN" w:eastAsia="zh-CN"/>
        </w:rPr>
        <w:t>1、</w:t>
      </w:r>
      <w:r>
        <w:rPr>
          <w:rFonts w:hint="eastAsia" w:ascii="新宋体" w:hAnsi="新宋体" w:eastAsia="新宋体" w:cs="新宋体"/>
          <w:b/>
          <w:bCs/>
          <w:color w:val="auto"/>
          <w:sz w:val="24"/>
          <w:highlight w:val="none"/>
          <w:lang w:val="zh-CN"/>
        </w:rPr>
        <w:t>投标</w:t>
      </w:r>
      <w:r>
        <w:rPr>
          <w:rFonts w:hint="eastAsia" w:ascii="新宋体" w:hAnsi="新宋体" w:eastAsia="新宋体" w:cs="新宋体"/>
          <w:b/>
          <w:bCs/>
          <w:color w:val="auto"/>
          <w:sz w:val="24"/>
          <w:highlight w:val="none"/>
        </w:rPr>
        <w:t>响应</w:t>
      </w:r>
      <w:r>
        <w:rPr>
          <w:rFonts w:hint="eastAsia" w:ascii="新宋体" w:hAnsi="新宋体" w:eastAsia="新宋体" w:cs="新宋体"/>
          <w:b/>
          <w:bCs/>
          <w:color w:val="auto"/>
          <w:sz w:val="24"/>
          <w:highlight w:val="none"/>
          <w:lang w:val="zh-CN"/>
        </w:rPr>
        <w:t>函</w:t>
      </w:r>
    </w:p>
    <w:p w14:paraId="3DB96A00">
      <w:pPr>
        <w:spacing w:line="460" w:lineRule="exact"/>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致：</w:t>
      </w:r>
      <w:r>
        <w:rPr>
          <w:rFonts w:hint="eastAsia" w:ascii="新宋体" w:hAnsi="新宋体" w:eastAsia="新宋体" w:cs="新宋体"/>
          <w:color w:val="auto"/>
          <w:sz w:val="22"/>
          <w:szCs w:val="22"/>
          <w:highlight w:val="none"/>
          <w:lang w:eastAsia="zh-CN"/>
        </w:rPr>
        <w:t>温州市疾病预防控制中心（温州市卫生监督所）</w:t>
      </w:r>
    </w:p>
    <w:p w14:paraId="2AF8DBDB">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根据贵方为</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项目（</w:t>
      </w:r>
      <w:r>
        <w:rPr>
          <w:rFonts w:hint="eastAsia" w:ascii="新宋体" w:hAnsi="新宋体" w:eastAsia="新宋体" w:cs="新宋体"/>
          <w:color w:val="auto"/>
          <w:sz w:val="22"/>
          <w:szCs w:val="22"/>
          <w:highlight w:val="none"/>
          <w:lang w:val="en-US" w:eastAsia="zh-CN"/>
        </w:rPr>
        <w:t>项目</w:t>
      </w:r>
      <w:r>
        <w:rPr>
          <w:rFonts w:hint="eastAsia" w:ascii="新宋体" w:hAnsi="新宋体" w:eastAsia="新宋体" w:cs="新宋体"/>
          <w:color w:val="auto"/>
          <w:sz w:val="22"/>
          <w:szCs w:val="22"/>
          <w:highlight w:val="none"/>
        </w:rPr>
        <w:t>编号：</w:t>
      </w:r>
      <w:r>
        <w:rPr>
          <w:rFonts w:hint="eastAsia" w:ascii="新宋体" w:hAnsi="新宋体" w:eastAsia="新宋体" w:cs="新宋体"/>
          <w:b w:val="0"/>
          <w:bCs/>
          <w:color w:val="auto"/>
          <w:sz w:val="22"/>
          <w:szCs w:val="22"/>
          <w:highlight w:val="none"/>
          <w:u w:val="single"/>
        </w:rPr>
        <w:t xml:space="preserve">         </w:t>
      </w:r>
      <w:r>
        <w:rPr>
          <w:rFonts w:hint="eastAsia" w:ascii="新宋体" w:hAnsi="新宋体" w:eastAsia="新宋体" w:cs="新宋体"/>
          <w:color w:val="auto"/>
          <w:sz w:val="22"/>
          <w:szCs w:val="22"/>
          <w:highlight w:val="none"/>
        </w:rPr>
        <w:t>）的投标邀请，我方</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（投标人名称）作为投标人正式授权</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（授权代表全名，职务）代表我方处理有关本投标的一切事宜。为此：</w:t>
      </w:r>
    </w:p>
    <w:p w14:paraId="0FC9DB70">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1、我方同意在投标人</w:t>
      </w:r>
      <w:r>
        <w:rPr>
          <w:rFonts w:hint="eastAsia" w:ascii="新宋体" w:hAnsi="新宋体" w:eastAsia="新宋体" w:cs="新宋体"/>
          <w:color w:val="auto"/>
          <w:kern w:val="44"/>
          <w:sz w:val="22"/>
          <w:szCs w:val="22"/>
          <w:highlight w:val="none"/>
        </w:rPr>
        <w:t>编制和提交投标文件须知</w:t>
      </w:r>
      <w:r>
        <w:rPr>
          <w:rFonts w:hint="eastAsia" w:ascii="新宋体" w:hAnsi="新宋体" w:eastAsia="新宋体" w:cs="新宋体"/>
          <w:color w:val="auto"/>
          <w:sz w:val="22"/>
          <w:szCs w:val="22"/>
          <w:highlight w:val="none"/>
        </w:rPr>
        <w:t>规定的开标日期起遵守本投标书中的承诺且在投标有效期满之前均具有约束力。</w:t>
      </w:r>
    </w:p>
    <w:p w14:paraId="582E7234">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2、我方承诺已经具备《中华人民共和国政府采购法》中规定的参加政府采购活动的供应商应当具备的条件：</w:t>
      </w:r>
    </w:p>
    <w:p w14:paraId="4261FDE0">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1</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具有独立承担民事责任的能力；</w:t>
      </w:r>
    </w:p>
    <w:p w14:paraId="48213B73">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2</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遵守国家法律、行政法规，具有良好的信誉和商业道德；</w:t>
      </w:r>
    </w:p>
    <w:p w14:paraId="4F607511">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3</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具有履行合同的能力和良好的履行合同记录；</w:t>
      </w:r>
    </w:p>
    <w:p w14:paraId="4AE1365C">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4</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良好的资金、财务状况；</w:t>
      </w:r>
    </w:p>
    <w:p w14:paraId="720F3649">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5</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提供的产品和服务符合中国政府规定的相应标准和环保标准；</w:t>
      </w:r>
    </w:p>
    <w:p w14:paraId="795CCAAB">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6</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没有违反政府采购法规、政策的记录；</w:t>
      </w:r>
    </w:p>
    <w:p w14:paraId="1AD3DF3A">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7</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没有发生重大经济纠纷和走私犯罪记录。</w:t>
      </w:r>
    </w:p>
    <w:p w14:paraId="6CA92865">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3、提供编制和提交投标文件须知规定的全部投标文件，包括资格文件、报价文件、商务技术文件。具体内容为：</w:t>
      </w:r>
    </w:p>
    <w:p w14:paraId="7C9748E5">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1</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资格文件</w:t>
      </w:r>
    </w:p>
    <w:p w14:paraId="1AB8119B">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2</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报价文件；</w:t>
      </w:r>
    </w:p>
    <w:p w14:paraId="7178A861">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3</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zh-CN"/>
        </w:rPr>
        <w:t>商务技术文件</w:t>
      </w:r>
      <w:r>
        <w:rPr>
          <w:rFonts w:hint="eastAsia" w:ascii="新宋体" w:hAnsi="新宋体" w:eastAsia="新宋体" w:cs="新宋体"/>
          <w:color w:val="auto"/>
          <w:sz w:val="22"/>
          <w:szCs w:val="22"/>
          <w:highlight w:val="none"/>
        </w:rPr>
        <w:t>；</w:t>
      </w:r>
    </w:p>
    <w:p w14:paraId="32BD0478">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4</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编制和提交投标文件须知要求投标人提交的全部文件；</w:t>
      </w:r>
    </w:p>
    <w:p w14:paraId="3CD44729">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5</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按</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要求提供和交付的货物和服务的投标报价详见开标一览表；</w:t>
      </w:r>
    </w:p>
    <w:p w14:paraId="3FC58612">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6</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保证忠实地执行双方所签订的合同，并承担合同规定的责任和义务；</w:t>
      </w:r>
    </w:p>
    <w:p w14:paraId="34A90930">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7</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保证遵守</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中的其他有关规定。</w:t>
      </w:r>
    </w:p>
    <w:p w14:paraId="2B273086">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4、投标有效期内不撤销投标文件，如中标，有效期将延至合同终止日为止。</w:t>
      </w:r>
    </w:p>
    <w:p w14:paraId="175CBF7F">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5、我方完全理解贵方不一定要接受最低价的投标。</w:t>
      </w:r>
    </w:p>
    <w:p w14:paraId="26B469F8">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6、如中标，按</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规定与</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签订合同。如拒绝签订合同，承诺按本项目预算金额的2%对</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进行赔偿；赔偿金额不足以弥补</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损失的，承诺继续承担超过部分的损失。</w:t>
      </w:r>
    </w:p>
    <w:p w14:paraId="52CB8AD3">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7、如中标，按</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规定的</w:t>
      </w:r>
      <w:r>
        <w:rPr>
          <w:rFonts w:hint="eastAsia" w:ascii="新宋体" w:hAnsi="新宋体" w:eastAsia="新宋体" w:cs="新宋体"/>
          <w:color w:val="auto"/>
          <w:sz w:val="22"/>
          <w:szCs w:val="22"/>
          <w:highlight w:val="none"/>
          <w:lang w:eastAsia="zh-CN"/>
        </w:rPr>
        <w:t>采购</w:t>
      </w:r>
      <w:r>
        <w:rPr>
          <w:rFonts w:hint="eastAsia" w:ascii="新宋体" w:hAnsi="新宋体" w:eastAsia="新宋体" w:cs="新宋体"/>
          <w:color w:val="auto"/>
          <w:sz w:val="22"/>
          <w:szCs w:val="22"/>
          <w:highlight w:val="none"/>
        </w:rPr>
        <w:t>代理服务费标准，在领取中标通知书时向</w:t>
      </w:r>
      <w:r>
        <w:rPr>
          <w:rFonts w:hint="eastAsia" w:ascii="新宋体" w:hAnsi="新宋体" w:eastAsia="新宋体" w:cs="新宋体"/>
          <w:color w:val="auto"/>
          <w:sz w:val="22"/>
          <w:szCs w:val="22"/>
          <w:highlight w:val="none"/>
          <w:lang w:eastAsia="zh-CN"/>
        </w:rPr>
        <w:t>采购代理机构</w:t>
      </w:r>
      <w:r>
        <w:rPr>
          <w:rFonts w:hint="eastAsia" w:ascii="新宋体" w:hAnsi="新宋体" w:eastAsia="新宋体" w:cs="新宋体"/>
          <w:color w:val="auto"/>
          <w:sz w:val="22"/>
          <w:szCs w:val="22"/>
          <w:highlight w:val="none"/>
        </w:rPr>
        <w:t>支付</w:t>
      </w:r>
      <w:r>
        <w:rPr>
          <w:rFonts w:hint="eastAsia" w:ascii="新宋体" w:hAnsi="新宋体" w:eastAsia="新宋体" w:cs="新宋体"/>
          <w:color w:val="auto"/>
          <w:sz w:val="22"/>
          <w:szCs w:val="22"/>
          <w:highlight w:val="none"/>
          <w:lang w:eastAsia="zh-CN"/>
        </w:rPr>
        <w:t>采购</w:t>
      </w:r>
      <w:r>
        <w:rPr>
          <w:rFonts w:hint="eastAsia" w:ascii="新宋体" w:hAnsi="新宋体" w:eastAsia="新宋体" w:cs="新宋体"/>
          <w:color w:val="auto"/>
          <w:sz w:val="22"/>
          <w:szCs w:val="22"/>
          <w:highlight w:val="none"/>
        </w:rPr>
        <w:t>代理服务费。</w:t>
      </w:r>
    </w:p>
    <w:p w14:paraId="06247BCD">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8、我方愿意向贵方提供任何与该项投标有关的数据、情况和服务资料。若贵方需要，我方愿意提供我方作出的一切承诺的证明材料。</w:t>
      </w:r>
    </w:p>
    <w:p w14:paraId="7C3C2681">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9、我方已详细审核全部</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，包括</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修改书（如有的话）、参考资料及有关附件，确认无误。我方完全理解并接受</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的各项规定和要求，对</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的合理性、合法性不再有异议。</w:t>
      </w:r>
    </w:p>
    <w:p w14:paraId="4D3249BC">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FE68847">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1</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提供虚假材料谋取中标、成交的；</w:t>
      </w:r>
    </w:p>
    <w:p w14:paraId="2305B072">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2</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采取不正当手段诋毁、排挤其他供应商的；</w:t>
      </w:r>
    </w:p>
    <w:p w14:paraId="7A0FC4AB">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3</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与</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、其它供应商或者</w:t>
      </w:r>
      <w:r>
        <w:rPr>
          <w:rFonts w:hint="eastAsia" w:ascii="新宋体" w:hAnsi="新宋体" w:eastAsia="新宋体" w:cs="新宋体"/>
          <w:color w:val="auto"/>
          <w:sz w:val="22"/>
          <w:szCs w:val="22"/>
          <w:highlight w:val="none"/>
          <w:lang w:eastAsia="zh-CN"/>
        </w:rPr>
        <w:t>采购代理机构</w:t>
      </w:r>
      <w:r>
        <w:rPr>
          <w:rFonts w:hint="eastAsia" w:ascii="新宋体" w:hAnsi="新宋体" w:eastAsia="新宋体" w:cs="新宋体"/>
          <w:color w:val="auto"/>
          <w:sz w:val="22"/>
          <w:szCs w:val="22"/>
          <w:highlight w:val="none"/>
        </w:rPr>
        <w:t>恶意串通的；</w:t>
      </w:r>
    </w:p>
    <w:p w14:paraId="19F296FC">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4</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向</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eastAsia="zh-CN"/>
        </w:rPr>
        <w:t>采购代理机构</w:t>
      </w:r>
      <w:r>
        <w:rPr>
          <w:rFonts w:hint="eastAsia" w:ascii="新宋体" w:hAnsi="新宋体" w:eastAsia="新宋体" w:cs="新宋体"/>
          <w:color w:val="auto"/>
          <w:sz w:val="22"/>
          <w:szCs w:val="22"/>
          <w:highlight w:val="none"/>
        </w:rPr>
        <w:t>行贿或者提供其他不正当利益的；</w:t>
      </w:r>
    </w:p>
    <w:p w14:paraId="2C2DFECC">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5</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在招标采购过程中与</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进行协商谈判的；</w:t>
      </w:r>
    </w:p>
    <w:p w14:paraId="38439405">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6</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拒绝有关部门监督检查或提供虚假情况的。</w:t>
      </w:r>
    </w:p>
    <w:p w14:paraId="73E437D1">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供应商有前款第</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1</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至</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5</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项情形之一的，中标、成交无效。</w:t>
      </w:r>
    </w:p>
    <w:p w14:paraId="5C84F09C">
      <w:pPr>
        <w:spacing w:line="460" w:lineRule="exact"/>
        <w:ind w:firstLine="440" w:firstLineChars="200"/>
        <w:rPr>
          <w:rFonts w:hint="eastAsia" w:ascii="新宋体" w:hAnsi="新宋体" w:eastAsia="新宋体" w:cs="新宋体"/>
          <w:color w:val="auto"/>
          <w:kern w:val="0"/>
          <w:sz w:val="22"/>
          <w:szCs w:val="22"/>
          <w:highlight w:val="none"/>
          <w:lang w:val="zh-CN"/>
        </w:rPr>
      </w:pPr>
    </w:p>
    <w:p w14:paraId="3A51345D">
      <w:pPr>
        <w:spacing w:line="460" w:lineRule="exact"/>
        <w:ind w:firstLine="440" w:firstLineChars="20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lang w:val="zh-CN"/>
        </w:rPr>
        <w:t>法定（授权）代表人（签字）：</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kern w:val="0"/>
          <w:sz w:val="22"/>
          <w:szCs w:val="22"/>
          <w:highlight w:val="none"/>
          <w:u w:val="single"/>
          <w:lang w:val="en-US" w:eastAsia="zh-CN"/>
        </w:rPr>
        <w:t xml:space="preserve">      </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kern w:val="0"/>
          <w:sz w:val="22"/>
          <w:szCs w:val="22"/>
          <w:highlight w:val="none"/>
          <w:u w:val="single"/>
        </w:rPr>
        <w:tab/>
      </w:r>
    </w:p>
    <w:p w14:paraId="07F288CE">
      <w:pPr>
        <w:spacing w:line="460" w:lineRule="exact"/>
        <w:ind w:firstLine="440" w:firstLineChars="200"/>
        <w:rPr>
          <w:rFonts w:hint="eastAsia" w:ascii="新宋体" w:hAnsi="新宋体" w:eastAsia="新宋体" w:cs="新宋体"/>
          <w:color w:val="auto"/>
          <w:kern w:val="0"/>
          <w:sz w:val="22"/>
          <w:szCs w:val="22"/>
          <w:highlight w:val="none"/>
          <w:u w:val="single"/>
          <w:lang w:val="en-US" w:eastAsia="zh-CN"/>
        </w:rPr>
      </w:pPr>
      <w:r>
        <w:rPr>
          <w:rFonts w:hint="eastAsia" w:ascii="新宋体" w:hAnsi="新宋体" w:eastAsia="新宋体" w:cs="新宋体"/>
          <w:color w:val="auto"/>
          <w:kern w:val="0"/>
          <w:sz w:val="22"/>
          <w:szCs w:val="22"/>
          <w:highlight w:val="none"/>
          <w:lang w:val="zh-CN"/>
        </w:rPr>
        <w:t>投标人盖 章：</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kern w:val="0"/>
          <w:sz w:val="22"/>
          <w:szCs w:val="22"/>
          <w:highlight w:val="none"/>
          <w:u w:val="single"/>
        </w:rPr>
        <w:tab/>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kern w:val="0"/>
          <w:sz w:val="22"/>
          <w:szCs w:val="22"/>
          <w:highlight w:val="none"/>
          <w:u w:val="single"/>
          <w:lang w:val="en-US" w:eastAsia="zh-CN"/>
        </w:rPr>
        <w:t xml:space="preserve"> </w:t>
      </w:r>
    </w:p>
    <w:p w14:paraId="19A82F33">
      <w:pPr>
        <w:spacing w:line="460" w:lineRule="exact"/>
        <w:ind w:firstLine="440" w:firstLineChars="200"/>
        <w:rPr>
          <w:rFonts w:hint="eastAsia" w:ascii="新宋体" w:hAnsi="新宋体" w:eastAsia="新宋体" w:cs="新宋体"/>
          <w:color w:val="auto"/>
          <w:kern w:val="0"/>
          <w:sz w:val="22"/>
          <w:szCs w:val="22"/>
          <w:highlight w:val="none"/>
          <w:lang w:val="en-US" w:eastAsia="zh-CN"/>
        </w:rPr>
      </w:pPr>
      <w:r>
        <w:rPr>
          <w:rFonts w:hint="eastAsia" w:ascii="新宋体" w:hAnsi="新宋体" w:eastAsia="新宋体" w:cs="新宋体"/>
          <w:color w:val="auto"/>
          <w:kern w:val="0"/>
          <w:sz w:val="22"/>
          <w:szCs w:val="22"/>
          <w:highlight w:val="none"/>
          <w:lang w:val="zh-CN"/>
        </w:rPr>
        <w:t xml:space="preserve">联系电话： </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kern w:val="0"/>
          <w:sz w:val="22"/>
          <w:szCs w:val="22"/>
          <w:highlight w:val="none"/>
          <w:u w:val="single"/>
          <w:lang w:val="en-US" w:eastAsia="zh-CN"/>
        </w:rPr>
        <w:t xml:space="preserve">          </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kern w:val="0"/>
          <w:sz w:val="22"/>
          <w:szCs w:val="22"/>
          <w:highlight w:val="none"/>
          <w:lang w:val="zh-CN"/>
        </w:rPr>
        <w:t>电子邮件：</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kern w:val="0"/>
          <w:sz w:val="22"/>
          <w:szCs w:val="22"/>
          <w:highlight w:val="none"/>
          <w:u w:val="single"/>
          <w:lang w:val="en-US" w:eastAsia="zh-CN"/>
        </w:rPr>
        <w:t xml:space="preserve">   </w:t>
      </w:r>
    </w:p>
    <w:p w14:paraId="0CFEF589">
      <w:pPr>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zh-CN"/>
        </w:rPr>
        <w:t>联系地址：</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kern w:val="0"/>
          <w:sz w:val="22"/>
          <w:szCs w:val="22"/>
          <w:highlight w:val="none"/>
          <w:u w:val="single"/>
        </w:rPr>
        <w:tab/>
      </w:r>
      <w:r>
        <w:rPr>
          <w:rFonts w:hint="eastAsia" w:ascii="新宋体" w:hAnsi="新宋体" w:eastAsia="新宋体" w:cs="新宋体"/>
          <w:color w:val="auto"/>
          <w:kern w:val="0"/>
          <w:sz w:val="22"/>
          <w:szCs w:val="22"/>
          <w:highlight w:val="none"/>
          <w:u w:val="single"/>
          <w:lang w:val="zh-CN"/>
        </w:rPr>
        <w:t xml:space="preserve">                              </w:t>
      </w:r>
    </w:p>
    <w:p w14:paraId="62D32BAA">
      <w:pPr>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zh-CN"/>
        </w:rPr>
        <w:t>邮政编码：</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kern w:val="0"/>
          <w:sz w:val="22"/>
          <w:szCs w:val="22"/>
          <w:highlight w:val="none"/>
          <w:lang w:val="zh-CN"/>
        </w:rPr>
        <w:t>传真号码：</w:t>
      </w:r>
      <w:r>
        <w:rPr>
          <w:rFonts w:hint="eastAsia" w:ascii="新宋体" w:hAnsi="新宋体" w:eastAsia="新宋体" w:cs="新宋体"/>
          <w:color w:val="auto"/>
          <w:kern w:val="0"/>
          <w:sz w:val="22"/>
          <w:szCs w:val="22"/>
          <w:highlight w:val="none"/>
          <w:u w:val="single"/>
          <w:lang w:val="zh-CN"/>
        </w:rPr>
        <w:t xml:space="preserve">                    </w:t>
      </w:r>
    </w:p>
    <w:p w14:paraId="7DFA4F94">
      <w:pPr>
        <w:spacing w:line="460" w:lineRule="exact"/>
        <w:ind w:firstLine="440" w:firstLineChars="20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lang w:val="zh-CN"/>
        </w:rPr>
        <w:t>日</w:t>
      </w:r>
      <w:r>
        <w:rPr>
          <w:rFonts w:hint="eastAsia" w:ascii="新宋体" w:hAnsi="新宋体" w:eastAsia="新宋体" w:cs="新宋体"/>
          <w:color w:val="auto"/>
          <w:kern w:val="0"/>
          <w:sz w:val="22"/>
          <w:szCs w:val="22"/>
          <w:highlight w:val="none"/>
        </w:rPr>
        <w:t xml:space="preserve">    </w:t>
      </w:r>
      <w:r>
        <w:rPr>
          <w:rFonts w:hint="eastAsia" w:ascii="新宋体" w:hAnsi="新宋体" w:eastAsia="新宋体" w:cs="新宋体"/>
          <w:color w:val="auto"/>
          <w:kern w:val="0"/>
          <w:sz w:val="22"/>
          <w:szCs w:val="22"/>
          <w:highlight w:val="none"/>
          <w:lang w:val="zh-CN"/>
        </w:rPr>
        <w:t>期</w:t>
      </w:r>
      <w:r>
        <w:rPr>
          <w:rFonts w:hint="eastAsia" w:ascii="新宋体" w:hAnsi="新宋体" w:eastAsia="新宋体" w:cs="新宋体"/>
          <w:color w:val="auto"/>
          <w:kern w:val="0"/>
          <w:sz w:val="22"/>
          <w:szCs w:val="22"/>
          <w:highlight w:val="none"/>
        </w:rPr>
        <w:t xml:space="preserve">： </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lang w:val="zh-CN"/>
        </w:rPr>
        <w:t>年</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u w:val="single"/>
        </w:rPr>
        <w:tab/>
      </w:r>
      <w:r>
        <w:rPr>
          <w:rFonts w:hint="eastAsia" w:ascii="新宋体" w:hAnsi="新宋体" w:eastAsia="新宋体" w:cs="新宋体"/>
          <w:color w:val="auto"/>
          <w:kern w:val="0"/>
          <w:sz w:val="22"/>
          <w:szCs w:val="22"/>
          <w:highlight w:val="none"/>
          <w:lang w:val="zh-CN"/>
        </w:rPr>
        <w:t>月</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kern w:val="0"/>
          <w:sz w:val="22"/>
          <w:szCs w:val="22"/>
          <w:highlight w:val="none"/>
          <w:lang w:val="zh-CN"/>
        </w:rPr>
        <w:t>日</w:t>
      </w:r>
    </w:p>
    <w:p w14:paraId="619F5735">
      <w:pPr>
        <w:spacing w:line="44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kern w:val="0"/>
          <w:sz w:val="22"/>
          <w:szCs w:val="22"/>
          <w:highlight w:val="none"/>
          <w:lang w:val="zh-CN"/>
        </w:rPr>
        <w:t>注：未按照本投标响应函要求填报的将被视为非实质性响应，从而可能导致该投标文件被拒绝。</w:t>
      </w:r>
    </w:p>
    <w:p w14:paraId="3E4FC319">
      <w:pPr>
        <w:pStyle w:val="22"/>
        <w:ind w:left="442" w:hanging="442"/>
        <w:rPr>
          <w:rFonts w:hint="eastAsia" w:ascii="新宋体" w:hAnsi="新宋体" w:eastAsia="新宋体" w:cs="新宋体"/>
          <w:b/>
          <w:bCs/>
          <w:color w:val="auto"/>
          <w:sz w:val="22"/>
          <w:szCs w:val="22"/>
          <w:highlight w:val="none"/>
        </w:rPr>
      </w:pPr>
    </w:p>
    <w:p w14:paraId="15F83316">
      <w:pPr>
        <w:pStyle w:val="22"/>
        <w:ind w:left="442" w:hanging="442"/>
        <w:rPr>
          <w:rFonts w:hint="eastAsia" w:ascii="新宋体" w:hAnsi="新宋体" w:eastAsia="新宋体" w:cs="新宋体"/>
          <w:b/>
          <w:bCs/>
          <w:color w:val="auto"/>
          <w:sz w:val="22"/>
          <w:szCs w:val="22"/>
          <w:highlight w:val="none"/>
        </w:rPr>
      </w:pPr>
    </w:p>
    <w:p w14:paraId="52912FCA">
      <w:pPr>
        <w:pStyle w:val="22"/>
        <w:ind w:left="442" w:hanging="442"/>
        <w:rPr>
          <w:rFonts w:hint="eastAsia" w:ascii="新宋体" w:hAnsi="新宋体" w:eastAsia="新宋体" w:cs="新宋体"/>
          <w:b/>
          <w:bCs/>
          <w:color w:val="auto"/>
          <w:sz w:val="22"/>
          <w:szCs w:val="22"/>
          <w:highlight w:val="none"/>
        </w:rPr>
      </w:pPr>
    </w:p>
    <w:p w14:paraId="1CF1EF4F">
      <w:pPr>
        <w:pStyle w:val="22"/>
        <w:ind w:left="442" w:hanging="442"/>
        <w:rPr>
          <w:rFonts w:hint="eastAsia" w:ascii="新宋体" w:hAnsi="新宋体" w:eastAsia="新宋体" w:cs="新宋体"/>
          <w:b/>
          <w:bCs/>
          <w:color w:val="auto"/>
          <w:sz w:val="22"/>
          <w:szCs w:val="22"/>
          <w:highlight w:val="none"/>
        </w:rPr>
      </w:pPr>
    </w:p>
    <w:p w14:paraId="70FEFF45">
      <w:pPr>
        <w:pStyle w:val="22"/>
        <w:ind w:left="442" w:hanging="442"/>
        <w:rPr>
          <w:rFonts w:hint="eastAsia" w:ascii="新宋体" w:hAnsi="新宋体" w:eastAsia="新宋体" w:cs="新宋体"/>
          <w:b/>
          <w:bCs/>
          <w:color w:val="auto"/>
          <w:sz w:val="22"/>
          <w:szCs w:val="22"/>
          <w:highlight w:val="none"/>
        </w:rPr>
      </w:pPr>
    </w:p>
    <w:p w14:paraId="5C156A33">
      <w:pPr>
        <w:pStyle w:val="22"/>
        <w:ind w:left="442" w:hanging="442"/>
        <w:rPr>
          <w:rFonts w:hint="eastAsia" w:ascii="新宋体" w:hAnsi="新宋体" w:eastAsia="新宋体" w:cs="新宋体"/>
          <w:b/>
          <w:bCs/>
          <w:color w:val="auto"/>
          <w:sz w:val="22"/>
          <w:szCs w:val="22"/>
          <w:highlight w:val="none"/>
        </w:rPr>
      </w:pPr>
    </w:p>
    <w:p w14:paraId="650B38AF">
      <w:pPr>
        <w:spacing w:line="400" w:lineRule="exact"/>
        <w:jc w:val="center"/>
        <w:rPr>
          <w:rFonts w:hint="eastAsia" w:ascii="新宋体" w:hAnsi="新宋体" w:eastAsia="新宋体" w:cs="新宋体"/>
          <w:b/>
          <w:bCs/>
          <w:color w:val="auto"/>
          <w:sz w:val="28"/>
          <w:szCs w:val="28"/>
          <w:highlight w:val="none"/>
        </w:rPr>
      </w:pPr>
    </w:p>
    <w:p w14:paraId="38CE0EFA">
      <w:pPr>
        <w:spacing w:line="420" w:lineRule="exact"/>
        <w:jc w:val="center"/>
        <w:outlineLvl w:val="3"/>
        <w:rPr>
          <w:rFonts w:hint="eastAsia" w:ascii="新宋体" w:hAnsi="新宋体" w:eastAsia="新宋体" w:cs="新宋体"/>
          <w:b/>
          <w:bCs/>
          <w:color w:val="auto"/>
          <w:sz w:val="28"/>
          <w:szCs w:val="28"/>
          <w:highlight w:val="none"/>
          <w:lang w:val="en-US" w:eastAsia="zh-CN"/>
        </w:rPr>
      </w:pPr>
      <w:r>
        <w:rPr>
          <w:rFonts w:hint="eastAsia" w:ascii="新宋体" w:hAnsi="新宋体" w:eastAsia="新宋体" w:cs="新宋体"/>
          <w:b/>
          <w:bCs/>
          <w:color w:val="auto"/>
          <w:sz w:val="28"/>
          <w:szCs w:val="28"/>
          <w:highlight w:val="none"/>
          <w:lang w:val="en-US" w:eastAsia="zh-CN"/>
        </w:rPr>
        <w:t>2、法定代表人授权书</w:t>
      </w:r>
    </w:p>
    <w:p w14:paraId="01932AD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温州市疾病预防控制中心（温州市卫生监督所）</w:t>
      </w:r>
      <w:r>
        <w:rPr>
          <w:rFonts w:hint="eastAsia" w:ascii="新宋体" w:hAnsi="新宋体" w:eastAsia="新宋体" w:cs="新宋体"/>
          <w:color w:val="auto"/>
          <w:sz w:val="22"/>
          <w:szCs w:val="22"/>
          <w:highlight w:val="none"/>
        </w:rPr>
        <w:t>：</w:t>
      </w:r>
    </w:p>
    <w:p w14:paraId="3DF01F03">
      <w:pPr>
        <w:spacing w:line="460" w:lineRule="exact"/>
        <w:rPr>
          <w:rFonts w:hint="eastAsia" w:ascii="新宋体" w:hAnsi="新宋体" w:eastAsia="新宋体" w:cs="新宋体"/>
          <w:color w:val="auto"/>
          <w:sz w:val="22"/>
          <w:szCs w:val="22"/>
          <w:highlight w:val="none"/>
          <w:u w:val="single"/>
        </w:rPr>
      </w:pPr>
    </w:p>
    <w:p w14:paraId="579FB8A0">
      <w:pPr>
        <w:spacing w:line="460" w:lineRule="exact"/>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（投标人全称）法定代表人</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授权</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（全权代表姓名）为全权代表，参加贵处组织的（项目名称</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、编号</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）的</w:t>
      </w:r>
      <w:r>
        <w:rPr>
          <w:rFonts w:hint="eastAsia" w:ascii="新宋体" w:hAnsi="新宋体" w:eastAsia="新宋体" w:cs="新宋体"/>
          <w:color w:val="auto"/>
          <w:sz w:val="22"/>
          <w:szCs w:val="22"/>
          <w:highlight w:val="none"/>
          <w:lang w:eastAsia="zh-CN"/>
        </w:rPr>
        <w:t>采购</w:t>
      </w:r>
      <w:r>
        <w:rPr>
          <w:rFonts w:hint="eastAsia" w:ascii="新宋体" w:hAnsi="新宋体" w:eastAsia="新宋体" w:cs="新宋体"/>
          <w:color w:val="auto"/>
          <w:sz w:val="22"/>
          <w:szCs w:val="22"/>
          <w:highlight w:val="none"/>
        </w:rPr>
        <w:t>活动，全权代表我方处理</w:t>
      </w:r>
      <w:r>
        <w:rPr>
          <w:rFonts w:hint="eastAsia" w:ascii="新宋体" w:hAnsi="新宋体" w:eastAsia="新宋体" w:cs="新宋体"/>
          <w:color w:val="auto"/>
          <w:sz w:val="22"/>
          <w:szCs w:val="22"/>
          <w:highlight w:val="none"/>
          <w:lang w:eastAsia="zh-CN"/>
        </w:rPr>
        <w:t>采购</w:t>
      </w:r>
      <w:r>
        <w:rPr>
          <w:rFonts w:hint="eastAsia" w:ascii="新宋体" w:hAnsi="新宋体" w:eastAsia="新宋体" w:cs="新宋体"/>
          <w:color w:val="auto"/>
          <w:sz w:val="22"/>
          <w:szCs w:val="22"/>
          <w:highlight w:val="none"/>
        </w:rPr>
        <w:t>活动中的一切事宜。</w:t>
      </w:r>
    </w:p>
    <w:p w14:paraId="55817C91">
      <w:pPr>
        <w:spacing w:line="460" w:lineRule="exact"/>
        <w:ind w:firstLine="2955"/>
        <w:rPr>
          <w:rFonts w:hint="eastAsia" w:ascii="新宋体" w:hAnsi="新宋体" w:eastAsia="新宋体" w:cs="新宋体"/>
          <w:color w:val="auto"/>
          <w:sz w:val="22"/>
          <w:szCs w:val="22"/>
          <w:highlight w:val="none"/>
        </w:rPr>
      </w:pPr>
    </w:p>
    <w:p w14:paraId="77E8AE74">
      <w:pPr>
        <w:spacing w:line="460" w:lineRule="exact"/>
        <w:ind w:firstLine="295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w:t>
      </w:r>
    </w:p>
    <w:p w14:paraId="0AEEA5DD">
      <w:pPr>
        <w:spacing w:line="460" w:lineRule="exact"/>
        <w:ind w:firstLine="4081" w:firstLineChars="185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签字或盖章</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w:t>
      </w:r>
    </w:p>
    <w:p w14:paraId="0BC2690C">
      <w:pPr>
        <w:spacing w:line="460" w:lineRule="exact"/>
        <w:ind w:firstLine="295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投标人全称（公章）：</w:t>
      </w:r>
    </w:p>
    <w:p w14:paraId="4FDC3EAB">
      <w:pPr>
        <w:spacing w:line="460" w:lineRule="exact"/>
        <w:ind w:firstLine="295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日   期：  </w:t>
      </w:r>
    </w:p>
    <w:p w14:paraId="4A82EB17">
      <w:pPr>
        <w:spacing w:line="380" w:lineRule="exact"/>
        <w:rPr>
          <w:rFonts w:hint="eastAsia" w:ascii="新宋体" w:hAnsi="新宋体" w:eastAsia="新宋体" w:cs="新宋体"/>
          <w:color w:val="auto"/>
          <w:sz w:val="22"/>
          <w:szCs w:val="22"/>
          <w:highlight w:val="none"/>
        </w:rPr>
      </w:pPr>
    </w:p>
    <w:p w14:paraId="788E5207">
      <w:pPr>
        <w:spacing w:line="380" w:lineRule="exact"/>
        <w:rPr>
          <w:rFonts w:hint="eastAsia" w:ascii="新宋体" w:hAnsi="新宋体" w:eastAsia="新宋体" w:cs="新宋体"/>
          <w:color w:val="auto"/>
          <w:sz w:val="22"/>
          <w:szCs w:val="22"/>
          <w:highlight w:val="none"/>
        </w:rPr>
      </w:pPr>
    </w:p>
    <w:p w14:paraId="36BF4D10">
      <w:pPr>
        <w:spacing w:line="380" w:lineRule="exact"/>
        <w:rPr>
          <w:rFonts w:hint="eastAsia" w:ascii="新宋体" w:hAnsi="新宋体" w:eastAsia="新宋体" w:cs="新宋体"/>
          <w:color w:val="auto"/>
          <w:sz w:val="22"/>
          <w:szCs w:val="22"/>
          <w:highlight w:val="none"/>
        </w:rPr>
      </w:pPr>
    </w:p>
    <w:p w14:paraId="06CB6738">
      <w:pPr>
        <w:spacing w:line="460" w:lineRule="exact"/>
        <w:ind w:firstLine="541" w:firstLineChars="245"/>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附：</w:t>
      </w:r>
    </w:p>
    <w:p w14:paraId="35261606">
      <w:pPr>
        <w:spacing w:line="460" w:lineRule="exact"/>
        <w:ind w:firstLine="539" w:firstLineChars="245"/>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 xml:space="preserve">授权代表姓名：                               </w:t>
      </w:r>
    </w:p>
    <w:p w14:paraId="6A93AC6A">
      <w:pPr>
        <w:spacing w:line="460" w:lineRule="exact"/>
        <w:ind w:firstLine="539" w:firstLineChars="245"/>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职务：</w:t>
      </w:r>
    </w:p>
    <w:p w14:paraId="20C489D8">
      <w:pPr>
        <w:spacing w:line="460" w:lineRule="exact"/>
        <w:ind w:firstLine="539" w:firstLineChars="245"/>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详细通讯地址：</w:t>
      </w:r>
    </w:p>
    <w:p w14:paraId="33A73CC8">
      <w:pPr>
        <w:spacing w:line="460" w:lineRule="exact"/>
        <w:ind w:firstLine="539" w:firstLineChars="245"/>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电话：</w:t>
      </w:r>
    </w:p>
    <w:p w14:paraId="71ACA64E">
      <w:pPr>
        <w:spacing w:line="460" w:lineRule="exact"/>
        <w:ind w:firstLine="539" w:firstLineChars="245"/>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传真：</w:t>
      </w:r>
    </w:p>
    <w:p w14:paraId="13560F10">
      <w:pPr>
        <w:spacing w:line="460" w:lineRule="exact"/>
        <w:ind w:firstLine="539" w:firstLineChars="245"/>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color w:val="auto"/>
          <w:sz w:val="22"/>
          <w:szCs w:val="22"/>
          <w:highlight w:val="none"/>
        </w:rPr>
        <w:t>邮政编码</w:t>
      </w:r>
      <w:r>
        <w:rPr>
          <w:rFonts w:hint="eastAsia" w:ascii="新宋体" w:hAnsi="新宋体" w:eastAsia="新宋体" w:cs="新宋体"/>
          <w:color w:val="auto"/>
          <w:sz w:val="22"/>
          <w:szCs w:val="22"/>
          <w:highlight w:val="none"/>
          <w:lang w:eastAsia="zh-CN"/>
        </w:rPr>
        <w:t>：</w:t>
      </w:r>
    </w:p>
    <w:p w14:paraId="7F06F20E">
      <w:pPr>
        <w:spacing w:line="380" w:lineRule="exact"/>
        <w:rPr>
          <w:rFonts w:hint="eastAsia" w:ascii="新宋体" w:hAnsi="新宋体" w:eastAsia="新宋体" w:cs="新宋体"/>
          <w:color w:val="auto"/>
          <w:sz w:val="22"/>
          <w:szCs w:val="22"/>
          <w:highlight w:val="none"/>
        </w:rPr>
      </w:pPr>
    </w:p>
    <w:p w14:paraId="11A95FD7">
      <w:pPr>
        <w:spacing w:line="460" w:lineRule="exact"/>
        <w:jc w:val="center"/>
        <w:rPr>
          <w:rFonts w:hint="eastAsia" w:ascii="新宋体" w:hAnsi="新宋体" w:eastAsia="新宋体" w:cs="新宋体"/>
          <w:b/>
          <w:bCs/>
          <w:color w:val="auto"/>
          <w:sz w:val="28"/>
          <w:szCs w:val="28"/>
          <w:highlight w:val="none"/>
        </w:rPr>
      </w:pPr>
    </w:p>
    <w:p w14:paraId="3E20E043">
      <w:pPr>
        <w:spacing w:line="460" w:lineRule="exact"/>
        <w:jc w:val="center"/>
        <w:rPr>
          <w:rFonts w:hint="eastAsia" w:ascii="新宋体" w:hAnsi="新宋体" w:eastAsia="新宋体" w:cs="新宋体"/>
          <w:b/>
          <w:bCs/>
          <w:color w:val="auto"/>
          <w:sz w:val="28"/>
          <w:szCs w:val="28"/>
          <w:highlight w:val="none"/>
        </w:rPr>
      </w:pPr>
    </w:p>
    <w:p w14:paraId="1B681FB5">
      <w:pPr>
        <w:spacing w:line="460" w:lineRule="exact"/>
        <w:jc w:val="center"/>
        <w:rPr>
          <w:rFonts w:hint="eastAsia" w:ascii="新宋体" w:hAnsi="新宋体" w:eastAsia="新宋体" w:cs="新宋体"/>
          <w:b/>
          <w:bCs/>
          <w:color w:val="auto"/>
          <w:sz w:val="28"/>
          <w:szCs w:val="28"/>
          <w:highlight w:val="none"/>
        </w:rPr>
      </w:pPr>
    </w:p>
    <w:p w14:paraId="0F9FF24C">
      <w:pPr>
        <w:spacing w:line="460" w:lineRule="exact"/>
        <w:jc w:val="center"/>
        <w:rPr>
          <w:rFonts w:hint="eastAsia" w:ascii="新宋体" w:hAnsi="新宋体" w:eastAsia="新宋体" w:cs="新宋体"/>
          <w:b/>
          <w:bCs/>
          <w:color w:val="auto"/>
          <w:sz w:val="28"/>
          <w:szCs w:val="28"/>
          <w:highlight w:val="none"/>
        </w:rPr>
      </w:pPr>
    </w:p>
    <w:p w14:paraId="732D2C14">
      <w:pPr>
        <w:spacing w:line="460" w:lineRule="exact"/>
        <w:jc w:val="center"/>
        <w:rPr>
          <w:rFonts w:hint="eastAsia" w:ascii="新宋体" w:hAnsi="新宋体" w:eastAsia="新宋体" w:cs="新宋体"/>
          <w:b/>
          <w:bCs/>
          <w:color w:val="auto"/>
          <w:sz w:val="28"/>
          <w:szCs w:val="28"/>
          <w:highlight w:val="none"/>
        </w:rPr>
      </w:pPr>
    </w:p>
    <w:p w14:paraId="5F397351">
      <w:pPr>
        <w:spacing w:line="460" w:lineRule="exact"/>
        <w:jc w:val="center"/>
        <w:rPr>
          <w:rFonts w:hint="eastAsia" w:ascii="新宋体" w:hAnsi="新宋体" w:eastAsia="新宋体" w:cs="新宋体"/>
          <w:b/>
          <w:bCs/>
          <w:color w:val="auto"/>
          <w:sz w:val="28"/>
          <w:szCs w:val="28"/>
          <w:highlight w:val="none"/>
        </w:rPr>
      </w:pPr>
    </w:p>
    <w:p w14:paraId="3D7A5594">
      <w:pPr>
        <w:spacing w:line="460" w:lineRule="exact"/>
        <w:jc w:val="center"/>
        <w:rPr>
          <w:rFonts w:hint="eastAsia" w:ascii="新宋体" w:hAnsi="新宋体" w:eastAsia="新宋体" w:cs="新宋体"/>
          <w:b/>
          <w:bCs/>
          <w:color w:val="auto"/>
          <w:sz w:val="28"/>
          <w:szCs w:val="28"/>
          <w:highlight w:val="none"/>
        </w:rPr>
      </w:pPr>
    </w:p>
    <w:p w14:paraId="18FFC5B7">
      <w:pPr>
        <w:spacing w:line="460" w:lineRule="exact"/>
        <w:jc w:val="center"/>
        <w:rPr>
          <w:rFonts w:hint="eastAsia" w:ascii="新宋体" w:hAnsi="新宋体" w:eastAsia="新宋体" w:cs="新宋体"/>
          <w:b/>
          <w:bCs/>
          <w:color w:val="auto"/>
          <w:sz w:val="28"/>
          <w:szCs w:val="28"/>
          <w:highlight w:val="none"/>
        </w:rPr>
      </w:pPr>
    </w:p>
    <w:p w14:paraId="283DFC89">
      <w:pPr>
        <w:spacing w:line="460" w:lineRule="exact"/>
        <w:jc w:val="center"/>
        <w:rPr>
          <w:rFonts w:hint="eastAsia" w:ascii="新宋体" w:hAnsi="新宋体" w:eastAsia="新宋体" w:cs="新宋体"/>
          <w:b/>
          <w:bCs/>
          <w:color w:val="auto"/>
          <w:sz w:val="28"/>
          <w:szCs w:val="28"/>
          <w:highlight w:val="none"/>
        </w:rPr>
      </w:pPr>
    </w:p>
    <w:p w14:paraId="0D363D0D">
      <w:pPr>
        <w:spacing w:line="460" w:lineRule="exact"/>
        <w:jc w:val="center"/>
        <w:rPr>
          <w:rFonts w:hint="eastAsia" w:ascii="新宋体" w:hAnsi="新宋体" w:eastAsia="新宋体" w:cs="新宋体"/>
          <w:b/>
          <w:bCs/>
          <w:color w:val="auto"/>
          <w:sz w:val="28"/>
          <w:szCs w:val="28"/>
          <w:highlight w:val="none"/>
        </w:rPr>
      </w:pPr>
    </w:p>
    <w:p w14:paraId="1556379C">
      <w:pPr>
        <w:pStyle w:val="22"/>
        <w:ind w:left="0" w:leftChars="0" w:firstLine="0" w:firstLineChars="0"/>
        <w:rPr>
          <w:rFonts w:hint="eastAsia" w:ascii="新宋体" w:hAnsi="新宋体" w:eastAsia="新宋体" w:cs="新宋体"/>
          <w:b/>
          <w:bCs/>
          <w:color w:val="auto"/>
          <w:sz w:val="28"/>
          <w:szCs w:val="28"/>
          <w:highlight w:val="none"/>
        </w:rPr>
      </w:pPr>
    </w:p>
    <w:p w14:paraId="2068E480">
      <w:pPr>
        <w:spacing w:line="460" w:lineRule="exact"/>
        <w:jc w:val="center"/>
        <w:rPr>
          <w:rFonts w:hint="eastAsia" w:ascii="新宋体" w:hAnsi="新宋体" w:eastAsia="新宋体" w:cs="新宋体"/>
          <w:b/>
          <w:bCs/>
          <w:color w:val="auto"/>
          <w:sz w:val="28"/>
          <w:szCs w:val="28"/>
          <w:highlight w:val="none"/>
        </w:rPr>
      </w:pPr>
      <w:r>
        <w:rPr>
          <w:rFonts w:hint="eastAsia" w:ascii="新宋体" w:hAnsi="新宋体" w:eastAsia="新宋体" w:cs="新宋体"/>
          <w:color w:val="auto"/>
          <w:sz w:val="22"/>
          <w:szCs w:val="22"/>
          <w:highlight w:val="none"/>
        </w:rPr>
        <mc:AlternateContent>
          <mc:Choice Requires="wps">
            <w:drawing>
              <wp:anchor distT="0" distB="0" distL="114300" distR="114300" simplePos="0" relativeHeight="251659264" behindDoc="0" locked="0" layoutInCell="1" allowOverlap="1">
                <wp:simplePos x="0" y="0"/>
                <wp:positionH relativeFrom="column">
                  <wp:posOffset>113665</wp:posOffset>
                </wp:positionH>
                <wp:positionV relativeFrom="paragraph">
                  <wp:posOffset>320675</wp:posOffset>
                </wp:positionV>
                <wp:extent cx="6254115" cy="3004185"/>
                <wp:effectExtent l="5080" t="4445" r="8255" b="20320"/>
                <wp:wrapNone/>
                <wp:docPr id="6" name="Text Box 2"/>
                <wp:cNvGraphicFramePr/>
                <a:graphic xmlns:a="http://schemas.openxmlformats.org/drawingml/2006/main">
                  <a:graphicData uri="http://schemas.microsoft.com/office/word/2010/wordprocessingShape">
                    <wps:wsp>
                      <wps:cNvSpPr txBox="1"/>
                      <wps:spPr>
                        <a:xfrm>
                          <a:off x="0" y="0"/>
                          <a:ext cx="6254115" cy="300418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74B1FDE2">
                            <w:r>
                              <w:rPr>
                                <w:rFonts w:hint="eastAsia" w:ascii="新宋体" w:hAnsi="新宋体" w:eastAsia="新宋体"/>
                                <w:sz w:val="22"/>
                                <w:szCs w:val="22"/>
                              </w:rPr>
                              <w:t xml:space="preserve">  法定代表人身份证（正反面）：</w:t>
                            </w:r>
                          </w:p>
                        </w:txbxContent>
                      </wps:txbx>
                      <wps:bodyPr upright="1"/>
                    </wps:wsp>
                  </a:graphicData>
                </a:graphic>
              </wp:anchor>
            </w:drawing>
          </mc:Choice>
          <mc:Fallback>
            <w:pict>
              <v:shape id="Text Box 2" o:spid="_x0000_s1026" o:spt="202" type="#_x0000_t202" style="position:absolute;left:0pt;margin-left:8.95pt;margin-top:25.25pt;height:236.55pt;width:492.45pt;z-index:251659264;mso-width-relative:page;mso-height-relative:page;" fillcolor="#FFFFFF" filled="t" stroked="t" coordsize="21600,21600" o:gfxdata="UEsDBAoAAAAAAIdO4kAAAAAAAAAAAAAAAAAEAAAAZHJzL1BLAwQUAAAACACHTuJAl9wjaNgAAAAK&#10;AQAADwAAAGRycy9kb3ducmV2LnhtbE2PwU7DMBBE70j8g7VIXBC1m9K0DXF6QALBrRQEVzfeJhH2&#10;OsRuWv6e7QmOszOafVOuT96JEYfYBdIwnSgQSHWwHTUa3t8eb5cgYjJkjQuEGn4wwrq6vChNYcOR&#10;XnHcpkZwCcXCaGhT6gspY92iN3ESeiT29mHwJrEcGmkHc+Ry72SmVC696Yg/tKbHhxbrr+3Ba1je&#10;PY+f8WW2+ajzvVulm8X49D1ofX01VfcgEp7SXxjO+IwOFTPtwoFsFI71YsVJDXM1B3H2lcp4y44v&#10;2SwHWZXy/4TqF1BLAwQUAAAACACHTuJAJqVlfQECAABEBAAADgAAAGRycy9lMm9Eb2MueG1srVPN&#10;btswDL4P2DsIui92sibojDgFtiy7DNuAdg+gyLQtQH8Qldh5+1FymqbdDjnMB5kiqY/kR3L9MBrN&#10;jhBQOVvz+azkDKx0jbJdzX8/7T7cc4ZR2EZoZ6HmJ0D+sHn/bj34Chaud7qBwAjEYjX4mvcx+qoo&#10;UPZgBM6cB0vG1gUjIl1DVzRBDIRudLEoy1UxuND44CQgknY7GfkZMdwC6NpWSdg6eTBg44QaQItI&#10;JWGvPPJNzrZtQcafbYsQma45VRrzSUFI3qez2KxF1QXheyXPKYhbUnhTkxHKUtAL1FZEwQ5B/QVl&#10;lAwOXRtn0pliKiQzQlXMyzfcPPbCQ66FqEZ/IR3/H6z8cfwVmGpqvuLMCkMNf4Ixss9uZIvEzuCx&#10;IqdHT25xJDXNzLMeSZmKHttg0p/KYWQnbk8XbhOYJOVqsbybz5ecSbJ9LMu7+f0y4RQvz33A+A2c&#10;YUmoeaDmZU7F8TvGyfXZJUVDp1WzU1rnS+j2X3RgR0GN3uXvjP7KTVs21PzTcpESETS9LU0NicYT&#10;A2i7HO/VC7wGLvP3L+CU2FZgPyWQEZKbqIyKELLUg2i+2obFkyeWLS0XT8kYaDjTQLuYpOwZhdK3&#10;eBJ32qYgkCf9zFLq2NSZJMVxPxJoEveuOVEXDz6orieCcx+LZKHhyp04L0Ka3us7ydfLv/k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l9wjaNgAAAAKAQAADwAAAAAAAAABACAAAAAiAAAAZHJzL2Rv&#10;d25yZXYueG1sUEsBAhQAFAAAAAgAh07iQCalZX0BAgAARAQAAA4AAAAAAAAAAQAgAAAAJwEAAGRy&#10;cy9lMm9Eb2MueG1sUEsFBgAAAAAGAAYAWQEAAJoFAAAAAA==&#10;">
                <v:fill on="t" focussize="0,0"/>
                <v:stroke color="#000000" joinstyle="miter"/>
                <v:imagedata o:title=""/>
                <o:lock v:ext="edit" aspectratio="f"/>
                <v:textbox>
                  <w:txbxContent>
                    <w:p w14:paraId="74B1FDE2">
                      <w:r>
                        <w:rPr>
                          <w:rFonts w:hint="eastAsia" w:ascii="新宋体" w:hAnsi="新宋体" w:eastAsia="新宋体"/>
                          <w:sz w:val="22"/>
                          <w:szCs w:val="22"/>
                        </w:rPr>
                        <w:t xml:space="preserve">  法定代表人身份证（正反面）：</w:t>
                      </w:r>
                    </w:p>
                  </w:txbxContent>
                </v:textbox>
              </v:shape>
            </w:pict>
          </mc:Fallback>
        </mc:AlternateContent>
      </w:r>
    </w:p>
    <w:p w14:paraId="2A1429D3">
      <w:pPr>
        <w:spacing w:line="460" w:lineRule="exact"/>
        <w:jc w:val="center"/>
        <w:rPr>
          <w:rFonts w:hint="eastAsia" w:ascii="新宋体" w:hAnsi="新宋体" w:eastAsia="新宋体" w:cs="新宋体"/>
          <w:b/>
          <w:bCs/>
          <w:color w:val="auto"/>
          <w:sz w:val="28"/>
          <w:szCs w:val="28"/>
          <w:highlight w:val="none"/>
        </w:rPr>
      </w:pPr>
    </w:p>
    <w:p w14:paraId="186336CC">
      <w:pPr>
        <w:spacing w:line="460" w:lineRule="exact"/>
        <w:jc w:val="center"/>
        <w:rPr>
          <w:rFonts w:hint="eastAsia" w:ascii="新宋体" w:hAnsi="新宋体" w:eastAsia="新宋体" w:cs="新宋体"/>
          <w:b/>
          <w:bCs/>
          <w:color w:val="auto"/>
          <w:sz w:val="28"/>
          <w:szCs w:val="28"/>
          <w:highlight w:val="none"/>
        </w:rPr>
      </w:pPr>
    </w:p>
    <w:p w14:paraId="764615C6">
      <w:pPr>
        <w:spacing w:line="460" w:lineRule="exact"/>
        <w:jc w:val="center"/>
        <w:rPr>
          <w:rFonts w:hint="eastAsia" w:ascii="新宋体" w:hAnsi="新宋体" w:eastAsia="新宋体" w:cs="新宋体"/>
          <w:b/>
          <w:bCs/>
          <w:color w:val="auto"/>
          <w:sz w:val="28"/>
          <w:szCs w:val="28"/>
          <w:highlight w:val="none"/>
        </w:rPr>
      </w:pPr>
    </w:p>
    <w:p w14:paraId="20D537DD">
      <w:pPr>
        <w:spacing w:line="460" w:lineRule="exact"/>
        <w:jc w:val="center"/>
        <w:rPr>
          <w:rFonts w:hint="eastAsia" w:ascii="新宋体" w:hAnsi="新宋体" w:eastAsia="新宋体" w:cs="新宋体"/>
          <w:b/>
          <w:bCs/>
          <w:color w:val="auto"/>
          <w:sz w:val="28"/>
          <w:szCs w:val="28"/>
          <w:highlight w:val="none"/>
        </w:rPr>
      </w:pPr>
    </w:p>
    <w:p w14:paraId="1672BEC6">
      <w:pPr>
        <w:spacing w:line="460" w:lineRule="exact"/>
        <w:jc w:val="center"/>
        <w:rPr>
          <w:rFonts w:hint="eastAsia" w:ascii="新宋体" w:hAnsi="新宋体" w:eastAsia="新宋体" w:cs="新宋体"/>
          <w:b/>
          <w:bCs/>
          <w:color w:val="auto"/>
          <w:sz w:val="28"/>
          <w:szCs w:val="28"/>
          <w:highlight w:val="none"/>
        </w:rPr>
      </w:pPr>
    </w:p>
    <w:p w14:paraId="2FA9A976">
      <w:pPr>
        <w:spacing w:line="460" w:lineRule="exact"/>
        <w:jc w:val="center"/>
        <w:rPr>
          <w:rFonts w:hint="eastAsia" w:ascii="新宋体" w:hAnsi="新宋体" w:eastAsia="新宋体" w:cs="新宋体"/>
          <w:b/>
          <w:bCs/>
          <w:color w:val="auto"/>
          <w:sz w:val="28"/>
          <w:szCs w:val="28"/>
          <w:highlight w:val="none"/>
        </w:rPr>
      </w:pPr>
    </w:p>
    <w:p w14:paraId="0C4B2F9E">
      <w:pPr>
        <w:spacing w:line="460" w:lineRule="exact"/>
        <w:jc w:val="center"/>
        <w:rPr>
          <w:rFonts w:hint="eastAsia" w:ascii="新宋体" w:hAnsi="新宋体" w:eastAsia="新宋体" w:cs="新宋体"/>
          <w:b/>
          <w:bCs/>
          <w:color w:val="auto"/>
          <w:sz w:val="28"/>
          <w:szCs w:val="28"/>
          <w:highlight w:val="none"/>
        </w:rPr>
      </w:pPr>
    </w:p>
    <w:p w14:paraId="6074F6BB">
      <w:pPr>
        <w:spacing w:line="460" w:lineRule="exact"/>
        <w:jc w:val="center"/>
        <w:rPr>
          <w:rFonts w:hint="eastAsia" w:ascii="新宋体" w:hAnsi="新宋体" w:eastAsia="新宋体" w:cs="新宋体"/>
          <w:b/>
          <w:bCs/>
          <w:color w:val="auto"/>
          <w:sz w:val="28"/>
          <w:szCs w:val="28"/>
          <w:highlight w:val="none"/>
        </w:rPr>
      </w:pPr>
    </w:p>
    <w:p w14:paraId="41BE158B">
      <w:pPr>
        <w:spacing w:line="460" w:lineRule="exact"/>
        <w:jc w:val="center"/>
        <w:rPr>
          <w:rFonts w:hint="eastAsia" w:ascii="新宋体" w:hAnsi="新宋体" w:eastAsia="新宋体" w:cs="新宋体"/>
          <w:b/>
          <w:bCs/>
          <w:color w:val="auto"/>
          <w:sz w:val="28"/>
          <w:szCs w:val="28"/>
          <w:highlight w:val="none"/>
        </w:rPr>
      </w:pPr>
    </w:p>
    <w:p w14:paraId="178F3BB1">
      <w:pPr>
        <w:spacing w:line="460" w:lineRule="exact"/>
        <w:jc w:val="center"/>
        <w:rPr>
          <w:rFonts w:hint="eastAsia" w:ascii="新宋体" w:hAnsi="新宋体" w:eastAsia="新宋体" w:cs="新宋体"/>
          <w:b/>
          <w:bCs/>
          <w:color w:val="auto"/>
          <w:sz w:val="28"/>
          <w:szCs w:val="28"/>
          <w:highlight w:val="none"/>
        </w:rPr>
      </w:pPr>
    </w:p>
    <w:p w14:paraId="12D13B6D">
      <w:pPr>
        <w:spacing w:line="460" w:lineRule="exact"/>
        <w:jc w:val="center"/>
        <w:rPr>
          <w:rFonts w:hint="eastAsia" w:ascii="新宋体" w:hAnsi="新宋体" w:eastAsia="新宋体" w:cs="新宋体"/>
          <w:b/>
          <w:bCs/>
          <w:color w:val="auto"/>
          <w:sz w:val="28"/>
          <w:szCs w:val="28"/>
          <w:highlight w:val="none"/>
        </w:rPr>
      </w:pPr>
    </w:p>
    <w:p w14:paraId="1588DEA0">
      <w:pPr>
        <w:spacing w:line="460" w:lineRule="exact"/>
        <w:jc w:val="center"/>
        <w:rPr>
          <w:rFonts w:hint="eastAsia" w:ascii="新宋体" w:hAnsi="新宋体" w:eastAsia="新宋体" w:cs="新宋体"/>
          <w:b/>
          <w:bCs/>
          <w:color w:val="auto"/>
          <w:sz w:val="28"/>
          <w:szCs w:val="28"/>
          <w:highlight w:val="none"/>
        </w:rPr>
      </w:pPr>
    </w:p>
    <w:p w14:paraId="04DCE36E">
      <w:pPr>
        <w:spacing w:line="460" w:lineRule="exact"/>
        <w:jc w:val="center"/>
        <w:rPr>
          <w:rFonts w:hint="eastAsia" w:ascii="新宋体" w:hAnsi="新宋体" w:eastAsia="新宋体" w:cs="新宋体"/>
          <w:b/>
          <w:bCs/>
          <w:color w:val="auto"/>
          <w:sz w:val="28"/>
          <w:szCs w:val="28"/>
          <w:highlight w:val="none"/>
        </w:rPr>
      </w:pPr>
      <w:r>
        <w:rPr>
          <w:rFonts w:hint="eastAsia" w:ascii="新宋体" w:hAnsi="新宋体" w:eastAsia="新宋体" w:cs="新宋体"/>
          <w:color w:val="auto"/>
          <w:sz w:val="22"/>
          <w:szCs w:val="22"/>
          <w:highlight w:val="none"/>
        </w:rPr>
        <mc:AlternateContent>
          <mc:Choice Requires="wps">
            <w:drawing>
              <wp:anchor distT="0" distB="0" distL="114300" distR="114300" simplePos="0" relativeHeight="251660288" behindDoc="0" locked="0" layoutInCell="1" allowOverlap="1">
                <wp:simplePos x="0" y="0"/>
                <wp:positionH relativeFrom="column">
                  <wp:posOffset>88265</wp:posOffset>
                </wp:positionH>
                <wp:positionV relativeFrom="paragraph">
                  <wp:posOffset>-53975</wp:posOffset>
                </wp:positionV>
                <wp:extent cx="6303645" cy="3875405"/>
                <wp:effectExtent l="4445" t="5080" r="16510" b="5715"/>
                <wp:wrapNone/>
                <wp:docPr id="7" name="文本框 26"/>
                <wp:cNvGraphicFramePr/>
                <a:graphic xmlns:a="http://schemas.openxmlformats.org/drawingml/2006/main">
                  <a:graphicData uri="http://schemas.microsoft.com/office/word/2010/wordprocessingShape">
                    <wps:wsp>
                      <wps:cNvSpPr txBox="1"/>
                      <wps:spPr>
                        <a:xfrm>
                          <a:off x="0" y="0"/>
                          <a:ext cx="6303645" cy="387540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2FF79480">
                            <w:r>
                              <w:rPr>
                                <w:rFonts w:hint="eastAsia" w:ascii="新宋体" w:hAnsi="新宋体" w:eastAsia="新宋体"/>
                                <w:sz w:val="22"/>
                                <w:szCs w:val="22"/>
                              </w:rPr>
                              <w:t xml:space="preserve">  授权代表身份证（正反面）：</w:t>
                            </w:r>
                          </w:p>
                        </w:txbxContent>
                      </wps:txbx>
                      <wps:bodyPr upright="1"/>
                    </wps:wsp>
                  </a:graphicData>
                </a:graphic>
              </wp:anchor>
            </w:drawing>
          </mc:Choice>
          <mc:Fallback>
            <w:pict>
              <v:shape id="文本框 26" o:spid="_x0000_s1026" o:spt="202" type="#_x0000_t202" style="position:absolute;left:0pt;margin-left:6.95pt;margin-top:-4.25pt;height:305.15pt;width:496.35pt;z-index:251660288;mso-width-relative:page;mso-height-relative:page;" fillcolor="#FFFFFF" filled="t" stroked="t" coordsize="21600,21600" o:gfxdata="UEsDBAoAAAAAAIdO4kAAAAAAAAAAAAAAAAAEAAAAZHJzL1BLAwQUAAAACACHTuJAmGqLXdgAAAAK&#10;AQAADwAAAGRycy9kb3ducmV2LnhtbE2PwU7DMBBE70j8g7VIXFBrh0JIQ5wekEBwKwXB1Y23SYS9&#10;DrGblr9ne4LjaEYzb6rV0Tsx4Rj7QBqyuQKB1ATbU6vh/e1xVoCIyZA1LhBq+MEIq/r8rDKlDQd6&#10;xWmTWsElFEujoUtpKKWMTYfexHkYkNjbhdGbxHJspR3Ngcu9k9dK5dKbnnihMwM+dNh8bfZeQ3Hz&#10;PH3Gl8X6o8l3bpmu7qan71Hry4tM3YNIeEx/YTjhMzrUzLQNe7JRONaLJSc1zIpbECef13IQWw25&#10;ygqQdSX/X6h/AVBLAwQUAAAACACHTuJAQtxrnBMCAABGBAAADgAAAGRycy9lMm9Eb2MueG1srVPN&#10;jtMwEL4j8Q6W7zTZdttdoqYrQSkXBEgLD+A6TmLJf/K4TfoC8AacuHDnufocO3aypbtw6IEcnPHM&#10;+JuZb2aWd71WZC88SGtKejXJKRGG20qapqRfv2xe3VICgZmKKWtESQ8C6N3q5Ytl5woxta1VlfAE&#10;QQwUnStpG4Irsgx4KzSDiXXCoLG2XrOAV99klWcdomuVTfN8kXXWV85bLgBQux6MdET0lwDaupZc&#10;rC3faWHCgOqFYgFLglY6oKuUbV0LHj7VNYhAVEmx0pBODILyNp7ZasmKxjPXSj6mwC5J4VlNmkmD&#10;QU9QaxYY2Xn5F5SW3FuwdZhwq7OhkMQIVnGVP+PmvmVOpFqQanAn0uH/wfKP+8+eyKqkN5QYprHh&#10;xx/fjz9/H399I9NF5KdzUKDbvUPH0L+xPU7Nox5QGcvua6/jHwsiaEd2Dyd2RR8IR+Vils8W13NK&#10;ONpmtzfz63wecbI/z52H8F5YTaJQUo/tS6yy/QcIg+ujS4wGVslqI5VKF99s3ypP9gxbvUnfiP7E&#10;TRnSlfT1fBoTYTi/Nc4NitohB2CaFO/JCzgHztP3L+CY2JpBOySQEKIbK7QMwiepFax6ZyoSDg55&#10;NrheNCajRUWJEriNUUqegUl1iSdyp0wMItKsjyzFjg2diVLotz2CRnFrqwN2cee8bFokOPUxixYc&#10;r9SJcRXi/J7fUT5f/9UD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mGqLXdgAAAAKAQAADwAAAAAA&#10;AAABACAAAAAiAAAAZHJzL2Rvd25yZXYueG1sUEsBAhQAFAAAAAgAh07iQELca5wTAgAARgQAAA4A&#10;AAAAAAAAAQAgAAAAJwEAAGRycy9lMm9Eb2MueG1sUEsFBgAAAAAGAAYAWQEAAKwFAAAAAA==&#10;">
                <v:fill on="t" focussize="0,0"/>
                <v:stroke color="#000000" joinstyle="miter"/>
                <v:imagedata o:title=""/>
                <o:lock v:ext="edit" aspectratio="f"/>
                <v:textbox>
                  <w:txbxContent>
                    <w:p w14:paraId="2FF79480">
                      <w:r>
                        <w:rPr>
                          <w:rFonts w:hint="eastAsia" w:ascii="新宋体" w:hAnsi="新宋体" w:eastAsia="新宋体"/>
                          <w:sz w:val="22"/>
                          <w:szCs w:val="22"/>
                        </w:rPr>
                        <w:t xml:space="preserve">  授权代表身份证（正反面）：</w:t>
                      </w:r>
                    </w:p>
                  </w:txbxContent>
                </v:textbox>
              </v:shape>
            </w:pict>
          </mc:Fallback>
        </mc:AlternateContent>
      </w:r>
    </w:p>
    <w:p w14:paraId="6B8DBAC1">
      <w:pPr>
        <w:spacing w:line="460" w:lineRule="exact"/>
        <w:jc w:val="center"/>
        <w:rPr>
          <w:rFonts w:hint="eastAsia" w:ascii="新宋体" w:hAnsi="新宋体" w:eastAsia="新宋体" w:cs="新宋体"/>
          <w:b/>
          <w:bCs/>
          <w:color w:val="auto"/>
          <w:sz w:val="28"/>
          <w:szCs w:val="28"/>
          <w:highlight w:val="none"/>
        </w:rPr>
      </w:pPr>
    </w:p>
    <w:p w14:paraId="79F606BC">
      <w:pPr>
        <w:spacing w:line="460" w:lineRule="exact"/>
        <w:jc w:val="center"/>
        <w:rPr>
          <w:rFonts w:hint="eastAsia" w:ascii="新宋体" w:hAnsi="新宋体" w:eastAsia="新宋体" w:cs="新宋体"/>
          <w:b/>
          <w:bCs/>
          <w:color w:val="auto"/>
          <w:sz w:val="28"/>
          <w:szCs w:val="28"/>
          <w:highlight w:val="none"/>
        </w:rPr>
      </w:pPr>
    </w:p>
    <w:p w14:paraId="596DF30A">
      <w:pPr>
        <w:spacing w:line="460" w:lineRule="exact"/>
        <w:jc w:val="center"/>
        <w:rPr>
          <w:rFonts w:hint="eastAsia" w:ascii="新宋体" w:hAnsi="新宋体" w:eastAsia="新宋体" w:cs="新宋体"/>
          <w:b/>
          <w:bCs/>
          <w:color w:val="auto"/>
          <w:sz w:val="28"/>
          <w:szCs w:val="28"/>
          <w:highlight w:val="none"/>
        </w:rPr>
      </w:pPr>
    </w:p>
    <w:p w14:paraId="2C9BA19A">
      <w:pPr>
        <w:spacing w:line="460" w:lineRule="exact"/>
        <w:jc w:val="center"/>
        <w:rPr>
          <w:rFonts w:hint="eastAsia" w:ascii="新宋体" w:hAnsi="新宋体" w:eastAsia="新宋体" w:cs="新宋体"/>
          <w:b/>
          <w:bCs/>
          <w:color w:val="auto"/>
          <w:sz w:val="28"/>
          <w:szCs w:val="28"/>
          <w:highlight w:val="none"/>
        </w:rPr>
      </w:pPr>
    </w:p>
    <w:p w14:paraId="6000A0DB">
      <w:pPr>
        <w:spacing w:line="460" w:lineRule="exact"/>
        <w:jc w:val="center"/>
        <w:rPr>
          <w:rFonts w:hint="eastAsia" w:ascii="新宋体" w:hAnsi="新宋体" w:eastAsia="新宋体" w:cs="新宋体"/>
          <w:b/>
          <w:bCs/>
          <w:color w:val="auto"/>
          <w:sz w:val="28"/>
          <w:szCs w:val="28"/>
          <w:highlight w:val="none"/>
        </w:rPr>
      </w:pPr>
    </w:p>
    <w:p w14:paraId="6553625F">
      <w:pPr>
        <w:spacing w:line="460" w:lineRule="exact"/>
        <w:jc w:val="center"/>
        <w:rPr>
          <w:rFonts w:hint="eastAsia" w:ascii="新宋体" w:hAnsi="新宋体" w:eastAsia="新宋体" w:cs="新宋体"/>
          <w:b/>
          <w:bCs/>
          <w:color w:val="auto"/>
          <w:sz w:val="28"/>
          <w:szCs w:val="28"/>
          <w:highlight w:val="none"/>
        </w:rPr>
      </w:pPr>
    </w:p>
    <w:p w14:paraId="7FFF3676">
      <w:pPr>
        <w:spacing w:line="460" w:lineRule="exact"/>
        <w:jc w:val="center"/>
        <w:rPr>
          <w:rFonts w:hint="eastAsia" w:ascii="新宋体" w:hAnsi="新宋体" w:eastAsia="新宋体" w:cs="新宋体"/>
          <w:b/>
          <w:bCs/>
          <w:color w:val="auto"/>
          <w:sz w:val="28"/>
          <w:szCs w:val="28"/>
          <w:highlight w:val="none"/>
        </w:rPr>
      </w:pPr>
    </w:p>
    <w:p w14:paraId="2384CE7B">
      <w:pPr>
        <w:spacing w:line="460" w:lineRule="exact"/>
        <w:jc w:val="center"/>
        <w:rPr>
          <w:rFonts w:hint="eastAsia" w:ascii="新宋体" w:hAnsi="新宋体" w:eastAsia="新宋体" w:cs="新宋体"/>
          <w:b/>
          <w:bCs/>
          <w:color w:val="auto"/>
          <w:sz w:val="28"/>
          <w:szCs w:val="28"/>
          <w:highlight w:val="none"/>
        </w:rPr>
      </w:pPr>
    </w:p>
    <w:p w14:paraId="356504A7">
      <w:pPr>
        <w:spacing w:line="460" w:lineRule="exact"/>
        <w:jc w:val="center"/>
        <w:rPr>
          <w:rFonts w:hint="eastAsia" w:ascii="新宋体" w:hAnsi="新宋体" w:eastAsia="新宋体" w:cs="新宋体"/>
          <w:b/>
          <w:bCs/>
          <w:color w:val="auto"/>
          <w:sz w:val="28"/>
          <w:szCs w:val="28"/>
          <w:highlight w:val="none"/>
        </w:rPr>
      </w:pPr>
    </w:p>
    <w:p w14:paraId="6B478FF0">
      <w:pPr>
        <w:spacing w:line="460" w:lineRule="exact"/>
        <w:jc w:val="center"/>
        <w:rPr>
          <w:rFonts w:hint="eastAsia" w:ascii="新宋体" w:hAnsi="新宋体" w:eastAsia="新宋体" w:cs="新宋体"/>
          <w:b/>
          <w:bCs/>
          <w:color w:val="auto"/>
          <w:sz w:val="28"/>
          <w:szCs w:val="28"/>
          <w:highlight w:val="none"/>
        </w:rPr>
      </w:pPr>
    </w:p>
    <w:p w14:paraId="05F7E589">
      <w:pPr>
        <w:spacing w:line="460" w:lineRule="exact"/>
        <w:jc w:val="center"/>
        <w:rPr>
          <w:rFonts w:hint="eastAsia" w:ascii="新宋体" w:hAnsi="新宋体" w:eastAsia="新宋体" w:cs="新宋体"/>
          <w:b/>
          <w:bCs/>
          <w:color w:val="auto"/>
          <w:sz w:val="28"/>
          <w:szCs w:val="28"/>
          <w:highlight w:val="none"/>
        </w:rPr>
      </w:pPr>
    </w:p>
    <w:p w14:paraId="37117E47">
      <w:pPr>
        <w:spacing w:line="460" w:lineRule="exact"/>
        <w:jc w:val="center"/>
        <w:rPr>
          <w:rFonts w:hint="eastAsia" w:ascii="新宋体" w:hAnsi="新宋体" w:eastAsia="新宋体" w:cs="新宋体"/>
          <w:b/>
          <w:bCs/>
          <w:color w:val="auto"/>
          <w:sz w:val="28"/>
          <w:szCs w:val="28"/>
          <w:highlight w:val="none"/>
        </w:rPr>
      </w:pPr>
    </w:p>
    <w:p w14:paraId="119D6895">
      <w:pPr>
        <w:spacing w:line="460" w:lineRule="exact"/>
        <w:jc w:val="center"/>
        <w:rPr>
          <w:rFonts w:hint="eastAsia" w:ascii="新宋体" w:hAnsi="新宋体" w:eastAsia="新宋体" w:cs="新宋体"/>
          <w:b/>
          <w:bCs/>
          <w:color w:val="auto"/>
          <w:sz w:val="28"/>
          <w:szCs w:val="28"/>
          <w:highlight w:val="none"/>
        </w:rPr>
      </w:pPr>
    </w:p>
    <w:p w14:paraId="24D8D68C">
      <w:pPr>
        <w:spacing w:line="460" w:lineRule="exact"/>
        <w:jc w:val="center"/>
        <w:rPr>
          <w:rFonts w:hint="eastAsia" w:ascii="新宋体" w:hAnsi="新宋体" w:eastAsia="新宋体" w:cs="新宋体"/>
          <w:b/>
          <w:bCs/>
          <w:color w:val="auto"/>
          <w:sz w:val="28"/>
          <w:szCs w:val="28"/>
          <w:highlight w:val="none"/>
        </w:rPr>
      </w:pPr>
    </w:p>
    <w:p w14:paraId="6B36313F">
      <w:pPr>
        <w:spacing w:line="460" w:lineRule="exact"/>
        <w:jc w:val="center"/>
        <w:rPr>
          <w:rFonts w:hint="eastAsia" w:ascii="新宋体" w:hAnsi="新宋体" w:eastAsia="新宋体" w:cs="新宋体"/>
          <w:b/>
          <w:bCs/>
          <w:color w:val="auto"/>
          <w:sz w:val="28"/>
          <w:szCs w:val="28"/>
          <w:highlight w:val="none"/>
        </w:rPr>
      </w:pPr>
    </w:p>
    <w:p w14:paraId="5852C0D1">
      <w:pPr>
        <w:spacing w:line="460" w:lineRule="exact"/>
        <w:jc w:val="center"/>
        <w:outlineLvl w:val="3"/>
        <w:rPr>
          <w:rFonts w:hint="eastAsia" w:ascii="新宋体" w:hAnsi="新宋体" w:eastAsia="新宋体" w:cs="新宋体"/>
          <w:b/>
          <w:bCs/>
          <w:color w:val="auto"/>
          <w:sz w:val="22"/>
          <w:szCs w:val="22"/>
          <w:highlight w:val="none"/>
        </w:rPr>
        <w:sectPr>
          <w:headerReference r:id="rId4" w:type="first"/>
          <w:headerReference r:id="rId3" w:type="default"/>
          <w:footerReference r:id="rId5" w:type="default"/>
          <w:pgSz w:w="11906" w:h="16838"/>
          <w:pgMar w:top="1134" w:right="1134" w:bottom="1134" w:left="1134" w:header="850" w:footer="992" w:gutter="0"/>
          <w:cols w:space="720" w:num="1"/>
          <w:titlePg/>
          <w:docGrid w:type="lines" w:linePitch="312" w:charSpace="0"/>
        </w:sectPr>
      </w:pPr>
    </w:p>
    <w:p w14:paraId="15F6B813">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en-US" w:eastAsia="zh-CN"/>
        </w:rPr>
        <w:t>3</w:t>
      </w:r>
      <w:r>
        <w:rPr>
          <w:rFonts w:hint="eastAsia" w:ascii="新宋体" w:hAnsi="新宋体" w:eastAsia="新宋体" w:cs="新宋体"/>
          <w:b/>
          <w:bCs/>
          <w:color w:val="auto"/>
          <w:sz w:val="28"/>
          <w:szCs w:val="28"/>
          <w:highlight w:val="none"/>
          <w:lang w:val="zh-CN" w:eastAsia="zh-CN"/>
        </w:rPr>
        <w:t>、廉政承诺书</w:t>
      </w:r>
    </w:p>
    <w:p w14:paraId="76F754B3">
      <w:pPr>
        <w:tabs>
          <w:tab w:val="left" w:pos="360"/>
        </w:tabs>
        <w:spacing w:line="460" w:lineRule="exact"/>
        <w:rPr>
          <w:rFonts w:ascii="新宋体" w:hAnsi="新宋体" w:eastAsia="新宋体" w:cs="新宋体"/>
          <w:color w:val="auto"/>
          <w:sz w:val="22"/>
          <w:highlight w:val="none"/>
        </w:rPr>
      </w:pPr>
      <w:r>
        <w:rPr>
          <w:rFonts w:hint="eastAsia" w:ascii="新宋体" w:hAnsi="新宋体" w:eastAsia="新宋体" w:cs="新宋体"/>
          <w:color w:val="auto"/>
          <w:sz w:val="22"/>
          <w:szCs w:val="22"/>
          <w:highlight w:val="none"/>
          <w:lang w:eastAsia="zh-CN"/>
        </w:rPr>
        <w:t>温州市疾病预防控制中心（温州市卫生监督所）</w:t>
      </w:r>
      <w:r>
        <w:rPr>
          <w:rFonts w:hint="eastAsia" w:ascii="新宋体" w:hAnsi="新宋体" w:eastAsia="新宋体" w:cs="新宋体"/>
          <w:color w:val="auto"/>
          <w:sz w:val="22"/>
          <w:highlight w:val="none"/>
        </w:rPr>
        <w:t>、温州历程招标有限公司：</w:t>
      </w:r>
    </w:p>
    <w:p w14:paraId="10AD2CE6">
      <w:pPr>
        <w:tabs>
          <w:tab w:val="left" w:pos="360"/>
        </w:tabs>
        <w:spacing w:line="460" w:lineRule="exact"/>
        <w:ind w:firstLine="440" w:firstLineChars="200"/>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为加强采购活动中的廉政建设，防止发生违法违纪行为，体现公开、公平、公正的原则，根据国家有关法律、法规和廉政建设责任制的规定，本投标人特作如下承诺：</w:t>
      </w:r>
    </w:p>
    <w:p w14:paraId="76827AFA">
      <w:pPr>
        <w:tabs>
          <w:tab w:val="left" w:pos="360"/>
        </w:tabs>
        <w:spacing w:line="460" w:lineRule="exact"/>
        <w:ind w:firstLine="440" w:firstLineChars="200"/>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一、不与</w:t>
      </w:r>
      <w:r>
        <w:rPr>
          <w:rFonts w:hint="eastAsia" w:ascii="新宋体" w:hAnsi="新宋体" w:eastAsia="新宋体" w:cs="新宋体"/>
          <w:color w:val="auto"/>
          <w:sz w:val="22"/>
          <w:highlight w:val="none"/>
          <w:lang w:eastAsia="zh-CN"/>
        </w:rPr>
        <w:t>采购</w:t>
      </w:r>
      <w:r>
        <w:rPr>
          <w:rFonts w:hint="eastAsia" w:ascii="新宋体" w:hAnsi="新宋体" w:eastAsia="新宋体" w:cs="新宋体"/>
          <w:color w:val="auto"/>
          <w:sz w:val="22"/>
          <w:highlight w:val="none"/>
        </w:rPr>
        <w:t>人、</w:t>
      </w:r>
      <w:r>
        <w:rPr>
          <w:rFonts w:hint="eastAsia" w:ascii="新宋体" w:hAnsi="新宋体" w:eastAsia="新宋体" w:cs="新宋体"/>
          <w:color w:val="auto"/>
          <w:sz w:val="22"/>
          <w:highlight w:val="none"/>
          <w:lang w:eastAsia="zh-CN"/>
        </w:rPr>
        <w:t>采购</w:t>
      </w:r>
      <w:r>
        <w:rPr>
          <w:rFonts w:hint="eastAsia" w:ascii="新宋体" w:hAnsi="新宋体" w:eastAsia="新宋体" w:cs="新宋体"/>
          <w:color w:val="auto"/>
          <w:sz w:val="22"/>
          <w:highlight w:val="none"/>
        </w:rPr>
        <w:t>代理机构及其他投标人私下串通协商，进行围标、串标、抬标、控制投标价格。</w:t>
      </w:r>
    </w:p>
    <w:p w14:paraId="682BDA7B">
      <w:pPr>
        <w:tabs>
          <w:tab w:val="left" w:pos="360"/>
        </w:tabs>
        <w:spacing w:line="460" w:lineRule="exact"/>
        <w:ind w:firstLine="440" w:firstLineChars="200"/>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二、不向</w:t>
      </w:r>
      <w:r>
        <w:rPr>
          <w:rFonts w:hint="eastAsia" w:ascii="新宋体" w:hAnsi="新宋体" w:eastAsia="新宋体" w:cs="新宋体"/>
          <w:color w:val="auto"/>
          <w:sz w:val="22"/>
          <w:highlight w:val="none"/>
          <w:lang w:eastAsia="zh-CN"/>
        </w:rPr>
        <w:t>采购</w:t>
      </w:r>
      <w:r>
        <w:rPr>
          <w:rFonts w:hint="eastAsia" w:ascii="新宋体" w:hAnsi="新宋体" w:eastAsia="新宋体" w:cs="新宋体"/>
          <w:color w:val="auto"/>
          <w:sz w:val="22"/>
          <w:highlight w:val="none"/>
        </w:rPr>
        <w:t>人、</w:t>
      </w:r>
      <w:r>
        <w:rPr>
          <w:rFonts w:hint="eastAsia" w:ascii="新宋体" w:hAnsi="新宋体" w:eastAsia="新宋体" w:cs="新宋体"/>
          <w:color w:val="auto"/>
          <w:sz w:val="22"/>
          <w:highlight w:val="none"/>
          <w:lang w:eastAsia="zh-CN"/>
        </w:rPr>
        <w:t>采购</w:t>
      </w:r>
      <w:r>
        <w:rPr>
          <w:rFonts w:hint="eastAsia" w:ascii="新宋体" w:hAnsi="新宋体" w:eastAsia="新宋体" w:cs="新宋体"/>
          <w:color w:val="auto"/>
          <w:sz w:val="22"/>
          <w:highlight w:val="none"/>
        </w:rPr>
        <w:t>代理机构、评标专家行贿，以不正当手段谋取中标。</w:t>
      </w:r>
    </w:p>
    <w:p w14:paraId="757157B8">
      <w:pPr>
        <w:tabs>
          <w:tab w:val="left" w:pos="360"/>
        </w:tabs>
        <w:spacing w:line="460" w:lineRule="exact"/>
        <w:ind w:firstLine="440" w:firstLineChars="200"/>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三、不向监管人员请客、送礼及组织其他有可能影响客观公正监管的活动。</w:t>
      </w:r>
    </w:p>
    <w:p w14:paraId="543179F2">
      <w:pPr>
        <w:tabs>
          <w:tab w:val="left" w:pos="360"/>
        </w:tabs>
        <w:spacing w:line="460" w:lineRule="exact"/>
        <w:ind w:firstLine="440" w:firstLineChars="200"/>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四、自觉遵守开标、评标现场工作纪律，不私下接触评标专家，不干扰正常的开标评标秩序。</w:t>
      </w:r>
    </w:p>
    <w:p w14:paraId="15A5B6DE">
      <w:pPr>
        <w:tabs>
          <w:tab w:val="left" w:pos="360"/>
        </w:tabs>
        <w:spacing w:line="460" w:lineRule="exact"/>
        <w:ind w:firstLine="440" w:firstLineChars="200"/>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五、不给责任人的违法违规行为说情、解脱。</w:t>
      </w:r>
    </w:p>
    <w:p w14:paraId="7AB668EB">
      <w:pPr>
        <w:tabs>
          <w:tab w:val="left" w:pos="360"/>
        </w:tabs>
        <w:spacing w:line="460" w:lineRule="exact"/>
        <w:ind w:firstLine="440" w:firstLineChars="200"/>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如违反上述承诺，你方有权立即取消我单位投标、中标或在建项目的履约资格，有权拒绝我单位在一定时期内进入你方进行政府采购或其他经营活动，并通报监督管理部门、纪检监察部门或司法机关调查处理。由此引起的相应损失均由我单位承担。</w:t>
      </w:r>
    </w:p>
    <w:p w14:paraId="6E60045F">
      <w:pPr>
        <w:tabs>
          <w:tab w:val="left" w:pos="360"/>
        </w:tabs>
        <w:spacing w:line="460" w:lineRule="exact"/>
        <w:ind w:firstLine="550" w:firstLineChars="250"/>
        <w:rPr>
          <w:rFonts w:ascii="新宋体" w:hAnsi="新宋体" w:eastAsia="新宋体" w:cs="新宋体"/>
          <w:color w:val="auto"/>
          <w:sz w:val="22"/>
          <w:highlight w:val="none"/>
        </w:rPr>
      </w:pPr>
    </w:p>
    <w:p w14:paraId="668969D2">
      <w:pPr>
        <w:widowControl/>
        <w:snapToGrid w:val="0"/>
        <w:spacing w:line="460" w:lineRule="exact"/>
        <w:ind w:firstLine="440" w:firstLineChars="200"/>
        <w:jc w:val="left"/>
        <w:rPr>
          <w:rFonts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特此承诺！</w:t>
      </w:r>
    </w:p>
    <w:p w14:paraId="78113E14">
      <w:pPr>
        <w:widowControl/>
        <w:snapToGrid w:val="0"/>
        <w:spacing w:line="460" w:lineRule="exact"/>
        <w:ind w:firstLine="440" w:firstLineChars="200"/>
        <w:jc w:val="left"/>
        <w:rPr>
          <w:rFonts w:ascii="新宋体" w:hAnsi="新宋体" w:eastAsia="新宋体" w:cs="新宋体"/>
          <w:color w:val="auto"/>
          <w:kern w:val="0"/>
          <w:sz w:val="22"/>
          <w:szCs w:val="22"/>
          <w:highlight w:val="none"/>
        </w:rPr>
      </w:pPr>
    </w:p>
    <w:p w14:paraId="7919F78E">
      <w:pPr>
        <w:spacing w:line="460" w:lineRule="exact"/>
        <w:ind w:firstLine="5280" w:firstLineChars="24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投标人全称（盖章）：</w:t>
      </w:r>
    </w:p>
    <w:p w14:paraId="770FCCBD">
      <w:pPr>
        <w:spacing w:line="460" w:lineRule="exact"/>
        <w:ind w:firstLine="5280" w:firstLineChars="24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投标人代表（签字）：</w:t>
      </w:r>
    </w:p>
    <w:p w14:paraId="4B4C3AD6">
      <w:pPr>
        <w:spacing w:line="460" w:lineRule="exact"/>
        <w:ind w:firstLine="5280" w:firstLineChars="24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w:t>
      </w:r>
    </w:p>
    <w:p w14:paraId="589E3620">
      <w:pPr>
        <w:pStyle w:val="9"/>
        <w:ind w:firstLine="440"/>
        <w:rPr>
          <w:rFonts w:ascii="新宋体" w:hAnsi="新宋体" w:eastAsia="新宋体" w:cs="新宋体"/>
          <w:color w:val="auto"/>
          <w:sz w:val="22"/>
          <w:szCs w:val="22"/>
          <w:highlight w:val="none"/>
        </w:rPr>
      </w:pPr>
    </w:p>
    <w:p w14:paraId="3F223584">
      <w:pPr>
        <w:rPr>
          <w:rFonts w:hint="eastAsia" w:ascii="新宋体" w:hAnsi="新宋体" w:eastAsia="新宋体" w:cs="新宋体"/>
          <w:b/>
          <w:bCs/>
          <w:color w:val="auto"/>
          <w:sz w:val="28"/>
          <w:szCs w:val="28"/>
          <w:highlight w:val="none"/>
          <w:lang w:val="en-US" w:eastAsia="zh-CN"/>
        </w:rPr>
      </w:pPr>
    </w:p>
    <w:p w14:paraId="61F5420F">
      <w:pPr>
        <w:rPr>
          <w:rFonts w:hint="eastAsia" w:ascii="新宋体" w:hAnsi="新宋体" w:eastAsia="新宋体" w:cs="新宋体"/>
          <w:b/>
          <w:bCs/>
          <w:color w:val="auto"/>
          <w:sz w:val="28"/>
          <w:szCs w:val="28"/>
          <w:highlight w:val="none"/>
          <w:lang w:val="en-US" w:eastAsia="zh-CN"/>
        </w:rPr>
      </w:pPr>
      <w:r>
        <w:rPr>
          <w:rFonts w:hint="eastAsia" w:ascii="新宋体" w:hAnsi="新宋体" w:eastAsia="新宋体" w:cs="新宋体"/>
          <w:b/>
          <w:bCs/>
          <w:color w:val="auto"/>
          <w:sz w:val="28"/>
          <w:szCs w:val="28"/>
          <w:highlight w:val="none"/>
          <w:lang w:val="en-US" w:eastAsia="zh-CN"/>
        </w:rPr>
        <w:br w:type="page"/>
      </w:r>
    </w:p>
    <w:p w14:paraId="32CB9E16">
      <w:pPr>
        <w:spacing w:line="420" w:lineRule="exact"/>
        <w:jc w:val="left"/>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zh-CN" w:eastAsia="zh-CN"/>
        </w:rPr>
        <w:t>4、投标人为医疗器械生产企业的：第二类、第三类医疗器械生产企业提供《医疗器械生产许可证》、第一类医疗器械生产企业提供第一类医疗器械生产备案凭证</w:t>
      </w:r>
      <w:r>
        <w:rPr>
          <w:rFonts w:hint="eastAsia" w:ascii="新宋体" w:hAnsi="新宋体" w:eastAsia="新宋体" w:cs="新宋体"/>
          <w:b/>
          <w:bCs/>
          <w:color w:val="auto"/>
          <w:sz w:val="28"/>
          <w:szCs w:val="28"/>
          <w:highlight w:val="none"/>
          <w:lang w:val="en-US" w:eastAsia="zh-CN"/>
        </w:rPr>
        <w:t>等</w:t>
      </w:r>
      <w:r>
        <w:rPr>
          <w:rFonts w:hint="eastAsia" w:ascii="新宋体" w:hAnsi="新宋体" w:eastAsia="新宋体" w:cs="新宋体"/>
          <w:b/>
          <w:bCs/>
          <w:color w:val="auto"/>
          <w:sz w:val="28"/>
          <w:szCs w:val="28"/>
          <w:highlight w:val="none"/>
          <w:lang w:val="zh-CN" w:eastAsia="zh-CN"/>
        </w:rPr>
        <w:t>销售许可文件；投标人为医疗器械经营企业的：第三类医疗器械经营企业提供《医疗器械经营许可证》、第二类医疗器械经营企业提供第二类医疗器械经营备案凭证</w:t>
      </w:r>
      <w:r>
        <w:rPr>
          <w:rFonts w:hint="eastAsia" w:ascii="新宋体" w:hAnsi="新宋体" w:eastAsia="新宋体" w:cs="新宋体"/>
          <w:b/>
          <w:bCs/>
          <w:color w:val="auto"/>
          <w:sz w:val="28"/>
          <w:szCs w:val="28"/>
          <w:highlight w:val="none"/>
          <w:lang w:val="en-US" w:eastAsia="zh-CN"/>
        </w:rPr>
        <w:t>等</w:t>
      </w:r>
      <w:r>
        <w:rPr>
          <w:rFonts w:hint="eastAsia" w:ascii="新宋体" w:hAnsi="新宋体" w:eastAsia="新宋体" w:cs="新宋体"/>
          <w:b/>
          <w:bCs/>
          <w:color w:val="auto"/>
          <w:sz w:val="28"/>
          <w:szCs w:val="28"/>
          <w:highlight w:val="none"/>
          <w:lang w:val="zh-CN" w:eastAsia="zh-CN"/>
        </w:rPr>
        <w:t>销售许可文件；（适用于按医疗器械管理的货物）</w:t>
      </w:r>
    </w:p>
    <w:p w14:paraId="40C37869">
      <w:pPr>
        <w:rPr>
          <w:rFonts w:ascii="新宋体" w:hAnsi="新宋体" w:eastAsia="新宋体" w:cs="新宋体"/>
          <w:color w:val="auto"/>
          <w:highlight w:val="none"/>
        </w:rPr>
      </w:pPr>
    </w:p>
    <w:p w14:paraId="3E5447BF">
      <w:pPr>
        <w:spacing w:line="460" w:lineRule="exact"/>
        <w:jc w:val="left"/>
        <w:outlineLvl w:val="9"/>
        <w:rPr>
          <w:rFonts w:hint="eastAsia" w:ascii="新宋体" w:hAnsi="新宋体" w:eastAsia="新宋体" w:cs="新宋体"/>
          <w:b/>
          <w:bCs/>
          <w:color w:val="auto"/>
          <w:sz w:val="24"/>
          <w:highlight w:val="none"/>
        </w:rPr>
      </w:pPr>
    </w:p>
    <w:p w14:paraId="202DBD27">
      <w:pPr>
        <w:spacing w:line="460" w:lineRule="exact"/>
        <w:jc w:val="left"/>
        <w:outlineLvl w:val="9"/>
        <w:rPr>
          <w:rFonts w:hint="eastAsia" w:ascii="新宋体" w:hAnsi="新宋体" w:eastAsia="新宋体" w:cs="新宋体"/>
          <w:b/>
          <w:bCs/>
          <w:color w:val="auto"/>
          <w:sz w:val="24"/>
          <w:highlight w:val="none"/>
        </w:rPr>
      </w:pPr>
    </w:p>
    <w:p w14:paraId="4534B188">
      <w:pPr>
        <w:spacing w:line="420" w:lineRule="exact"/>
        <w:jc w:val="left"/>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zh-CN" w:eastAsia="zh-CN"/>
        </w:rPr>
        <w:t>5、货物制造商或其它有销售资格（提供证明材料）的供应商出具的授权书</w:t>
      </w:r>
      <w:r>
        <w:rPr>
          <w:rFonts w:hint="eastAsia" w:ascii="新宋体" w:hAnsi="新宋体" w:eastAsia="新宋体" w:cs="新宋体"/>
          <w:b/>
          <w:bCs/>
          <w:color w:val="auto"/>
          <w:sz w:val="28"/>
          <w:szCs w:val="28"/>
          <w:highlight w:val="none"/>
          <w:lang w:val="en-US" w:eastAsia="zh-CN"/>
        </w:rPr>
        <w:t>等</w:t>
      </w:r>
      <w:r>
        <w:rPr>
          <w:rFonts w:hint="eastAsia" w:ascii="新宋体" w:hAnsi="新宋体" w:eastAsia="新宋体" w:cs="新宋体"/>
          <w:b/>
          <w:bCs/>
          <w:color w:val="auto"/>
          <w:sz w:val="28"/>
          <w:szCs w:val="28"/>
          <w:highlight w:val="none"/>
          <w:lang w:val="zh-CN" w:eastAsia="zh-CN"/>
        </w:rPr>
        <w:t>销售许可文件（适用于投标人是进口货物代理商的情形）</w:t>
      </w:r>
    </w:p>
    <w:p w14:paraId="7FA74A17">
      <w:pPr>
        <w:rPr>
          <w:rFonts w:hint="eastAsia" w:ascii="新宋体" w:hAnsi="新宋体" w:eastAsia="新宋体" w:cs="新宋体"/>
          <w:b/>
          <w:bCs/>
          <w:color w:val="auto"/>
          <w:sz w:val="28"/>
          <w:szCs w:val="28"/>
          <w:highlight w:val="none"/>
          <w:lang w:val="en-US" w:eastAsia="zh-CN"/>
        </w:rPr>
      </w:pPr>
      <w:r>
        <w:rPr>
          <w:rFonts w:hint="eastAsia" w:ascii="新宋体" w:hAnsi="新宋体" w:eastAsia="新宋体" w:cs="新宋体"/>
          <w:b/>
          <w:bCs/>
          <w:color w:val="auto"/>
          <w:sz w:val="28"/>
          <w:szCs w:val="28"/>
          <w:highlight w:val="none"/>
          <w:lang w:val="en-US" w:eastAsia="zh-CN"/>
        </w:rPr>
        <w:br w:type="page"/>
      </w:r>
    </w:p>
    <w:p w14:paraId="532E84E1">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zh-CN" w:eastAsia="zh-CN"/>
        </w:rPr>
        <w:t>6、详细供货清单说明一览表</w:t>
      </w:r>
    </w:p>
    <w:p w14:paraId="0F4C844A">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项目名称：</w:t>
      </w:r>
    </w:p>
    <w:p w14:paraId="205ED4D5">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b/>
          <w:bCs/>
          <w:color w:val="auto"/>
          <w:sz w:val="22"/>
          <w:szCs w:val="22"/>
          <w:highlight w:val="none"/>
        </w:rPr>
      </w:pPr>
      <w:r>
        <w:rPr>
          <w:rFonts w:hint="eastAsia" w:ascii="新宋体" w:hAnsi="新宋体" w:eastAsia="新宋体" w:cs="新宋体"/>
          <w:b w:val="0"/>
          <w:bCs w:val="0"/>
          <w:color w:val="auto"/>
          <w:sz w:val="22"/>
          <w:szCs w:val="22"/>
          <w:highlight w:val="none"/>
        </w:rPr>
        <w:t>项目编号：</w:t>
      </w:r>
    </w:p>
    <w:tbl>
      <w:tblPr>
        <w:tblStyle w:val="53"/>
        <w:tblW w:w="95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692"/>
        <w:gridCol w:w="2603"/>
        <w:gridCol w:w="1991"/>
        <w:gridCol w:w="1260"/>
        <w:gridCol w:w="1219"/>
      </w:tblGrid>
      <w:tr w14:paraId="38442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trPr>
        <w:tc>
          <w:tcPr>
            <w:tcW w:w="828" w:type="dxa"/>
            <w:shd w:val="clear" w:color="auto" w:fill="FFFFFF"/>
            <w:vAlign w:val="center"/>
          </w:tcPr>
          <w:p w14:paraId="2B98EE35">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序号</w:t>
            </w:r>
          </w:p>
        </w:tc>
        <w:tc>
          <w:tcPr>
            <w:tcW w:w="1692" w:type="dxa"/>
            <w:shd w:val="clear" w:color="auto" w:fill="FFFFFF"/>
            <w:vAlign w:val="center"/>
          </w:tcPr>
          <w:p w14:paraId="428AD8A2">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设备名称/型号</w:t>
            </w:r>
          </w:p>
        </w:tc>
        <w:tc>
          <w:tcPr>
            <w:tcW w:w="2603" w:type="dxa"/>
            <w:shd w:val="clear" w:color="auto" w:fill="FFFFFF"/>
            <w:vAlign w:val="center"/>
          </w:tcPr>
          <w:p w14:paraId="1FCCEFF1">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规格及技术参数</w:t>
            </w:r>
          </w:p>
        </w:tc>
        <w:tc>
          <w:tcPr>
            <w:tcW w:w="1991" w:type="dxa"/>
            <w:shd w:val="clear" w:color="auto" w:fill="FFFFFF"/>
            <w:vAlign w:val="center"/>
          </w:tcPr>
          <w:p w14:paraId="16F94B73">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原产地</w:t>
            </w:r>
          </w:p>
          <w:p w14:paraId="503A025E">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（生产厂家/品牌）</w:t>
            </w:r>
          </w:p>
        </w:tc>
        <w:tc>
          <w:tcPr>
            <w:tcW w:w="1260" w:type="dxa"/>
            <w:shd w:val="clear" w:color="auto" w:fill="FFFFFF"/>
            <w:vAlign w:val="center"/>
          </w:tcPr>
          <w:p w14:paraId="198D1AF4">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数量</w:t>
            </w:r>
          </w:p>
        </w:tc>
        <w:tc>
          <w:tcPr>
            <w:tcW w:w="1219" w:type="dxa"/>
            <w:shd w:val="clear" w:color="auto" w:fill="FFFFFF"/>
            <w:vAlign w:val="center"/>
          </w:tcPr>
          <w:p w14:paraId="2A317181">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质保期</w:t>
            </w:r>
          </w:p>
        </w:tc>
      </w:tr>
      <w:tr w14:paraId="00228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4A9D5C75">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color w:val="auto"/>
                <w:sz w:val="22"/>
                <w:szCs w:val="22"/>
                <w:highlight w:val="none"/>
              </w:rPr>
            </w:pPr>
          </w:p>
        </w:tc>
        <w:tc>
          <w:tcPr>
            <w:tcW w:w="1692" w:type="dxa"/>
            <w:vAlign w:val="center"/>
          </w:tcPr>
          <w:p w14:paraId="74AE4DA2">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p>
        </w:tc>
        <w:tc>
          <w:tcPr>
            <w:tcW w:w="2603" w:type="dxa"/>
            <w:vAlign w:val="center"/>
          </w:tcPr>
          <w:p w14:paraId="07DA86C0">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p>
        </w:tc>
        <w:tc>
          <w:tcPr>
            <w:tcW w:w="1991" w:type="dxa"/>
            <w:vAlign w:val="center"/>
          </w:tcPr>
          <w:p w14:paraId="1F25E8E1">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p>
        </w:tc>
        <w:tc>
          <w:tcPr>
            <w:tcW w:w="1260" w:type="dxa"/>
            <w:vAlign w:val="center"/>
          </w:tcPr>
          <w:p w14:paraId="4B100975">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b/>
                <w:bCs/>
                <w:color w:val="auto"/>
                <w:sz w:val="22"/>
                <w:szCs w:val="22"/>
                <w:highlight w:val="none"/>
              </w:rPr>
            </w:pPr>
          </w:p>
        </w:tc>
        <w:tc>
          <w:tcPr>
            <w:tcW w:w="1219" w:type="dxa"/>
          </w:tcPr>
          <w:p w14:paraId="5B96F438">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color w:val="auto"/>
                <w:sz w:val="22"/>
                <w:szCs w:val="22"/>
                <w:highlight w:val="none"/>
              </w:rPr>
            </w:pPr>
          </w:p>
        </w:tc>
      </w:tr>
      <w:tr w14:paraId="57E25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97" w:hRule="exact"/>
        </w:trPr>
        <w:tc>
          <w:tcPr>
            <w:tcW w:w="828" w:type="dxa"/>
            <w:vAlign w:val="center"/>
          </w:tcPr>
          <w:p w14:paraId="4B47B06C">
            <w:pPr>
              <w:spacing w:line="360" w:lineRule="auto"/>
              <w:jc w:val="center"/>
              <w:rPr>
                <w:rFonts w:ascii="新宋体" w:hAnsi="新宋体" w:eastAsia="新宋体" w:cs="新宋体"/>
                <w:color w:val="auto"/>
                <w:sz w:val="22"/>
                <w:szCs w:val="22"/>
                <w:highlight w:val="none"/>
              </w:rPr>
            </w:pPr>
          </w:p>
        </w:tc>
        <w:tc>
          <w:tcPr>
            <w:tcW w:w="1692" w:type="dxa"/>
            <w:vAlign w:val="center"/>
          </w:tcPr>
          <w:p w14:paraId="604FE654">
            <w:pPr>
              <w:spacing w:line="360" w:lineRule="auto"/>
              <w:jc w:val="center"/>
              <w:rPr>
                <w:rFonts w:ascii="新宋体" w:hAnsi="新宋体" w:eastAsia="新宋体" w:cs="新宋体"/>
                <w:b/>
                <w:bCs/>
                <w:color w:val="auto"/>
                <w:sz w:val="22"/>
                <w:szCs w:val="22"/>
                <w:highlight w:val="none"/>
              </w:rPr>
            </w:pPr>
          </w:p>
        </w:tc>
        <w:tc>
          <w:tcPr>
            <w:tcW w:w="2603" w:type="dxa"/>
            <w:vAlign w:val="center"/>
          </w:tcPr>
          <w:p w14:paraId="31F8E3D9">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64C59461">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40CD4463">
            <w:pPr>
              <w:spacing w:line="360" w:lineRule="auto"/>
              <w:jc w:val="center"/>
              <w:rPr>
                <w:rFonts w:ascii="新宋体" w:hAnsi="新宋体" w:eastAsia="新宋体" w:cs="新宋体"/>
                <w:b/>
                <w:bCs/>
                <w:color w:val="auto"/>
                <w:sz w:val="22"/>
                <w:szCs w:val="22"/>
                <w:highlight w:val="none"/>
              </w:rPr>
            </w:pPr>
          </w:p>
        </w:tc>
        <w:tc>
          <w:tcPr>
            <w:tcW w:w="1219" w:type="dxa"/>
          </w:tcPr>
          <w:p w14:paraId="0A8A4679">
            <w:pPr>
              <w:rPr>
                <w:rFonts w:ascii="新宋体" w:hAnsi="新宋体" w:eastAsia="新宋体" w:cs="新宋体"/>
                <w:color w:val="auto"/>
                <w:sz w:val="22"/>
                <w:szCs w:val="22"/>
                <w:highlight w:val="none"/>
              </w:rPr>
            </w:pPr>
          </w:p>
        </w:tc>
      </w:tr>
      <w:tr w14:paraId="51DFC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6510278F">
            <w:pPr>
              <w:spacing w:line="360" w:lineRule="auto"/>
              <w:jc w:val="center"/>
              <w:rPr>
                <w:rFonts w:ascii="新宋体" w:hAnsi="新宋体" w:eastAsia="新宋体" w:cs="新宋体"/>
                <w:color w:val="auto"/>
                <w:sz w:val="22"/>
                <w:szCs w:val="22"/>
                <w:highlight w:val="none"/>
              </w:rPr>
            </w:pPr>
          </w:p>
        </w:tc>
        <w:tc>
          <w:tcPr>
            <w:tcW w:w="1692" w:type="dxa"/>
            <w:vAlign w:val="center"/>
          </w:tcPr>
          <w:p w14:paraId="0E7144B8">
            <w:pPr>
              <w:spacing w:line="360" w:lineRule="auto"/>
              <w:jc w:val="center"/>
              <w:rPr>
                <w:rFonts w:ascii="新宋体" w:hAnsi="新宋体" w:eastAsia="新宋体" w:cs="新宋体"/>
                <w:b/>
                <w:bCs/>
                <w:color w:val="auto"/>
                <w:sz w:val="22"/>
                <w:szCs w:val="22"/>
                <w:highlight w:val="none"/>
              </w:rPr>
            </w:pPr>
          </w:p>
        </w:tc>
        <w:tc>
          <w:tcPr>
            <w:tcW w:w="2603" w:type="dxa"/>
            <w:vAlign w:val="center"/>
          </w:tcPr>
          <w:p w14:paraId="17C8B186">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55CC850C">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35BACDEC">
            <w:pPr>
              <w:spacing w:line="360" w:lineRule="auto"/>
              <w:jc w:val="center"/>
              <w:rPr>
                <w:rFonts w:ascii="新宋体" w:hAnsi="新宋体" w:eastAsia="新宋体" w:cs="新宋体"/>
                <w:b/>
                <w:bCs/>
                <w:color w:val="auto"/>
                <w:sz w:val="22"/>
                <w:szCs w:val="22"/>
                <w:highlight w:val="none"/>
              </w:rPr>
            </w:pPr>
          </w:p>
        </w:tc>
        <w:tc>
          <w:tcPr>
            <w:tcW w:w="1219" w:type="dxa"/>
          </w:tcPr>
          <w:p w14:paraId="2CDAFB51">
            <w:pPr>
              <w:rPr>
                <w:rFonts w:ascii="新宋体" w:hAnsi="新宋体" w:eastAsia="新宋体" w:cs="新宋体"/>
                <w:color w:val="auto"/>
                <w:sz w:val="22"/>
                <w:szCs w:val="22"/>
                <w:highlight w:val="none"/>
              </w:rPr>
            </w:pPr>
          </w:p>
        </w:tc>
      </w:tr>
      <w:tr w14:paraId="10657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388F4D24">
            <w:pPr>
              <w:spacing w:line="360" w:lineRule="auto"/>
              <w:jc w:val="center"/>
              <w:rPr>
                <w:rFonts w:ascii="新宋体" w:hAnsi="新宋体" w:eastAsia="新宋体" w:cs="新宋体"/>
                <w:color w:val="auto"/>
                <w:sz w:val="22"/>
                <w:szCs w:val="22"/>
                <w:highlight w:val="none"/>
              </w:rPr>
            </w:pPr>
          </w:p>
        </w:tc>
        <w:tc>
          <w:tcPr>
            <w:tcW w:w="1692" w:type="dxa"/>
            <w:vAlign w:val="center"/>
          </w:tcPr>
          <w:p w14:paraId="4C988351">
            <w:pPr>
              <w:spacing w:line="360" w:lineRule="auto"/>
              <w:jc w:val="center"/>
              <w:rPr>
                <w:rFonts w:ascii="新宋体" w:hAnsi="新宋体" w:eastAsia="新宋体" w:cs="新宋体"/>
                <w:b/>
                <w:bCs/>
                <w:color w:val="auto"/>
                <w:sz w:val="22"/>
                <w:szCs w:val="22"/>
                <w:highlight w:val="none"/>
              </w:rPr>
            </w:pPr>
          </w:p>
        </w:tc>
        <w:tc>
          <w:tcPr>
            <w:tcW w:w="2603" w:type="dxa"/>
            <w:vAlign w:val="center"/>
          </w:tcPr>
          <w:p w14:paraId="216CEC29">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5059C36A">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205CB628">
            <w:pPr>
              <w:spacing w:line="360" w:lineRule="auto"/>
              <w:jc w:val="center"/>
              <w:rPr>
                <w:rFonts w:ascii="新宋体" w:hAnsi="新宋体" w:eastAsia="新宋体" w:cs="新宋体"/>
                <w:b/>
                <w:bCs/>
                <w:color w:val="auto"/>
                <w:sz w:val="22"/>
                <w:szCs w:val="22"/>
                <w:highlight w:val="none"/>
              </w:rPr>
            </w:pPr>
          </w:p>
        </w:tc>
        <w:tc>
          <w:tcPr>
            <w:tcW w:w="1219" w:type="dxa"/>
          </w:tcPr>
          <w:p w14:paraId="1D3C95E1">
            <w:pPr>
              <w:rPr>
                <w:rFonts w:ascii="新宋体" w:hAnsi="新宋体" w:eastAsia="新宋体" w:cs="新宋体"/>
                <w:color w:val="auto"/>
                <w:sz w:val="22"/>
                <w:szCs w:val="22"/>
                <w:highlight w:val="none"/>
              </w:rPr>
            </w:pPr>
          </w:p>
        </w:tc>
      </w:tr>
      <w:tr w14:paraId="154B6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1EA5CF98">
            <w:pPr>
              <w:spacing w:line="360" w:lineRule="auto"/>
              <w:jc w:val="center"/>
              <w:rPr>
                <w:rFonts w:ascii="新宋体" w:hAnsi="新宋体" w:eastAsia="新宋体" w:cs="新宋体"/>
                <w:color w:val="auto"/>
                <w:sz w:val="22"/>
                <w:szCs w:val="22"/>
                <w:highlight w:val="none"/>
              </w:rPr>
            </w:pPr>
          </w:p>
        </w:tc>
        <w:tc>
          <w:tcPr>
            <w:tcW w:w="1692" w:type="dxa"/>
            <w:vAlign w:val="center"/>
          </w:tcPr>
          <w:p w14:paraId="4B253EEC">
            <w:pPr>
              <w:spacing w:line="360" w:lineRule="auto"/>
              <w:jc w:val="center"/>
              <w:rPr>
                <w:rFonts w:ascii="新宋体" w:hAnsi="新宋体" w:eastAsia="新宋体" w:cs="新宋体"/>
                <w:b/>
                <w:bCs/>
                <w:color w:val="auto"/>
                <w:sz w:val="22"/>
                <w:szCs w:val="22"/>
                <w:highlight w:val="none"/>
              </w:rPr>
            </w:pPr>
          </w:p>
        </w:tc>
        <w:tc>
          <w:tcPr>
            <w:tcW w:w="2603" w:type="dxa"/>
            <w:vAlign w:val="center"/>
          </w:tcPr>
          <w:p w14:paraId="4BF5BAF0">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681B3D80">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68072A9E">
            <w:pPr>
              <w:spacing w:line="360" w:lineRule="auto"/>
              <w:jc w:val="center"/>
              <w:rPr>
                <w:rFonts w:ascii="新宋体" w:hAnsi="新宋体" w:eastAsia="新宋体" w:cs="新宋体"/>
                <w:b/>
                <w:bCs/>
                <w:color w:val="auto"/>
                <w:sz w:val="22"/>
                <w:szCs w:val="22"/>
                <w:highlight w:val="none"/>
              </w:rPr>
            </w:pPr>
          </w:p>
        </w:tc>
        <w:tc>
          <w:tcPr>
            <w:tcW w:w="1219" w:type="dxa"/>
          </w:tcPr>
          <w:p w14:paraId="07BFA8DC">
            <w:pPr>
              <w:rPr>
                <w:rFonts w:ascii="新宋体" w:hAnsi="新宋体" w:eastAsia="新宋体" w:cs="新宋体"/>
                <w:color w:val="auto"/>
                <w:sz w:val="22"/>
                <w:szCs w:val="22"/>
                <w:highlight w:val="none"/>
              </w:rPr>
            </w:pPr>
          </w:p>
        </w:tc>
      </w:tr>
      <w:tr w14:paraId="03670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5376ECE9">
            <w:pPr>
              <w:spacing w:line="360" w:lineRule="auto"/>
              <w:jc w:val="center"/>
              <w:rPr>
                <w:rFonts w:ascii="新宋体" w:hAnsi="新宋体" w:eastAsia="新宋体" w:cs="新宋体"/>
                <w:color w:val="auto"/>
                <w:sz w:val="22"/>
                <w:szCs w:val="22"/>
                <w:highlight w:val="none"/>
              </w:rPr>
            </w:pPr>
          </w:p>
        </w:tc>
        <w:tc>
          <w:tcPr>
            <w:tcW w:w="1692" w:type="dxa"/>
            <w:vAlign w:val="center"/>
          </w:tcPr>
          <w:p w14:paraId="26A8AE94">
            <w:pPr>
              <w:spacing w:line="360" w:lineRule="auto"/>
              <w:jc w:val="center"/>
              <w:rPr>
                <w:rFonts w:ascii="新宋体" w:hAnsi="新宋体" w:eastAsia="新宋体" w:cs="新宋体"/>
                <w:b/>
                <w:bCs/>
                <w:color w:val="auto"/>
                <w:sz w:val="22"/>
                <w:szCs w:val="22"/>
                <w:highlight w:val="none"/>
              </w:rPr>
            </w:pPr>
          </w:p>
        </w:tc>
        <w:tc>
          <w:tcPr>
            <w:tcW w:w="2603" w:type="dxa"/>
            <w:vAlign w:val="center"/>
          </w:tcPr>
          <w:p w14:paraId="62D500CE">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4C0FB9F1">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29A84FAA">
            <w:pPr>
              <w:spacing w:line="360" w:lineRule="auto"/>
              <w:jc w:val="center"/>
              <w:rPr>
                <w:rFonts w:ascii="新宋体" w:hAnsi="新宋体" w:eastAsia="新宋体" w:cs="新宋体"/>
                <w:b/>
                <w:bCs/>
                <w:color w:val="auto"/>
                <w:sz w:val="22"/>
                <w:szCs w:val="22"/>
                <w:highlight w:val="none"/>
              </w:rPr>
            </w:pPr>
          </w:p>
        </w:tc>
        <w:tc>
          <w:tcPr>
            <w:tcW w:w="1219" w:type="dxa"/>
          </w:tcPr>
          <w:p w14:paraId="2AFD24E5">
            <w:pPr>
              <w:rPr>
                <w:rFonts w:ascii="新宋体" w:hAnsi="新宋体" w:eastAsia="新宋体" w:cs="新宋体"/>
                <w:color w:val="auto"/>
                <w:sz w:val="22"/>
                <w:szCs w:val="22"/>
                <w:highlight w:val="none"/>
              </w:rPr>
            </w:pPr>
          </w:p>
        </w:tc>
      </w:tr>
      <w:tr w14:paraId="5F4D2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4AD5B94F">
            <w:pPr>
              <w:spacing w:line="360" w:lineRule="auto"/>
              <w:jc w:val="center"/>
              <w:rPr>
                <w:rFonts w:ascii="新宋体" w:hAnsi="新宋体" w:eastAsia="新宋体" w:cs="新宋体"/>
                <w:color w:val="auto"/>
                <w:sz w:val="22"/>
                <w:szCs w:val="22"/>
                <w:highlight w:val="none"/>
              </w:rPr>
            </w:pPr>
          </w:p>
        </w:tc>
        <w:tc>
          <w:tcPr>
            <w:tcW w:w="1692" w:type="dxa"/>
            <w:vAlign w:val="center"/>
          </w:tcPr>
          <w:p w14:paraId="2D0D6E95">
            <w:pPr>
              <w:spacing w:line="360" w:lineRule="auto"/>
              <w:jc w:val="center"/>
              <w:rPr>
                <w:rFonts w:ascii="新宋体" w:hAnsi="新宋体" w:eastAsia="新宋体" w:cs="新宋体"/>
                <w:color w:val="auto"/>
                <w:sz w:val="22"/>
                <w:szCs w:val="22"/>
                <w:highlight w:val="none"/>
              </w:rPr>
            </w:pPr>
          </w:p>
        </w:tc>
        <w:tc>
          <w:tcPr>
            <w:tcW w:w="2603" w:type="dxa"/>
            <w:vAlign w:val="center"/>
          </w:tcPr>
          <w:p w14:paraId="03FDAF70">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0EBFB141">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20601F79">
            <w:pPr>
              <w:spacing w:line="360" w:lineRule="auto"/>
              <w:jc w:val="center"/>
              <w:rPr>
                <w:rFonts w:ascii="新宋体" w:hAnsi="新宋体" w:eastAsia="新宋体" w:cs="新宋体"/>
                <w:b/>
                <w:bCs/>
                <w:color w:val="auto"/>
                <w:sz w:val="22"/>
                <w:szCs w:val="22"/>
                <w:highlight w:val="none"/>
              </w:rPr>
            </w:pPr>
          </w:p>
        </w:tc>
        <w:tc>
          <w:tcPr>
            <w:tcW w:w="1219" w:type="dxa"/>
          </w:tcPr>
          <w:p w14:paraId="06A86926">
            <w:pPr>
              <w:rPr>
                <w:rFonts w:ascii="新宋体" w:hAnsi="新宋体" w:eastAsia="新宋体" w:cs="新宋体"/>
                <w:color w:val="auto"/>
                <w:sz w:val="22"/>
                <w:szCs w:val="22"/>
                <w:highlight w:val="none"/>
              </w:rPr>
            </w:pPr>
          </w:p>
        </w:tc>
      </w:tr>
      <w:tr w14:paraId="45841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1994C3F4">
            <w:pPr>
              <w:spacing w:line="360" w:lineRule="auto"/>
              <w:jc w:val="center"/>
              <w:rPr>
                <w:rFonts w:ascii="新宋体" w:hAnsi="新宋体" w:eastAsia="新宋体" w:cs="新宋体"/>
                <w:color w:val="auto"/>
                <w:sz w:val="22"/>
                <w:szCs w:val="22"/>
                <w:highlight w:val="none"/>
              </w:rPr>
            </w:pPr>
          </w:p>
        </w:tc>
        <w:tc>
          <w:tcPr>
            <w:tcW w:w="1692" w:type="dxa"/>
            <w:vAlign w:val="center"/>
          </w:tcPr>
          <w:p w14:paraId="37313011">
            <w:pPr>
              <w:spacing w:line="360" w:lineRule="auto"/>
              <w:jc w:val="center"/>
              <w:rPr>
                <w:rFonts w:ascii="新宋体" w:hAnsi="新宋体" w:eastAsia="新宋体" w:cs="新宋体"/>
                <w:b/>
                <w:bCs/>
                <w:color w:val="auto"/>
                <w:sz w:val="22"/>
                <w:szCs w:val="22"/>
                <w:highlight w:val="none"/>
              </w:rPr>
            </w:pPr>
          </w:p>
        </w:tc>
        <w:tc>
          <w:tcPr>
            <w:tcW w:w="2603" w:type="dxa"/>
            <w:vAlign w:val="center"/>
          </w:tcPr>
          <w:p w14:paraId="6A03EF78">
            <w:pPr>
              <w:spacing w:line="360" w:lineRule="auto"/>
              <w:jc w:val="center"/>
              <w:rPr>
                <w:rFonts w:ascii="新宋体" w:hAnsi="新宋体" w:eastAsia="新宋体" w:cs="新宋体"/>
                <w:color w:val="auto"/>
                <w:sz w:val="22"/>
                <w:szCs w:val="22"/>
                <w:highlight w:val="none"/>
              </w:rPr>
            </w:pPr>
          </w:p>
        </w:tc>
        <w:tc>
          <w:tcPr>
            <w:tcW w:w="1991" w:type="dxa"/>
            <w:vAlign w:val="center"/>
          </w:tcPr>
          <w:p w14:paraId="41B4CB76">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54DA5256">
            <w:pPr>
              <w:spacing w:line="360" w:lineRule="auto"/>
              <w:jc w:val="center"/>
              <w:rPr>
                <w:rFonts w:ascii="新宋体" w:hAnsi="新宋体" w:eastAsia="新宋体" w:cs="新宋体"/>
                <w:b/>
                <w:bCs/>
                <w:color w:val="auto"/>
                <w:sz w:val="22"/>
                <w:szCs w:val="22"/>
                <w:highlight w:val="none"/>
              </w:rPr>
            </w:pPr>
          </w:p>
        </w:tc>
        <w:tc>
          <w:tcPr>
            <w:tcW w:w="1219" w:type="dxa"/>
          </w:tcPr>
          <w:p w14:paraId="4C599077">
            <w:pPr>
              <w:rPr>
                <w:rFonts w:ascii="新宋体" w:hAnsi="新宋体" w:eastAsia="新宋体" w:cs="新宋体"/>
                <w:color w:val="auto"/>
                <w:sz w:val="22"/>
                <w:szCs w:val="22"/>
                <w:highlight w:val="none"/>
              </w:rPr>
            </w:pPr>
          </w:p>
        </w:tc>
      </w:tr>
      <w:tr w14:paraId="1D616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13D18A0A">
            <w:pPr>
              <w:spacing w:line="360" w:lineRule="auto"/>
              <w:jc w:val="center"/>
              <w:rPr>
                <w:rFonts w:ascii="新宋体" w:hAnsi="新宋体" w:eastAsia="新宋体" w:cs="新宋体"/>
                <w:color w:val="auto"/>
                <w:sz w:val="22"/>
                <w:szCs w:val="22"/>
                <w:highlight w:val="none"/>
              </w:rPr>
            </w:pPr>
          </w:p>
        </w:tc>
        <w:tc>
          <w:tcPr>
            <w:tcW w:w="1692" w:type="dxa"/>
            <w:vAlign w:val="center"/>
          </w:tcPr>
          <w:p w14:paraId="2DC02A3A">
            <w:pPr>
              <w:spacing w:line="360" w:lineRule="auto"/>
              <w:jc w:val="center"/>
              <w:rPr>
                <w:rFonts w:ascii="新宋体" w:hAnsi="新宋体" w:eastAsia="新宋体" w:cs="新宋体"/>
                <w:color w:val="auto"/>
                <w:sz w:val="22"/>
                <w:szCs w:val="22"/>
                <w:highlight w:val="none"/>
              </w:rPr>
            </w:pPr>
          </w:p>
        </w:tc>
        <w:tc>
          <w:tcPr>
            <w:tcW w:w="2603" w:type="dxa"/>
          </w:tcPr>
          <w:p w14:paraId="430EFBB2">
            <w:pPr>
              <w:spacing w:line="360" w:lineRule="auto"/>
              <w:rPr>
                <w:rFonts w:ascii="新宋体" w:hAnsi="新宋体" w:eastAsia="新宋体" w:cs="新宋体"/>
                <w:b/>
                <w:bCs/>
                <w:color w:val="auto"/>
                <w:sz w:val="22"/>
                <w:szCs w:val="22"/>
                <w:highlight w:val="none"/>
              </w:rPr>
            </w:pPr>
          </w:p>
        </w:tc>
        <w:tc>
          <w:tcPr>
            <w:tcW w:w="1991" w:type="dxa"/>
            <w:vAlign w:val="center"/>
          </w:tcPr>
          <w:p w14:paraId="58394E3F">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4B9CC37D">
            <w:pPr>
              <w:spacing w:line="360" w:lineRule="auto"/>
              <w:jc w:val="center"/>
              <w:rPr>
                <w:rFonts w:ascii="新宋体" w:hAnsi="新宋体" w:eastAsia="新宋体" w:cs="新宋体"/>
                <w:b/>
                <w:bCs/>
                <w:color w:val="auto"/>
                <w:sz w:val="22"/>
                <w:szCs w:val="22"/>
                <w:highlight w:val="none"/>
              </w:rPr>
            </w:pPr>
          </w:p>
        </w:tc>
        <w:tc>
          <w:tcPr>
            <w:tcW w:w="1219" w:type="dxa"/>
          </w:tcPr>
          <w:p w14:paraId="2B06D645">
            <w:pPr>
              <w:rPr>
                <w:rFonts w:ascii="新宋体" w:hAnsi="新宋体" w:eastAsia="新宋体" w:cs="新宋体"/>
                <w:color w:val="auto"/>
                <w:sz w:val="22"/>
                <w:szCs w:val="22"/>
                <w:highlight w:val="none"/>
              </w:rPr>
            </w:pPr>
          </w:p>
        </w:tc>
      </w:tr>
      <w:tr w14:paraId="314E6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7722CD1F">
            <w:pPr>
              <w:spacing w:line="360" w:lineRule="auto"/>
              <w:jc w:val="center"/>
              <w:rPr>
                <w:rFonts w:ascii="新宋体" w:hAnsi="新宋体" w:eastAsia="新宋体" w:cs="新宋体"/>
                <w:color w:val="auto"/>
                <w:sz w:val="22"/>
                <w:szCs w:val="22"/>
                <w:highlight w:val="none"/>
              </w:rPr>
            </w:pPr>
          </w:p>
        </w:tc>
        <w:tc>
          <w:tcPr>
            <w:tcW w:w="1692" w:type="dxa"/>
            <w:vAlign w:val="center"/>
          </w:tcPr>
          <w:p w14:paraId="023AB5B0">
            <w:pPr>
              <w:spacing w:line="360" w:lineRule="auto"/>
              <w:jc w:val="center"/>
              <w:rPr>
                <w:rFonts w:ascii="新宋体" w:hAnsi="新宋体" w:eastAsia="新宋体" w:cs="新宋体"/>
                <w:b/>
                <w:bCs/>
                <w:color w:val="auto"/>
                <w:sz w:val="22"/>
                <w:szCs w:val="22"/>
                <w:highlight w:val="none"/>
              </w:rPr>
            </w:pPr>
          </w:p>
        </w:tc>
        <w:tc>
          <w:tcPr>
            <w:tcW w:w="2603" w:type="dxa"/>
          </w:tcPr>
          <w:p w14:paraId="3A899501">
            <w:pPr>
              <w:spacing w:line="360" w:lineRule="auto"/>
              <w:rPr>
                <w:rFonts w:ascii="新宋体" w:hAnsi="新宋体" w:eastAsia="新宋体" w:cs="新宋体"/>
                <w:color w:val="auto"/>
                <w:sz w:val="22"/>
                <w:szCs w:val="22"/>
                <w:highlight w:val="none"/>
              </w:rPr>
            </w:pPr>
          </w:p>
        </w:tc>
        <w:tc>
          <w:tcPr>
            <w:tcW w:w="1991" w:type="dxa"/>
            <w:vAlign w:val="center"/>
          </w:tcPr>
          <w:p w14:paraId="7086BCB8">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6154990D">
            <w:pPr>
              <w:spacing w:line="360" w:lineRule="auto"/>
              <w:jc w:val="center"/>
              <w:rPr>
                <w:rFonts w:ascii="新宋体" w:hAnsi="新宋体" w:eastAsia="新宋体" w:cs="新宋体"/>
                <w:b/>
                <w:bCs/>
                <w:color w:val="auto"/>
                <w:sz w:val="22"/>
                <w:szCs w:val="22"/>
                <w:highlight w:val="none"/>
              </w:rPr>
            </w:pPr>
          </w:p>
        </w:tc>
        <w:tc>
          <w:tcPr>
            <w:tcW w:w="1219" w:type="dxa"/>
          </w:tcPr>
          <w:p w14:paraId="1CCCDA7D">
            <w:pPr>
              <w:rPr>
                <w:rFonts w:ascii="新宋体" w:hAnsi="新宋体" w:eastAsia="新宋体" w:cs="新宋体"/>
                <w:color w:val="auto"/>
                <w:sz w:val="22"/>
                <w:szCs w:val="22"/>
                <w:highlight w:val="none"/>
              </w:rPr>
            </w:pPr>
          </w:p>
        </w:tc>
      </w:tr>
      <w:tr w14:paraId="0CC46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597563F0">
            <w:pPr>
              <w:spacing w:line="360" w:lineRule="auto"/>
              <w:jc w:val="center"/>
              <w:rPr>
                <w:rFonts w:ascii="新宋体" w:hAnsi="新宋体" w:eastAsia="新宋体" w:cs="新宋体"/>
                <w:color w:val="auto"/>
                <w:sz w:val="22"/>
                <w:szCs w:val="22"/>
                <w:highlight w:val="none"/>
              </w:rPr>
            </w:pPr>
          </w:p>
        </w:tc>
        <w:tc>
          <w:tcPr>
            <w:tcW w:w="1692" w:type="dxa"/>
            <w:vAlign w:val="center"/>
          </w:tcPr>
          <w:p w14:paraId="33A0C7F4">
            <w:pPr>
              <w:spacing w:line="360" w:lineRule="auto"/>
              <w:jc w:val="center"/>
              <w:rPr>
                <w:rFonts w:ascii="新宋体" w:hAnsi="新宋体" w:eastAsia="新宋体" w:cs="新宋体"/>
                <w:color w:val="auto"/>
                <w:sz w:val="22"/>
                <w:szCs w:val="22"/>
                <w:highlight w:val="none"/>
              </w:rPr>
            </w:pPr>
          </w:p>
        </w:tc>
        <w:tc>
          <w:tcPr>
            <w:tcW w:w="2603" w:type="dxa"/>
          </w:tcPr>
          <w:p w14:paraId="279AA79A">
            <w:pPr>
              <w:spacing w:line="360" w:lineRule="auto"/>
              <w:rPr>
                <w:rFonts w:ascii="新宋体" w:hAnsi="新宋体" w:eastAsia="新宋体" w:cs="新宋体"/>
                <w:color w:val="auto"/>
                <w:sz w:val="22"/>
                <w:szCs w:val="22"/>
                <w:highlight w:val="none"/>
              </w:rPr>
            </w:pPr>
          </w:p>
        </w:tc>
        <w:tc>
          <w:tcPr>
            <w:tcW w:w="1991" w:type="dxa"/>
            <w:vAlign w:val="center"/>
          </w:tcPr>
          <w:p w14:paraId="44F35AE6">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1C9BCB73">
            <w:pPr>
              <w:spacing w:line="360" w:lineRule="auto"/>
              <w:jc w:val="center"/>
              <w:rPr>
                <w:rFonts w:ascii="新宋体" w:hAnsi="新宋体" w:eastAsia="新宋体" w:cs="新宋体"/>
                <w:b/>
                <w:bCs/>
                <w:color w:val="auto"/>
                <w:sz w:val="22"/>
                <w:szCs w:val="22"/>
                <w:highlight w:val="none"/>
              </w:rPr>
            </w:pPr>
          </w:p>
        </w:tc>
        <w:tc>
          <w:tcPr>
            <w:tcW w:w="1219" w:type="dxa"/>
          </w:tcPr>
          <w:p w14:paraId="607CC05B">
            <w:pPr>
              <w:rPr>
                <w:rFonts w:ascii="新宋体" w:hAnsi="新宋体" w:eastAsia="新宋体" w:cs="新宋体"/>
                <w:color w:val="auto"/>
                <w:sz w:val="22"/>
                <w:szCs w:val="22"/>
                <w:highlight w:val="none"/>
              </w:rPr>
            </w:pPr>
          </w:p>
        </w:tc>
      </w:tr>
      <w:tr w14:paraId="5D124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39F00AB3">
            <w:pPr>
              <w:spacing w:line="360" w:lineRule="auto"/>
              <w:jc w:val="center"/>
              <w:rPr>
                <w:rFonts w:ascii="新宋体" w:hAnsi="新宋体" w:eastAsia="新宋体" w:cs="新宋体"/>
                <w:color w:val="auto"/>
                <w:sz w:val="22"/>
                <w:szCs w:val="22"/>
                <w:highlight w:val="none"/>
              </w:rPr>
            </w:pPr>
          </w:p>
        </w:tc>
        <w:tc>
          <w:tcPr>
            <w:tcW w:w="1692" w:type="dxa"/>
            <w:vAlign w:val="center"/>
          </w:tcPr>
          <w:p w14:paraId="563D24E9">
            <w:pPr>
              <w:spacing w:line="360" w:lineRule="auto"/>
              <w:jc w:val="center"/>
              <w:rPr>
                <w:rFonts w:ascii="新宋体" w:hAnsi="新宋体" w:eastAsia="新宋体" w:cs="新宋体"/>
                <w:color w:val="auto"/>
                <w:sz w:val="22"/>
                <w:szCs w:val="22"/>
                <w:highlight w:val="none"/>
              </w:rPr>
            </w:pPr>
          </w:p>
        </w:tc>
        <w:tc>
          <w:tcPr>
            <w:tcW w:w="2603" w:type="dxa"/>
          </w:tcPr>
          <w:p w14:paraId="78452D75">
            <w:pPr>
              <w:spacing w:line="360" w:lineRule="auto"/>
              <w:rPr>
                <w:rFonts w:ascii="新宋体" w:hAnsi="新宋体" w:eastAsia="新宋体" w:cs="新宋体"/>
                <w:color w:val="auto"/>
                <w:sz w:val="22"/>
                <w:szCs w:val="22"/>
                <w:highlight w:val="none"/>
              </w:rPr>
            </w:pPr>
          </w:p>
        </w:tc>
        <w:tc>
          <w:tcPr>
            <w:tcW w:w="1991" w:type="dxa"/>
            <w:vAlign w:val="center"/>
          </w:tcPr>
          <w:p w14:paraId="2B8CDDE2">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27DF13C8">
            <w:pPr>
              <w:spacing w:line="360" w:lineRule="auto"/>
              <w:jc w:val="center"/>
              <w:rPr>
                <w:rFonts w:ascii="新宋体" w:hAnsi="新宋体" w:eastAsia="新宋体" w:cs="新宋体"/>
                <w:b/>
                <w:bCs/>
                <w:color w:val="auto"/>
                <w:sz w:val="22"/>
                <w:szCs w:val="22"/>
                <w:highlight w:val="none"/>
              </w:rPr>
            </w:pPr>
          </w:p>
        </w:tc>
        <w:tc>
          <w:tcPr>
            <w:tcW w:w="1219" w:type="dxa"/>
          </w:tcPr>
          <w:p w14:paraId="4D5DE97D">
            <w:pPr>
              <w:rPr>
                <w:rFonts w:ascii="新宋体" w:hAnsi="新宋体" w:eastAsia="新宋体" w:cs="新宋体"/>
                <w:color w:val="auto"/>
                <w:sz w:val="22"/>
                <w:szCs w:val="22"/>
                <w:highlight w:val="none"/>
              </w:rPr>
            </w:pPr>
          </w:p>
        </w:tc>
      </w:tr>
      <w:tr w14:paraId="1661A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01C9A7FE">
            <w:pPr>
              <w:spacing w:line="360" w:lineRule="auto"/>
              <w:jc w:val="center"/>
              <w:rPr>
                <w:rFonts w:ascii="新宋体" w:hAnsi="新宋体" w:eastAsia="新宋体" w:cs="新宋体"/>
                <w:color w:val="auto"/>
                <w:sz w:val="22"/>
                <w:szCs w:val="22"/>
                <w:highlight w:val="none"/>
              </w:rPr>
            </w:pPr>
          </w:p>
        </w:tc>
        <w:tc>
          <w:tcPr>
            <w:tcW w:w="1692" w:type="dxa"/>
            <w:vAlign w:val="center"/>
          </w:tcPr>
          <w:p w14:paraId="21F461EF">
            <w:pPr>
              <w:spacing w:line="360" w:lineRule="auto"/>
              <w:jc w:val="center"/>
              <w:rPr>
                <w:rFonts w:ascii="新宋体" w:hAnsi="新宋体" w:eastAsia="新宋体" w:cs="新宋体"/>
                <w:b/>
                <w:bCs/>
                <w:color w:val="auto"/>
                <w:sz w:val="22"/>
                <w:szCs w:val="22"/>
                <w:highlight w:val="none"/>
              </w:rPr>
            </w:pPr>
          </w:p>
        </w:tc>
        <w:tc>
          <w:tcPr>
            <w:tcW w:w="2603" w:type="dxa"/>
            <w:vAlign w:val="center"/>
          </w:tcPr>
          <w:p w14:paraId="069C5BB6">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3858CE1C">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5CDBBAE3">
            <w:pPr>
              <w:spacing w:line="360" w:lineRule="auto"/>
              <w:jc w:val="center"/>
              <w:rPr>
                <w:rFonts w:ascii="新宋体" w:hAnsi="新宋体" w:eastAsia="新宋体" w:cs="新宋体"/>
                <w:b/>
                <w:bCs/>
                <w:color w:val="auto"/>
                <w:sz w:val="22"/>
                <w:szCs w:val="22"/>
                <w:highlight w:val="none"/>
              </w:rPr>
            </w:pPr>
          </w:p>
        </w:tc>
        <w:tc>
          <w:tcPr>
            <w:tcW w:w="1219" w:type="dxa"/>
          </w:tcPr>
          <w:p w14:paraId="65D63979">
            <w:pPr>
              <w:rPr>
                <w:rFonts w:ascii="新宋体" w:hAnsi="新宋体" w:eastAsia="新宋体" w:cs="新宋体"/>
                <w:color w:val="auto"/>
                <w:sz w:val="22"/>
                <w:szCs w:val="22"/>
                <w:highlight w:val="none"/>
              </w:rPr>
            </w:pPr>
          </w:p>
        </w:tc>
      </w:tr>
      <w:tr w14:paraId="3BA06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3532DC73">
            <w:pPr>
              <w:spacing w:line="360" w:lineRule="auto"/>
              <w:jc w:val="center"/>
              <w:rPr>
                <w:rFonts w:ascii="新宋体" w:hAnsi="新宋体" w:eastAsia="新宋体" w:cs="新宋体"/>
                <w:color w:val="auto"/>
                <w:sz w:val="22"/>
                <w:szCs w:val="22"/>
                <w:highlight w:val="none"/>
              </w:rPr>
            </w:pPr>
          </w:p>
        </w:tc>
        <w:tc>
          <w:tcPr>
            <w:tcW w:w="1692" w:type="dxa"/>
            <w:vAlign w:val="center"/>
          </w:tcPr>
          <w:p w14:paraId="05E86B9D">
            <w:pPr>
              <w:spacing w:line="360" w:lineRule="auto"/>
              <w:rPr>
                <w:rFonts w:ascii="新宋体" w:hAnsi="新宋体" w:eastAsia="新宋体" w:cs="新宋体"/>
                <w:b/>
                <w:bCs/>
                <w:color w:val="auto"/>
                <w:sz w:val="22"/>
                <w:szCs w:val="22"/>
                <w:highlight w:val="none"/>
              </w:rPr>
            </w:pPr>
          </w:p>
        </w:tc>
        <w:tc>
          <w:tcPr>
            <w:tcW w:w="2603" w:type="dxa"/>
            <w:vAlign w:val="center"/>
          </w:tcPr>
          <w:p w14:paraId="059FE5C1">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0A634B82">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70D38C26">
            <w:pPr>
              <w:spacing w:line="360" w:lineRule="auto"/>
              <w:jc w:val="center"/>
              <w:rPr>
                <w:rFonts w:ascii="新宋体" w:hAnsi="新宋体" w:eastAsia="新宋体" w:cs="新宋体"/>
                <w:b/>
                <w:bCs/>
                <w:color w:val="auto"/>
                <w:sz w:val="22"/>
                <w:szCs w:val="22"/>
                <w:highlight w:val="none"/>
              </w:rPr>
            </w:pPr>
          </w:p>
        </w:tc>
        <w:tc>
          <w:tcPr>
            <w:tcW w:w="1219" w:type="dxa"/>
          </w:tcPr>
          <w:p w14:paraId="362CC1E2">
            <w:pPr>
              <w:rPr>
                <w:rFonts w:ascii="新宋体" w:hAnsi="新宋体" w:eastAsia="新宋体" w:cs="新宋体"/>
                <w:color w:val="auto"/>
                <w:sz w:val="22"/>
                <w:szCs w:val="22"/>
                <w:highlight w:val="none"/>
              </w:rPr>
            </w:pPr>
          </w:p>
        </w:tc>
      </w:tr>
      <w:tr w14:paraId="6542B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1AEFC4EF">
            <w:pPr>
              <w:spacing w:line="360" w:lineRule="auto"/>
              <w:jc w:val="center"/>
              <w:rPr>
                <w:rFonts w:ascii="新宋体" w:hAnsi="新宋体" w:eastAsia="新宋体" w:cs="新宋体"/>
                <w:b/>
                <w:bCs/>
                <w:color w:val="auto"/>
                <w:sz w:val="22"/>
                <w:szCs w:val="22"/>
                <w:highlight w:val="none"/>
              </w:rPr>
            </w:pPr>
          </w:p>
        </w:tc>
        <w:tc>
          <w:tcPr>
            <w:tcW w:w="1692" w:type="dxa"/>
            <w:vAlign w:val="center"/>
          </w:tcPr>
          <w:p w14:paraId="3F77C0A4">
            <w:pPr>
              <w:spacing w:line="360" w:lineRule="auto"/>
              <w:rPr>
                <w:rFonts w:ascii="新宋体" w:hAnsi="新宋体" w:eastAsia="新宋体" w:cs="新宋体"/>
                <w:b/>
                <w:bCs/>
                <w:color w:val="auto"/>
                <w:sz w:val="22"/>
                <w:szCs w:val="22"/>
                <w:highlight w:val="none"/>
              </w:rPr>
            </w:pPr>
          </w:p>
        </w:tc>
        <w:tc>
          <w:tcPr>
            <w:tcW w:w="2603" w:type="dxa"/>
            <w:vAlign w:val="center"/>
          </w:tcPr>
          <w:p w14:paraId="5E7E5530">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2C92B8D0">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11DBFB39">
            <w:pPr>
              <w:spacing w:line="360" w:lineRule="auto"/>
              <w:jc w:val="center"/>
              <w:rPr>
                <w:rFonts w:ascii="新宋体" w:hAnsi="新宋体" w:eastAsia="新宋体" w:cs="新宋体"/>
                <w:b/>
                <w:bCs/>
                <w:color w:val="auto"/>
                <w:sz w:val="22"/>
                <w:szCs w:val="22"/>
                <w:highlight w:val="none"/>
              </w:rPr>
            </w:pPr>
          </w:p>
        </w:tc>
        <w:tc>
          <w:tcPr>
            <w:tcW w:w="1219" w:type="dxa"/>
          </w:tcPr>
          <w:p w14:paraId="1DD7396C">
            <w:pPr>
              <w:rPr>
                <w:rFonts w:ascii="新宋体" w:hAnsi="新宋体" w:eastAsia="新宋体" w:cs="新宋体"/>
                <w:color w:val="auto"/>
                <w:sz w:val="22"/>
                <w:szCs w:val="22"/>
                <w:highlight w:val="none"/>
              </w:rPr>
            </w:pPr>
          </w:p>
        </w:tc>
      </w:tr>
      <w:tr w14:paraId="38380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59BBADB5">
            <w:pPr>
              <w:spacing w:line="360" w:lineRule="auto"/>
              <w:jc w:val="center"/>
              <w:rPr>
                <w:rFonts w:ascii="新宋体" w:hAnsi="新宋体" w:eastAsia="新宋体" w:cs="新宋体"/>
                <w:bCs/>
                <w:color w:val="auto"/>
                <w:sz w:val="22"/>
                <w:szCs w:val="22"/>
                <w:highlight w:val="none"/>
              </w:rPr>
            </w:pPr>
          </w:p>
        </w:tc>
        <w:tc>
          <w:tcPr>
            <w:tcW w:w="1692" w:type="dxa"/>
            <w:vAlign w:val="center"/>
          </w:tcPr>
          <w:p w14:paraId="546B111D">
            <w:pPr>
              <w:spacing w:line="360" w:lineRule="auto"/>
              <w:rPr>
                <w:rFonts w:ascii="新宋体" w:hAnsi="新宋体" w:eastAsia="新宋体" w:cs="新宋体"/>
                <w:color w:val="auto"/>
                <w:sz w:val="22"/>
                <w:szCs w:val="22"/>
                <w:highlight w:val="none"/>
              </w:rPr>
            </w:pPr>
          </w:p>
        </w:tc>
        <w:tc>
          <w:tcPr>
            <w:tcW w:w="2603" w:type="dxa"/>
            <w:vAlign w:val="center"/>
          </w:tcPr>
          <w:p w14:paraId="0665B9AD">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6FD89137">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02CEAE33">
            <w:pPr>
              <w:spacing w:line="360" w:lineRule="auto"/>
              <w:jc w:val="center"/>
              <w:rPr>
                <w:rFonts w:ascii="新宋体" w:hAnsi="新宋体" w:eastAsia="新宋体" w:cs="新宋体"/>
                <w:b/>
                <w:bCs/>
                <w:color w:val="auto"/>
                <w:sz w:val="22"/>
                <w:szCs w:val="22"/>
                <w:highlight w:val="none"/>
              </w:rPr>
            </w:pPr>
          </w:p>
        </w:tc>
        <w:tc>
          <w:tcPr>
            <w:tcW w:w="1219" w:type="dxa"/>
          </w:tcPr>
          <w:p w14:paraId="6A50E25C">
            <w:pPr>
              <w:rPr>
                <w:rFonts w:ascii="新宋体" w:hAnsi="新宋体" w:eastAsia="新宋体" w:cs="新宋体"/>
                <w:color w:val="auto"/>
                <w:sz w:val="22"/>
                <w:szCs w:val="22"/>
                <w:highlight w:val="none"/>
              </w:rPr>
            </w:pPr>
          </w:p>
        </w:tc>
      </w:tr>
      <w:tr w14:paraId="4B785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1779ECDC">
            <w:pPr>
              <w:spacing w:line="360" w:lineRule="auto"/>
              <w:jc w:val="center"/>
              <w:rPr>
                <w:rFonts w:ascii="新宋体" w:hAnsi="新宋体" w:eastAsia="新宋体" w:cs="新宋体"/>
                <w:b/>
                <w:bCs/>
                <w:color w:val="auto"/>
                <w:sz w:val="22"/>
                <w:szCs w:val="22"/>
                <w:highlight w:val="none"/>
              </w:rPr>
            </w:pPr>
          </w:p>
        </w:tc>
        <w:tc>
          <w:tcPr>
            <w:tcW w:w="1692" w:type="dxa"/>
            <w:vAlign w:val="center"/>
          </w:tcPr>
          <w:p w14:paraId="056BBAFB">
            <w:pPr>
              <w:spacing w:line="360" w:lineRule="auto"/>
              <w:rPr>
                <w:rFonts w:ascii="新宋体" w:hAnsi="新宋体" w:eastAsia="新宋体" w:cs="新宋体"/>
                <w:b/>
                <w:bCs/>
                <w:color w:val="auto"/>
                <w:sz w:val="22"/>
                <w:szCs w:val="22"/>
                <w:highlight w:val="none"/>
              </w:rPr>
            </w:pPr>
          </w:p>
        </w:tc>
        <w:tc>
          <w:tcPr>
            <w:tcW w:w="2603" w:type="dxa"/>
            <w:vAlign w:val="center"/>
          </w:tcPr>
          <w:p w14:paraId="3F91B673">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49F7BE71">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1272B9FF">
            <w:pPr>
              <w:spacing w:line="360" w:lineRule="auto"/>
              <w:jc w:val="center"/>
              <w:rPr>
                <w:rFonts w:ascii="新宋体" w:hAnsi="新宋体" w:eastAsia="新宋体" w:cs="新宋体"/>
                <w:b/>
                <w:bCs/>
                <w:color w:val="auto"/>
                <w:sz w:val="22"/>
                <w:szCs w:val="22"/>
                <w:highlight w:val="none"/>
              </w:rPr>
            </w:pPr>
          </w:p>
        </w:tc>
        <w:tc>
          <w:tcPr>
            <w:tcW w:w="1219" w:type="dxa"/>
          </w:tcPr>
          <w:p w14:paraId="05218737">
            <w:pPr>
              <w:rPr>
                <w:rFonts w:ascii="新宋体" w:hAnsi="新宋体" w:eastAsia="新宋体" w:cs="新宋体"/>
                <w:color w:val="auto"/>
                <w:sz w:val="22"/>
                <w:szCs w:val="22"/>
                <w:highlight w:val="none"/>
              </w:rPr>
            </w:pPr>
          </w:p>
        </w:tc>
      </w:tr>
      <w:tr w14:paraId="6AEFE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5641177F">
            <w:pPr>
              <w:spacing w:line="360" w:lineRule="auto"/>
              <w:jc w:val="center"/>
              <w:rPr>
                <w:rFonts w:ascii="新宋体" w:hAnsi="新宋体" w:eastAsia="新宋体" w:cs="新宋体"/>
                <w:b/>
                <w:bCs/>
                <w:color w:val="auto"/>
                <w:sz w:val="22"/>
                <w:szCs w:val="22"/>
                <w:highlight w:val="none"/>
              </w:rPr>
            </w:pPr>
          </w:p>
        </w:tc>
        <w:tc>
          <w:tcPr>
            <w:tcW w:w="1692" w:type="dxa"/>
            <w:vAlign w:val="center"/>
          </w:tcPr>
          <w:p w14:paraId="212FAEDF">
            <w:pPr>
              <w:spacing w:line="360" w:lineRule="auto"/>
              <w:rPr>
                <w:rFonts w:ascii="新宋体" w:hAnsi="新宋体" w:eastAsia="新宋体" w:cs="新宋体"/>
                <w:color w:val="auto"/>
                <w:sz w:val="22"/>
                <w:szCs w:val="22"/>
                <w:highlight w:val="none"/>
              </w:rPr>
            </w:pPr>
          </w:p>
        </w:tc>
        <w:tc>
          <w:tcPr>
            <w:tcW w:w="2603" w:type="dxa"/>
            <w:vAlign w:val="center"/>
          </w:tcPr>
          <w:p w14:paraId="5213CAAF">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53E0C079">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364C22EB">
            <w:pPr>
              <w:spacing w:line="360" w:lineRule="auto"/>
              <w:jc w:val="center"/>
              <w:rPr>
                <w:rFonts w:ascii="新宋体" w:hAnsi="新宋体" w:eastAsia="新宋体" w:cs="新宋体"/>
                <w:b/>
                <w:bCs/>
                <w:color w:val="auto"/>
                <w:sz w:val="22"/>
                <w:szCs w:val="22"/>
                <w:highlight w:val="none"/>
              </w:rPr>
            </w:pPr>
          </w:p>
        </w:tc>
        <w:tc>
          <w:tcPr>
            <w:tcW w:w="1219" w:type="dxa"/>
          </w:tcPr>
          <w:p w14:paraId="713A064F">
            <w:pPr>
              <w:rPr>
                <w:rFonts w:ascii="新宋体" w:hAnsi="新宋体" w:eastAsia="新宋体" w:cs="新宋体"/>
                <w:color w:val="auto"/>
                <w:sz w:val="22"/>
                <w:szCs w:val="22"/>
                <w:highlight w:val="none"/>
              </w:rPr>
            </w:pPr>
          </w:p>
        </w:tc>
      </w:tr>
      <w:tr w14:paraId="2675F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64ECFCA5">
            <w:pPr>
              <w:spacing w:line="360" w:lineRule="auto"/>
              <w:jc w:val="center"/>
              <w:rPr>
                <w:rFonts w:ascii="新宋体" w:hAnsi="新宋体" w:eastAsia="新宋体" w:cs="新宋体"/>
                <w:b/>
                <w:bCs/>
                <w:color w:val="auto"/>
                <w:sz w:val="22"/>
                <w:szCs w:val="22"/>
                <w:highlight w:val="none"/>
              </w:rPr>
            </w:pPr>
          </w:p>
        </w:tc>
        <w:tc>
          <w:tcPr>
            <w:tcW w:w="1692" w:type="dxa"/>
            <w:vAlign w:val="center"/>
          </w:tcPr>
          <w:p w14:paraId="3333F555">
            <w:pPr>
              <w:spacing w:line="360" w:lineRule="auto"/>
              <w:rPr>
                <w:rFonts w:ascii="新宋体" w:hAnsi="新宋体" w:eastAsia="新宋体" w:cs="新宋体"/>
                <w:b/>
                <w:bCs/>
                <w:color w:val="auto"/>
                <w:sz w:val="22"/>
                <w:szCs w:val="22"/>
                <w:highlight w:val="none"/>
              </w:rPr>
            </w:pPr>
          </w:p>
        </w:tc>
        <w:tc>
          <w:tcPr>
            <w:tcW w:w="2603" w:type="dxa"/>
            <w:vAlign w:val="center"/>
          </w:tcPr>
          <w:p w14:paraId="26760E5C">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200FC157">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6F681317">
            <w:pPr>
              <w:spacing w:line="360" w:lineRule="auto"/>
              <w:jc w:val="center"/>
              <w:rPr>
                <w:rFonts w:ascii="新宋体" w:hAnsi="新宋体" w:eastAsia="新宋体" w:cs="新宋体"/>
                <w:b/>
                <w:bCs/>
                <w:color w:val="auto"/>
                <w:sz w:val="22"/>
                <w:szCs w:val="22"/>
                <w:highlight w:val="none"/>
              </w:rPr>
            </w:pPr>
          </w:p>
        </w:tc>
        <w:tc>
          <w:tcPr>
            <w:tcW w:w="1219" w:type="dxa"/>
          </w:tcPr>
          <w:p w14:paraId="4B5AFC2A">
            <w:pPr>
              <w:rPr>
                <w:rFonts w:ascii="新宋体" w:hAnsi="新宋体" w:eastAsia="新宋体" w:cs="新宋体"/>
                <w:color w:val="auto"/>
                <w:sz w:val="22"/>
                <w:szCs w:val="22"/>
                <w:highlight w:val="none"/>
              </w:rPr>
            </w:pPr>
          </w:p>
        </w:tc>
      </w:tr>
      <w:tr w14:paraId="238BE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47A64740">
            <w:pPr>
              <w:spacing w:line="360" w:lineRule="auto"/>
              <w:jc w:val="center"/>
              <w:rPr>
                <w:rFonts w:ascii="新宋体" w:hAnsi="新宋体" w:eastAsia="新宋体" w:cs="新宋体"/>
                <w:b/>
                <w:bCs/>
                <w:color w:val="auto"/>
                <w:sz w:val="22"/>
                <w:szCs w:val="22"/>
                <w:highlight w:val="none"/>
              </w:rPr>
            </w:pPr>
          </w:p>
        </w:tc>
        <w:tc>
          <w:tcPr>
            <w:tcW w:w="1692" w:type="dxa"/>
            <w:vAlign w:val="center"/>
          </w:tcPr>
          <w:p w14:paraId="5FD1828B">
            <w:pPr>
              <w:spacing w:line="360" w:lineRule="auto"/>
              <w:rPr>
                <w:rFonts w:ascii="新宋体" w:hAnsi="新宋体" w:eastAsia="新宋体" w:cs="新宋体"/>
                <w:b/>
                <w:bCs/>
                <w:color w:val="auto"/>
                <w:sz w:val="22"/>
                <w:szCs w:val="22"/>
                <w:highlight w:val="none"/>
              </w:rPr>
            </w:pPr>
          </w:p>
        </w:tc>
        <w:tc>
          <w:tcPr>
            <w:tcW w:w="2603" w:type="dxa"/>
            <w:vAlign w:val="center"/>
          </w:tcPr>
          <w:p w14:paraId="4FA5C2B4">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05D4118B">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59668463">
            <w:pPr>
              <w:spacing w:line="360" w:lineRule="auto"/>
              <w:jc w:val="center"/>
              <w:rPr>
                <w:rFonts w:ascii="新宋体" w:hAnsi="新宋体" w:eastAsia="新宋体" w:cs="新宋体"/>
                <w:b/>
                <w:bCs/>
                <w:color w:val="auto"/>
                <w:sz w:val="22"/>
                <w:szCs w:val="22"/>
                <w:highlight w:val="none"/>
              </w:rPr>
            </w:pPr>
          </w:p>
        </w:tc>
        <w:tc>
          <w:tcPr>
            <w:tcW w:w="1219" w:type="dxa"/>
          </w:tcPr>
          <w:p w14:paraId="783274F1">
            <w:pPr>
              <w:rPr>
                <w:rFonts w:ascii="新宋体" w:hAnsi="新宋体" w:eastAsia="新宋体" w:cs="新宋体"/>
                <w:color w:val="auto"/>
                <w:sz w:val="22"/>
                <w:szCs w:val="22"/>
                <w:highlight w:val="none"/>
              </w:rPr>
            </w:pPr>
          </w:p>
        </w:tc>
      </w:tr>
      <w:tr w14:paraId="69515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2D68EFA1">
            <w:pPr>
              <w:spacing w:line="360" w:lineRule="auto"/>
              <w:jc w:val="center"/>
              <w:rPr>
                <w:rFonts w:ascii="新宋体" w:hAnsi="新宋体" w:eastAsia="新宋体" w:cs="新宋体"/>
                <w:color w:val="auto"/>
                <w:sz w:val="22"/>
                <w:szCs w:val="22"/>
                <w:highlight w:val="none"/>
              </w:rPr>
            </w:pPr>
          </w:p>
        </w:tc>
        <w:tc>
          <w:tcPr>
            <w:tcW w:w="1692" w:type="dxa"/>
            <w:vAlign w:val="center"/>
          </w:tcPr>
          <w:p w14:paraId="1DDB5B90">
            <w:pPr>
              <w:spacing w:line="360" w:lineRule="auto"/>
              <w:rPr>
                <w:rFonts w:ascii="新宋体" w:hAnsi="新宋体" w:eastAsia="新宋体" w:cs="新宋体"/>
                <w:color w:val="auto"/>
                <w:sz w:val="22"/>
                <w:szCs w:val="22"/>
                <w:highlight w:val="none"/>
              </w:rPr>
            </w:pPr>
          </w:p>
        </w:tc>
        <w:tc>
          <w:tcPr>
            <w:tcW w:w="2603" w:type="dxa"/>
            <w:vAlign w:val="center"/>
          </w:tcPr>
          <w:p w14:paraId="404ABB12">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6D0FE907">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6C86FACE">
            <w:pPr>
              <w:spacing w:line="360" w:lineRule="auto"/>
              <w:jc w:val="center"/>
              <w:rPr>
                <w:rFonts w:ascii="新宋体" w:hAnsi="新宋体" w:eastAsia="新宋体" w:cs="新宋体"/>
                <w:b/>
                <w:bCs/>
                <w:color w:val="auto"/>
                <w:sz w:val="22"/>
                <w:szCs w:val="22"/>
                <w:highlight w:val="none"/>
              </w:rPr>
            </w:pPr>
          </w:p>
        </w:tc>
        <w:tc>
          <w:tcPr>
            <w:tcW w:w="1219" w:type="dxa"/>
          </w:tcPr>
          <w:p w14:paraId="2D696106">
            <w:pPr>
              <w:rPr>
                <w:rFonts w:ascii="新宋体" w:hAnsi="新宋体" w:eastAsia="新宋体" w:cs="新宋体"/>
                <w:color w:val="auto"/>
                <w:sz w:val="22"/>
                <w:szCs w:val="22"/>
                <w:highlight w:val="none"/>
              </w:rPr>
            </w:pPr>
          </w:p>
        </w:tc>
      </w:tr>
      <w:tr w14:paraId="7F788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5E2CC355">
            <w:pPr>
              <w:spacing w:line="360" w:lineRule="auto"/>
              <w:rPr>
                <w:rFonts w:ascii="新宋体" w:hAnsi="新宋体" w:eastAsia="新宋体" w:cs="新宋体"/>
                <w:color w:val="auto"/>
                <w:sz w:val="22"/>
                <w:szCs w:val="22"/>
                <w:highlight w:val="none"/>
              </w:rPr>
            </w:pPr>
          </w:p>
        </w:tc>
        <w:tc>
          <w:tcPr>
            <w:tcW w:w="1692" w:type="dxa"/>
            <w:vAlign w:val="center"/>
          </w:tcPr>
          <w:p w14:paraId="332AB508">
            <w:pPr>
              <w:spacing w:line="360" w:lineRule="auto"/>
              <w:rPr>
                <w:rFonts w:ascii="新宋体" w:hAnsi="新宋体" w:eastAsia="新宋体" w:cs="新宋体"/>
                <w:color w:val="auto"/>
                <w:sz w:val="22"/>
                <w:szCs w:val="22"/>
                <w:highlight w:val="none"/>
              </w:rPr>
            </w:pPr>
          </w:p>
        </w:tc>
        <w:tc>
          <w:tcPr>
            <w:tcW w:w="2603" w:type="dxa"/>
            <w:vAlign w:val="center"/>
          </w:tcPr>
          <w:p w14:paraId="7183E4A2">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766CD28E">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775CFE85">
            <w:pPr>
              <w:spacing w:line="360" w:lineRule="auto"/>
              <w:jc w:val="center"/>
              <w:rPr>
                <w:rFonts w:ascii="新宋体" w:hAnsi="新宋体" w:eastAsia="新宋体" w:cs="新宋体"/>
                <w:b/>
                <w:bCs/>
                <w:color w:val="auto"/>
                <w:sz w:val="22"/>
                <w:szCs w:val="22"/>
                <w:highlight w:val="none"/>
              </w:rPr>
            </w:pPr>
          </w:p>
        </w:tc>
        <w:tc>
          <w:tcPr>
            <w:tcW w:w="1219" w:type="dxa"/>
          </w:tcPr>
          <w:p w14:paraId="2EB4C8E4">
            <w:pPr>
              <w:rPr>
                <w:rFonts w:ascii="新宋体" w:hAnsi="新宋体" w:eastAsia="新宋体" w:cs="新宋体"/>
                <w:color w:val="auto"/>
                <w:sz w:val="22"/>
                <w:szCs w:val="22"/>
                <w:highlight w:val="none"/>
              </w:rPr>
            </w:pPr>
          </w:p>
        </w:tc>
      </w:tr>
      <w:tr w14:paraId="160BD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vAlign w:val="center"/>
          </w:tcPr>
          <w:p w14:paraId="22C760ED">
            <w:pPr>
              <w:spacing w:line="360" w:lineRule="auto"/>
              <w:jc w:val="center"/>
              <w:rPr>
                <w:rFonts w:ascii="新宋体" w:hAnsi="新宋体" w:eastAsia="新宋体" w:cs="新宋体"/>
                <w:b/>
                <w:bCs/>
                <w:color w:val="auto"/>
                <w:sz w:val="22"/>
                <w:szCs w:val="22"/>
                <w:highlight w:val="none"/>
              </w:rPr>
            </w:pPr>
          </w:p>
        </w:tc>
        <w:tc>
          <w:tcPr>
            <w:tcW w:w="1692" w:type="dxa"/>
          </w:tcPr>
          <w:p w14:paraId="592380F4">
            <w:pPr>
              <w:spacing w:line="360" w:lineRule="auto"/>
              <w:rPr>
                <w:rFonts w:ascii="新宋体" w:hAnsi="新宋体" w:eastAsia="新宋体" w:cs="新宋体"/>
                <w:color w:val="auto"/>
                <w:sz w:val="22"/>
                <w:szCs w:val="22"/>
                <w:highlight w:val="none"/>
              </w:rPr>
            </w:pPr>
          </w:p>
        </w:tc>
        <w:tc>
          <w:tcPr>
            <w:tcW w:w="2603" w:type="dxa"/>
            <w:vAlign w:val="center"/>
          </w:tcPr>
          <w:p w14:paraId="7DF20E07">
            <w:pPr>
              <w:spacing w:line="360" w:lineRule="auto"/>
              <w:jc w:val="center"/>
              <w:rPr>
                <w:rFonts w:ascii="新宋体" w:hAnsi="新宋体" w:eastAsia="新宋体" w:cs="新宋体"/>
                <w:b/>
                <w:bCs/>
                <w:color w:val="auto"/>
                <w:sz w:val="22"/>
                <w:szCs w:val="22"/>
                <w:highlight w:val="none"/>
              </w:rPr>
            </w:pPr>
          </w:p>
        </w:tc>
        <w:tc>
          <w:tcPr>
            <w:tcW w:w="1991" w:type="dxa"/>
            <w:vAlign w:val="center"/>
          </w:tcPr>
          <w:p w14:paraId="71140A03">
            <w:pPr>
              <w:spacing w:line="360" w:lineRule="auto"/>
              <w:jc w:val="center"/>
              <w:rPr>
                <w:rFonts w:ascii="新宋体" w:hAnsi="新宋体" w:eastAsia="新宋体" w:cs="新宋体"/>
                <w:b/>
                <w:bCs/>
                <w:color w:val="auto"/>
                <w:sz w:val="22"/>
                <w:szCs w:val="22"/>
                <w:highlight w:val="none"/>
              </w:rPr>
            </w:pPr>
          </w:p>
        </w:tc>
        <w:tc>
          <w:tcPr>
            <w:tcW w:w="1260" w:type="dxa"/>
            <w:vAlign w:val="center"/>
          </w:tcPr>
          <w:p w14:paraId="101613A3">
            <w:pPr>
              <w:spacing w:line="360" w:lineRule="auto"/>
              <w:jc w:val="center"/>
              <w:rPr>
                <w:rFonts w:ascii="新宋体" w:hAnsi="新宋体" w:eastAsia="新宋体" w:cs="新宋体"/>
                <w:b/>
                <w:bCs/>
                <w:color w:val="auto"/>
                <w:sz w:val="22"/>
                <w:szCs w:val="22"/>
                <w:highlight w:val="none"/>
              </w:rPr>
            </w:pPr>
          </w:p>
        </w:tc>
        <w:tc>
          <w:tcPr>
            <w:tcW w:w="1219" w:type="dxa"/>
          </w:tcPr>
          <w:p w14:paraId="62EFAB1D">
            <w:pPr>
              <w:rPr>
                <w:rFonts w:ascii="新宋体" w:hAnsi="新宋体" w:eastAsia="新宋体" w:cs="新宋体"/>
                <w:color w:val="auto"/>
                <w:sz w:val="22"/>
                <w:szCs w:val="22"/>
                <w:highlight w:val="none"/>
              </w:rPr>
            </w:pPr>
          </w:p>
        </w:tc>
      </w:tr>
    </w:tbl>
    <w:p w14:paraId="1A6E42C3">
      <w:pPr>
        <w:pStyle w:val="28"/>
        <w:spacing w:line="400" w:lineRule="atLeast"/>
        <w:rPr>
          <w:rFonts w:ascii="新宋体" w:hAnsi="新宋体" w:eastAsia="新宋体" w:cs="新宋体"/>
          <w:color w:val="auto"/>
          <w:sz w:val="22"/>
          <w:szCs w:val="22"/>
          <w:highlight w:val="none"/>
        </w:rPr>
      </w:pPr>
    </w:p>
    <w:p w14:paraId="39983974">
      <w:pPr>
        <w:spacing w:line="460" w:lineRule="exact"/>
        <w:ind w:firstLine="5280" w:firstLineChars="24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投标人全称（盖章）：</w:t>
      </w:r>
    </w:p>
    <w:p w14:paraId="1A41C1B4">
      <w:pPr>
        <w:spacing w:line="460" w:lineRule="exact"/>
        <w:ind w:firstLine="5280" w:firstLineChars="24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投标人代表（签字）：</w:t>
      </w:r>
    </w:p>
    <w:p w14:paraId="6FA57AE2">
      <w:pPr>
        <w:spacing w:line="460" w:lineRule="exact"/>
        <w:ind w:firstLine="5280" w:firstLineChars="24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w:t>
      </w:r>
    </w:p>
    <w:p w14:paraId="1BC17DC9">
      <w:pPr>
        <w:bidi w:val="0"/>
        <w:rPr>
          <w:color w:val="auto"/>
          <w:highlight w:val="none"/>
        </w:rPr>
      </w:pPr>
    </w:p>
    <w:p w14:paraId="2CB74448">
      <w:pPr>
        <w:rPr>
          <w:rFonts w:ascii="新宋体" w:hAnsi="新宋体" w:eastAsia="新宋体" w:cs="新宋体"/>
          <w:color w:val="auto"/>
          <w:highlight w:val="none"/>
        </w:rPr>
      </w:pPr>
    </w:p>
    <w:p w14:paraId="7FEBD170">
      <w:pPr>
        <w:pStyle w:val="9"/>
        <w:ind w:firstLine="400"/>
        <w:rPr>
          <w:rFonts w:ascii="新宋体" w:hAnsi="新宋体" w:eastAsia="新宋体" w:cs="新宋体"/>
          <w:color w:val="auto"/>
          <w:highlight w:val="none"/>
        </w:rPr>
      </w:pPr>
    </w:p>
    <w:p w14:paraId="3E43CF6E">
      <w:pPr>
        <w:rPr>
          <w:rFonts w:ascii="新宋体" w:hAnsi="新宋体" w:eastAsia="新宋体" w:cs="新宋体"/>
          <w:color w:val="auto"/>
          <w:sz w:val="22"/>
          <w:szCs w:val="22"/>
          <w:highlight w:val="none"/>
        </w:rPr>
      </w:pPr>
    </w:p>
    <w:p w14:paraId="14EFB19A">
      <w:pPr>
        <w:spacing w:line="420" w:lineRule="exact"/>
        <w:jc w:val="left"/>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en-US" w:eastAsia="zh-CN"/>
        </w:rPr>
        <w:t>7</w:t>
      </w:r>
      <w:r>
        <w:rPr>
          <w:rFonts w:hint="eastAsia" w:ascii="新宋体" w:hAnsi="新宋体" w:eastAsia="新宋体" w:cs="新宋体"/>
          <w:b/>
          <w:bCs/>
          <w:color w:val="auto"/>
          <w:sz w:val="28"/>
          <w:szCs w:val="28"/>
          <w:highlight w:val="none"/>
          <w:lang w:val="zh-CN" w:eastAsia="zh-CN"/>
        </w:rPr>
        <w:t>、提供食品药品监督管理部门核发的完整有效的医疗器械注册或备案证明</w:t>
      </w:r>
      <w:r>
        <w:rPr>
          <w:rFonts w:hint="eastAsia" w:ascii="新宋体" w:hAnsi="新宋体" w:eastAsia="新宋体" w:cs="新宋体"/>
          <w:b/>
          <w:bCs/>
          <w:color w:val="auto"/>
          <w:sz w:val="28"/>
          <w:szCs w:val="28"/>
          <w:highlight w:val="none"/>
          <w:lang w:val="en-US" w:eastAsia="zh-CN"/>
        </w:rPr>
        <w:t>等</w:t>
      </w:r>
      <w:r>
        <w:rPr>
          <w:rFonts w:hint="eastAsia" w:ascii="新宋体" w:hAnsi="新宋体" w:eastAsia="新宋体" w:cs="新宋体"/>
          <w:b/>
          <w:bCs/>
          <w:color w:val="auto"/>
          <w:sz w:val="28"/>
          <w:szCs w:val="28"/>
          <w:highlight w:val="none"/>
          <w:lang w:val="zh-CN" w:eastAsia="zh-CN"/>
        </w:rPr>
        <w:t>销售许可文件；（适用于按医疗器械管理的设备）</w:t>
      </w:r>
    </w:p>
    <w:p w14:paraId="00827844">
      <w:pPr>
        <w:spacing w:line="460" w:lineRule="exact"/>
        <w:jc w:val="left"/>
        <w:outlineLvl w:val="9"/>
        <w:rPr>
          <w:rFonts w:hint="eastAsia" w:ascii="新宋体" w:hAnsi="新宋体" w:eastAsia="新宋体" w:cs="新宋体"/>
          <w:b/>
          <w:bCs/>
          <w:color w:val="auto"/>
          <w:sz w:val="24"/>
          <w:highlight w:val="none"/>
        </w:rPr>
      </w:pPr>
    </w:p>
    <w:p w14:paraId="512EB3DA">
      <w:pPr>
        <w:spacing w:line="460" w:lineRule="exact"/>
        <w:rPr>
          <w:rFonts w:hint="eastAsia" w:ascii="新宋体" w:hAnsi="新宋体" w:eastAsia="新宋体" w:cs="新宋体"/>
          <w:color w:val="auto"/>
          <w:sz w:val="22"/>
          <w:szCs w:val="22"/>
          <w:highlight w:val="none"/>
        </w:rPr>
      </w:pPr>
    </w:p>
    <w:p w14:paraId="25DC901E">
      <w:pPr>
        <w:rPr>
          <w:rFonts w:hint="eastAsia" w:ascii="新宋体" w:hAnsi="新宋体" w:eastAsia="新宋体" w:cs="新宋体"/>
          <w:b/>
          <w:bCs/>
          <w:color w:val="auto"/>
          <w:sz w:val="28"/>
          <w:szCs w:val="28"/>
          <w:highlight w:val="none"/>
          <w:lang w:val="en-US" w:eastAsia="zh-CN"/>
        </w:rPr>
      </w:pPr>
      <w:r>
        <w:rPr>
          <w:rFonts w:hint="eastAsia" w:ascii="新宋体" w:hAnsi="新宋体" w:eastAsia="新宋体" w:cs="新宋体"/>
          <w:b/>
          <w:bCs/>
          <w:color w:val="auto"/>
          <w:sz w:val="28"/>
          <w:szCs w:val="28"/>
          <w:highlight w:val="none"/>
          <w:lang w:val="en-US" w:eastAsia="zh-CN"/>
        </w:rPr>
        <w:br w:type="page"/>
      </w:r>
    </w:p>
    <w:p w14:paraId="0819F319">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en-US" w:eastAsia="zh-CN"/>
        </w:rPr>
        <w:t>8</w:t>
      </w:r>
      <w:r>
        <w:rPr>
          <w:rFonts w:hint="eastAsia" w:ascii="新宋体" w:hAnsi="新宋体" w:eastAsia="新宋体" w:cs="新宋体"/>
          <w:b/>
          <w:bCs/>
          <w:color w:val="auto"/>
          <w:sz w:val="28"/>
          <w:szCs w:val="28"/>
          <w:highlight w:val="none"/>
          <w:lang w:val="zh-CN" w:eastAsia="zh-CN"/>
        </w:rPr>
        <w:t>、偏离表（</w:t>
      </w:r>
      <w:r>
        <w:rPr>
          <w:rFonts w:hint="eastAsia" w:ascii="新宋体" w:hAnsi="新宋体" w:eastAsia="新宋体" w:cs="新宋体"/>
          <w:b/>
          <w:bCs/>
          <w:color w:val="auto"/>
          <w:sz w:val="28"/>
          <w:szCs w:val="28"/>
          <w:highlight w:val="none"/>
          <w:lang w:val="en-US" w:eastAsia="zh-CN"/>
        </w:rPr>
        <w:t>商务、技术偏离</w:t>
      </w:r>
      <w:r>
        <w:rPr>
          <w:rFonts w:hint="eastAsia" w:ascii="新宋体" w:hAnsi="新宋体" w:eastAsia="新宋体" w:cs="新宋体"/>
          <w:b/>
          <w:bCs/>
          <w:color w:val="auto"/>
          <w:sz w:val="28"/>
          <w:szCs w:val="28"/>
          <w:highlight w:val="none"/>
          <w:lang w:val="zh-CN" w:eastAsia="zh-CN"/>
        </w:rPr>
        <w:t>）</w:t>
      </w:r>
    </w:p>
    <w:p w14:paraId="76EFC45C">
      <w:pPr>
        <w:spacing w:line="560" w:lineRule="exact"/>
        <w:jc w:val="center"/>
        <w:rPr>
          <w:rFonts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（设备技术规格及配置应对于</w:t>
      </w:r>
      <w:r>
        <w:rPr>
          <w:rFonts w:hint="eastAsia" w:ascii="新宋体" w:hAnsi="新宋体" w:eastAsia="新宋体" w:cs="新宋体"/>
          <w:b/>
          <w:bCs/>
          <w:color w:val="auto"/>
          <w:sz w:val="22"/>
          <w:szCs w:val="22"/>
          <w:highlight w:val="none"/>
          <w:lang w:eastAsia="zh-CN"/>
        </w:rPr>
        <w:t>采购</w:t>
      </w:r>
      <w:r>
        <w:rPr>
          <w:rFonts w:hint="eastAsia" w:ascii="新宋体" w:hAnsi="新宋体" w:eastAsia="新宋体" w:cs="新宋体"/>
          <w:b/>
          <w:bCs/>
          <w:color w:val="auto"/>
          <w:sz w:val="22"/>
          <w:szCs w:val="22"/>
          <w:highlight w:val="none"/>
        </w:rPr>
        <w:t>文件中“设备技术规格及配置”要求，逐项自行编制偏离情况）</w:t>
      </w:r>
    </w:p>
    <w:p w14:paraId="7C920967">
      <w:pPr>
        <w:spacing w:line="360" w:lineRule="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项目编号：</w:t>
      </w:r>
    </w:p>
    <w:p w14:paraId="57D4851C">
      <w:pPr>
        <w:bidi w:val="0"/>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项目名称：</w:t>
      </w:r>
    </w:p>
    <w:tbl>
      <w:tblPr>
        <w:tblStyle w:val="53"/>
        <w:tblW w:w="96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1"/>
        <w:gridCol w:w="3687"/>
        <w:gridCol w:w="3402"/>
        <w:gridCol w:w="1580"/>
      </w:tblGrid>
      <w:tr w14:paraId="40238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991" w:type="dxa"/>
            <w:shd w:val="clear" w:color="auto" w:fill="FFFFFF"/>
            <w:vAlign w:val="center"/>
          </w:tcPr>
          <w:p w14:paraId="1047B8D5">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序  号</w:t>
            </w:r>
          </w:p>
        </w:tc>
        <w:tc>
          <w:tcPr>
            <w:tcW w:w="3687" w:type="dxa"/>
            <w:shd w:val="clear" w:color="auto" w:fill="FFFFFF"/>
            <w:vAlign w:val="center"/>
          </w:tcPr>
          <w:p w14:paraId="5125C9C0">
            <w:pPr>
              <w:jc w:val="center"/>
              <w:rPr>
                <w:rFonts w:hint="eastAsia" w:ascii="新宋体" w:hAnsi="新宋体" w:eastAsia="新宋体" w:cs="新宋体"/>
                <w:b/>
                <w:color w:val="auto"/>
                <w:sz w:val="22"/>
                <w:szCs w:val="22"/>
                <w:highlight w:val="none"/>
                <w:lang w:eastAsia="zh-CN"/>
              </w:rPr>
            </w:pPr>
            <w:r>
              <w:rPr>
                <w:rFonts w:hint="eastAsia" w:ascii="新宋体" w:hAnsi="新宋体" w:eastAsia="新宋体" w:cs="新宋体"/>
                <w:b/>
                <w:color w:val="auto"/>
                <w:sz w:val="22"/>
                <w:szCs w:val="22"/>
                <w:highlight w:val="none"/>
                <w:lang w:eastAsia="zh-CN"/>
              </w:rPr>
              <w:t>采购文件</w:t>
            </w:r>
          </w:p>
          <w:p w14:paraId="495E0C94">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规格要求</w:t>
            </w:r>
          </w:p>
        </w:tc>
        <w:tc>
          <w:tcPr>
            <w:tcW w:w="3402" w:type="dxa"/>
            <w:shd w:val="clear" w:color="auto" w:fill="FFFFFF"/>
            <w:vAlign w:val="center"/>
          </w:tcPr>
          <w:p w14:paraId="6A149A53">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投标文件</w:t>
            </w:r>
          </w:p>
          <w:p w14:paraId="412EC38C">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对应规格</w:t>
            </w:r>
          </w:p>
        </w:tc>
        <w:tc>
          <w:tcPr>
            <w:tcW w:w="1580" w:type="dxa"/>
            <w:shd w:val="clear" w:color="auto" w:fill="FFFFFF"/>
            <w:vAlign w:val="center"/>
          </w:tcPr>
          <w:p w14:paraId="5BD6C6AB">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说   明</w:t>
            </w:r>
          </w:p>
          <w:p w14:paraId="7DD7F8A2">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（偏离情况）</w:t>
            </w:r>
          </w:p>
        </w:tc>
      </w:tr>
      <w:tr w14:paraId="61142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trPr>
        <w:tc>
          <w:tcPr>
            <w:tcW w:w="991" w:type="dxa"/>
            <w:vAlign w:val="center"/>
          </w:tcPr>
          <w:p w14:paraId="5A451CB0">
            <w:pPr>
              <w:ind w:firstLine="220" w:firstLineChars="1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w:t>
            </w:r>
          </w:p>
        </w:tc>
        <w:tc>
          <w:tcPr>
            <w:tcW w:w="3687" w:type="dxa"/>
            <w:vAlign w:val="center"/>
          </w:tcPr>
          <w:p w14:paraId="6C8E1412">
            <w:pPr>
              <w:jc w:val="center"/>
              <w:rPr>
                <w:rFonts w:hint="eastAsia" w:ascii="新宋体" w:hAnsi="新宋体" w:eastAsia="新宋体" w:cs="新宋体"/>
                <w:color w:val="auto"/>
                <w:sz w:val="22"/>
                <w:szCs w:val="22"/>
                <w:highlight w:val="none"/>
              </w:rPr>
            </w:pPr>
          </w:p>
        </w:tc>
        <w:tc>
          <w:tcPr>
            <w:tcW w:w="3402" w:type="dxa"/>
            <w:vAlign w:val="center"/>
          </w:tcPr>
          <w:p w14:paraId="53CC542B">
            <w:pPr>
              <w:jc w:val="center"/>
              <w:rPr>
                <w:rFonts w:hint="eastAsia" w:ascii="新宋体" w:hAnsi="新宋体" w:eastAsia="新宋体" w:cs="新宋体"/>
                <w:color w:val="auto"/>
                <w:sz w:val="22"/>
                <w:szCs w:val="22"/>
                <w:highlight w:val="none"/>
              </w:rPr>
            </w:pPr>
          </w:p>
        </w:tc>
        <w:tc>
          <w:tcPr>
            <w:tcW w:w="1580" w:type="dxa"/>
            <w:vAlign w:val="center"/>
          </w:tcPr>
          <w:p w14:paraId="1F9FD67B">
            <w:pPr>
              <w:jc w:val="center"/>
              <w:rPr>
                <w:rFonts w:hint="eastAsia" w:ascii="新宋体" w:hAnsi="新宋体" w:eastAsia="新宋体" w:cs="新宋体"/>
                <w:color w:val="auto"/>
                <w:sz w:val="22"/>
                <w:szCs w:val="22"/>
                <w:highlight w:val="none"/>
              </w:rPr>
            </w:pPr>
          </w:p>
        </w:tc>
      </w:tr>
      <w:tr w14:paraId="1EE3C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26F7B6A2">
            <w:pPr>
              <w:jc w:val="center"/>
              <w:rPr>
                <w:rFonts w:hint="eastAsia" w:ascii="新宋体" w:hAnsi="新宋体" w:eastAsia="新宋体" w:cs="新宋体"/>
                <w:color w:val="auto"/>
                <w:sz w:val="22"/>
                <w:szCs w:val="22"/>
                <w:highlight w:val="none"/>
              </w:rPr>
            </w:pPr>
          </w:p>
        </w:tc>
        <w:tc>
          <w:tcPr>
            <w:tcW w:w="3687" w:type="dxa"/>
            <w:vAlign w:val="center"/>
          </w:tcPr>
          <w:p w14:paraId="509B9302">
            <w:pPr>
              <w:jc w:val="center"/>
              <w:rPr>
                <w:rFonts w:hint="eastAsia" w:ascii="新宋体" w:hAnsi="新宋体" w:eastAsia="新宋体" w:cs="新宋体"/>
                <w:color w:val="auto"/>
                <w:sz w:val="22"/>
                <w:szCs w:val="22"/>
                <w:highlight w:val="none"/>
              </w:rPr>
            </w:pPr>
          </w:p>
        </w:tc>
        <w:tc>
          <w:tcPr>
            <w:tcW w:w="3402" w:type="dxa"/>
            <w:vAlign w:val="center"/>
          </w:tcPr>
          <w:p w14:paraId="3C7434DF">
            <w:pPr>
              <w:jc w:val="center"/>
              <w:rPr>
                <w:rFonts w:hint="eastAsia" w:ascii="新宋体" w:hAnsi="新宋体" w:eastAsia="新宋体" w:cs="新宋体"/>
                <w:color w:val="auto"/>
                <w:sz w:val="22"/>
                <w:szCs w:val="22"/>
                <w:highlight w:val="none"/>
              </w:rPr>
            </w:pPr>
          </w:p>
        </w:tc>
        <w:tc>
          <w:tcPr>
            <w:tcW w:w="1580" w:type="dxa"/>
            <w:vAlign w:val="center"/>
          </w:tcPr>
          <w:p w14:paraId="70FE2998">
            <w:pPr>
              <w:jc w:val="center"/>
              <w:rPr>
                <w:rFonts w:hint="eastAsia" w:ascii="新宋体" w:hAnsi="新宋体" w:eastAsia="新宋体" w:cs="新宋体"/>
                <w:color w:val="auto"/>
                <w:sz w:val="22"/>
                <w:szCs w:val="22"/>
                <w:highlight w:val="none"/>
              </w:rPr>
            </w:pPr>
          </w:p>
        </w:tc>
      </w:tr>
      <w:tr w14:paraId="60A6C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4D1237BB">
            <w:pPr>
              <w:jc w:val="center"/>
              <w:rPr>
                <w:rFonts w:hint="eastAsia" w:ascii="新宋体" w:hAnsi="新宋体" w:eastAsia="新宋体" w:cs="新宋体"/>
                <w:color w:val="auto"/>
                <w:sz w:val="22"/>
                <w:szCs w:val="22"/>
                <w:highlight w:val="none"/>
              </w:rPr>
            </w:pPr>
          </w:p>
        </w:tc>
        <w:tc>
          <w:tcPr>
            <w:tcW w:w="3687" w:type="dxa"/>
            <w:vAlign w:val="center"/>
          </w:tcPr>
          <w:p w14:paraId="782BA3AB">
            <w:pPr>
              <w:jc w:val="center"/>
              <w:rPr>
                <w:rFonts w:hint="eastAsia" w:ascii="新宋体" w:hAnsi="新宋体" w:eastAsia="新宋体" w:cs="新宋体"/>
                <w:color w:val="auto"/>
                <w:sz w:val="22"/>
                <w:szCs w:val="22"/>
                <w:highlight w:val="none"/>
              </w:rPr>
            </w:pPr>
          </w:p>
        </w:tc>
        <w:tc>
          <w:tcPr>
            <w:tcW w:w="3402" w:type="dxa"/>
            <w:vAlign w:val="center"/>
          </w:tcPr>
          <w:p w14:paraId="11952C64">
            <w:pPr>
              <w:jc w:val="center"/>
              <w:rPr>
                <w:rFonts w:hint="eastAsia" w:ascii="新宋体" w:hAnsi="新宋体" w:eastAsia="新宋体" w:cs="新宋体"/>
                <w:color w:val="auto"/>
                <w:sz w:val="22"/>
                <w:szCs w:val="22"/>
                <w:highlight w:val="none"/>
              </w:rPr>
            </w:pPr>
          </w:p>
        </w:tc>
        <w:tc>
          <w:tcPr>
            <w:tcW w:w="1580" w:type="dxa"/>
            <w:vAlign w:val="center"/>
          </w:tcPr>
          <w:p w14:paraId="3C15B0CC">
            <w:pPr>
              <w:jc w:val="center"/>
              <w:rPr>
                <w:rFonts w:hint="eastAsia" w:ascii="新宋体" w:hAnsi="新宋体" w:eastAsia="新宋体" w:cs="新宋体"/>
                <w:color w:val="auto"/>
                <w:sz w:val="22"/>
                <w:szCs w:val="22"/>
                <w:highlight w:val="none"/>
              </w:rPr>
            </w:pPr>
          </w:p>
        </w:tc>
      </w:tr>
      <w:tr w14:paraId="47C76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1CD556C6">
            <w:pPr>
              <w:jc w:val="center"/>
              <w:rPr>
                <w:rFonts w:hint="eastAsia" w:ascii="新宋体" w:hAnsi="新宋体" w:eastAsia="新宋体" w:cs="新宋体"/>
                <w:color w:val="auto"/>
                <w:sz w:val="22"/>
                <w:szCs w:val="22"/>
                <w:highlight w:val="none"/>
              </w:rPr>
            </w:pPr>
          </w:p>
        </w:tc>
        <w:tc>
          <w:tcPr>
            <w:tcW w:w="3687" w:type="dxa"/>
            <w:vAlign w:val="center"/>
          </w:tcPr>
          <w:p w14:paraId="7C72B034">
            <w:pPr>
              <w:jc w:val="center"/>
              <w:rPr>
                <w:rFonts w:hint="eastAsia" w:ascii="新宋体" w:hAnsi="新宋体" w:eastAsia="新宋体" w:cs="新宋体"/>
                <w:color w:val="auto"/>
                <w:sz w:val="22"/>
                <w:szCs w:val="22"/>
                <w:highlight w:val="none"/>
              </w:rPr>
            </w:pPr>
          </w:p>
        </w:tc>
        <w:tc>
          <w:tcPr>
            <w:tcW w:w="3402" w:type="dxa"/>
            <w:vAlign w:val="center"/>
          </w:tcPr>
          <w:p w14:paraId="30992745">
            <w:pPr>
              <w:jc w:val="center"/>
              <w:rPr>
                <w:rFonts w:hint="eastAsia" w:ascii="新宋体" w:hAnsi="新宋体" w:eastAsia="新宋体" w:cs="新宋体"/>
                <w:color w:val="auto"/>
                <w:sz w:val="22"/>
                <w:szCs w:val="22"/>
                <w:highlight w:val="none"/>
              </w:rPr>
            </w:pPr>
          </w:p>
        </w:tc>
        <w:tc>
          <w:tcPr>
            <w:tcW w:w="1580" w:type="dxa"/>
            <w:vAlign w:val="center"/>
          </w:tcPr>
          <w:p w14:paraId="40E65914">
            <w:pPr>
              <w:jc w:val="center"/>
              <w:rPr>
                <w:rFonts w:hint="eastAsia" w:ascii="新宋体" w:hAnsi="新宋体" w:eastAsia="新宋体" w:cs="新宋体"/>
                <w:color w:val="auto"/>
                <w:sz w:val="22"/>
                <w:szCs w:val="22"/>
                <w:highlight w:val="none"/>
              </w:rPr>
            </w:pPr>
          </w:p>
        </w:tc>
      </w:tr>
      <w:tr w14:paraId="58436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59B9DA6B">
            <w:pPr>
              <w:jc w:val="center"/>
              <w:rPr>
                <w:rFonts w:hint="eastAsia" w:ascii="新宋体" w:hAnsi="新宋体" w:eastAsia="新宋体" w:cs="新宋体"/>
                <w:color w:val="auto"/>
                <w:sz w:val="22"/>
                <w:szCs w:val="22"/>
                <w:highlight w:val="none"/>
              </w:rPr>
            </w:pPr>
          </w:p>
        </w:tc>
        <w:tc>
          <w:tcPr>
            <w:tcW w:w="3687" w:type="dxa"/>
            <w:vAlign w:val="center"/>
          </w:tcPr>
          <w:p w14:paraId="4A678867">
            <w:pPr>
              <w:jc w:val="center"/>
              <w:rPr>
                <w:rFonts w:hint="eastAsia" w:ascii="新宋体" w:hAnsi="新宋体" w:eastAsia="新宋体" w:cs="新宋体"/>
                <w:color w:val="auto"/>
                <w:sz w:val="22"/>
                <w:szCs w:val="22"/>
                <w:highlight w:val="none"/>
              </w:rPr>
            </w:pPr>
          </w:p>
        </w:tc>
        <w:tc>
          <w:tcPr>
            <w:tcW w:w="3402" w:type="dxa"/>
            <w:vAlign w:val="center"/>
          </w:tcPr>
          <w:p w14:paraId="31E0AFC6">
            <w:pPr>
              <w:jc w:val="center"/>
              <w:rPr>
                <w:rFonts w:hint="eastAsia" w:ascii="新宋体" w:hAnsi="新宋体" w:eastAsia="新宋体" w:cs="新宋体"/>
                <w:color w:val="auto"/>
                <w:sz w:val="22"/>
                <w:szCs w:val="22"/>
                <w:highlight w:val="none"/>
              </w:rPr>
            </w:pPr>
          </w:p>
        </w:tc>
        <w:tc>
          <w:tcPr>
            <w:tcW w:w="1580" w:type="dxa"/>
            <w:vAlign w:val="center"/>
          </w:tcPr>
          <w:p w14:paraId="0D6B722B">
            <w:pPr>
              <w:jc w:val="center"/>
              <w:rPr>
                <w:rFonts w:hint="eastAsia" w:ascii="新宋体" w:hAnsi="新宋体" w:eastAsia="新宋体" w:cs="新宋体"/>
                <w:color w:val="auto"/>
                <w:sz w:val="22"/>
                <w:szCs w:val="22"/>
                <w:highlight w:val="none"/>
              </w:rPr>
            </w:pPr>
          </w:p>
        </w:tc>
      </w:tr>
      <w:tr w14:paraId="384C4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1AEFC477">
            <w:pPr>
              <w:ind w:firstLine="220" w:firstLineChars="1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w:t>
            </w:r>
          </w:p>
        </w:tc>
        <w:tc>
          <w:tcPr>
            <w:tcW w:w="3687" w:type="dxa"/>
            <w:vAlign w:val="center"/>
          </w:tcPr>
          <w:p w14:paraId="6BAB0F38">
            <w:pPr>
              <w:jc w:val="center"/>
              <w:rPr>
                <w:rFonts w:hint="eastAsia" w:ascii="新宋体" w:hAnsi="新宋体" w:eastAsia="新宋体" w:cs="新宋体"/>
                <w:color w:val="auto"/>
                <w:sz w:val="22"/>
                <w:szCs w:val="22"/>
                <w:highlight w:val="none"/>
              </w:rPr>
            </w:pPr>
          </w:p>
        </w:tc>
        <w:tc>
          <w:tcPr>
            <w:tcW w:w="3402" w:type="dxa"/>
            <w:vAlign w:val="center"/>
          </w:tcPr>
          <w:p w14:paraId="19F5FD72">
            <w:pPr>
              <w:jc w:val="center"/>
              <w:rPr>
                <w:rFonts w:hint="eastAsia" w:ascii="新宋体" w:hAnsi="新宋体" w:eastAsia="新宋体" w:cs="新宋体"/>
                <w:color w:val="auto"/>
                <w:sz w:val="22"/>
                <w:szCs w:val="22"/>
                <w:highlight w:val="none"/>
              </w:rPr>
            </w:pPr>
          </w:p>
        </w:tc>
        <w:tc>
          <w:tcPr>
            <w:tcW w:w="1580" w:type="dxa"/>
            <w:vAlign w:val="center"/>
          </w:tcPr>
          <w:p w14:paraId="599324ED">
            <w:pPr>
              <w:jc w:val="center"/>
              <w:rPr>
                <w:rFonts w:hint="eastAsia" w:ascii="新宋体" w:hAnsi="新宋体" w:eastAsia="新宋体" w:cs="新宋体"/>
                <w:color w:val="auto"/>
                <w:sz w:val="22"/>
                <w:szCs w:val="22"/>
                <w:highlight w:val="none"/>
              </w:rPr>
            </w:pPr>
          </w:p>
        </w:tc>
      </w:tr>
      <w:tr w14:paraId="378FE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0EBEC3FA">
            <w:pPr>
              <w:jc w:val="center"/>
              <w:rPr>
                <w:rFonts w:hint="eastAsia" w:ascii="新宋体" w:hAnsi="新宋体" w:eastAsia="新宋体" w:cs="新宋体"/>
                <w:color w:val="auto"/>
                <w:sz w:val="22"/>
                <w:szCs w:val="22"/>
                <w:highlight w:val="none"/>
              </w:rPr>
            </w:pPr>
          </w:p>
        </w:tc>
        <w:tc>
          <w:tcPr>
            <w:tcW w:w="3687" w:type="dxa"/>
            <w:vAlign w:val="center"/>
          </w:tcPr>
          <w:p w14:paraId="4AAE8CDA">
            <w:pPr>
              <w:jc w:val="center"/>
              <w:rPr>
                <w:rFonts w:hint="eastAsia" w:ascii="新宋体" w:hAnsi="新宋体" w:eastAsia="新宋体" w:cs="新宋体"/>
                <w:color w:val="auto"/>
                <w:sz w:val="22"/>
                <w:szCs w:val="22"/>
                <w:highlight w:val="none"/>
              </w:rPr>
            </w:pPr>
          </w:p>
        </w:tc>
        <w:tc>
          <w:tcPr>
            <w:tcW w:w="3402" w:type="dxa"/>
            <w:vAlign w:val="center"/>
          </w:tcPr>
          <w:p w14:paraId="508A5328">
            <w:pPr>
              <w:jc w:val="center"/>
              <w:rPr>
                <w:rFonts w:hint="eastAsia" w:ascii="新宋体" w:hAnsi="新宋体" w:eastAsia="新宋体" w:cs="新宋体"/>
                <w:color w:val="auto"/>
                <w:sz w:val="22"/>
                <w:szCs w:val="22"/>
                <w:highlight w:val="none"/>
              </w:rPr>
            </w:pPr>
          </w:p>
        </w:tc>
        <w:tc>
          <w:tcPr>
            <w:tcW w:w="1580" w:type="dxa"/>
            <w:vAlign w:val="center"/>
          </w:tcPr>
          <w:p w14:paraId="4C046490">
            <w:pPr>
              <w:jc w:val="center"/>
              <w:rPr>
                <w:rFonts w:hint="eastAsia" w:ascii="新宋体" w:hAnsi="新宋体" w:eastAsia="新宋体" w:cs="新宋体"/>
                <w:color w:val="auto"/>
                <w:sz w:val="22"/>
                <w:szCs w:val="22"/>
                <w:highlight w:val="none"/>
              </w:rPr>
            </w:pPr>
          </w:p>
        </w:tc>
      </w:tr>
      <w:tr w14:paraId="1273F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722657B1">
            <w:pPr>
              <w:jc w:val="center"/>
              <w:rPr>
                <w:rFonts w:hint="eastAsia" w:ascii="新宋体" w:hAnsi="新宋体" w:eastAsia="新宋体" w:cs="新宋体"/>
                <w:color w:val="auto"/>
                <w:sz w:val="22"/>
                <w:szCs w:val="22"/>
                <w:highlight w:val="none"/>
              </w:rPr>
            </w:pPr>
          </w:p>
        </w:tc>
        <w:tc>
          <w:tcPr>
            <w:tcW w:w="3687" w:type="dxa"/>
            <w:vAlign w:val="center"/>
          </w:tcPr>
          <w:p w14:paraId="47EBF807">
            <w:pPr>
              <w:jc w:val="center"/>
              <w:rPr>
                <w:rFonts w:hint="eastAsia" w:ascii="新宋体" w:hAnsi="新宋体" w:eastAsia="新宋体" w:cs="新宋体"/>
                <w:color w:val="auto"/>
                <w:sz w:val="22"/>
                <w:szCs w:val="22"/>
                <w:highlight w:val="none"/>
              </w:rPr>
            </w:pPr>
          </w:p>
        </w:tc>
        <w:tc>
          <w:tcPr>
            <w:tcW w:w="3402" w:type="dxa"/>
            <w:vAlign w:val="center"/>
          </w:tcPr>
          <w:p w14:paraId="5F236FB4">
            <w:pPr>
              <w:jc w:val="center"/>
              <w:rPr>
                <w:rFonts w:hint="eastAsia" w:ascii="新宋体" w:hAnsi="新宋体" w:eastAsia="新宋体" w:cs="新宋体"/>
                <w:color w:val="auto"/>
                <w:sz w:val="22"/>
                <w:szCs w:val="22"/>
                <w:highlight w:val="none"/>
              </w:rPr>
            </w:pPr>
          </w:p>
        </w:tc>
        <w:tc>
          <w:tcPr>
            <w:tcW w:w="1580" w:type="dxa"/>
            <w:vAlign w:val="center"/>
          </w:tcPr>
          <w:p w14:paraId="4020F37E">
            <w:pPr>
              <w:jc w:val="center"/>
              <w:rPr>
                <w:rFonts w:hint="eastAsia" w:ascii="新宋体" w:hAnsi="新宋体" w:eastAsia="新宋体" w:cs="新宋体"/>
                <w:color w:val="auto"/>
                <w:sz w:val="22"/>
                <w:szCs w:val="22"/>
                <w:highlight w:val="none"/>
              </w:rPr>
            </w:pPr>
          </w:p>
        </w:tc>
      </w:tr>
      <w:tr w14:paraId="5193E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53D48E71">
            <w:pPr>
              <w:jc w:val="center"/>
              <w:rPr>
                <w:rFonts w:hint="eastAsia" w:ascii="新宋体" w:hAnsi="新宋体" w:eastAsia="新宋体" w:cs="新宋体"/>
                <w:color w:val="auto"/>
                <w:sz w:val="22"/>
                <w:szCs w:val="22"/>
                <w:highlight w:val="none"/>
              </w:rPr>
            </w:pPr>
          </w:p>
        </w:tc>
        <w:tc>
          <w:tcPr>
            <w:tcW w:w="3687" w:type="dxa"/>
            <w:vAlign w:val="center"/>
          </w:tcPr>
          <w:p w14:paraId="29C30805">
            <w:pPr>
              <w:jc w:val="center"/>
              <w:rPr>
                <w:rFonts w:hint="eastAsia" w:ascii="新宋体" w:hAnsi="新宋体" w:eastAsia="新宋体" w:cs="新宋体"/>
                <w:color w:val="auto"/>
                <w:sz w:val="22"/>
                <w:szCs w:val="22"/>
                <w:highlight w:val="none"/>
              </w:rPr>
            </w:pPr>
          </w:p>
        </w:tc>
        <w:tc>
          <w:tcPr>
            <w:tcW w:w="3402" w:type="dxa"/>
            <w:vAlign w:val="center"/>
          </w:tcPr>
          <w:p w14:paraId="405EDD9E">
            <w:pPr>
              <w:jc w:val="center"/>
              <w:rPr>
                <w:rFonts w:hint="eastAsia" w:ascii="新宋体" w:hAnsi="新宋体" w:eastAsia="新宋体" w:cs="新宋体"/>
                <w:color w:val="auto"/>
                <w:sz w:val="22"/>
                <w:szCs w:val="22"/>
                <w:highlight w:val="none"/>
              </w:rPr>
            </w:pPr>
          </w:p>
        </w:tc>
        <w:tc>
          <w:tcPr>
            <w:tcW w:w="1580" w:type="dxa"/>
            <w:vAlign w:val="center"/>
          </w:tcPr>
          <w:p w14:paraId="0793A4E7">
            <w:pPr>
              <w:jc w:val="center"/>
              <w:rPr>
                <w:rFonts w:hint="eastAsia" w:ascii="新宋体" w:hAnsi="新宋体" w:eastAsia="新宋体" w:cs="新宋体"/>
                <w:color w:val="auto"/>
                <w:sz w:val="22"/>
                <w:szCs w:val="22"/>
                <w:highlight w:val="none"/>
              </w:rPr>
            </w:pPr>
          </w:p>
        </w:tc>
      </w:tr>
      <w:tr w14:paraId="691B8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1B5E46B3">
            <w:pPr>
              <w:jc w:val="center"/>
              <w:rPr>
                <w:rFonts w:hint="eastAsia" w:ascii="新宋体" w:hAnsi="新宋体" w:eastAsia="新宋体" w:cs="新宋体"/>
                <w:color w:val="auto"/>
                <w:sz w:val="22"/>
                <w:szCs w:val="22"/>
                <w:highlight w:val="none"/>
              </w:rPr>
            </w:pPr>
          </w:p>
        </w:tc>
        <w:tc>
          <w:tcPr>
            <w:tcW w:w="3687" w:type="dxa"/>
            <w:vAlign w:val="center"/>
          </w:tcPr>
          <w:p w14:paraId="3B26109B">
            <w:pPr>
              <w:jc w:val="center"/>
              <w:rPr>
                <w:rFonts w:hint="eastAsia" w:ascii="新宋体" w:hAnsi="新宋体" w:eastAsia="新宋体" w:cs="新宋体"/>
                <w:color w:val="auto"/>
                <w:sz w:val="22"/>
                <w:szCs w:val="22"/>
                <w:highlight w:val="none"/>
              </w:rPr>
            </w:pPr>
          </w:p>
        </w:tc>
        <w:tc>
          <w:tcPr>
            <w:tcW w:w="3402" w:type="dxa"/>
            <w:vAlign w:val="center"/>
          </w:tcPr>
          <w:p w14:paraId="063FAB2A">
            <w:pPr>
              <w:jc w:val="center"/>
              <w:rPr>
                <w:rFonts w:hint="eastAsia" w:ascii="新宋体" w:hAnsi="新宋体" w:eastAsia="新宋体" w:cs="新宋体"/>
                <w:color w:val="auto"/>
                <w:sz w:val="22"/>
                <w:szCs w:val="22"/>
                <w:highlight w:val="none"/>
              </w:rPr>
            </w:pPr>
          </w:p>
        </w:tc>
        <w:tc>
          <w:tcPr>
            <w:tcW w:w="1580" w:type="dxa"/>
            <w:vAlign w:val="center"/>
          </w:tcPr>
          <w:p w14:paraId="1C32BC61">
            <w:pPr>
              <w:jc w:val="center"/>
              <w:rPr>
                <w:rFonts w:hint="eastAsia" w:ascii="新宋体" w:hAnsi="新宋体" w:eastAsia="新宋体" w:cs="新宋体"/>
                <w:color w:val="auto"/>
                <w:sz w:val="22"/>
                <w:szCs w:val="22"/>
                <w:highlight w:val="none"/>
              </w:rPr>
            </w:pPr>
          </w:p>
        </w:tc>
      </w:tr>
    </w:tbl>
    <w:p w14:paraId="5FD55A38">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注：如有偏离，必须在偏离表中进行详细对比说明并注明正偏离和负偏离，如不说明偏离情况，视为完全响应采购文件要求无偏离</w:t>
      </w:r>
    </w:p>
    <w:p w14:paraId="307BFB7E">
      <w:pPr>
        <w:spacing w:line="460" w:lineRule="exact"/>
        <w:ind w:firstLine="5060" w:firstLineChars="2300"/>
        <w:rPr>
          <w:rFonts w:hint="eastAsia" w:ascii="新宋体" w:hAnsi="新宋体" w:eastAsia="新宋体" w:cs="新宋体"/>
          <w:color w:val="auto"/>
          <w:sz w:val="22"/>
          <w:szCs w:val="22"/>
          <w:highlight w:val="none"/>
        </w:rPr>
      </w:pPr>
      <w:bookmarkStart w:id="47" w:name="_Toc415152386"/>
      <w:r>
        <w:rPr>
          <w:rFonts w:hint="eastAsia" w:ascii="新宋体" w:hAnsi="新宋体" w:eastAsia="新宋体" w:cs="新宋体"/>
          <w:color w:val="auto"/>
          <w:sz w:val="22"/>
          <w:szCs w:val="22"/>
          <w:highlight w:val="none"/>
        </w:rPr>
        <w:t>投标人全称（盖章）：</w:t>
      </w:r>
    </w:p>
    <w:p w14:paraId="1A6A0C2C">
      <w:pPr>
        <w:spacing w:line="460" w:lineRule="exact"/>
        <w:ind w:firstLine="5060" w:firstLineChars="2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投标人代表（签字）：</w:t>
      </w:r>
    </w:p>
    <w:p w14:paraId="3A8D7238">
      <w:pPr>
        <w:spacing w:line="460" w:lineRule="exact"/>
        <w:ind w:firstLine="5060" w:firstLineChars="2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w:t>
      </w:r>
    </w:p>
    <w:p w14:paraId="54496E04">
      <w:pPr>
        <w:rPr>
          <w:rFonts w:hint="eastAsia" w:ascii="新宋体" w:hAnsi="新宋体" w:eastAsia="新宋体" w:cs="新宋体"/>
          <w:color w:val="auto"/>
          <w:sz w:val="22"/>
          <w:szCs w:val="22"/>
          <w:highlight w:val="none"/>
        </w:rPr>
      </w:pPr>
      <w:r>
        <w:rPr>
          <w:rFonts w:hint="eastAsia" w:ascii="新宋体" w:hAnsi="新宋体" w:eastAsia="新宋体" w:cs="新宋体"/>
          <w:b/>
          <w:color w:val="auto"/>
          <w:sz w:val="24"/>
          <w:highlight w:val="none"/>
        </w:rPr>
        <w:br w:type="page"/>
      </w:r>
      <w:bookmarkEnd w:id="47"/>
    </w:p>
    <w:p w14:paraId="24EB744F">
      <w:pPr>
        <w:spacing w:line="420" w:lineRule="exact"/>
        <w:jc w:val="center"/>
        <w:outlineLvl w:val="3"/>
        <w:rPr>
          <w:rFonts w:hint="eastAsia" w:ascii="新宋体" w:hAnsi="新宋体" w:eastAsia="新宋体" w:cs="新宋体"/>
          <w:b/>
          <w:bCs/>
          <w:color w:val="auto"/>
          <w:sz w:val="28"/>
          <w:szCs w:val="28"/>
          <w:highlight w:val="none"/>
          <w:lang w:val="zh-CN" w:eastAsia="zh-CN"/>
        </w:rPr>
      </w:pPr>
      <w:r>
        <w:rPr>
          <w:rFonts w:hint="eastAsia" w:ascii="新宋体" w:hAnsi="新宋体" w:eastAsia="新宋体" w:cs="新宋体"/>
          <w:b/>
          <w:bCs/>
          <w:color w:val="auto"/>
          <w:sz w:val="28"/>
          <w:szCs w:val="28"/>
          <w:highlight w:val="none"/>
          <w:lang w:val="en-US" w:eastAsia="zh-CN"/>
        </w:rPr>
        <w:t>9、</w:t>
      </w:r>
      <w:r>
        <w:rPr>
          <w:rFonts w:hint="eastAsia" w:ascii="新宋体" w:hAnsi="新宋体" w:eastAsia="新宋体" w:cs="新宋体"/>
          <w:b/>
          <w:bCs/>
          <w:color w:val="auto"/>
          <w:sz w:val="28"/>
          <w:szCs w:val="28"/>
          <w:highlight w:val="none"/>
          <w:lang w:val="zh-CN" w:eastAsia="zh-CN"/>
        </w:rPr>
        <w:t>备品、易损件、备件、专用工具清单</w:t>
      </w:r>
    </w:p>
    <w:p w14:paraId="0DF6418A">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项目名称：</w:t>
      </w:r>
    </w:p>
    <w:p w14:paraId="1B20ADC4">
      <w:pPr>
        <w:keepNext w:val="0"/>
        <w:keepLines w:val="0"/>
        <w:pageBreakBefore w:val="0"/>
        <w:widowControl w:val="0"/>
        <w:kinsoku/>
        <w:wordWrap/>
        <w:overflowPunct/>
        <w:topLinePunct w:val="0"/>
        <w:autoSpaceDE/>
        <w:autoSpaceDN/>
        <w:bidi w:val="0"/>
        <w:adjustRightInd/>
        <w:snapToGrid/>
        <w:spacing w:line="460" w:lineRule="exact"/>
        <w:textAlignment w:val="auto"/>
        <w:rPr>
          <w:rFonts w:ascii="新宋体" w:hAnsi="新宋体" w:eastAsia="新宋体" w:cs="新宋体"/>
          <w:b/>
          <w:bCs/>
          <w:color w:val="auto"/>
          <w:sz w:val="22"/>
          <w:szCs w:val="22"/>
          <w:highlight w:val="none"/>
        </w:rPr>
      </w:pPr>
      <w:r>
        <w:rPr>
          <w:rFonts w:hint="eastAsia" w:ascii="新宋体" w:hAnsi="新宋体" w:eastAsia="新宋体" w:cs="新宋体"/>
          <w:b w:val="0"/>
          <w:bCs w:val="0"/>
          <w:color w:val="auto"/>
          <w:sz w:val="22"/>
          <w:szCs w:val="22"/>
          <w:highlight w:val="none"/>
        </w:rPr>
        <w:t>项目编号：</w:t>
      </w:r>
    </w:p>
    <w:tbl>
      <w:tblPr>
        <w:tblStyle w:val="53"/>
        <w:tblW w:w="96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
        <w:gridCol w:w="1240"/>
        <w:gridCol w:w="1404"/>
        <w:gridCol w:w="796"/>
        <w:gridCol w:w="3704"/>
        <w:gridCol w:w="1568"/>
      </w:tblGrid>
      <w:tr w14:paraId="4F8D7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956" w:type="dxa"/>
            <w:shd w:val="clear" w:color="auto" w:fill="FFFFFF"/>
            <w:vAlign w:val="center"/>
          </w:tcPr>
          <w:p w14:paraId="2E9FD0E8">
            <w:pPr>
              <w:spacing w:line="40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序号</w:t>
            </w:r>
          </w:p>
        </w:tc>
        <w:tc>
          <w:tcPr>
            <w:tcW w:w="1240" w:type="dxa"/>
            <w:shd w:val="clear" w:color="auto" w:fill="FFFFFF"/>
            <w:vAlign w:val="center"/>
          </w:tcPr>
          <w:p w14:paraId="6D55DDF7">
            <w:pPr>
              <w:spacing w:line="40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名  称</w:t>
            </w:r>
          </w:p>
        </w:tc>
        <w:tc>
          <w:tcPr>
            <w:tcW w:w="1404" w:type="dxa"/>
            <w:shd w:val="clear" w:color="auto" w:fill="FFFFFF"/>
            <w:vAlign w:val="center"/>
          </w:tcPr>
          <w:p w14:paraId="7F881458">
            <w:pPr>
              <w:spacing w:line="40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规格型号</w:t>
            </w:r>
          </w:p>
        </w:tc>
        <w:tc>
          <w:tcPr>
            <w:tcW w:w="796" w:type="dxa"/>
            <w:shd w:val="clear" w:color="auto" w:fill="FFFFFF"/>
            <w:vAlign w:val="center"/>
          </w:tcPr>
          <w:p w14:paraId="5F1E800E">
            <w:pPr>
              <w:spacing w:line="40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数量</w:t>
            </w:r>
          </w:p>
        </w:tc>
        <w:tc>
          <w:tcPr>
            <w:tcW w:w="3704" w:type="dxa"/>
            <w:shd w:val="clear" w:color="auto" w:fill="FFFFFF"/>
            <w:vAlign w:val="center"/>
          </w:tcPr>
          <w:p w14:paraId="0C467066">
            <w:pPr>
              <w:spacing w:line="40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原产地/制造商</w:t>
            </w:r>
          </w:p>
        </w:tc>
        <w:tc>
          <w:tcPr>
            <w:tcW w:w="1568" w:type="dxa"/>
            <w:shd w:val="clear" w:color="auto" w:fill="FFFFFF"/>
            <w:vAlign w:val="center"/>
          </w:tcPr>
          <w:p w14:paraId="3981F3FD">
            <w:pPr>
              <w:spacing w:line="40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备注</w:t>
            </w:r>
          </w:p>
        </w:tc>
      </w:tr>
      <w:tr w14:paraId="5127E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47392715">
            <w:pPr>
              <w:spacing w:line="400" w:lineRule="exact"/>
              <w:jc w:val="center"/>
              <w:rPr>
                <w:rFonts w:ascii="新宋体" w:hAnsi="新宋体" w:eastAsia="新宋体" w:cs="新宋体"/>
                <w:color w:val="auto"/>
                <w:sz w:val="22"/>
                <w:szCs w:val="22"/>
                <w:highlight w:val="none"/>
              </w:rPr>
            </w:pPr>
          </w:p>
        </w:tc>
        <w:tc>
          <w:tcPr>
            <w:tcW w:w="1240" w:type="dxa"/>
          </w:tcPr>
          <w:p w14:paraId="7E7108A0">
            <w:pPr>
              <w:spacing w:line="400" w:lineRule="exact"/>
              <w:rPr>
                <w:rFonts w:ascii="新宋体" w:hAnsi="新宋体" w:eastAsia="新宋体" w:cs="新宋体"/>
                <w:color w:val="auto"/>
                <w:sz w:val="22"/>
                <w:szCs w:val="22"/>
                <w:highlight w:val="none"/>
              </w:rPr>
            </w:pPr>
          </w:p>
        </w:tc>
        <w:tc>
          <w:tcPr>
            <w:tcW w:w="1404" w:type="dxa"/>
          </w:tcPr>
          <w:p w14:paraId="26E14A14">
            <w:pPr>
              <w:spacing w:line="400" w:lineRule="exact"/>
              <w:rPr>
                <w:rFonts w:ascii="新宋体" w:hAnsi="新宋体" w:eastAsia="新宋体" w:cs="新宋体"/>
                <w:color w:val="auto"/>
                <w:sz w:val="22"/>
                <w:szCs w:val="22"/>
                <w:highlight w:val="none"/>
              </w:rPr>
            </w:pPr>
          </w:p>
        </w:tc>
        <w:tc>
          <w:tcPr>
            <w:tcW w:w="796" w:type="dxa"/>
          </w:tcPr>
          <w:p w14:paraId="1C923E41">
            <w:pPr>
              <w:spacing w:line="400" w:lineRule="exact"/>
              <w:rPr>
                <w:rFonts w:ascii="新宋体" w:hAnsi="新宋体" w:eastAsia="新宋体" w:cs="新宋体"/>
                <w:color w:val="auto"/>
                <w:sz w:val="22"/>
                <w:szCs w:val="22"/>
                <w:highlight w:val="none"/>
              </w:rPr>
            </w:pPr>
          </w:p>
        </w:tc>
        <w:tc>
          <w:tcPr>
            <w:tcW w:w="3704" w:type="dxa"/>
          </w:tcPr>
          <w:p w14:paraId="5279492D">
            <w:pPr>
              <w:spacing w:line="400" w:lineRule="exact"/>
              <w:rPr>
                <w:rFonts w:ascii="新宋体" w:hAnsi="新宋体" w:eastAsia="新宋体" w:cs="新宋体"/>
                <w:color w:val="auto"/>
                <w:sz w:val="22"/>
                <w:szCs w:val="22"/>
                <w:highlight w:val="none"/>
              </w:rPr>
            </w:pPr>
          </w:p>
        </w:tc>
        <w:tc>
          <w:tcPr>
            <w:tcW w:w="1568" w:type="dxa"/>
          </w:tcPr>
          <w:p w14:paraId="6182C078">
            <w:pPr>
              <w:spacing w:line="400" w:lineRule="exact"/>
              <w:rPr>
                <w:rFonts w:ascii="新宋体" w:hAnsi="新宋体" w:eastAsia="新宋体" w:cs="新宋体"/>
                <w:color w:val="auto"/>
                <w:sz w:val="22"/>
                <w:szCs w:val="22"/>
                <w:highlight w:val="none"/>
              </w:rPr>
            </w:pPr>
          </w:p>
        </w:tc>
      </w:tr>
      <w:tr w14:paraId="58551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1A95BC4A">
            <w:pPr>
              <w:spacing w:line="400" w:lineRule="exact"/>
              <w:jc w:val="center"/>
              <w:rPr>
                <w:rFonts w:ascii="新宋体" w:hAnsi="新宋体" w:eastAsia="新宋体" w:cs="新宋体"/>
                <w:color w:val="auto"/>
                <w:sz w:val="22"/>
                <w:szCs w:val="22"/>
                <w:highlight w:val="none"/>
              </w:rPr>
            </w:pPr>
          </w:p>
        </w:tc>
        <w:tc>
          <w:tcPr>
            <w:tcW w:w="1240" w:type="dxa"/>
          </w:tcPr>
          <w:p w14:paraId="1B222338">
            <w:pPr>
              <w:spacing w:line="400" w:lineRule="exact"/>
              <w:rPr>
                <w:rFonts w:ascii="新宋体" w:hAnsi="新宋体" w:eastAsia="新宋体" w:cs="新宋体"/>
                <w:color w:val="auto"/>
                <w:sz w:val="22"/>
                <w:szCs w:val="22"/>
                <w:highlight w:val="none"/>
              </w:rPr>
            </w:pPr>
          </w:p>
        </w:tc>
        <w:tc>
          <w:tcPr>
            <w:tcW w:w="1404" w:type="dxa"/>
          </w:tcPr>
          <w:p w14:paraId="305DC25A">
            <w:pPr>
              <w:spacing w:line="400" w:lineRule="exact"/>
              <w:rPr>
                <w:rFonts w:ascii="新宋体" w:hAnsi="新宋体" w:eastAsia="新宋体" w:cs="新宋体"/>
                <w:color w:val="auto"/>
                <w:sz w:val="22"/>
                <w:szCs w:val="22"/>
                <w:highlight w:val="none"/>
              </w:rPr>
            </w:pPr>
          </w:p>
        </w:tc>
        <w:tc>
          <w:tcPr>
            <w:tcW w:w="796" w:type="dxa"/>
          </w:tcPr>
          <w:p w14:paraId="14325C98">
            <w:pPr>
              <w:spacing w:line="400" w:lineRule="exact"/>
              <w:rPr>
                <w:rFonts w:ascii="新宋体" w:hAnsi="新宋体" w:eastAsia="新宋体" w:cs="新宋体"/>
                <w:color w:val="auto"/>
                <w:sz w:val="22"/>
                <w:szCs w:val="22"/>
                <w:highlight w:val="none"/>
              </w:rPr>
            </w:pPr>
          </w:p>
        </w:tc>
        <w:tc>
          <w:tcPr>
            <w:tcW w:w="3704" w:type="dxa"/>
          </w:tcPr>
          <w:p w14:paraId="2CAE048E">
            <w:pPr>
              <w:spacing w:line="400" w:lineRule="exact"/>
              <w:rPr>
                <w:rFonts w:ascii="新宋体" w:hAnsi="新宋体" w:eastAsia="新宋体" w:cs="新宋体"/>
                <w:color w:val="auto"/>
                <w:sz w:val="22"/>
                <w:szCs w:val="22"/>
                <w:highlight w:val="none"/>
              </w:rPr>
            </w:pPr>
          </w:p>
        </w:tc>
        <w:tc>
          <w:tcPr>
            <w:tcW w:w="1568" w:type="dxa"/>
          </w:tcPr>
          <w:p w14:paraId="5F423016">
            <w:pPr>
              <w:spacing w:line="400" w:lineRule="exact"/>
              <w:rPr>
                <w:rFonts w:ascii="新宋体" w:hAnsi="新宋体" w:eastAsia="新宋体" w:cs="新宋体"/>
                <w:color w:val="auto"/>
                <w:sz w:val="22"/>
                <w:szCs w:val="22"/>
                <w:highlight w:val="none"/>
              </w:rPr>
            </w:pPr>
          </w:p>
        </w:tc>
      </w:tr>
      <w:tr w14:paraId="6A412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52F83B36">
            <w:pPr>
              <w:spacing w:line="400" w:lineRule="exact"/>
              <w:jc w:val="center"/>
              <w:rPr>
                <w:rFonts w:ascii="新宋体" w:hAnsi="新宋体" w:eastAsia="新宋体" w:cs="新宋体"/>
                <w:color w:val="auto"/>
                <w:sz w:val="22"/>
                <w:szCs w:val="22"/>
                <w:highlight w:val="none"/>
              </w:rPr>
            </w:pPr>
          </w:p>
        </w:tc>
        <w:tc>
          <w:tcPr>
            <w:tcW w:w="1240" w:type="dxa"/>
          </w:tcPr>
          <w:p w14:paraId="64337D91">
            <w:pPr>
              <w:spacing w:line="400" w:lineRule="exact"/>
              <w:rPr>
                <w:rFonts w:ascii="新宋体" w:hAnsi="新宋体" w:eastAsia="新宋体" w:cs="新宋体"/>
                <w:color w:val="auto"/>
                <w:sz w:val="22"/>
                <w:szCs w:val="22"/>
                <w:highlight w:val="none"/>
              </w:rPr>
            </w:pPr>
          </w:p>
        </w:tc>
        <w:tc>
          <w:tcPr>
            <w:tcW w:w="1404" w:type="dxa"/>
          </w:tcPr>
          <w:p w14:paraId="07B49D78">
            <w:pPr>
              <w:spacing w:line="400" w:lineRule="exact"/>
              <w:rPr>
                <w:rFonts w:ascii="新宋体" w:hAnsi="新宋体" w:eastAsia="新宋体" w:cs="新宋体"/>
                <w:color w:val="auto"/>
                <w:sz w:val="22"/>
                <w:szCs w:val="22"/>
                <w:highlight w:val="none"/>
              </w:rPr>
            </w:pPr>
          </w:p>
        </w:tc>
        <w:tc>
          <w:tcPr>
            <w:tcW w:w="796" w:type="dxa"/>
          </w:tcPr>
          <w:p w14:paraId="72745CC3">
            <w:pPr>
              <w:spacing w:line="400" w:lineRule="exact"/>
              <w:rPr>
                <w:rFonts w:ascii="新宋体" w:hAnsi="新宋体" w:eastAsia="新宋体" w:cs="新宋体"/>
                <w:color w:val="auto"/>
                <w:sz w:val="22"/>
                <w:szCs w:val="22"/>
                <w:highlight w:val="none"/>
              </w:rPr>
            </w:pPr>
          </w:p>
        </w:tc>
        <w:tc>
          <w:tcPr>
            <w:tcW w:w="3704" w:type="dxa"/>
          </w:tcPr>
          <w:p w14:paraId="4F875E0B">
            <w:pPr>
              <w:spacing w:line="400" w:lineRule="exact"/>
              <w:rPr>
                <w:rFonts w:ascii="新宋体" w:hAnsi="新宋体" w:eastAsia="新宋体" w:cs="新宋体"/>
                <w:color w:val="auto"/>
                <w:sz w:val="22"/>
                <w:szCs w:val="22"/>
                <w:highlight w:val="none"/>
              </w:rPr>
            </w:pPr>
          </w:p>
        </w:tc>
        <w:tc>
          <w:tcPr>
            <w:tcW w:w="1568" w:type="dxa"/>
          </w:tcPr>
          <w:p w14:paraId="39692B1C">
            <w:pPr>
              <w:spacing w:line="400" w:lineRule="exact"/>
              <w:rPr>
                <w:rFonts w:ascii="新宋体" w:hAnsi="新宋体" w:eastAsia="新宋体" w:cs="新宋体"/>
                <w:color w:val="auto"/>
                <w:sz w:val="22"/>
                <w:szCs w:val="22"/>
                <w:highlight w:val="none"/>
              </w:rPr>
            </w:pPr>
          </w:p>
        </w:tc>
      </w:tr>
      <w:tr w14:paraId="32598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5FBEC686">
            <w:pPr>
              <w:spacing w:line="400" w:lineRule="exact"/>
              <w:jc w:val="center"/>
              <w:rPr>
                <w:rFonts w:ascii="新宋体" w:hAnsi="新宋体" w:eastAsia="新宋体" w:cs="新宋体"/>
                <w:color w:val="auto"/>
                <w:sz w:val="22"/>
                <w:szCs w:val="22"/>
                <w:highlight w:val="none"/>
              </w:rPr>
            </w:pPr>
          </w:p>
        </w:tc>
        <w:tc>
          <w:tcPr>
            <w:tcW w:w="1240" w:type="dxa"/>
          </w:tcPr>
          <w:p w14:paraId="68F8046D">
            <w:pPr>
              <w:spacing w:line="400" w:lineRule="exact"/>
              <w:rPr>
                <w:rFonts w:ascii="新宋体" w:hAnsi="新宋体" w:eastAsia="新宋体" w:cs="新宋体"/>
                <w:color w:val="auto"/>
                <w:sz w:val="22"/>
                <w:szCs w:val="22"/>
                <w:highlight w:val="none"/>
              </w:rPr>
            </w:pPr>
          </w:p>
        </w:tc>
        <w:tc>
          <w:tcPr>
            <w:tcW w:w="1404" w:type="dxa"/>
          </w:tcPr>
          <w:p w14:paraId="4F3F4020">
            <w:pPr>
              <w:spacing w:line="400" w:lineRule="exact"/>
              <w:rPr>
                <w:rFonts w:ascii="新宋体" w:hAnsi="新宋体" w:eastAsia="新宋体" w:cs="新宋体"/>
                <w:color w:val="auto"/>
                <w:sz w:val="22"/>
                <w:szCs w:val="22"/>
                <w:highlight w:val="none"/>
              </w:rPr>
            </w:pPr>
          </w:p>
        </w:tc>
        <w:tc>
          <w:tcPr>
            <w:tcW w:w="796" w:type="dxa"/>
          </w:tcPr>
          <w:p w14:paraId="00969E40">
            <w:pPr>
              <w:spacing w:line="400" w:lineRule="exact"/>
              <w:rPr>
                <w:rFonts w:ascii="新宋体" w:hAnsi="新宋体" w:eastAsia="新宋体" w:cs="新宋体"/>
                <w:color w:val="auto"/>
                <w:sz w:val="22"/>
                <w:szCs w:val="22"/>
                <w:highlight w:val="none"/>
              </w:rPr>
            </w:pPr>
          </w:p>
        </w:tc>
        <w:tc>
          <w:tcPr>
            <w:tcW w:w="3704" w:type="dxa"/>
          </w:tcPr>
          <w:p w14:paraId="5E4393CB">
            <w:pPr>
              <w:spacing w:line="400" w:lineRule="exact"/>
              <w:rPr>
                <w:rFonts w:ascii="新宋体" w:hAnsi="新宋体" w:eastAsia="新宋体" w:cs="新宋体"/>
                <w:color w:val="auto"/>
                <w:sz w:val="22"/>
                <w:szCs w:val="22"/>
                <w:highlight w:val="none"/>
              </w:rPr>
            </w:pPr>
          </w:p>
        </w:tc>
        <w:tc>
          <w:tcPr>
            <w:tcW w:w="1568" w:type="dxa"/>
          </w:tcPr>
          <w:p w14:paraId="70FDE76B">
            <w:pPr>
              <w:spacing w:line="400" w:lineRule="exact"/>
              <w:rPr>
                <w:rFonts w:ascii="新宋体" w:hAnsi="新宋体" w:eastAsia="新宋体" w:cs="新宋体"/>
                <w:color w:val="auto"/>
                <w:sz w:val="22"/>
                <w:szCs w:val="22"/>
                <w:highlight w:val="none"/>
              </w:rPr>
            </w:pPr>
          </w:p>
        </w:tc>
      </w:tr>
      <w:tr w14:paraId="75428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700CBC12">
            <w:pPr>
              <w:spacing w:line="400" w:lineRule="exact"/>
              <w:jc w:val="center"/>
              <w:rPr>
                <w:rFonts w:ascii="新宋体" w:hAnsi="新宋体" w:eastAsia="新宋体" w:cs="新宋体"/>
                <w:color w:val="auto"/>
                <w:sz w:val="22"/>
                <w:szCs w:val="22"/>
                <w:highlight w:val="none"/>
              </w:rPr>
            </w:pPr>
          </w:p>
        </w:tc>
        <w:tc>
          <w:tcPr>
            <w:tcW w:w="1240" w:type="dxa"/>
          </w:tcPr>
          <w:p w14:paraId="15DE1D93">
            <w:pPr>
              <w:spacing w:line="400" w:lineRule="exact"/>
              <w:rPr>
                <w:rFonts w:ascii="新宋体" w:hAnsi="新宋体" w:eastAsia="新宋体" w:cs="新宋体"/>
                <w:color w:val="auto"/>
                <w:sz w:val="22"/>
                <w:szCs w:val="22"/>
                <w:highlight w:val="none"/>
              </w:rPr>
            </w:pPr>
          </w:p>
        </w:tc>
        <w:tc>
          <w:tcPr>
            <w:tcW w:w="1404" w:type="dxa"/>
          </w:tcPr>
          <w:p w14:paraId="590F866B">
            <w:pPr>
              <w:spacing w:line="400" w:lineRule="exact"/>
              <w:rPr>
                <w:rFonts w:ascii="新宋体" w:hAnsi="新宋体" w:eastAsia="新宋体" w:cs="新宋体"/>
                <w:color w:val="auto"/>
                <w:sz w:val="22"/>
                <w:szCs w:val="22"/>
                <w:highlight w:val="none"/>
              </w:rPr>
            </w:pPr>
          </w:p>
        </w:tc>
        <w:tc>
          <w:tcPr>
            <w:tcW w:w="796" w:type="dxa"/>
          </w:tcPr>
          <w:p w14:paraId="37F702E9">
            <w:pPr>
              <w:spacing w:line="400" w:lineRule="exact"/>
              <w:rPr>
                <w:rFonts w:ascii="新宋体" w:hAnsi="新宋体" w:eastAsia="新宋体" w:cs="新宋体"/>
                <w:color w:val="auto"/>
                <w:sz w:val="22"/>
                <w:szCs w:val="22"/>
                <w:highlight w:val="none"/>
              </w:rPr>
            </w:pPr>
          </w:p>
        </w:tc>
        <w:tc>
          <w:tcPr>
            <w:tcW w:w="3704" w:type="dxa"/>
          </w:tcPr>
          <w:p w14:paraId="5133BEDD">
            <w:pPr>
              <w:spacing w:line="400" w:lineRule="exact"/>
              <w:rPr>
                <w:rFonts w:ascii="新宋体" w:hAnsi="新宋体" w:eastAsia="新宋体" w:cs="新宋体"/>
                <w:color w:val="auto"/>
                <w:sz w:val="22"/>
                <w:szCs w:val="22"/>
                <w:highlight w:val="none"/>
              </w:rPr>
            </w:pPr>
          </w:p>
        </w:tc>
        <w:tc>
          <w:tcPr>
            <w:tcW w:w="1568" w:type="dxa"/>
          </w:tcPr>
          <w:p w14:paraId="628F872D">
            <w:pPr>
              <w:spacing w:line="400" w:lineRule="exact"/>
              <w:rPr>
                <w:rFonts w:ascii="新宋体" w:hAnsi="新宋体" w:eastAsia="新宋体" w:cs="新宋体"/>
                <w:color w:val="auto"/>
                <w:sz w:val="22"/>
                <w:szCs w:val="22"/>
                <w:highlight w:val="none"/>
              </w:rPr>
            </w:pPr>
          </w:p>
        </w:tc>
      </w:tr>
      <w:tr w14:paraId="693E2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atLeast"/>
          <w:jc w:val="center"/>
        </w:trPr>
        <w:tc>
          <w:tcPr>
            <w:tcW w:w="956" w:type="dxa"/>
            <w:vAlign w:val="center"/>
          </w:tcPr>
          <w:p w14:paraId="6757CF95">
            <w:pPr>
              <w:spacing w:line="400" w:lineRule="exact"/>
              <w:jc w:val="center"/>
              <w:rPr>
                <w:rFonts w:ascii="新宋体" w:hAnsi="新宋体" w:eastAsia="新宋体" w:cs="新宋体"/>
                <w:color w:val="auto"/>
                <w:sz w:val="22"/>
                <w:szCs w:val="22"/>
                <w:highlight w:val="none"/>
              </w:rPr>
            </w:pPr>
          </w:p>
        </w:tc>
        <w:tc>
          <w:tcPr>
            <w:tcW w:w="1240" w:type="dxa"/>
          </w:tcPr>
          <w:p w14:paraId="664A3B5E">
            <w:pPr>
              <w:spacing w:line="400" w:lineRule="exact"/>
              <w:rPr>
                <w:rFonts w:ascii="新宋体" w:hAnsi="新宋体" w:eastAsia="新宋体" w:cs="新宋体"/>
                <w:color w:val="auto"/>
                <w:sz w:val="22"/>
                <w:szCs w:val="22"/>
                <w:highlight w:val="none"/>
              </w:rPr>
            </w:pPr>
          </w:p>
        </w:tc>
        <w:tc>
          <w:tcPr>
            <w:tcW w:w="1404" w:type="dxa"/>
          </w:tcPr>
          <w:p w14:paraId="03403230">
            <w:pPr>
              <w:spacing w:line="400" w:lineRule="exact"/>
              <w:rPr>
                <w:rFonts w:ascii="新宋体" w:hAnsi="新宋体" w:eastAsia="新宋体" w:cs="新宋体"/>
                <w:color w:val="auto"/>
                <w:sz w:val="22"/>
                <w:szCs w:val="22"/>
                <w:highlight w:val="none"/>
              </w:rPr>
            </w:pPr>
          </w:p>
        </w:tc>
        <w:tc>
          <w:tcPr>
            <w:tcW w:w="796" w:type="dxa"/>
          </w:tcPr>
          <w:p w14:paraId="3DE7BAEA">
            <w:pPr>
              <w:spacing w:line="400" w:lineRule="exact"/>
              <w:rPr>
                <w:rFonts w:ascii="新宋体" w:hAnsi="新宋体" w:eastAsia="新宋体" w:cs="新宋体"/>
                <w:color w:val="auto"/>
                <w:sz w:val="22"/>
                <w:szCs w:val="22"/>
                <w:highlight w:val="none"/>
              </w:rPr>
            </w:pPr>
          </w:p>
        </w:tc>
        <w:tc>
          <w:tcPr>
            <w:tcW w:w="3704" w:type="dxa"/>
          </w:tcPr>
          <w:p w14:paraId="16E9E787">
            <w:pPr>
              <w:spacing w:line="400" w:lineRule="exact"/>
              <w:rPr>
                <w:rFonts w:ascii="新宋体" w:hAnsi="新宋体" w:eastAsia="新宋体" w:cs="新宋体"/>
                <w:color w:val="auto"/>
                <w:sz w:val="22"/>
                <w:szCs w:val="22"/>
                <w:highlight w:val="none"/>
              </w:rPr>
            </w:pPr>
          </w:p>
        </w:tc>
        <w:tc>
          <w:tcPr>
            <w:tcW w:w="1568" w:type="dxa"/>
          </w:tcPr>
          <w:p w14:paraId="1D95BBCD">
            <w:pPr>
              <w:spacing w:line="400" w:lineRule="exact"/>
              <w:rPr>
                <w:rFonts w:ascii="新宋体" w:hAnsi="新宋体" w:eastAsia="新宋体" w:cs="新宋体"/>
                <w:color w:val="auto"/>
                <w:sz w:val="22"/>
                <w:szCs w:val="22"/>
                <w:highlight w:val="none"/>
              </w:rPr>
            </w:pPr>
          </w:p>
        </w:tc>
      </w:tr>
      <w:tr w14:paraId="13570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6FBF567A">
            <w:pPr>
              <w:spacing w:line="400" w:lineRule="exact"/>
              <w:jc w:val="center"/>
              <w:rPr>
                <w:rFonts w:ascii="新宋体" w:hAnsi="新宋体" w:eastAsia="新宋体" w:cs="新宋体"/>
                <w:color w:val="auto"/>
                <w:sz w:val="22"/>
                <w:szCs w:val="22"/>
                <w:highlight w:val="none"/>
              </w:rPr>
            </w:pPr>
          </w:p>
        </w:tc>
        <w:tc>
          <w:tcPr>
            <w:tcW w:w="1240" w:type="dxa"/>
          </w:tcPr>
          <w:p w14:paraId="17807DC2">
            <w:pPr>
              <w:spacing w:line="400" w:lineRule="exact"/>
              <w:rPr>
                <w:rFonts w:ascii="新宋体" w:hAnsi="新宋体" w:eastAsia="新宋体" w:cs="新宋体"/>
                <w:color w:val="auto"/>
                <w:sz w:val="22"/>
                <w:szCs w:val="22"/>
                <w:highlight w:val="none"/>
              </w:rPr>
            </w:pPr>
          </w:p>
        </w:tc>
        <w:tc>
          <w:tcPr>
            <w:tcW w:w="1404" w:type="dxa"/>
          </w:tcPr>
          <w:p w14:paraId="6CB4A2CC">
            <w:pPr>
              <w:spacing w:line="400" w:lineRule="exact"/>
              <w:rPr>
                <w:rFonts w:ascii="新宋体" w:hAnsi="新宋体" w:eastAsia="新宋体" w:cs="新宋体"/>
                <w:color w:val="auto"/>
                <w:sz w:val="22"/>
                <w:szCs w:val="22"/>
                <w:highlight w:val="none"/>
              </w:rPr>
            </w:pPr>
          </w:p>
        </w:tc>
        <w:tc>
          <w:tcPr>
            <w:tcW w:w="796" w:type="dxa"/>
          </w:tcPr>
          <w:p w14:paraId="5A7CFC11">
            <w:pPr>
              <w:spacing w:line="400" w:lineRule="exact"/>
              <w:rPr>
                <w:rFonts w:ascii="新宋体" w:hAnsi="新宋体" w:eastAsia="新宋体" w:cs="新宋体"/>
                <w:color w:val="auto"/>
                <w:sz w:val="22"/>
                <w:szCs w:val="22"/>
                <w:highlight w:val="none"/>
              </w:rPr>
            </w:pPr>
          </w:p>
        </w:tc>
        <w:tc>
          <w:tcPr>
            <w:tcW w:w="3704" w:type="dxa"/>
          </w:tcPr>
          <w:p w14:paraId="268675E9">
            <w:pPr>
              <w:spacing w:line="400" w:lineRule="exact"/>
              <w:rPr>
                <w:rFonts w:ascii="新宋体" w:hAnsi="新宋体" w:eastAsia="新宋体" w:cs="新宋体"/>
                <w:color w:val="auto"/>
                <w:sz w:val="22"/>
                <w:szCs w:val="22"/>
                <w:highlight w:val="none"/>
              </w:rPr>
            </w:pPr>
          </w:p>
        </w:tc>
        <w:tc>
          <w:tcPr>
            <w:tcW w:w="1568" w:type="dxa"/>
          </w:tcPr>
          <w:p w14:paraId="641CCC2B">
            <w:pPr>
              <w:spacing w:line="400" w:lineRule="exact"/>
              <w:rPr>
                <w:rFonts w:ascii="新宋体" w:hAnsi="新宋体" w:eastAsia="新宋体" w:cs="新宋体"/>
                <w:color w:val="auto"/>
                <w:sz w:val="22"/>
                <w:szCs w:val="22"/>
                <w:highlight w:val="none"/>
              </w:rPr>
            </w:pPr>
          </w:p>
        </w:tc>
      </w:tr>
      <w:tr w14:paraId="4A669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5CB69DBC">
            <w:pPr>
              <w:spacing w:line="400" w:lineRule="exact"/>
              <w:jc w:val="center"/>
              <w:rPr>
                <w:rFonts w:ascii="新宋体" w:hAnsi="新宋体" w:eastAsia="新宋体" w:cs="新宋体"/>
                <w:color w:val="auto"/>
                <w:sz w:val="22"/>
                <w:szCs w:val="22"/>
                <w:highlight w:val="none"/>
              </w:rPr>
            </w:pPr>
          </w:p>
        </w:tc>
        <w:tc>
          <w:tcPr>
            <w:tcW w:w="1240" w:type="dxa"/>
          </w:tcPr>
          <w:p w14:paraId="33D55E92">
            <w:pPr>
              <w:spacing w:line="400" w:lineRule="exact"/>
              <w:rPr>
                <w:rFonts w:ascii="新宋体" w:hAnsi="新宋体" w:eastAsia="新宋体" w:cs="新宋体"/>
                <w:color w:val="auto"/>
                <w:sz w:val="22"/>
                <w:szCs w:val="22"/>
                <w:highlight w:val="none"/>
              </w:rPr>
            </w:pPr>
          </w:p>
        </w:tc>
        <w:tc>
          <w:tcPr>
            <w:tcW w:w="1404" w:type="dxa"/>
          </w:tcPr>
          <w:p w14:paraId="0B87F291">
            <w:pPr>
              <w:spacing w:line="400" w:lineRule="exact"/>
              <w:rPr>
                <w:rFonts w:ascii="新宋体" w:hAnsi="新宋体" w:eastAsia="新宋体" w:cs="新宋体"/>
                <w:color w:val="auto"/>
                <w:sz w:val="22"/>
                <w:szCs w:val="22"/>
                <w:highlight w:val="none"/>
              </w:rPr>
            </w:pPr>
          </w:p>
        </w:tc>
        <w:tc>
          <w:tcPr>
            <w:tcW w:w="796" w:type="dxa"/>
          </w:tcPr>
          <w:p w14:paraId="39A3C4BA">
            <w:pPr>
              <w:spacing w:line="400" w:lineRule="exact"/>
              <w:rPr>
                <w:rFonts w:ascii="新宋体" w:hAnsi="新宋体" w:eastAsia="新宋体" w:cs="新宋体"/>
                <w:color w:val="auto"/>
                <w:sz w:val="22"/>
                <w:szCs w:val="22"/>
                <w:highlight w:val="none"/>
              </w:rPr>
            </w:pPr>
          </w:p>
        </w:tc>
        <w:tc>
          <w:tcPr>
            <w:tcW w:w="3704" w:type="dxa"/>
          </w:tcPr>
          <w:p w14:paraId="3CBE668F">
            <w:pPr>
              <w:spacing w:line="400" w:lineRule="exact"/>
              <w:rPr>
                <w:rFonts w:ascii="新宋体" w:hAnsi="新宋体" w:eastAsia="新宋体" w:cs="新宋体"/>
                <w:color w:val="auto"/>
                <w:sz w:val="22"/>
                <w:szCs w:val="22"/>
                <w:highlight w:val="none"/>
              </w:rPr>
            </w:pPr>
          </w:p>
        </w:tc>
        <w:tc>
          <w:tcPr>
            <w:tcW w:w="1568" w:type="dxa"/>
          </w:tcPr>
          <w:p w14:paraId="7BC06DD3">
            <w:pPr>
              <w:spacing w:line="400" w:lineRule="exact"/>
              <w:rPr>
                <w:rFonts w:ascii="新宋体" w:hAnsi="新宋体" w:eastAsia="新宋体" w:cs="新宋体"/>
                <w:color w:val="auto"/>
                <w:sz w:val="22"/>
                <w:szCs w:val="22"/>
                <w:highlight w:val="none"/>
              </w:rPr>
            </w:pPr>
          </w:p>
        </w:tc>
      </w:tr>
      <w:tr w14:paraId="13D1E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30723B07">
            <w:pPr>
              <w:spacing w:line="400" w:lineRule="exact"/>
              <w:jc w:val="center"/>
              <w:rPr>
                <w:rFonts w:ascii="新宋体" w:hAnsi="新宋体" w:eastAsia="新宋体" w:cs="新宋体"/>
                <w:color w:val="auto"/>
                <w:sz w:val="22"/>
                <w:szCs w:val="22"/>
                <w:highlight w:val="none"/>
              </w:rPr>
            </w:pPr>
          </w:p>
        </w:tc>
        <w:tc>
          <w:tcPr>
            <w:tcW w:w="1240" w:type="dxa"/>
          </w:tcPr>
          <w:p w14:paraId="26C7EDCA">
            <w:pPr>
              <w:spacing w:line="400" w:lineRule="exact"/>
              <w:rPr>
                <w:rFonts w:ascii="新宋体" w:hAnsi="新宋体" w:eastAsia="新宋体" w:cs="新宋体"/>
                <w:color w:val="auto"/>
                <w:sz w:val="22"/>
                <w:szCs w:val="22"/>
                <w:highlight w:val="none"/>
              </w:rPr>
            </w:pPr>
          </w:p>
        </w:tc>
        <w:tc>
          <w:tcPr>
            <w:tcW w:w="1404" w:type="dxa"/>
          </w:tcPr>
          <w:p w14:paraId="59CE56C6">
            <w:pPr>
              <w:spacing w:line="400" w:lineRule="exact"/>
              <w:rPr>
                <w:rFonts w:ascii="新宋体" w:hAnsi="新宋体" w:eastAsia="新宋体" w:cs="新宋体"/>
                <w:color w:val="auto"/>
                <w:sz w:val="22"/>
                <w:szCs w:val="22"/>
                <w:highlight w:val="none"/>
              </w:rPr>
            </w:pPr>
          </w:p>
        </w:tc>
        <w:tc>
          <w:tcPr>
            <w:tcW w:w="796" w:type="dxa"/>
          </w:tcPr>
          <w:p w14:paraId="1AE3004C">
            <w:pPr>
              <w:spacing w:line="400" w:lineRule="exact"/>
              <w:rPr>
                <w:rFonts w:ascii="新宋体" w:hAnsi="新宋体" w:eastAsia="新宋体" w:cs="新宋体"/>
                <w:color w:val="auto"/>
                <w:sz w:val="22"/>
                <w:szCs w:val="22"/>
                <w:highlight w:val="none"/>
              </w:rPr>
            </w:pPr>
          </w:p>
        </w:tc>
        <w:tc>
          <w:tcPr>
            <w:tcW w:w="3704" w:type="dxa"/>
          </w:tcPr>
          <w:p w14:paraId="4A6FF8EE">
            <w:pPr>
              <w:spacing w:line="400" w:lineRule="exact"/>
              <w:rPr>
                <w:rFonts w:ascii="新宋体" w:hAnsi="新宋体" w:eastAsia="新宋体" w:cs="新宋体"/>
                <w:color w:val="auto"/>
                <w:sz w:val="22"/>
                <w:szCs w:val="22"/>
                <w:highlight w:val="none"/>
              </w:rPr>
            </w:pPr>
          </w:p>
        </w:tc>
        <w:tc>
          <w:tcPr>
            <w:tcW w:w="1568" w:type="dxa"/>
          </w:tcPr>
          <w:p w14:paraId="33F74F12">
            <w:pPr>
              <w:spacing w:line="400" w:lineRule="exact"/>
              <w:rPr>
                <w:rFonts w:ascii="新宋体" w:hAnsi="新宋体" w:eastAsia="新宋体" w:cs="新宋体"/>
                <w:color w:val="auto"/>
                <w:sz w:val="22"/>
                <w:szCs w:val="22"/>
                <w:highlight w:val="none"/>
              </w:rPr>
            </w:pPr>
          </w:p>
        </w:tc>
      </w:tr>
      <w:tr w14:paraId="5EFEC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2712B920">
            <w:pPr>
              <w:spacing w:line="400" w:lineRule="exact"/>
              <w:jc w:val="center"/>
              <w:rPr>
                <w:rFonts w:ascii="新宋体" w:hAnsi="新宋体" w:eastAsia="新宋体" w:cs="新宋体"/>
                <w:color w:val="auto"/>
                <w:sz w:val="22"/>
                <w:szCs w:val="22"/>
                <w:highlight w:val="none"/>
              </w:rPr>
            </w:pPr>
          </w:p>
        </w:tc>
        <w:tc>
          <w:tcPr>
            <w:tcW w:w="1240" w:type="dxa"/>
          </w:tcPr>
          <w:p w14:paraId="0F837F90">
            <w:pPr>
              <w:spacing w:line="400" w:lineRule="exact"/>
              <w:rPr>
                <w:rFonts w:ascii="新宋体" w:hAnsi="新宋体" w:eastAsia="新宋体" w:cs="新宋体"/>
                <w:color w:val="auto"/>
                <w:sz w:val="22"/>
                <w:szCs w:val="22"/>
                <w:highlight w:val="none"/>
              </w:rPr>
            </w:pPr>
          </w:p>
        </w:tc>
        <w:tc>
          <w:tcPr>
            <w:tcW w:w="1404" w:type="dxa"/>
          </w:tcPr>
          <w:p w14:paraId="66075AF4">
            <w:pPr>
              <w:spacing w:line="400" w:lineRule="exact"/>
              <w:rPr>
                <w:rFonts w:ascii="新宋体" w:hAnsi="新宋体" w:eastAsia="新宋体" w:cs="新宋体"/>
                <w:color w:val="auto"/>
                <w:sz w:val="22"/>
                <w:szCs w:val="22"/>
                <w:highlight w:val="none"/>
              </w:rPr>
            </w:pPr>
          </w:p>
        </w:tc>
        <w:tc>
          <w:tcPr>
            <w:tcW w:w="796" w:type="dxa"/>
          </w:tcPr>
          <w:p w14:paraId="0B068831">
            <w:pPr>
              <w:spacing w:line="400" w:lineRule="exact"/>
              <w:rPr>
                <w:rFonts w:ascii="新宋体" w:hAnsi="新宋体" w:eastAsia="新宋体" w:cs="新宋体"/>
                <w:color w:val="auto"/>
                <w:sz w:val="22"/>
                <w:szCs w:val="22"/>
                <w:highlight w:val="none"/>
              </w:rPr>
            </w:pPr>
          </w:p>
        </w:tc>
        <w:tc>
          <w:tcPr>
            <w:tcW w:w="3704" w:type="dxa"/>
          </w:tcPr>
          <w:p w14:paraId="1B86D564">
            <w:pPr>
              <w:spacing w:line="400" w:lineRule="exact"/>
              <w:rPr>
                <w:rFonts w:ascii="新宋体" w:hAnsi="新宋体" w:eastAsia="新宋体" w:cs="新宋体"/>
                <w:color w:val="auto"/>
                <w:sz w:val="22"/>
                <w:szCs w:val="22"/>
                <w:highlight w:val="none"/>
              </w:rPr>
            </w:pPr>
          </w:p>
        </w:tc>
        <w:tc>
          <w:tcPr>
            <w:tcW w:w="1568" w:type="dxa"/>
          </w:tcPr>
          <w:p w14:paraId="2D9AE952">
            <w:pPr>
              <w:spacing w:line="400" w:lineRule="exact"/>
              <w:rPr>
                <w:rFonts w:ascii="新宋体" w:hAnsi="新宋体" w:eastAsia="新宋体" w:cs="新宋体"/>
                <w:color w:val="auto"/>
                <w:sz w:val="22"/>
                <w:szCs w:val="22"/>
                <w:highlight w:val="none"/>
              </w:rPr>
            </w:pPr>
          </w:p>
        </w:tc>
      </w:tr>
      <w:tr w14:paraId="01DEF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atLeast"/>
          <w:jc w:val="center"/>
        </w:trPr>
        <w:tc>
          <w:tcPr>
            <w:tcW w:w="956" w:type="dxa"/>
            <w:vAlign w:val="center"/>
          </w:tcPr>
          <w:p w14:paraId="7554A77F">
            <w:pPr>
              <w:spacing w:line="400" w:lineRule="exact"/>
              <w:jc w:val="center"/>
              <w:rPr>
                <w:rFonts w:ascii="新宋体" w:hAnsi="新宋体" w:eastAsia="新宋体" w:cs="新宋体"/>
                <w:color w:val="auto"/>
                <w:sz w:val="22"/>
                <w:szCs w:val="22"/>
                <w:highlight w:val="none"/>
              </w:rPr>
            </w:pPr>
          </w:p>
        </w:tc>
        <w:tc>
          <w:tcPr>
            <w:tcW w:w="1240" w:type="dxa"/>
          </w:tcPr>
          <w:p w14:paraId="3EFF22ED">
            <w:pPr>
              <w:spacing w:line="400" w:lineRule="exact"/>
              <w:rPr>
                <w:rFonts w:ascii="新宋体" w:hAnsi="新宋体" w:eastAsia="新宋体" w:cs="新宋体"/>
                <w:color w:val="auto"/>
                <w:sz w:val="22"/>
                <w:szCs w:val="22"/>
                <w:highlight w:val="none"/>
              </w:rPr>
            </w:pPr>
          </w:p>
        </w:tc>
        <w:tc>
          <w:tcPr>
            <w:tcW w:w="1404" w:type="dxa"/>
          </w:tcPr>
          <w:p w14:paraId="4582C51F">
            <w:pPr>
              <w:spacing w:line="400" w:lineRule="exact"/>
              <w:rPr>
                <w:rFonts w:ascii="新宋体" w:hAnsi="新宋体" w:eastAsia="新宋体" w:cs="新宋体"/>
                <w:color w:val="auto"/>
                <w:sz w:val="22"/>
                <w:szCs w:val="22"/>
                <w:highlight w:val="none"/>
              </w:rPr>
            </w:pPr>
          </w:p>
        </w:tc>
        <w:tc>
          <w:tcPr>
            <w:tcW w:w="796" w:type="dxa"/>
          </w:tcPr>
          <w:p w14:paraId="5E222A47">
            <w:pPr>
              <w:spacing w:line="400" w:lineRule="exact"/>
              <w:rPr>
                <w:rFonts w:ascii="新宋体" w:hAnsi="新宋体" w:eastAsia="新宋体" w:cs="新宋体"/>
                <w:color w:val="auto"/>
                <w:sz w:val="22"/>
                <w:szCs w:val="22"/>
                <w:highlight w:val="none"/>
              </w:rPr>
            </w:pPr>
          </w:p>
        </w:tc>
        <w:tc>
          <w:tcPr>
            <w:tcW w:w="3704" w:type="dxa"/>
          </w:tcPr>
          <w:p w14:paraId="56F19241">
            <w:pPr>
              <w:spacing w:line="400" w:lineRule="exact"/>
              <w:rPr>
                <w:rFonts w:ascii="新宋体" w:hAnsi="新宋体" w:eastAsia="新宋体" w:cs="新宋体"/>
                <w:color w:val="auto"/>
                <w:sz w:val="22"/>
                <w:szCs w:val="22"/>
                <w:highlight w:val="none"/>
              </w:rPr>
            </w:pPr>
          </w:p>
        </w:tc>
        <w:tc>
          <w:tcPr>
            <w:tcW w:w="1568" w:type="dxa"/>
          </w:tcPr>
          <w:p w14:paraId="42ED3FDB">
            <w:pPr>
              <w:spacing w:line="400" w:lineRule="exact"/>
              <w:rPr>
                <w:rFonts w:ascii="新宋体" w:hAnsi="新宋体" w:eastAsia="新宋体" w:cs="新宋体"/>
                <w:color w:val="auto"/>
                <w:sz w:val="22"/>
                <w:szCs w:val="22"/>
                <w:highlight w:val="none"/>
              </w:rPr>
            </w:pPr>
          </w:p>
        </w:tc>
      </w:tr>
      <w:tr w14:paraId="00D91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2286F03F">
            <w:pPr>
              <w:spacing w:line="400" w:lineRule="exact"/>
              <w:jc w:val="center"/>
              <w:rPr>
                <w:rFonts w:ascii="新宋体" w:hAnsi="新宋体" w:eastAsia="新宋体" w:cs="新宋体"/>
                <w:color w:val="auto"/>
                <w:sz w:val="22"/>
                <w:szCs w:val="22"/>
                <w:highlight w:val="none"/>
              </w:rPr>
            </w:pPr>
          </w:p>
        </w:tc>
        <w:tc>
          <w:tcPr>
            <w:tcW w:w="1240" w:type="dxa"/>
          </w:tcPr>
          <w:p w14:paraId="219DA0E1">
            <w:pPr>
              <w:spacing w:line="400" w:lineRule="exact"/>
              <w:rPr>
                <w:rFonts w:ascii="新宋体" w:hAnsi="新宋体" w:eastAsia="新宋体" w:cs="新宋体"/>
                <w:color w:val="auto"/>
                <w:sz w:val="22"/>
                <w:szCs w:val="22"/>
                <w:highlight w:val="none"/>
              </w:rPr>
            </w:pPr>
          </w:p>
        </w:tc>
        <w:tc>
          <w:tcPr>
            <w:tcW w:w="1404" w:type="dxa"/>
          </w:tcPr>
          <w:p w14:paraId="535644F2">
            <w:pPr>
              <w:spacing w:line="400" w:lineRule="exact"/>
              <w:rPr>
                <w:rFonts w:ascii="新宋体" w:hAnsi="新宋体" w:eastAsia="新宋体" w:cs="新宋体"/>
                <w:color w:val="auto"/>
                <w:sz w:val="22"/>
                <w:szCs w:val="22"/>
                <w:highlight w:val="none"/>
              </w:rPr>
            </w:pPr>
          </w:p>
        </w:tc>
        <w:tc>
          <w:tcPr>
            <w:tcW w:w="796" w:type="dxa"/>
          </w:tcPr>
          <w:p w14:paraId="306DF373">
            <w:pPr>
              <w:spacing w:line="400" w:lineRule="exact"/>
              <w:rPr>
                <w:rFonts w:ascii="新宋体" w:hAnsi="新宋体" w:eastAsia="新宋体" w:cs="新宋体"/>
                <w:color w:val="auto"/>
                <w:sz w:val="22"/>
                <w:szCs w:val="22"/>
                <w:highlight w:val="none"/>
              </w:rPr>
            </w:pPr>
          </w:p>
        </w:tc>
        <w:tc>
          <w:tcPr>
            <w:tcW w:w="3704" w:type="dxa"/>
          </w:tcPr>
          <w:p w14:paraId="02A166C3">
            <w:pPr>
              <w:spacing w:line="400" w:lineRule="exact"/>
              <w:rPr>
                <w:rFonts w:ascii="新宋体" w:hAnsi="新宋体" w:eastAsia="新宋体" w:cs="新宋体"/>
                <w:color w:val="auto"/>
                <w:sz w:val="22"/>
                <w:szCs w:val="22"/>
                <w:highlight w:val="none"/>
              </w:rPr>
            </w:pPr>
          </w:p>
        </w:tc>
        <w:tc>
          <w:tcPr>
            <w:tcW w:w="1568" w:type="dxa"/>
          </w:tcPr>
          <w:p w14:paraId="2F50E22A">
            <w:pPr>
              <w:spacing w:line="400" w:lineRule="exact"/>
              <w:rPr>
                <w:rFonts w:ascii="新宋体" w:hAnsi="新宋体" w:eastAsia="新宋体" w:cs="新宋体"/>
                <w:color w:val="auto"/>
                <w:sz w:val="22"/>
                <w:szCs w:val="22"/>
                <w:highlight w:val="none"/>
              </w:rPr>
            </w:pPr>
          </w:p>
        </w:tc>
      </w:tr>
      <w:tr w14:paraId="1AAB9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5D958288">
            <w:pPr>
              <w:spacing w:line="400" w:lineRule="exact"/>
              <w:jc w:val="center"/>
              <w:rPr>
                <w:rFonts w:ascii="新宋体" w:hAnsi="新宋体" w:eastAsia="新宋体" w:cs="新宋体"/>
                <w:color w:val="auto"/>
                <w:sz w:val="22"/>
                <w:szCs w:val="22"/>
                <w:highlight w:val="none"/>
              </w:rPr>
            </w:pPr>
          </w:p>
        </w:tc>
        <w:tc>
          <w:tcPr>
            <w:tcW w:w="1240" w:type="dxa"/>
          </w:tcPr>
          <w:p w14:paraId="3B24CCF1">
            <w:pPr>
              <w:spacing w:line="400" w:lineRule="exact"/>
              <w:rPr>
                <w:rFonts w:ascii="新宋体" w:hAnsi="新宋体" w:eastAsia="新宋体" w:cs="新宋体"/>
                <w:color w:val="auto"/>
                <w:sz w:val="22"/>
                <w:szCs w:val="22"/>
                <w:highlight w:val="none"/>
              </w:rPr>
            </w:pPr>
          </w:p>
        </w:tc>
        <w:tc>
          <w:tcPr>
            <w:tcW w:w="1404" w:type="dxa"/>
          </w:tcPr>
          <w:p w14:paraId="701D0DBD">
            <w:pPr>
              <w:spacing w:line="400" w:lineRule="exact"/>
              <w:rPr>
                <w:rFonts w:ascii="新宋体" w:hAnsi="新宋体" w:eastAsia="新宋体" w:cs="新宋体"/>
                <w:color w:val="auto"/>
                <w:sz w:val="22"/>
                <w:szCs w:val="22"/>
                <w:highlight w:val="none"/>
              </w:rPr>
            </w:pPr>
          </w:p>
        </w:tc>
        <w:tc>
          <w:tcPr>
            <w:tcW w:w="796" w:type="dxa"/>
          </w:tcPr>
          <w:p w14:paraId="301C50C6">
            <w:pPr>
              <w:spacing w:line="400" w:lineRule="exact"/>
              <w:rPr>
                <w:rFonts w:ascii="新宋体" w:hAnsi="新宋体" w:eastAsia="新宋体" w:cs="新宋体"/>
                <w:color w:val="auto"/>
                <w:sz w:val="22"/>
                <w:szCs w:val="22"/>
                <w:highlight w:val="none"/>
              </w:rPr>
            </w:pPr>
          </w:p>
        </w:tc>
        <w:tc>
          <w:tcPr>
            <w:tcW w:w="3704" w:type="dxa"/>
          </w:tcPr>
          <w:p w14:paraId="3D7D4B24">
            <w:pPr>
              <w:spacing w:line="400" w:lineRule="exact"/>
              <w:rPr>
                <w:rFonts w:ascii="新宋体" w:hAnsi="新宋体" w:eastAsia="新宋体" w:cs="新宋体"/>
                <w:color w:val="auto"/>
                <w:sz w:val="22"/>
                <w:szCs w:val="22"/>
                <w:highlight w:val="none"/>
              </w:rPr>
            </w:pPr>
          </w:p>
        </w:tc>
        <w:tc>
          <w:tcPr>
            <w:tcW w:w="1568" w:type="dxa"/>
          </w:tcPr>
          <w:p w14:paraId="745E0A3B">
            <w:pPr>
              <w:spacing w:line="400" w:lineRule="exact"/>
              <w:rPr>
                <w:rFonts w:ascii="新宋体" w:hAnsi="新宋体" w:eastAsia="新宋体" w:cs="新宋体"/>
                <w:color w:val="auto"/>
                <w:sz w:val="22"/>
                <w:szCs w:val="22"/>
                <w:highlight w:val="none"/>
              </w:rPr>
            </w:pPr>
          </w:p>
        </w:tc>
      </w:tr>
      <w:tr w14:paraId="7F696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vAlign w:val="center"/>
          </w:tcPr>
          <w:p w14:paraId="074DBA6B">
            <w:pPr>
              <w:spacing w:line="400" w:lineRule="exact"/>
              <w:jc w:val="center"/>
              <w:rPr>
                <w:rFonts w:ascii="新宋体" w:hAnsi="新宋体" w:eastAsia="新宋体" w:cs="新宋体"/>
                <w:color w:val="auto"/>
                <w:sz w:val="22"/>
                <w:szCs w:val="22"/>
                <w:highlight w:val="none"/>
              </w:rPr>
            </w:pPr>
          </w:p>
        </w:tc>
        <w:tc>
          <w:tcPr>
            <w:tcW w:w="1240" w:type="dxa"/>
          </w:tcPr>
          <w:p w14:paraId="70B2A1DE">
            <w:pPr>
              <w:spacing w:line="400" w:lineRule="exact"/>
              <w:rPr>
                <w:rFonts w:ascii="新宋体" w:hAnsi="新宋体" w:eastAsia="新宋体" w:cs="新宋体"/>
                <w:color w:val="auto"/>
                <w:sz w:val="22"/>
                <w:szCs w:val="22"/>
                <w:highlight w:val="none"/>
              </w:rPr>
            </w:pPr>
          </w:p>
        </w:tc>
        <w:tc>
          <w:tcPr>
            <w:tcW w:w="1404" w:type="dxa"/>
          </w:tcPr>
          <w:p w14:paraId="0DCC9EE4">
            <w:pPr>
              <w:spacing w:line="400" w:lineRule="exact"/>
              <w:rPr>
                <w:rFonts w:ascii="新宋体" w:hAnsi="新宋体" w:eastAsia="新宋体" w:cs="新宋体"/>
                <w:color w:val="auto"/>
                <w:sz w:val="22"/>
                <w:szCs w:val="22"/>
                <w:highlight w:val="none"/>
              </w:rPr>
            </w:pPr>
          </w:p>
        </w:tc>
        <w:tc>
          <w:tcPr>
            <w:tcW w:w="796" w:type="dxa"/>
          </w:tcPr>
          <w:p w14:paraId="49B05CC3">
            <w:pPr>
              <w:spacing w:line="400" w:lineRule="exact"/>
              <w:rPr>
                <w:rFonts w:ascii="新宋体" w:hAnsi="新宋体" w:eastAsia="新宋体" w:cs="新宋体"/>
                <w:color w:val="auto"/>
                <w:sz w:val="22"/>
                <w:szCs w:val="22"/>
                <w:highlight w:val="none"/>
              </w:rPr>
            </w:pPr>
          </w:p>
        </w:tc>
        <w:tc>
          <w:tcPr>
            <w:tcW w:w="3704" w:type="dxa"/>
          </w:tcPr>
          <w:p w14:paraId="5DE86D20">
            <w:pPr>
              <w:spacing w:line="400" w:lineRule="exact"/>
              <w:rPr>
                <w:rFonts w:ascii="新宋体" w:hAnsi="新宋体" w:eastAsia="新宋体" w:cs="新宋体"/>
                <w:color w:val="auto"/>
                <w:sz w:val="22"/>
                <w:szCs w:val="22"/>
                <w:highlight w:val="none"/>
              </w:rPr>
            </w:pPr>
          </w:p>
        </w:tc>
        <w:tc>
          <w:tcPr>
            <w:tcW w:w="1568" w:type="dxa"/>
          </w:tcPr>
          <w:p w14:paraId="428FECAA">
            <w:pPr>
              <w:spacing w:line="400" w:lineRule="exact"/>
              <w:rPr>
                <w:rFonts w:ascii="新宋体" w:hAnsi="新宋体" w:eastAsia="新宋体" w:cs="新宋体"/>
                <w:color w:val="auto"/>
                <w:sz w:val="22"/>
                <w:szCs w:val="22"/>
                <w:highlight w:val="none"/>
              </w:rPr>
            </w:pPr>
          </w:p>
        </w:tc>
      </w:tr>
    </w:tbl>
    <w:p w14:paraId="4F15C315">
      <w:pPr>
        <w:tabs>
          <w:tab w:val="left" w:pos="360"/>
        </w:tabs>
        <w:spacing w:line="460" w:lineRule="exact"/>
        <w:ind w:firstLine="552" w:firstLineChars="250"/>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说明：  1、此表仅提供了表格形式，投标人可按此表格复制。</w:t>
      </w:r>
    </w:p>
    <w:p w14:paraId="2CDA3DC1">
      <w:pPr>
        <w:tabs>
          <w:tab w:val="left" w:pos="360"/>
        </w:tabs>
        <w:spacing w:line="460" w:lineRule="exact"/>
        <w:ind w:firstLine="1436" w:firstLineChars="650"/>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2、如果无此内容，投标时需说明。</w:t>
      </w:r>
    </w:p>
    <w:p w14:paraId="4C63B3EA">
      <w:pPr>
        <w:spacing w:line="400" w:lineRule="exact"/>
        <w:ind w:firstLine="4620" w:firstLineChars="2100"/>
        <w:rPr>
          <w:rFonts w:ascii="新宋体" w:hAnsi="新宋体" w:eastAsia="新宋体" w:cs="新宋体"/>
          <w:color w:val="auto"/>
          <w:sz w:val="22"/>
          <w:szCs w:val="22"/>
          <w:highlight w:val="none"/>
        </w:rPr>
      </w:pPr>
    </w:p>
    <w:p w14:paraId="21FBF775">
      <w:pPr>
        <w:spacing w:line="460" w:lineRule="exact"/>
        <w:ind w:firstLine="5280" w:firstLineChars="24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投标人全称（盖章）：</w:t>
      </w:r>
    </w:p>
    <w:p w14:paraId="08DA1607">
      <w:pPr>
        <w:spacing w:line="460" w:lineRule="exact"/>
        <w:ind w:firstLine="5280" w:firstLineChars="24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投标人代表（签字）：</w:t>
      </w:r>
    </w:p>
    <w:p w14:paraId="78940433">
      <w:pPr>
        <w:spacing w:line="460" w:lineRule="exact"/>
        <w:ind w:firstLine="5280" w:firstLineChars="24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w:t>
      </w:r>
    </w:p>
    <w:p w14:paraId="7CFB17F2">
      <w:pPr>
        <w:rPr>
          <w:rFonts w:hint="eastAsia" w:ascii="新宋体" w:hAnsi="新宋体" w:eastAsia="新宋体" w:cs="新宋体"/>
          <w:b/>
          <w:bCs/>
          <w:color w:val="auto"/>
          <w:sz w:val="28"/>
          <w:szCs w:val="28"/>
          <w:highlight w:val="none"/>
          <w:lang w:val="en-US" w:eastAsia="zh-CN"/>
        </w:rPr>
      </w:pPr>
      <w:r>
        <w:rPr>
          <w:rFonts w:hint="eastAsia" w:ascii="新宋体" w:hAnsi="新宋体" w:eastAsia="新宋体" w:cs="新宋体"/>
          <w:b/>
          <w:bCs/>
          <w:color w:val="auto"/>
          <w:sz w:val="28"/>
          <w:szCs w:val="28"/>
          <w:highlight w:val="none"/>
          <w:lang w:val="en-US" w:eastAsia="zh-CN"/>
        </w:rPr>
        <w:br w:type="page"/>
      </w:r>
    </w:p>
    <w:p w14:paraId="6F73BD86">
      <w:pPr>
        <w:spacing w:line="420" w:lineRule="exact"/>
        <w:jc w:val="center"/>
        <w:outlineLvl w:val="3"/>
        <w:rPr>
          <w:rFonts w:hint="eastAsia" w:ascii="新宋体" w:hAnsi="新宋体" w:eastAsia="新宋体" w:cs="新宋体"/>
          <w:b/>
          <w:bCs/>
          <w:color w:val="auto"/>
          <w:sz w:val="28"/>
          <w:szCs w:val="28"/>
          <w:highlight w:val="none"/>
          <w:lang w:val="en-US" w:eastAsia="zh-CN"/>
        </w:rPr>
      </w:pPr>
      <w:r>
        <w:rPr>
          <w:rFonts w:hint="eastAsia" w:ascii="新宋体" w:hAnsi="新宋体" w:eastAsia="新宋体" w:cs="新宋体"/>
          <w:b/>
          <w:bCs/>
          <w:color w:val="auto"/>
          <w:sz w:val="28"/>
          <w:szCs w:val="28"/>
          <w:highlight w:val="none"/>
          <w:lang w:val="en-US" w:eastAsia="zh-CN"/>
        </w:rPr>
        <w:t>10、其他必要提供的资料</w:t>
      </w:r>
    </w:p>
    <w:p w14:paraId="29AE8081">
      <w:pPr>
        <w:spacing w:line="360" w:lineRule="auto"/>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项目编号：</w:t>
      </w:r>
    </w:p>
    <w:p w14:paraId="5F399F85">
      <w:pPr>
        <w:bidi w:val="0"/>
        <w:rPr>
          <w:rFonts w:hint="eastAsia" w:ascii="新宋体" w:hAnsi="新宋体" w:eastAsia="新宋体" w:cs="新宋体"/>
          <w:color w:val="auto"/>
          <w:highlight w:val="none"/>
        </w:rPr>
      </w:pPr>
      <w:r>
        <w:rPr>
          <w:rFonts w:hint="eastAsia" w:ascii="新宋体" w:hAnsi="新宋体" w:eastAsia="新宋体" w:cs="新宋体"/>
          <w:color w:val="auto"/>
          <w:sz w:val="22"/>
          <w:szCs w:val="22"/>
          <w:highlight w:val="none"/>
        </w:rPr>
        <w:t>项目名称：</w:t>
      </w:r>
    </w:p>
    <w:tbl>
      <w:tblPr>
        <w:tblStyle w:val="5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0"/>
      </w:tblGrid>
      <w:tr w14:paraId="43E00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5" w:hRule="atLeast"/>
        </w:trPr>
        <w:tc>
          <w:tcPr>
            <w:tcW w:w="9820" w:type="dxa"/>
            <w:noWrap w:val="0"/>
            <w:vAlign w:val="top"/>
          </w:tcPr>
          <w:p w14:paraId="4956D984">
            <w:pPr>
              <w:jc w:val="center"/>
              <w:rPr>
                <w:rFonts w:hint="eastAsia" w:ascii="新宋体" w:hAnsi="新宋体" w:eastAsia="新宋体" w:cs="新宋体"/>
                <w:color w:val="auto"/>
                <w:highlight w:val="none"/>
              </w:rPr>
            </w:pPr>
            <w:r>
              <w:rPr>
                <w:rFonts w:hint="eastAsia" w:ascii="新宋体" w:hAnsi="新宋体" w:eastAsia="新宋体" w:cs="新宋体"/>
                <w:b/>
                <w:bCs/>
                <w:color w:val="auto"/>
                <w:sz w:val="22"/>
                <w:szCs w:val="22"/>
                <w:highlight w:val="none"/>
                <w:u w:val="single"/>
                <w:lang w:val="en-US" w:eastAsia="zh-CN"/>
              </w:rPr>
              <w:t>根据</w:t>
            </w:r>
            <w:r>
              <w:rPr>
                <w:rFonts w:hint="eastAsia" w:ascii="新宋体" w:hAnsi="新宋体" w:eastAsia="新宋体" w:cs="新宋体"/>
                <w:b/>
                <w:bCs/>
                <w:color w:val="auto"/>
                <w:sz w:val="22"/>
                <w:szCs w:val="22"/>
                <w:highlight w:val="none"/>
                <w:u w:val="single"/>
              </w:rPr>
              <w:t>评标标准</w:t>
            </w:r>
            <w:r>
              <w:rPr>
                <w:rFonts w:hint="eastAsia" w:ascii="新宋体" w:hAnsi="新宋体" w:eastAsia="新宋体" w:cs="新宋体"/>
                <w:b/>
                <w:bCs/>
                <w:color w:val="auto"/>
                <w:sz w:val="22"/>
                <w:szCs w:val="22"/>
                <w:highlight w:val="none"/>
                <w:u w:val="single"/>
                <w:lang w:val="en-US" w:eastAsia="zh-CN"/>
              </w:rPr>
              <w:t>自行提供</w:t>
            </w:r>
          </w:p>
        </w:tc>
      </w:tr>
    </w:tbl>
    <w:p w14:paraId="4B98D545">
      <w:pPr>
        <w:rPr>
          <w:rFonts w:hint="eastAsia" w:ascii="新宋体" w:hAnsi="新宋体" w:eastAsia="新宋体" w:cs="新宋体"/>
          <w:color w:val="auto"/>
          <w:highlight w:val="none"/>
        </w:rPr>
      </w:pPr>
    </w:p>
    <w:p w14:paraId="325A7D6A">
      <w:pPr>
        <w:rPr>
          <w:rFonts w:hint="eastAsia" w:ascii="新宋体" w:hAnsi="新宋体" w:eastAsia="新宋体" w:cs="新宋体"/>
          <w:color w:val="auto"/>
          <w:highlight w:val="none"/>
        </w:rPr>
      </w:pPr>
    </w:p>
    <w:p w14:paraId="1FE4EE76">
      <w:pPr>
        <w:spacing w:line="460" w:lineRule="exact"/>
        <w:ind w:firstLine="5060" w:firstLineChars="2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投标人全称（盖章）：</w:t>
      </w:r>
    </w:p>
    <w:p w14:paraId="0CD7E2F7">
      <w:pPr>
        <w:spacing w:line="460" w:lineRule="exact"/>
        <w:ind w:firstLine="5060" w:firstLineChars="2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投标人代表（签字）：</w:t>
      </w:r>
    </w:p>
    <w:p w14:paraId="5E9974C6">
      <w:pPr>
        <w:spacing w:line="460" w:lineRule="exact"/>
        <w:ind w:firstLine="5060" w:firstLineChars="2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w:t>
      </w:r>
    </w:p>
    <w:p w14:paraId="4751C568">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br w:type="page"/>
      </w:r>
    </w:p>
    <w:p w14:paraId="38DE8CB5">
      <w:pPr>
        <w:rPr>
          <w:rFonts w:hint="eastAsia" w:ascii="新宋体" w:hAnsi="新宋体" w:eastAsia="新宋体" w:cs="新宋体"/>
          <w:color w:val="auto"/>
          <w:sz w:val="22"/>
          <w:szCs w:val="22"/>
          <w:highlight w:val="none"/>
        </w:rPr>
        <w:sectPr>
          <w:pgSz w:w="11906" w:h="16838"/>
          <w:pgMar w:top="1134" w:right="1134" w:bottom="1134" w:left="1134" w:header="850" w:footer="992" w:gutter="0"/>
          <w:cols w:space="720" w:num="1"/>
          <w:docGrid w:type="lines" w:linePitch="321" w:charSpace="0"/>
        </w:sectPr>
      </w:pPr>
    </w:p>
    <w:p w14:paraId="6F05D38E">
      <w:pPr>
        <w:pStyle w:val="3"/>
        <w:numPr>
          <w:ilvl w:val="0"/>
          <w:numId w:val="0"/>
        </w:numPr>
        <w:jc w:val="center"/>
        <w:rPr>
          <w:rFonts w:hint="eastAsia" w:ascii="新宋体" w:hAnsi="新宋体" w:eastAsia="新宋体" w:cs="新宋体"/>
          <w:color w:val="auto"/>
          <w:highlight w:val="none"/>
        </w:rPr>
      </w:pPr>
      <w:bookmarkStart w:id="48" w:name="_Toc16424"/>
      <w:bookmarkStart w:id="49" w:name="_Toc10142"/>
      <w:bookmarkStart w:id="50" w:name="_Toc221356958"/>
      <w:bookmarkStart w:id="51" w:name="_Toc221356895"/>
      <w:r>
        <w:rPr>
          <w:rFonts w:hint="eastAsia" w:ascii="新宋体" w:hAnsi="新宋体" w:eastAsia="新宋体" w:cs="新宋体"/>
          <w:color w:val="auto"/>
          <w:highlight w:val="none"/>
          <w:lang w:val="en-US" w:eastAsia="zh-CN"/>
        </w:rPr>
        <w:t xml:space="preserve">第四部分   </w:t>
      </w:r>
      <w:r>
        <w:rPr>
          <w:rFonts w:hint="eastAsia" w:ascii="新宋体" w:hAnsi="新宋体" w:eastAsia="新宋体" w:cs="新宋体"/>
          <w:color w:val="auto"/>
          <w:highlight w:val="none"/>
        </w:rPr>
        <w:t>项目技术规范和服务要求</w:t>
      </w:r>
      <w:bookmarkEnd w:id="48"/>
      <w:bookmarkEnd w:id="49"/>
    </w:p>
    <w:bookmarkEnd w:id="50"/>
    <w:bookmarkEnd w:id="51"/>
    <w:p w14:paraId="0EF7CDD9">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b/>
          <w:bCs/>
          <w:color w:val="auto"/>
          <w:sz w:val="22"/>
          <w:szCs w:val="22"/>
          <w:highlight w:val="none"/>
        </w:rPr>
      </w:pPr>
      <w:bookmarkStart w:id="52" w:name="csmb"/>
      <w:bookmarkEnd w:id="52"/>
      <w:bookmarkStart w:id="53" w:name="jinjicd"/>
      <w:bookmarkEnd w:id="53"/>
      <w:bookmarkStart w:id="54" w:name="_Toc30323"/>
      <w:r>
        <w:rPr>
          <w:rFonts w:hint="eastAsia" w:ascii="新宋体" w:hAnsi="新宋体" w:eastAsia="新宋体" w:cs="新宋体"/>
          <w:b/>
          <w:bCs/>
          <w:color w:val="auto"/>
          <w:sz w:val="22"/>
          <w:szCs w:val="22"/>
          <w:highlight w:val="none"/>
        </w:rPr>
        <w:t>一、相关说明</w:t>
      </w:r>
    </w:p>
    <w:p w14:paraId="510714FF">
      <w:pPr>
        <w:keepNext w:val="0"/>
        <w:keepLines w:val="0"/>
        <w:pageBreakBefore w:val="0"/>
        <w:widowControl w:val="0"/>
        <w:kinsoku/>
        <w:wordWrap/>
        <w:overflowPunct/>
        <w:topLinePunct w:val="0"/>
        <w:autoSpaceDE/>
        <w:autoSpaceDN/>
        <w:bidi w:val="0"/>
        <w:adjustRightInd/>
        <w:snapToGrid/>
        <w:spacing w:line="460" w:lineRule="exact"/>
        <w:ind w:firstLine="442"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color w:val="auto"/>
          <w:sz w:val="22"/>
          <w:szCs w:val="22"/>
          <w:highlight w:val="none"/>
        </w:rPr>
        <w:t>用途：用于职业卫生挥发性有机物及生活饮用水中嗅味物质、VOC等定性定量分析。</w:t>
      </w:r>
    </w:p>
    <w:p w14:paraId="67FB502A">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二</w:t>
      </w:r>
      <w:r>
        <w:rPr>
          <w:rFonts w:hint="eastAsia" w:ascii="新宋体" w:hAnsi="新宋体" w:eastAsia="新宋体" w:cs="新宋体"/>
          <w:b/>
          <w:color w:val="auto"/>
          <w:sz w:val="22"/>
          <w:szCs w:val="22"/>
          <w:highlight w:val="none"/>
        </w:rPr>
        <w:t>、</w:t>
      </w:r>
      <w:r>
        <w:rPr>
          <w:rFonts w:hint="eastAsia" w:ascii="新宋体" w:hAnsi="新宋体" w:eastAsia="新宋体" w:cs="新宋体"/>
          <w:b/>
          <w:bCs/>
          <w:color w:val="auto"/>
          <w:sz w:val="22"/>
          <w:szCs w:val="22"/>
          <w:highlight w:val="none"/>
        </w:rPr>
        <w:t>项目名称</w:t>
      </w:r>
    </w:p>
    <w:tbl>
      <w:tblPr>
        <w:tblStyle w:val="54"/>
        <w:tblW w:w="95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77"/>
        <w:gridCol w:w="1332"/>
        <w:gridCol w:w="2117"/>
        <w:gridCol w:w="4051"/>
      </w:tblGrid>
      <w:tr w14:paraId="70626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7" w:type="dxa"/>
            <w:vAlign w:val="center"/>
          </w:tcPr>
          <w:p w14:paraId="49BF675E">
            <w:pPr>
              <w:pStyle w:val="22"/>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b w:val="0"/>
                <w:bCs w:val="0"/>
                <w:color w:val="auto"/>
                <w:sz w:val="22"/>
                <w:szCs w:val="22"/>
                <w:highlight w:val="none"/>
                <w:vertAlign w:val="baseline"/>
              </w:rPr>
            </w:pPr>
            <w:r>
              <w:rPr>
                <w:rFonts w:hint="eastAsia" w:ascii="新宋体" w:hAnsi="新宋体" w:eastAsia="新宋体" w:cs="新宋体"/>
                <w:b w:val="0"/>
                <w:bCs w:val="0"/>
                <w:color w:val="auto"/>
                <w:sz w:val="22"/>
                <w:szCs w:val="22"/>
                <w:highlight w:val="none"/>
              </w:rPr>
              <w:t>名称</w:t>
            </w:r>
          </w:p>
        </w:tc>
        <w:tc>
          <w:tcPr>
            <w:tcW w:w="1332" w:type="dxa"/>
            <w:vAlign w:val="center"/>
          </w:tcPr>
          <w:p w14:paraId="707AD386">
            <w:pPr>
              <w:pStyle w:val="22"/>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center"/>
              <w:textAlignment w:val="auto"/>
              <w:rPr>
                <w:rFonts w:hint="eastAsia" w:ascii="新宋体" w:hAnsi="新宋体" w:eastAsia="新宋体" w:cs="新宋体"/>
                <w:b w:val="0"/>
                <w:bCs w:val="0"/>
                <w:color w:val="auto"/>
                <w:sz w:val="22"/>
                <w:szCs w:val="22"/>
                <w:highlight w:val="none"/>
                <w:vertAlign w:val="baseline"/>
              </w:rPr>
            </w:pPr>
            <w:r>
              <w:rPr>
                <w:rFonts w:hint="eastAsia" w:ascii="新宋体" w:hAnsi="新宋体" w:eastAsia="新宋体" w:cs="新宋体"/>
                <w:b w:val="0"/>
                <w:bCs w:val="0"/>
                <w:color w:val="auto"/>
                <w:sz w:val="22"/>
                <w:szCs w:val="22"/>
                <w:highlight w:val="none"/>
              </w:rPr>
              <w:t>数量</w:t>
            </w:r>
          </w:p>
        </w:tc>
        <w:tc>
          <w:tcPr>
            <w:tcW w:w="2117" w:type="dxa"/>
            <w:vAlign w:val="center"/>
          </w:tcPr>
          <w:p w14:paraId="0CBC4006">
            <w:pPr>
              <w:pStyle w:val="22"/>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center"/>
              <w:textAlignment w:val="auto"/>
              <w:rPr>
                <w:rFonts w:hint="eastAsia" w:ascii="新宋体" w:hAnsi="新宋体" w:eastAsia="新宋体" w:cs="新宋体"/>
                <w:b w:val="0"/>
                <w:bCs w:val="0"/>
                <w:color w:val="auto"/>
                <w:sz w:val="22"/>
                <w:szCs w:val="22"/>
                <w:highlight w:val="none"/>
                <w:vertAlign w:val="baseline"/>
              </w:rPr>
            </w:pPr>
            <w:r>
              <w:rPr>
                <w:rFonts w:hint="eastAsia" w:ascii="新宋体" w:hAnsi="新宋体" w:eastAsia="新宋体" w:cs="新宋体"/>
                <w:b w:val="0"/>
                <w:bCs w:val="0"/>
                <w:color w:val="auto"/>
                <w:sz w:val="22"/>
                <w:szCs w:val="22"/>
                <w:highlight w:val="none"/>
              </w:rPr>
              <w:t>预算：元人民币</w:t>
            </w:r>
          </w:p>
        </w:tc>
        <w:tc>
          <w:tcPr>
            <w:tcW w:w="4051" w:type="dxa"/>
            <w:vAlign w:val="center"/>
          </w:tcPr>
          <w:p w14:paraId="22E6818B">
            <w:pPr>
              <w:pStyle w:val="22"/>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b w:val="0"/>
                <w:bCs w:val="0"/>
                <w:color w:val="auto"/>
                <w:sz w:val="22"/>
                <w:szCs w:val="22"/>
                <w:highlight w:val="none"/>
                <w:vertAlign w:val="baseline"/>
                <w:lang w:eastAsia="zh-CN"/>
              </w:rPr>
            </w:pPr>
            <w:r>
              <w:rPr>
                <w:rFonts w:hint="eastAsia" w:ascii="新宋体" w:hAnsi="新宋体" w:eastAsia="新宋体" w:cs="新宋体"/>
                <w:b w:val="0"/>
                <w:bCs w:val="0"/>
                <w:color w:val="auto"/>
                <w:sz w:val="22"/>
                <w:szCs w:val="22"/>
                <w:highlight w:val="none"/>
                <w:vertAlign w:val="baseline"/>
                <w:lang w:eastAsia="zh-CN"/>
              </w:rPr>
              <w:t>备注</w:t>
            </w:r>
          </w:p>
        </w:tc>
      </w:tr>
      <w:tr w14:paraId="383F3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7" w:type="dxa"/>
            <w:vAlign w:val="center"/>
          </w:tcPr>
          <w:p w14:paraId="0F7DE58D">
            <w:pPr>
              <w:pStyle w:val="22"/>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center"/>
              <w:textAlignment w:val="auto"/>
              <w:rPr>
                <w:rFonts w:hint="eastAsia" w:ascii="新宋体" w:hAnsi="新宋体" w:eastAsia="新宋体" w:cs="新宋体"/>
                <w:b w:val="0"/>
                <w:bCs w:val="0"/>
                <w:color w:val="auto"/>
                <w:sz w:val="22"/>
                <w:szCs w:val="22"/>
                <w:highlight w:val="none"/>
                <w:vertAlign w:val="baseline"/>
                <w:lang w:eastAsia="zh-CN"/>
              </w:rPr>
            </w:pPr>
            <w:r>
              <w:rPr>
                <w:rFonts w:hint="eastAsia" w:ascii="新宋体" w:hAnsi="新宋体" w:eastAsia="新宋体" w:cs="新宋体"/>
                <w:color w:val="auto"/>
                <w:kern w:val="2"/>
                <w:sz w:val="22"/>
                <w:szCs w:val="22"/>
                <w:highlight w:val="none"/>
                <w:lang w:val="en-US" w:eastAsia="zh-CN" w:bidi="ar-SA"/>
              </w:rPr>
              <w:t>热脱附气质联用仪</w:t>
            </w:r>
          </w:p>
        </w:tc>
        <w:tc>
          <w:tcPr>
            <w:tcW w:w="1332" w:type="dxa"/>
            <w:vAlign w:val="center"/>
          </w:tcPr>
          <w:p w14:paraId="4F5BBE88">
            <w:pPr>
              <w:pStyle w:val="22"/>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b w:val="0"/>
                <w:bCs w:val="0"/>
                <w:color w:val="auto"/>
                <w:sz w:val="22"/>
                <w:szCs w:val="22"/>
                <w:highlight w:val="none"/>
                <w:vertAlign w:val="baseline"/>
                <w:lang w:val="en-US" w:eastAsia="zh-CN"/>
              </w:rPr>
            </w:pPr>
            <w:r>
              <w:rPr>
                <w:rFonts w:hint="eastAsia" w:ascii="新宋体" w:hAnsi="新宋体" w:eastAsia="新宋体" w:cs="新宋体"/>
                <w:color w:val="auto"/>
                <w:sz w:val="22"/>
                <w:szCs w:val="22"/>
                <w:highlight w:val="none"/>
                <w:lang w:val="en-US" w:eastAsia="zh-CN"/>
              </w:rPr>
              <w:t>1套</w:t>
            </w:r>
          </w:p>
        </w:tc>
        <w:tc>
          <w:tcPr>
            <w:tcW w:w="2117" w:type="dxa"/>
            <w:vAlign w:val="center"/>
          </w:tcPr>
          <w:p w14:paraId="5FAB227B">
            <w:pPr>
              <w:pStyle w:val="22"/>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b w:val="0"/>
                <w:bCs w:val="0"/>
                <w:color w:val="auto"/>
                <w:sz w:val="22"/>
                <w:szCs w:val="22"/>
                <w:highlight w:val="none"/>
                <w:vertAlign w:val="baseline"/>
                <w:lang w:eastAsia="zh-CN"/>
              </w:rPr>
            </w:pPr>
            <w:r>
              <w:rPr>
                <w:rFonts w:hint="eastAsia" w:ascii="新宋体" w:hAnsi="新宋体" w:eastAsia="新宋体" w:cs="新宋体"/>
                <w:color w:val="auto"/>
                <w:sz w:val="22"/>
                <w:szCs w:val="22"/>
                <w:highlight w:val="none"/>
                <w:lang w:val="en-US" w:eastAsia="zh-CN"/>
              </w:rPr>
              <w:t>1500000</w:t>
            </w:r>
          </w:p>
        </w:tc>
        <w:tc>
          <w:tcPr>
            <w:tcW w:w="4051" w:type="dxa"/>
            <w:vAlign w:val="center"/>
          </w:tcPr>
          <w:p w14:paraId="161578FF">
            <w:pPr>
              <w:pStyle w:val="22"/>
              <w:keepNext w:val="0"/>
              <w:keepLines w:val="0"/>
              <w:pageBreakBefore w:val="0"/>
              <w:widowControl w:val="0"/>
              <w:kinsoku/>
              <w:wordWrap/>
              <w:overflowPunct/>
              <w:topLinePunct w:val="0"/>
              <w:autoSpaceDE/>
              <w:autoSpaceDN/>
              <w:bidi w:val="0"/>
              <w:adjustRightInd/>
              <w:snapToGrid/>
              <w:spacing w:line="460" w:lineRule="exact"/>
              <w:ind w:left="-4" w:leftChars="-28" w:hanging="55" w:hangingChars="25"/>
              <w:jc w:val="center"/>
              <w:textAlignment w:val="auto"/>
              <w:rPr>
                <w:rFonts w:hint="eastAsia" w:ascii="新宋体" w:hAnsi="新宋体" w:eastAsia="新宋体" w:cs="新宋体"/>
                <w:b w:val="0"/>
                <w:bCs w:val="0"/>
                <w:color w:val="auto"/>
                <w:sz w:val="22"/>
                <w:szCs w:val="22"/>
                <w:highlight w:val="none"/>
                <w:vertAlign w:val="baseline"/>
              </w:rPr>
            </w:pPr>
            <w:r>
              <w:rPr>
                <w:rFonts w:hint="eastAsia" w:ascii="新宋体" w:hAnsi="新宋体" w:eastAsia="新宋体" w:cs="新宋体"/>
                <w:b w:val="0"/>
                <w:bCs w:val="0"/>
                <w:color w:val="auto"/>
                <w:sz w:val="22"/>
                <w:szCs w:val="22"/>
                <w:highlight w:val="none"/>
                <w:u w:val="single"/>
                <w:lang w:val="en-US" w:eastAsia="zh-CN"/>
              </w:rPr>
              <w:t>本项目不允许进口产品投标</w:t>
            </w:r>
          </w:p>
        </w:tc>
      </w:tr>
    </w:tbl>
    <w:p w14:paraId="2054B55E">
      <w:pPr>
        <w:pStyle w:val="37"/>
        <w:keepNext w:val="0"/>
        <w:keepLines w:val="0"/>
        <w:pageBreakBefore w:val="0"/>
        <w:widowControl w:val="0"/>
        <w:numPr>
          <w:ilvl w:val="0"/>
          <w:numId w:val="0"/>
        </w:numPr>
        <w:tabs>
          <w:tab w:val="right" w:leader="dot" w:pos="9118"/>
        </w:tabs>
        <w:kinsoku/>
        <w:wordWrap/>
        <w:overflowPunct/>
        <w:topLinePunct w:val="0"/>
        <w:autoSpaceDE/>
        <w:autoSpaceDN/>
        <w:bidi w:val="0"/>
        <w:adjustRightInd/>
        <w:snapToGrid/>
        <w:spacing w:line="460" w:lineRule="exact"/>
        <w:textAlignment w:val="auto"/>
        <w:rPr>
          <w:rFonts w:hint="eastAsia" w:ascii="新宋体" w:hAnsi="新宋体" w:eastAsia="新宋体" w:cs="新宋体"/>
          <w:b/>
          <w:bCs/>
          <w:caps w:val="0"/>
          <w:color w:val="auto"/>
          <w:sz w:val="22"/>
          <w:szCs w:val="22"/>
          <w:highlight w:val="none"/>
        </w:rPr>
      </w:pPr>
      <w:r>
        <w:rPr>
          <w:rFonts w:hint="eastAsia" w:ascii="新宋体" w:hAnsi="新宋体" w:eastAsia="新宋体" w:cs="新宋体"/>
          <w:b/>
          <w:bCs/>
          <w:caps w:val="0"/>
          <w:color w:val="auto"/>
          <w:sz w:val="22"/>
          <w:szCs w:val="22"/>
          <w:highlight w:val="none"/>
          <w:lang w:val="en-US" w:eastAsia="zh-CN"/>
        </w:rPr>
        <w:t>三、</w:t>
      </w:r>
      <w:r>
        <w:rPr>
          <w:rFonts w:hint="eastAsia" w:ascii="新宋体" w:hAnsi="新宋体" w:eastAsia="新宋体" w:cs="新宋体"/>
          <w:b/>
          <w:bCs/>
          <w:caps w:val="0"/>
          <w:color w:val="auto"/>
          <w:sz w:val="22"/>
          <w:szCs w:val="22"/>
          <w:highlight w:val="none"/>
        </w:rPr>
        <w:t>技术规格</w:t>
      </w:r>
    </w:p>
    <w:tbl>
      <w:tblPr>
        <w:tblStyle w:val="53"/>
        <w:tblW w:w="9666"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6"/>
        <w:gridCol w:w="8200"/>
      </w:tblGrid>
      <w:tr w14:paraId="3C627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trPr>
        <w:tc>
          <w:tcPr>
            <w:tcW w:w="1466" w:type="dxa"/>
            <w:shd w:val="clear" w:color="auto" w:fill="auto"/>
            <w:noWrap w:val="0"/>
            <w:vAlign w:val="center"/>
          </w:tcPr>
          <w:p w14:paraId="0C204A20">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序号</w:t>
            </w:r>
          </w:p>
        </w:tc>
        <w:tc>
          <w:tcPr>
            <w:tcW w:w="8200" w:type="dxa"/>
            <w:shd w:val="clear" w:color="auto" w:fill="auto"/>
            <w:noWrap w:val="0"/>
            <w:vAlign w:val="center"/>
          </w:tcPr>
          <w:p w14:paraId="49AB4DA5">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技术要求</w:t>
            </w:r>
          </w:p>
        </w:tc>
      </w:tr>
      <w:tr w14:paraId="3236F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466" w:type="dxa"/>
            <w:shd w:val="clear" w:color="auto" w:fill="auto"/>
            <w:noWrap w:val="0"/>
            <w:vAlign w:val="center"/>
          </w:tcPr>
          <w:p w14:paraId="0DAF09BE">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w:t>
            </w:r>
          </w:p>
        </w:tc>
        <w:tc>
          <w:tcPr>
            <w:tcW w:w="8200" w:type="dxa"/>
            <w:shd w:val="clear" w:color="auto" w:fill="auto"/>
            <w:noWrap w:val="0"/>
            <w:vAlign w:val="center"/>
          </w:tcPr>
          <w:p w14:paraId="05870C0E">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工作条件</w:t>
            </w:r>
          </w:p>
        </w:tc>
      </w:tr>
      <w:tr w14:paraId="6AF0A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24487261">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1.1</w:t>
            </w:r>
          </w:p>
        </w:tc>
        <w:tc>
          <w:tcPr>
            <w:tcW w:w="8200" w:type="dxa"/>
            <w:shd w:val="clear" w:color="auto" w:fill="auto"/>
            <w:noWrap w:val="0"/>
            <w:vAlign w:val="center"/>
          </w:tcPr>
          <w:p w14:paraId="5BCE459B">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电源：AC 200-240 V，50/60HZ；温度：15-32℃；湿度：20-80%（32℃时）；</w:t>
            </w:r>
          </w:p>
        </w:tc>
      </w:tr>
      <w:tr w14:paraId="73C7A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02E876AB">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w:t>
            </w:r>
          </w:p>
        </w:tc>
        <w:tc>
          <w:tcPr>
            <w:tcW w:w="8200" w:type="dxa"/>
            <w:shd w:val="clear" w:color="auto" w:fill="auto"/>
            <w:noWrap w:val="0"/>
            <w:vAlign w:val="center"/>
          </w:tcPr>
          <w:p w14:paraId="76932B92">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主要技术指标</w:t>
            </w:r>
          </w:p>
        </w:tc>
      </w:tr>
      <w:tr w14:paraId="51AEB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1A68F544">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2.1</w:t>
            </w:r>
          </w:p>
        </w:tc>
        <w:tc>
          <w:tcPr>
            <w:tcW w:w="8200" w:type="dxa"/>
            <w:shd w:val="clear" w:color="auto" w:fill="auto"/>
            <w:noWrap w:val="0"/>
            <w:vAlign w:val="center"/>
          </w:tcPr>
          <w:p w14:paraId="75CD13D7">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气相色谱仪部分</w:t>
            </w:r>
          </w:p>
        </w:tc>
      </w:tr>
      <w:tr w14:paraId="05EA7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37AEF606">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2.1.1</w:t>
            </w:r>
          </w:p>
        </w:tc>
        <w:tc>
          <w:tcPr>
            <w:tcW w:w="8200" w:type="dxa"/>
            <w:shd w:val="clear" w:color="auto" w:fill="auto"/>
            <w:noWrap w:val="0"/>
            <w:vAlign w:val="center"/>
          </w:tcPr>
          <w:p w14:paraId="59699E6E">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系统性能</w:t>
            </w:r>
          </w:p>
        </w:tc>
      </w:tr>
      <w:tr w14:paraId="18718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5123972F">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2.1.1.1</w:t>
            </w:r>
          </w:p>
        </w:tc>
        <w:tc>
          <w:tcPr>
            <w:tcW w:w="8200" w:type="dxa"/>
            <w:shd w:val="clear" w:color="auto" w:fill="auto"/>
            <w:noWrap w:val="0"/>
            <w:vAlign w:val="center"/>
          </w:tcPr>
          <w:p w14:paraId="445EB768">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保留时间重现性: &lt;0.008% 或 &lt;0.0008min；峰面积重现性: &lt;0.5% RSD；</w:t>
            </w:r>
          </w:p>
        </w:tc>
      </w:tr>
      <w:tr w14:paraId="102F6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41542248">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★2.1.1.2</w:t>
            </w:r>
          </w:p>
        </w:tc>
        <w:tc>
          <w:tcPr>
            <w:tcW w:w="8200" w:type="dxa"/>
            <w:shd w:val="clear" w:color="auto" w:fill="auto"/>
            <w:noWrap w:val="0"/>
            <w:vAlign w:val="center"/>
          </w:tcPr>
          <w:p w14:paraId="6B0651EF">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气相主机具有三种用户操作界面，即软件、彩色触摸屏和浏览器界面（提供带有气相色谱仪IP地址链接的网页截图证明），用户无论在实验室还是远程均可自在操作和监控仪器的状态；</w:t>
            </w:r>
          </w:p>
        </w:tc>
      </w:tr>
      <w:tr w14:paraId="3EC94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3372C83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★2.1.1.3</w:t>
            </w:r>
          </w:p>
        </w:tc>
        <w:tc>
          <w:tcPr>
            <w:tcW w:w="8200" w:type="dxa"/>
            <w:shd w:val="clear" w:color="auto" w:fill="auto"/>
            <w:noWrap w:val="0"/>
            <w:vAlign w:val="center"/>
          </w:tcPr>
          <w:p w14:paraId="3F2BDCA0">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气相色谱性能监测：可监测的内容包括空白评估，能够在内部评估气相色谱仪空白运行数据文件的峰面积、峰高基线噪音以及检测器的信号强度（提供带有空白评估选项的触摸屏截图证明）；</w:t>
            </w:r>
          </w:p>
        </w:tc>
      </w:tr>
      <w:tr w14:paraId="69E5C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2386A21A">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2.1.1.4</w:t>
            </w:r>
          </w:p>
        </w:tc>
        <w:tc>
          <w:tcPr>
            <w:tcW w:w="8200" w:type="dxa"/>
            <w:shd w:val="clear" w:color="auto" w:fill="auto"/>
            <w:noWrap w:val="0"/>
            <w:vAlign w:val="center"/>
          </w:tcPr>
          <w:p w14:paraId="12A812C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气相彩色触摸屏上也可以显示质谱参数。例如分子涡轮泵转速，离子源温度和真空状态等关键参数，便于用户及时了解仪器运行状态(提供触摸屏质谱参数截图证明)；</w:t>
            </w:r>
          </w:p>
        </w:tc>
      </w:tr>
      <w:tr w14:paraId="40213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4C816168">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2.1.1.5</w:t>
            </w:r>
          </w:p>
        </w:tc>
        <w:tc>
          <w:tcPr>
            <w:tcW w:w="8200" w:type="dxa"/>
            <w:shd w:val="clear" w:color="auto" w:fill="auto"/>
            <w:noWrap w:val="0"/>
            <w:vAlign w:val="center"/>
          </w:tcPr>
          <w:p w14:paraId="0656FE1F">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气相主机操作系统包含四种以上不同操作语言，适合不同客户需求；软件内嵌消耗品目录，可通过货号直接选择对应衬管及色谱柱，避免误操作（提供软件截图证明）；</w:t>
            </w:r>
          </w:p>
        </w:tc>
      </w:tr>
      <w:tr w14:paraId="1986E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0F6BD1DC">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2.1.1.6</w:t>
            </w:r>
          </w:p>
        </w:tc>
        <w:tc>
          <w:tcPr>
            <w:tcW w:w="8200" w:type="dxa"/>
            <w:shd w:val="clear" w:color="auto" w:fill="auto"/>
            <w:noWrap w:val="0"/>
            <w:vAlign w:val="center"/>
          </w:tcPr>
          <w:p w14:paraId="7ACD74F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具有保留时间锁定功能，该功能需具有使待测物保留时间完全一致的保留时间锁定效果, 无需使用正构烷烃等混标进行保留时间自动调整(提供软件截图和相关应用证明)；</w:t>
            </w:r>
          </w:p>
        </w:tc>
      </w:tr>
      <w:tr w14:paraId="44B5B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7839499B">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★2.1.1.7</w:t>
            </w:r>
          </w:p>
        </w:tc>
        <w:tc>
          <w:tcPr>
            <w:tcW w:w="8200" w:type="dxa"/>
            <w:shd w:val="clear" w:color="auto" w:fill="auto"/>
            <w:noWrap w:val="0"/>
            <w:vAlign w:val="center"/>
          </w:tcPr>
          <w:p w14:paraId="02A19E94">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具有色谱柱智能识别功能，含不少于4个智能钥匙接口，可记录色谱柱使用情况，反馈色谱柱使用信息，满足数据完整性需求(提供含智能钥匙接口的主机实物截图)；</w:t>
            </w:r>
          </w:p>
        </w:tc>
      </w:tr>
      <w:tr w14:paraId="015E0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13077ED1">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2.1.2</w:t>
            </w:r>
          </w:p>
        </w:tc>
        <w:tc>
          <w:tcPr>
            <w:tcW w:w="8200" w:type="dxa"/>
            <w:shd w:val="clear" w:color="auto" w:fill="auto"/>
            <w:noWrap w:val="0"/>
            <w:vAlign w:val="center"/>
          </w:tcPr>
          <w:p w14:paraId="3B6EF39D">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柱箱</w:t>
            </w:r>
          </w:p>
        </w:tc>
      </w:tr>
      <w:tr w14:paraId="626EA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667CE66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2.1.2.1</w:t>
            </w:r>
          </w:p>
        </w:tc>
        <w:tc>
          <w:tcPr>
            <w:tcW w:w="8200" w:type="dxa"/>
            <w:shd w:val="clear" w:color="auto" w:fill="auto"/>
            <w:noWrap w:val="0"/>
            <w:vAlign w:val="center"/>
          </w:tcPr>
          <w:p w14:paraId="4794F6E6">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柱箱温度：室温上5˚C-450˚C，19梯度/20平台程序升温；降温速率：从450˚C降至50˚C&lt;220秒；控温准确性：0.01℃；</w:t>
            </w:r>
          </w:p>
        </w:tc>
      </w:tr>
      <w:tr w14:paraId="2DB19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3187810F">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★2.1.2.2</w:t>
            </w:r>
          </w:p>
        </w:tc>
        <w:tc>
          <w:tcPr>
            <w:tcW w:w="8200" w:type="dxa"/>
            <w:shd w:val="clear" w:color="auto" w:fill="auto"/>
            <w:noWrap w:val="0"/>
            <w:vAlign w:val="center"/>
          </w:tcPr>
          <w:p w14:paraId="3CF339E4">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升温速率：0.1℃/min～120˚C/min，以0.01˚C /min增加, 最大升温速度可拓展至1800℃/min以上(提供含1800℃/min参数设置的软件截图证明)；</w:t>
            </w:r>
          </w:p>
        </w:tc>
      </w:tr>
      <w:tr w14:paraId="5CFAB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2B7E5CD1">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2.1.3</w:t>
            </w:r>
          </w:p>
        </w:tc>
        <w:tc>
          <w:tcPr>
            <w:tcW w:w="8200" w:type="dxa"/>
            <w:shd w:val="clear" w:color="auto" w:fill="auto"/>
            <w:noWrap w:val="0"/>
            <w:vAlign w:val="center"/>
          </w:tcPr>
          <w:p w14:paraId="2FAC7D56">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流路控制系统</w:t>
            </w:r>
          </w:p>
        </w:tc>
      </w:tr>
      <w:tr w14:paraId="2EA09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0BDC0058">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2.1.3.1</w:t>
            </w:r>
          </w:p>
        </w:tc>
        <w:tc>
          <w:tcPr>
            <w:tcW w:w="8200" w:type="dxa"/>
            <w:shd w:val="clear" w:color="auto" w:fill="auto"/>
            <w:noWrap w:val="0"/>
            <w:vAlign w:val="center"/>
          </w:tcPr>
          <w:p w14:paraId="3CCE6206">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最大压力设定范围：0-148 psi；压力设定精度：0.001 psi；流量设定范围：0-1250mL/min；</w:t>
            </w:r>
          </w:p>
        </w:tc>
      </w:tr>
      <w:tr w14:paraId="33242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5E057F27">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2.1.4</w:t>
            </w:r>
          </w:p>
        </w:tc>
        <w:tc>
          <w:tcPr>
            <w:tcW w:w="8200" w:type="dxa"/>
            <w:shd w:val="clear" w:color="auto" w:fill="auto"/>
            <w:noWrap w:val="0"/>
            <w:vAlign w:val="center"/>
          </w:tcPr>
          <w:p w14:paraId="311FA586">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惰性分流/不分流进样口</w:t>
            </w:r>
          </w:p>
        </w:tc>
      </w:tr>
      <w:tr w14:paraId="04DFE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4F5E80F9">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2.1.4.1</w:t>
            </w:r>
          </w:p>
        </w:tc>
        <w:tc>
          <w:tcPr>
            <w:tcW w:w="8200" w:type="dxa"/>
            <w:shd w:val="clear" w:color="auto" w:fill="auto"/>
            <w:noWrap w:val="0"/>
            <w:vAlign w:val="center"/>
          </w:tcPr>
          <w:p w14:paraId="434B3DB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惰性流路分流不分流进样口：每个焊件的热金属表面均经过处理，可防止发生吸附和降解；隔垫吹扫流量微电子控制可消除鬼峰，压力控制精度0.001psi；</w:t>
            </w:r>
          </w:p>
        </w:tc>
      </w:tr>
      <w:tr w14:paraId="6B478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2944CC7F">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★2.1.4.2</w:t>
            </w:r>
          </w:p>
        </w:tc>
        <w:tc>
          <w:tcPr>
            <w:tcW w:w="8200" w:type="dxa"/>
            <w:shd w:val="clear" w:color="auto" w:fill="auto"/>
            <w:noWrap w:val="0"/>
            <w:vAlign w:val="center"/>
          </w:tcPr>
          <w:p w14:paraId="1E86D479">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最大分流比：≥12500：1(同时提供软件截图和触摸屏截图证明)；</w:t>
            </w:r>
          </w:p>
        </w:tc>
      </w:tr>
      <w:tr w14:paraId="140DC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3717288D">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2.2</w:t>
            </w:r>
          </w:p>
        </w:tc>
        <w:tc>
          <w:tcPr>
            <w:tcW w:w="8200" w:type="dxa"/>
            <w:shd w:val="clear" w:color="auto" w:fill="auto"/>
            <w:noWrap w:val="0"/>
            <w:vAlign w:val="center"/>
          </w:tcPr>
          <w:p w14:paraId="76EC5FAA">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质谱部分</w:t>
            </w:r>
          </w:p>
        </w:tc>
      </w:tr>
      <w:tr w14:paraId="0FD5C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28CF0FB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2.2.1</w:t>
            </w:r>
          </w:p>
        </w:tc>
        <w:tc>
          <w:tcPr>
            <w:tcW w:w="8200" w:type="dxa"/>
            <w:shd w:val="clear" w:color="auto" w:fill="auto"/>
            <w:noWrap w:val="0"/>
            <w:vAlign w:val="center"/>
          </w:tcPr>
          <w:p w14:paraId="0E5B6930">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质谱检测器应配置EI离子源，提高极性化合物或活性化合物的响应值，提供更可靠的质谱数据结果；质量数范围：0.6-1090amu，以0.1amu递增；</w:t>
            </w:r>
          </w:p>
        </w:tc>
      </w:tr>
      <w:tr w14:paraId="7394E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718A559A">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2.2.2</w:t>
            </w:r>
          </w:p>
        </w:tc>
        <w:tc>
          <w:tcPr>
            <w:tcW w:w="8200" w:type="dxa"/>
            <w:shd w:val="clear" w:color="auto" w:fill="auto"/>
            <w:noWrap w:val="0"/>
            <w:vAlign w:val="center"/>
          </w:tcPr>
          <w:p w14:paraId="06C5B49F">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仪器检测限指标及灵敏度：</w:t>
            </w:r>
          </w:p>
          <w:p w14:paraId="63E276AE">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IDL:≤10 fg,100fg OFN连续8次进样，99%置信水平下，30m色谱柱分析计算得到</w:t>
            </w:r>
          </w:p>
          <w:p w14:paraId="6068C790">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S/N(Scan):≥4000:1，1pg OFN，30m色谱柱进样分析计算得到(提供</w:t>
            </w:r>
            <w:r>
              <w:rPr>
                <w:rFonts w:hint="eastAsia" w:ascii="新宋体" w:hAnsi="新宋体" w:eastAsia="新宋体" w:cs="新宋体"/>
                <w:color w:val="auto"/>
                <w:sz w:val="22"/>
                <w:szCs w:val="22"/>
                <w:highlight w:val="none"/>
              </w:rPr>
              <w:t>产品</w:t>
            </w:r>
            <w:r>
              <w:rPr>
                <w:rFonts w:hint="eastAsia" w:ascii="新宋体" w:hAnsi="新宋体" w:eastAsia="新宋体" w:cs="新宋体"/>
                <w:color w:val="auto"/>
                <w:sz w:val="22"/>
                <w:szCs w:val="22"/>
                <w:highlight w:val="none"/>
              </w:rPr>
              <w:t>指标证明)；</w:t>
            </w:r>
          </w:p>
        </w:tc>
      </w:tr>
      <w:tr w14:paraId="352B7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162A40D4">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2.2.3</w:t>
            </w:r>
          </w:p>
        </w:tc>
        <w:tc>
          <w:tcPr>
            <w:tcW w:w="8200" w:type="dxa"/>
            <w:shd w:val="clear" w:color="auto" w:fill="auto"/>
            <w:noWrap w:val="0"/>
            <w:vAlign w:val="center"/>
          </w:tcPr>
          <w:p w14:paraId="56EBBFDB">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质量准确度：OFN单同位素出现在 m/z 271.987±0.005 处；谱图准确度：不低于99.0%；分辨率：单位质量数分辨；质量轴稳定性: 优于0.10u/48h；最大扫描速率：≥20,000amu/秒；</w:t>
            </w:r>
          </w:p>
        </w:tc>
      </w:tr>
      <w:tr w14:paraId="08840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2CDA8760">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2.2.4</w:t>
            </w:r>
          </w:p>
        </w:tc>
        <w:tc>
          <w:tcPr>
            <w:tcW w:w="8200" w:type="dxa"/>
            <w:shd w:val="clear" w:color="auto" w:fill="auto"/>
            <w:noWrap w:val="0"/>
            <w:vAlign w:val="center"/>
          </w:tcPr>
          <w:p w14:paraId="072B4495">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气质接口温度：独立控温，可升温至350℃；离子源温度：独立控温，可升温至350˚C（提供软件参数设置截图）；</w:t>
            </w:r>
          </w:p>
        </w:tc>
      </w:tr>
      <w:tr w14:paraId="24560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6D3EDEEA">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2.2.5</w:t>
            </w:r>
          </w:p>
        </w:tc>
        <w:tc>
          <w:tcPr>
            <w:tcW w:w="8200" w:type="dxa"/>
            <w:shd w:val="clear" w:color="auto" w:fill="auto"/>
            <w:noWrap w:val="0"/>
            <w:vAlign w:val="center"/>
          </w:tcPr>
          <w:p w14:paraId="5547CA7A">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无损双灯丝设计，灯丝受长效保护，提高灯丝寿命，灯丝电流：0-315uA（提供软件参数设置截图）；离子化能量：5-241.5eV（提供软件参数设置截图证明）；</w:t>
            </w:r>
          </w:p>
        </w:tc>
      </w:tr>
      <w:tr w14:paraId="18DC2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62E80C0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★2.2.6</w:t>
            </w:r>
          </w:p>
        </w:tc>
        <w:tc>
          <w:tcPr>
            <w:tcW w:w="8200" w:type="dxa"/>
            <w:shd w:val="clear" w:color="auto" w:fill="auto"/>
            <w:noWrap w:val="0"/>
            <w:vAlign w:val="center"/>
          </w:tcPr>
          <w:p w14:paraId="7ED8BF65">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可选的全新的氢气惰性离子源，针对氢气作载气的应用进行了优化，不仅可以大幅减少因氦气短缺而造成的中断，还可以改善使用氢气运行时的谱图保真度、峰形和灵敏度（提供证明材料）；</w:t>
            </w:r>
          </w:p>
        </w:tc>
      </w:tr>
      <w:tr w14:paraId="4F40D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5D054041">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★2.2.7</w:t>
            </w:r>
          </w:p>
        </w:tc>
        <w:tc>
          <w:tcPr>
            <w:tcW w:w="8200" w:type="dxa"/>
            <w:shd w:val="clear" w:color="auto" w:fill="auto"/>
            <w:noWrap w:val="0"/>
            <w:vAlign w:val="center"/>
          </w:tcPr>
          <w:p w14:paraId="3DCE2E1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分析器：独立温控的共轭双曲面四极杆，106-200℃，可加热四极杆实现无须人为手动清洗即可消除污染（提供主四极杆控温软件截图）；</w:t>
            </w:r>
          </w:p>
        </w:tc>
      </w:tr>
      <w:tr w14:paraId="57880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03074D5A">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▲2.2.8</w:t>
            </w:r>
          </w:p>
        </w:tc>
        <w:tc>
          <w:tcPr>
            <w:tcW w:w="8200" w:type="dxa"/>
            <w:shd w:val="clear" w:color="auto" w:fill="auto"/>
            <w:noWrap w:val="0"/>
            <w:vAlign w:val="center"/>
          </w:tcPr>
          <w:p w14:paraId="2FD1507A">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真空系统：≥250L/sec分子涡轮泵及2.5m3/hr机械泵；</w:t>
            </w:r>
          </w:p>
        </w:tc>
      </w:tr>
      <w:tr w14:paraId="233CF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1A7F0B0C">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2.3</w:t>
            </w:r>
          </w:p>
        </w:tc>
        <w:tc>
          <w:tcPr>
            <w:tcW w:w="8200" w:type="dxa"/>
            <w:shd w:val="clear" w:color="auto" w:fill="auto"/>
            <w:noWrap w:val="0"/>
            <w:vAlign w:val="center"/>
          </w:tcPr>
          <w:p w14:paraId="43C57A06">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多功能自动进样器</w:t>
            </w:r>
          </w:p>
        </w:tc>
      </w:tr>
      <w:tr w14:paraId="51E25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2719CAC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2.3.1</w:t>
            </w:r>
          </w:p>
        </w:tc>
        <w:tc>
          <w:tcPr>
            <w:tcW w:w="8200" w:type="dxa"/>
            <w:shd w:val="clear" w:color="auto" w:fill="auto"/>
            <w:noWrap w:val="0"/>
            <w:vAlign w:val="center"/>
          </w:tcPr>
          <w:p w14:paraId="09DBA2BC">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可实现液体、顶空、SPME ARROW等进样功能全自动切换；轨道长度：</w:t>
            </w:r>
            <w:r>
              <w:rPr>
                <w:rFonts w:hint="eastAsia" w:ascii="新宋体" w:hAnsi="新宋体" w:eastAsia="新宋体" w:cs="新宋体"/>
                <w:color w:val="auto"/>
                <w:sz w:val="22"/>
                <w:szCs w:val="22"/>
                <w:highlight w:val="none"/>
              </w:rPr>
              <w:t>≥120cm</w:t>
            </w:r>
            <w:r>
              <w:rPr>
                <w:rFonts w:hint="eastAsia" w:ascii="新宋体" w:hAnsi="新宋体" w:eastAsia="新宋体" w:cs="新宋体"/>
                <w:color w:val="auto"/>
                <w:sz w:val="22"/>
                <w:szCs w:val="22"/>
                <w:highlight w:val="none"/>
              </w:rPr>
              <w:t>；</w:t>
            </w:r>
          </w:p>
        </w:tc>
      </w:tr>
      <w:tr w14:paraId="006B2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70BAC104">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2.3.2</w:t>
            </w:r>
          </w:p>
        </w:tc>
        <w:tc>
          <w:tcPr>
            <w:tcW w:w="8200" w:type="dxa"/>
            <w:shd w:val="clear" w:color="auto" w:fill="auto"/>
            <w:noWrap w:val="0"/>
            <w:vAlign w:val="center"/>
          </w:tcPr>
          <w:p w14:paraId="52A49E30">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液体进样模块</w:t>
            </w:r>
          </w:p>
        </w:tc>
      </w:tr>
      <w:tr w14:paraId="60286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2805BFB6">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2.3.2.1</w:t>
            </w:r>
          </w:p>
        </w:tc>
        <w:tc>
          <w:tcPr>
            <w:tcW w:w="8200" w:type="dxa"/>
            <w:shd w:val="clear" w:color="auto" w:fill="auto"/>
            <w:noWrap w:val="0"/>
            <w:vAlign w:val="center"/>
          </w:tcPr>
          <w:p w14:paraId="42E66B8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位数：≥160位2ml样品瓶，最大可升级至640位；进样体积：1.2μL到10,000μL；</w:t>
            </w:r>
          </w:p>
        </w:tc>
      </w:tr>
      <w:tr w14:paraId="0F5BD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00020876">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2.3.3</w:t>
            </w:r>
          </w:p>
        </w:tc>
        <w:tc>
          <w:tcPr>
            <w:tcW w:w="8200" w:type="dxa"/>
            <w:shd w:val="clear" w:color="auto" w:fill="auto"/>
            <w:noWrap w:val="0"/>
            <w:vAlign w:val="center"/>
          </w:tcPr>
          <w:p w14:paraId="4BBBEAB8">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顶空进样模块</w:t>
            </w:r>
          </w:p>
        </w:tc>
      </w:tr>
      <w:tr w14:paraId="1CB60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2EB12080">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2.3.3.1</w:t>
            </w:r>
          </w:p>
        </w:tc>
        <w:tc>
          <w:tcPr>
            <w:tcW w:w="8200" w:type="dxa"/>
            <w:shd w:val="clear" w:color="auto" w:fill="auto"/>
            <w:noWrap w:val="0"/>
            <w:vAlign w:val="center"/>
          </w:tcPr>
          <w:p w14:paraId="1F4697F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样品盘最多可同时放置45个20mL顶空瓶；样品瓶加热位数：6位，可实现重叠加热功能；</w:t>
            </w:r>
          </w:p>
        </w:tc>
      </w:tr>
      <w:tr w14:paraId="3C2B3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228CBD9F">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2.3.3.2</w:t>
            </w:r>
          </w:p>
        </w:tc>
        <w:tc>
          <w:tcPr>
            <w:tcW w:w="8200" w:type="dxa"/>
            <w:shd w:val="clear" w:color="auto" w:fill="auto"/>
            <w:noWrap w:val="0"/>
            <w:vAlign w:val="center"/>
          </w:tcPr>
          <w:p w14:paraId="32839ED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注射器使用惰性载气吹扫，全流路无阀设计；配2.5ml注射器，注射体积250－2500µl；顶空注射器加热温度：40-150℃；可以对样品瓶中的样品进行自动控温加热和涡旋振荡操作；加热温度范围：室温到200℃，温度允许偏差为±1℃；涡旋振荡速度：250-750rpm，涡旋速度允许偏差为±1rpm；</w:t>
            </w:r>
          </w:p>
        </w:tc>
      </w:tr>
      <w:tr w14:paraId="716EB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45E632AA">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2.3.4</w:t>
            </w:r>
          </w:p>
        </w:tc>
        <w:tc>
          <w:tcPr>
            <w:tcW w:w="8200" w:type="dxa"/>
            <w:shd w:val="clear" w:color="auto" w:fill="auto"/>
            <w:noWrap w:val="0"/>
            <w:vAlign w:val="center"/>
          </w:tcPr>
          <w:p w14:paraId="34994B5E">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固相微萃取模块(SPME ARROW进样)</w:t>
            </w:r>
          </w:p>
        </w:tc>
      </w:tr>
      <w:tr w14:paraId="2A930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17F262B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2.3.4.1</w:t>
            </w:r>
          </w:p>
        </w:tc>
        <w:tc>
          <w:tcPr>
            <w:tcW w:w="8200" w:type="dxa"/>
            <w:shd w:val="clear" w:color="auto" w:fill="auto"/>
            <w:noWrap w:val="0"/>
            <w:vAlign w:val="center"/>
          </w:tcPr>
          <w:p w14:paraId="49421AC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液体、顶空SPME两种萃取模式；样品处理量：≥40位10/20ml样品瓶；具有 6位加热搅拌器：40-200℃，1℃温度增量；</w:t>
            </w:r>
          </w:p>
        </w:tc>
      </w:tr>
      <w:tr w14:paraId="2380E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22A21D56">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★2.3.4.2</w:t>
            </w:r>
          </w:p>
        </w:tc>
        <w:tc>
          <w:tcPr>
            <w:tcW w:w="8200" w:type="dxa"/>
            <w:shd w:val="clear" w:color="auto" w:fill="auto"/>
            <w:noWrap w:val="0"/>
            <w:vAlign w:val="center"/>
          </w:tcPr>
          <w:p w14:paraId="698CEA12">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具有干吹配置及功能，实现萃取头自动干吹，可去除 Arrow 表面附着的水分并使萃取头快速冷却，在延长萃取头寿命的同时，可减少人工干预的需要；另外通过自动干吹和老化，有效避免实验室空气中的有机物吸附于Arrow 萃取头上而干扰分析结果，具有更出色的分析重复性 </w:t>
            </w:r>
            <w:r>
              <w:rPr>
                <w:rFonts w:hint="eastAsia" w:ascii="新宋体" w:hAnsi="新宋体" w:eastAsia="新宋体" w:cs="新宋体"/>
                <w:color w:val="auto"/>
                <w:sz w:val="22"/>
                <w:szCs w:val="22"/>
                <w:highlight w:val="none"/>
              </w:rPr>
              <w:t>(提供硬件配置图片证明)</w:t>
            </w:r>
            <w:r>
              <w:rPr>
                <w:rFonts w:hint="eastAsia" w:ascii="新宋体" w:hAnsi="新宋体" w:eastAsia="新宋体" w:cs="新宋体"/>
                <w:color w:val="auto"/>
                <w:sz w:val="22"/>
                <w:szCs w:val="22"/>
                <w:highlight w:val="none"/>
              </w:rPr>
              <w:t>；</w:t>
            </w:r>
          </w:p>
        </w:tc>
      </w:tr>
      <w:tr w14:paraId="7D651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07C67AA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★2.3.4.3</w:t>
            </w:r>
          </w:p>
        </w:tc>
        <w:tc>
          <w:tcPr>
            <w:tcW w:w="8200" w:type="dxa"/>
            <w:shd w:val="clear" w:color="auto" w:fill="auto"/>
            <w:noWrap w:val="0"/>
            <w:vAlign w:val="center"/>
          </w:tcPr>
          <w:p w14:paraId="69171491">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干吹站流量控制：样品测试模式下控制干吹流量为400~600mL/分钟；可以通过EPC精准控制低至3mL/分钟的干吹流量(提供软件截图证明)；</w:t>
            </w:r>
          </w:p>
        </w:tc>
      </w:tr>
      <w:tr w14:paraId="7CDD5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0C5820CE">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2.3.4.4</w:t>
            </w:r>
          </w:p>
        </w:tc>
        <w:tc>
          <w:tcPr>
            <w:tcW w:w="8200" w:type="dxa"/>
            <w:shd w:val="clear" w:color="auto" w:fill="auto"/>
            <w:noWrap w:val="0"/>
            <w:vAlign w:val="center"/>
          </w:tcPr>
          <w:p w14:paraId="0C3C498B">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质谱软件能反控多功能自动进样器（提供软件截图证明）；</w:t>
            </w:r>
          </w:p>
        </w:tc>
      </w:tr>
      <w:tr w14:paraId="78AF1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1C2C3E36">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2.4</w:t>
            </w:r>
          </w:p>
        </w:tc>
        <w:tc>
          <w:tcPr>
            <w:tcW w:w="8200" w:type="dxa"/>
            <w:shd w:val="clear" w:color="auto" w:fill="auto"/>
            <w:noWrap w:val="0"/>
            <w:vAlign w:val="center"/>
          </w:tcPr>
          <w:p w14:paraId="7ACED8ED">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数据处理系统</w:t>
            </w:r>
          </w:p>
        </w:tc>
      </w:tr>
      <w:tr w14:paraId="0C687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37D38421">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2.4.1</w:t>
            </w:r>
          </w:p>
        </w:tc>
        <w:tc>
          <w:tcPr>
            <w:tcW w:w="8200" w:type="dxa"/>
            <w:shd w:val="clear" w:color="auto" w:fill="auto"/>
            <w:noWrap w:val="0"/>
            <w:vAlign w:val="center"/>
          </w:tcPr>
          <w:p w14:paraId="64DC1DB8">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手动/自动调谐，数据采集，数据检索，分析结果报告，定量分析功能；具备NIST谱库(NIST23)和化学结构式库搜索功能；</w:t>
            </w:r>
            <w:r>
              <w:rPr>
                <w:rFonts w:hint="eastAsia" w:ascii="新宋体" w:hAnsi="新宋体" w:eastAsia="新宋体" w:cs="新宋体"/>
                <w:color w:val="auto"/>
                <w:sz w:val="22"/>
                <w:szCs w:val="22"/>
                <w:highlight w:val="none"/>
              </w:rPr>
              <w:t>提供中文版气质软件，</w:t>
            </w:r>
            <w:r>
              <w:rPr>
                <w:rFonts w:hint="eastAsia" w:ascii="新宋体" w:hAnsi="新宋体" w:eastAsia="新宋体" w:cs="新宋体"/>
                <w:color w:val="auto"/>
                <w:sz w:val="22"/>
                <w:szCs w:val="22"/>
                <w:highlight w:val="none"/>
              </w:rPr>
              <w:t>及未知物分析软件包含解卷积（非NIST带有的AMDIS）功能（提供包含解卷积功能的未知物分析软件操作界面证明）；</w:t>
            </w:r>
          </w:p>
        </w:tc>
      </w:tr>
      <w:tr w14:paraId="1FF990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2772D291">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2.5</w:t>
            </w:r>
          </w:p>
        </w:tc>
        <w:tc>
          <w:tcPr>
            <w:tcW w:w="8200" w:type="dxa"/>
            <w:shd w:val="clear" w:color="auto" w:fill="auto"/>
            <w:noWrap w:val="0"/>
            <w:vAlign w:val="center"/>
          </w:tcPr>
          <w:p w14:paraId="7F07EE9E">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热解吸装置</w:t>
            </w:r>
          </w:p>
        </w:tc>
      </w:tr>
      <w:tr w14:paraId="0816B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2DE0A95C">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2.5.1</w:t>
            </w:r>
          </w:p>
        </w:tc>
        <w:tc>
          <w:tcPr>
            <w:tcW w:w="8200" w:type="dxa"/>
            <w:shd w:val="clear" w:color="auto" w:fill="auto"/>
            <w:noWrap w:val="0"/>
            <w:vAlign w:val="center"/>
          </w:tcPr>
          <w:p w14:paraId="2E559A09">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样品位数：＞90位；</w:t>
            </w:r>
          </w:p>
        </w:tc>
      </w:tr>
      <w:tr w14:paraId="07BFD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589FB8CB">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★2.5.2</w:t>
            </w:r>
          </w:p>
        </w:tc>
        <w:tc>
          <w:tcPr>
            <w:tcW w:w="8200" w:type="dxa"/>
            <w:shd w:val="clear" w:color="auto" w:fill="auto"/>
            <w:noWrap w:val="0"/>
            <w:vAlign w:val="center"/>
          </w:tcPr>
          <w:p w14:paraId="161E7F96">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定量再收集功能：应用于冷阱和热脱附管解吸时分流，以便重复分析（提供相关证明材料）；</w:t>
            </w:r>
          </w:p>
        </w:tc>
      </w:tr>
      <w:tr w14:paraId="35204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591B3B2B">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2.5.3</w:t>
            </w:r>
          </w:p>
        </w:tc>
        <w:tc>
          <w:tcPr>
            <w:tcW w:w="8200" w:type="dxa"/>
            <w:shd w:val="clear" w:color="auto" w:fill="auto"/>
            <w:noWrap w:val="0"/>
            <w:vAlign w:val="center"/>
          </w:tcPr>
          <w:p w14:paraId="76D2A8F0">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第一级解析温度范围：35～425℃；控制精度为1℃；脱附时间：1～999.9 min ；控制精度为0.1 min；富集模式：半导体冷冻富集；石英冷阱—填充段内径为</w:t>
            </w:r>
            <w:r>
              <w:rPr>
                <w:rFonts w:hint="eastAsia" w:ascii="新宋体" w:hAnsi="新宋体" w:eastAsia="新宋体" w:cs="新宋体"/>
                <w:color w:val="auto"/>
                <w:sz w:val="22"/>
                <w:szCs w:val="22"/>
                <w:highlight w:val="none"/>
              </w:rPr>
              <w:t>≥2 mm</w:t>
            </w:r>
            <w:r>
              <w:rPr>
                <w:rFonts w:hint="eastAsia" w:ascii="新宋体" w:hAnsi="新宋体" w:eastAsia="新宋体" w:cs="新宋体"/>
                <w:color w:val="auto"/>
                <w:sz w:val="22"/>
                <w:szCs w:val="22"/>
                <w:highlight w:val="none"/>
              </w:rPr>
              <w:t>，样品进出口内径为</w:t>
            </w:r>
            <w:r>
              <w:rPr>
                <w:rFonts w:hint="eastAsia" w:ascii="新宋体" w:hAnsi="新宋体" w:eastAsia="新宋体" w:cs="新宋体"/>
                <w:color w:val="auto"/>
                <w:sz w:val="22"/>
                <w:szCs w:val="22"/>
                <w:highlight w:val="none"/>
              </w:rPr>
              <w:t>≥0.9 mm</w:t>
            </w:r>
            <w:r>
              <w:rPr>
                <w:rFonts w:hint="eastAsia" w:ascii="新宋体" w:hAnsi="新宋体" w:eastAsia="新宋体" w:cs="新宋体"/>
                <w:color w:val="auto"/>
                <w:sz w:val="22"/>
                <w:szCs w:val="22"/>
                <w:highlight w:val="none"/>
              </w:rPr>
              <w:t>；中间吸附剂填充部分长度为</w:t>
            </w:r>
            <w:r>
              <w:rPr>
                <w:rFonts w:hint="eastAsia" w:ascii="新宋体" w:hAnsi="新宋体" w:eastAsia="新宋体" w:cs="新宋体"/>
                <w:color w:val="auto"/>
                <w:sz w:val="22"/>
                <w:szCs w:val="22"/>
                <w:highlight w:val="none"/>
              </w:rPr>
              <w:t>≥60mm</w:t>
            </w:r>
            <w:r>
              <w:rPr>
                <w:rFonts w:hint="eastAsia" w:ascii="新宋体" w:hAnsi="新宋体" w:eastAsia="新宋体" w:cs="新宋体"/>
                <w:color w:val="auto"/>
                <w:sz w:val="22"/>
                <w:szCs w:val="22"/>
                <w:highlight w:val="none"/>
              </w:rPr>
              <w:t>，可填充一种至四种吸附剂；电子制冷可使</w:t>
            </w:r>
            <w:r>
              <w:rPr>
                <w:rFonts w:hint="eastAsia" w:ascii="新宋体" w:hAnsi="新宋体" w:eastAsia="新宋体" w:cs="新宋体"/>
                <w:color w:val="auto"/>
                <w:sz w:val="22"/>
                <w:szCs w:val="22"/>
                <w:highlight w:val="none"/>
              </w:rPr>
              <w:t>≥60mm</w:t>
            </w:r>
            <w:r>
              <w:rPr>
                <w:rFonts w:hint="eastAsia" w:ascii="新宋体" w:hAnsi="新宋体" w:eastAsia="新宋体" w:cs="新宋体"/>
                <w:color w:val="auto"/>
                <w:sz w:val="22"/>
                <w:szCs w:val="22"/>
                <w:highlight w:val="none"/>
              </w:rPr>
              <w:t>长的吸附剂部分均匀降温，同样可以使60mm长吸附剂部分均匀加热；</w:t>
            </w:r>
          </w:p>
        </w:tc>
      </w:tr>
      <w:tr w14:paraId="49C1F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4F260E9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2.5.4</w:t>
            </w:r>
          </w:p>
        </w:tc>
        <w:tc>
          <w:tcPr>
            <w:tcW w:w="8200" w:type="dxa"/>
            <w:shd w:val="clear" w:color="auto" w:fill="auto"/>
            <w:noWrap w:val="0"/>
            <w:vAlign w:val="center"/>
          </w:tcPr>
          <w:p w14:paraId="3C8870A8">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第二级解析最低富集温度：-30℃(提供相关证明材料)；最高解析温度：400℃；控制精度为1℃；</w:t>
            </w:r>
          </w:p>
        </w:tc>
      </w:tr>
      <w:tr w14:paraId="7B358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19B0EB08">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2.5.5</w:t>
            </w:r>
          </w:p>
        </w:tc>
        <w:tc>
          <w:tcPr>
            <w:tcW w:w="8200" w:type="dxa"/>
            <w:shd w:val="clear" w:color="auto" w:fill="auto"/>
            <w:noWrap w:val="0"/>
            <w:vAlign w:val="center"/>
          </w:tcPr>
          <w:p w14:paraId="279AE0EF">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电子制冷聚焦冷阱，无需液体制冷剂，冷阱加热迅速，脱附效率高，冷阱更换方便；</w:t>
            </w:r>
          </w:p>
        </w:tc>
      </w:tr>
      <w:tr w14:paraId="5B9B3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09892B4C">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2.5.6</w:t>
            </w:r>
          </w:p>
        </w:tc>
        <w:tc>
          <w:tcPr>
            <w:tcW w:w="8200" w:type="dxa"/>
            <w:shd w:val="clear" w:color="auto" w:fill="auto"/>
            <w:noWrap w:val="0"/>
            <w:vAlign w:val="center"/>
          </w:tcPr>
          <w:p w14:paraId="523D0FA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冷阱升温速度：可达100 ℃/s(提供</w:t>
            </w:r>
            <w:r>
              <w:rPr>
                <w:rFonts w:hint="eastAsia" w:ascii="新宋体" w:hAnsi="新宋体" w:eastAsia="新宋体" w:cs="新宋体"/>
                <w:color w:val="auto"/>
                <w:sz w:val="22"/>
                <w:szCs w:val="22"/>
                <w:highlight w:val="none"/>
              </w:rPr>
              <w:t>产品</w:t>
            </w:r>
            <w:r>
              <w:rPr>
                <w:rFonts w:hint="eastAsia" w:ascii="新宋体" w:hAnsi="新宋体" w:eastAsia="新宋体" w:cs="新宋体"/>
                <w:color w:val="auto"/>
                <w:sz w:val="22"/>
                <w:szCs w:val="22"/>
                <w:highlight w:val="none"/>
              </w:rPr>
              <w:t>参数证明)；提高色谱分离度，保证峰型，防止拖尾；</w:t>
            </w:r>
          </w:p>
        </w:tc>
      </w:tr>
      <w:tr w14:paraId="413B6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06704848">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2.5.7</w:t>
            </w:r>
          </w:p>
        </w:tc>
        <w:tc>
          <w:tcPr>
            <w:tcW w:w="8200" w:type="dxa"/>
            <w:shd w:val="clear" w:color="auto" w:fill="auto"/>
            <w:noWrap w:val="0"/>
            <w:vAlign w:val="center"/>
          </w:tcPr>
          <w:p w14:paraId="5F24A8C4">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温控模块：冷冻富集和高温解析采用两个独立的温控模块，可分别设置为富、集温度和解析温度，以保证瞬时解析，从而得到尖锐的色谱峰；最高温度保持时间0～999.9 min；控制精度为0.1 min；惰性特富龙阀设计，阀的温度范围50～225 ℃；传输线：采用硅烷化的不锈钢材料；温度：50～225℃；控制精度为1 ℃；</w:t>
            </w:r>
          </w:p>
        </w:tc>
      </w:tr>
      <w:tr w14:paraId="0349B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6E9D0D6C">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2.5.8</w:t>
            </w:r>
          </w:p>
        </w:tc>
        <w:tc>
          <w:tcPr>
            <w:tcW w:w="8200" w:type="dxa"/>
            <w:shd w:val="clear" w:color="auto" w:fill="auto"/>
            <w:noWrap w:val="0"/>
            <w:vAlign w:val="center"/>
          </w:tcPr>
          <w:p w14:paraId="242AF2F4">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管路系统：使用模块式设计，所有气路的关键连接和电磁阀、质量流量计集中于同一模块，减少系统死体积和连接部件，防止泄漏。在脱附前后，样品管都处于密封状态，以确保样品检测结果的真实性和可靠性；</w:t>
            </w:r>
          </w:p>
        </w:tc>
      </w:tr>
      <w:tr w14:paraId="5F9D9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615051A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2.5.9</w:t>
            </w:r>
          </w:p>
        </w:tc>
        <w:tc>
          <w:tcPr>
            <w:tcW w:w="8200" w:type="dxa"/>
            <w:shd w:val="clear" w:color="auto" w:fill="auto"/>
            <w:noWrap w:val="0"/>
            <w:vAlign w:val="center"/>
          </w:tcPr>
          <w:p w14:paraId="2C39B000">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在脱附前，系统必须能够在线自动对流路进行密封检测。具有吸附冷阱测试和反向老化功能，在分析过程中可以老化吸附管，节约实验时间；</w:t>
            </w:r>
          </w:p>
        </w:tc>
      </w:tr>
      <w:tr w14:paraId="09204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09C8E4F5">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2.5.10</w:t>
            </w:r>
          </w:p>
        </w:tc>
        <w:tc>
          <w:tcPr>
            <w:tcW w:w="8200" w:type="dxa"/>
            <w:shd w:val="clear" w:color="auto" w:fill="auto"/>
            <w:noWrap w:val="0"/>
            <w:vAlign w:val="center"/>
          </w:tcPr>
          <w:p w14:paraId="6607413B">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气路控制：直接采用气相最精确的气路电子阀（PPC或EPC）对热脱附进行气路控制，能精确控制载气，冷阱进出口分流流量，完全匹配原有色谱条件；</w:t>
            </w:r>
          </w:p>
        </w:tc>
      </w:tr>
      <w:tr w14:paraId="55985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0A241CF0">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2.5.11</w:t>
            </w:r>
          </w:p>
        </w:tc>
        <w:tc>
          <w:tcPr>
            <w:tcW w:w="8200" w:type="dxa"/>
            <w:shd w:val="clear" w:color="auto" w:fill="auto"/>
            <w:noWrap w:val="0"/>
            <w:vAlign w:val="center"/>
          </w:tcPr>
          <w:p w14:paraId="1921BD19">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老化仪：可同时老化10根标准吸附管；</w:t>
            </w:r>
          </w:p>
        </w:tc>
      </w:tr>
    </w:tbl>
    <w:p w14:paraId="65062B25">
      <w:pPr>
        <w:keepNext w:val="0"/>
        <w:keepLines w:val="0"/>
        <w:pageBreakBefore w:val="0"/>
        <w:widowControl w:val="0"/>
        <w:kinsoku/>
        <w:wordWrap/>
        <w:overflowPunct/>
        <w:topLinePunct w:val="0"/>
        <w:autoSpaceDE/>
        <w:autoSpaceDN/>
        <w:bidi w:val="0"/>
        <w:adjustRightInd/>
        <w:snapToGrid/>
        <w:spacing w:line="460" w:lineRule="exact"/>
        <w:textAlignment w:val="auto"/>
        <w:rPr>
          <w:color w:val="auto"/>
          <w:highlight w:val="none"/>
        </w:rPr>
      </w:pPr>
      <w:r>
        <w:rPr>
          <w:rFonts w:hint="eastAsia" w:ascii="新宋体" w:hAnsi="新宋体" w:eastAsia="新宋体" w:cs="新宋体"/>
          <w:b/>
          <w:bCs/>
          <w:caps w:val="0"/>
          <w:color w:val="auto"/>
          <w:sz w:val="22"/>
          <w:szCs w:val="22"/>
          <w:highlight w:val="none"/>
          <w:lang w:val="en-US" w:eastAsia="zh-CN"/>
        </w:rPr>
        <w:t>四、商务要求</w:t>
      </w:r>
    </w:p>
    <w:tbl>
      <w:tblPr>
        <w:tblStyle w:val="53"/>
        <w:tblW w:w="9666"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6"/>
        <w:gridCol w:w="4100"/>
        <w:gridCol w:w="4100"/>
      </w:tblGrid>
      <w:tr w14:paraId="19416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310BE50B">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3</w:t>
            </w:r>
          </w:p>
        </w:tc>
        <w:tc>
          <w:tcPr>
            <w:tcW w:w="8200" w:type="dxa"/>
            <w:gridSpan w:val="2"/>
            <w:shd w:val="clear" w:color="auto" w:fill="auto"/>
            <w:noWrap w:val="0"/>
            <w:vAlign w:val="center"/>
          </w:tcPr>
          <w:p w14:paraId="2B6093EA">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配置清单</w:t>
            </w:r>
          </w:p>
        </w:tc>
      </w:tr>
      <w:tr w14:paraId="5A13B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55810CBB">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3.1</w:t>
            </w:r>
          </w:p>
        </w:tc>
        <w:tc>
          <w:tcPr>
            <w:tcW w:w="4100" w:type="dxa"/>
            <w:shd w:val="clear" w:color="auto" w:fill="auto"/>
            <w:noWrap w:val="0"/>
            <w:vAlign w:val="center"/>
          </w:tcPr>
          <w:p w14:paraId="5518916E">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气相色谱仪主机</w:t>
            </w:r>
          </w:p>
        </w:tc>
        <w:tc>
          <w:tcPr>
            <w:tcW w:w="4100" w:type="dxa"/>
            <w:shd w:val="clear" w:color="auto" w:fill="auto"/>
            <w:noWrap w:val="0"/>
            <w:vAlign w:val="center"/>
          </w:tcPr>
          <w:p w14:paraId="2BEE5EF6">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1套；</w:t>
            </w:r>
          </w:p>
        </w:tc>
      </w:tr>
      <w:tr w14:paraId="47DEC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300B1A20">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3.2</w:t>
            </w:r>
          </w:p>
        </w:tc>
        <w:tc>
          <w:tcPr>
            <w:tcW w:w="4100" w:type="dxa"/>
            <w:shd w:val="clear" w:color="auto" w:fill="auto"/>
            <w:noWrap w:val="0"/>
            <w:vAlign w:val="center"/>
          </w:tcPr>
          <w:p w14:paraId="3833B5EC">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单四极杆质谱仪主机</w:t>
            </w:r>
          </w:p>
        </w:tc>
        <w:tc>
          <w:tcPr>
            <w:tcW w:w="4100" w:type="dxa"/>
            <w:shd w:val="clear" w:color="auto" w:fill="auto"/>
            <w:noWrap w:val="0"/>
            <w:vAlign w:val="center"/>
          </w:tcPr>
          <w:p w14:paraId="5768693B">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1套；</w:t>
            </w:r>
          </w:p>
        </w:tc>
      </w:tr>
      <w:tr w14:paraId="4610E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642E5C2B">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3.3</w:t>
            </w:r>
          </w:p>
        </w:tc>
        <w:tc>
          <w:tcPr>
            <w:tcW w:w="4100" w:type="dxa"/>
            <w:shd w:val="clear" w:color="auto" w:fill="auto"/>
            <w:noWrap w:val="0"/>
            <w:vAlign w:val="center"/>
          </w:tcPr>
          <w:p w14:paraId="049CFE79">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分流/不分流进样口</w:t>
            </w:r>
          </w:p>
        </w:tc>
        <w:tc>
          <w:tcPr>
            <w:tcW w:w="4100" w:type="dxa"/>
            <w:shd w:val="clear" w:color="auto" w:fill="auto"/>
            <w:noWrap w:val="0"/>
            <w:vAlign w:val="center"/>
          </w:tcPr>
          <w:p w14:paraId="14D602F9">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2套；</w:t>
            </w:r>
          </w:p>
        </w:tc>
      </w:tr>
      <w:tr w14:paraId="0081F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115B4BC2">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3.4</w:t>
            </w:r>
          </w:p>
        </w:tc>
        <w:tc>
          <w:tcPr>
            <w:tcW w:w="4100" w:type="dxa"/>
            <w:shd w:val="clear" w:color="auto" w:fill="auto"/>
            <w:noWrap w:val="0"/>
            <w:vAlign w:val="center"/>
          </w:tcPr>
          <w:p w14:paraId="6E268E95">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气相色谱质谱接口</w:t>
            </w:r>
          </w:p>
        </w:tc>
        <w:tc>
          <w:tcPr>
            <w:tcW w:w="4100" w:type="dxa"/>
            <w:shd w:val="clear" w:color="auto" w:fill="auto"/>
            <w:noWrap w:val="0"/>
            <w:vAlign w:val="center"/>
          </w:tcPr>
          <w:p w14:paraId="5F967046">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1套；</w:t>
            </w:r>
          </w:p>
        </w:tc>
      </w:tr>
      <w:tr w14:paraId="3145A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6B1B43F4">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3.5</w:t>
            </w:r>
          </w:p>
        </w:tc>
        <w:tc>
          <w:tcPr>
            <w:tcW w:w="4100" w:type="dxa"/>
            <w:shd w:val="clear" w:color="auto" w:fill="auto"/>
            <w:noWrap w:val="0"/>
            <w:vAlign w:val="center"/>
          </w:tcPr>
          <w:p w14:paraId="5B86C422">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超高灵敏度离子源</w:t>
            </w:r>
          </w:p>
        </w:tc>
        <w:tc>
          <w:tcPr>
            <w:tcW w:w="4100" w:type="dxa"/>
            <w:shd w:val="clear" w:color="auto" w:fill="auto"/>
            <w:noWrap w:val="0"/>
            <w:vAlign w:val="center"/>
          </w:tcPr>
          <w:p w14:paraId="7A13521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1套；</w:t>
            </w:r>
          </w:p>
        </w:tc>
      </w:tr>
      <w:tr w14:paraId="4E7E5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686E0AC8">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3.6</w:t>
            </w:r>
          </w:p>
        </w:tc>
        <w:tc>
          <w:tcPr>
            <w:tcW w:w="4100" w:type="dxa"/>
            <w:shd w:val="clear" w:color="auto" w:fill="auto"/>
            <w:noWrap w:val="0"/>
            <w:vAlign w:val="center"/>
          </w:tcPr>
          <w:p w14:paraId="2A07CC46">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不锈钢离子源</w:t>
            </w:r>
          </w:p>
        </w:tc>
        <w:tc>
          <w:tcPr>
            <w:tcW w:w="4100" w:type="dxa"/>
            <w:shd w:val="clear" w:color="auto" w:fill="auto"/>
            <w:noWrap w:val="0"/>
            <w:vAlign w:val="center"/>
          </w:tcPr>
          <w:p w14:paraId="1E49F36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1套；</w:t>
            </w:r>
          </w:p>
        </w:tc>
      </w:tr>
      <w:tr w14:paraId="09129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73CCAE68">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3.7</w:t>
            </w:r>
          </w:p>
        </w:tc>
        <w:tc>
          <w:tcPr>
            <w:tcW w:w="4100" w:type="dxa"/>
            <w:shd w:val="clear" w:color="auto" w:fill="auto"/>
            <w:noWrap w:val="0"/>
            <w:vAlign w:val="center"/>
          </w:tcPr>
          <w:p w14:paraId="1EFEC1F9">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数据处理工作站软件</w:t>
            </w:r>
          </w:p>
        </w:tc>
        <w:tc>
          <w:tcPr>
            <w:tcW w:w="4100" w:type="dxa"/>
            <w:shd w:val="clear" w:color="auto" w:fill="auto"/>
            <w:noWrap w:val="0"/>
            <w:vAlign w:val="center"/>
          </w:tcPr>
          <w:p w14:paraId="23E32384">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1套；</w:t>
            </w:r>
          </w:p>
        </w:tc>
      </w:tr>
      <w:tr w14:paraId="31643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113575B8">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3.8</w:t>
            </w:r>
          </w:p>
        </w:tc>
        <w:tc>
          <w:tcPr>
            <w:tcW w:w="4100" w:type="dxa"/>
            <w:shd w:val="clear" w:color="auto" w:fill="auto"/>
            <w:noWrap w:val="0"/>
            <w:vAlign w:val="center"/>
          </w:tcPr>
          <w:p w14:paraId="203DA422">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必备附件：安装工具包</w:t>
            </w:r>
          </w:p>
        </w:tc>
        <w:tc>
          <w:tcPr>
            <w:tcW w:w="4100" w:type="dxa"/>
            <w:shd w:val="clear" w:color="auto" w:fill="auto"/>
            <w:noWrap w:val="0"/>
            <w:vAlign w:val="center"/>
          </w:tcPr>
          <w:p w14:paraId="41330430">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1套；</w:t>
            </w:r>
          </w:p>
        </w:tc>
      </w:tr>
      <w:tr w14:paraId="474E1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362F1DFC">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3.9</w:t>
            </w:r>
          </w:p>
        </w:tc>
        <w:tc>
          <w:tcPr>
            <w:tcW w:w="4100" w:type="dxa"/>
            <w:shd w:val="clear" w:color="auto" w:fill="auto"/>
            <w:noWrap w:val="0"/>
            <w:vAlign w:val="center"/>
          </w:tcPr>
          <w:p w14:paraId="0A4A7EC8">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多功能自动进样系统（液体模块+顶空模块+固相微萃取模块(含干吹站)）</w:t>
            </w:r>
          </w:p>
        </w:tc>
        <w:tc>
          <w:tcPr>
            <w:tcW w:w="4100" w:type="dxa"/>
            <w:shd w:val="clear" w:color="auto" w:fill="auto"/>
            <w:noWrap w:val="0"/>
            <w:vAlign w:val="center"/>
          </w:tcPr>
          <w:p w14:paraId="2630304A">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1套；</w:t>
            </w:r>
          </w:p>
        </w:tc>
      </w:tr>
      <w:tr w14:paraId="12738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1466" w:type="dxa"/>
            <w:vMerge w:val="restart"/>
            <w:shd w:val="clear" w:color="auto" w:fill="auto"/>
            <w:noWrap w:val="0"/>
            <w:vAlign w:val="center"/>
          </w:tcPr>
          <w:p w14:paraId="2AA44BB5">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3.10</w:t>
            </w:r>
          </w:p>
        </w:tc>
        <w:tc>
          <w:tcPr>
            <w:tcW w:w="8200" w:type="dxa"/>
            <w:gridSpan w:val="2"/>
            <w:shd w:val="clear" w:color="auto" w:fill="auto"/>
            <w:noWrap w:val="0"/>
            <w:vAlign w:val="center"/>
          </w:tcPr>
          <w:p w14:paraId="188BC34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消耗品（减压阀转接头，色谱柱安装工具等）1批；</w:t>
            </w:r>
          </w:p>
        </w:tc>
      </w:tr>
      <w:tr w14:paraId="17531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1466" w:type="dxa"/>
            <w:vMerge w:val="continue"/>
            <w:shd w:val="clear" w:color="auto" w:fill="auto"/>
            <w:noWrap w:val="0"/>
            <w:vAlign w:val="center"/>
          </w:tcPr>
          <w:p w14:paraId="40DC6124">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7A04D7F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质谱测试标样</w:t>
            </w:r>
          </w:p>
        </w:tc>
        <w:tc>
          <w:tcPr>
            <w:tcW w:w="4100" w:type="dxa"/>
            <w:shd w:val="clear" w:color="auto" w:fill="auto"/>
            <w:noWrap w:val="0"/>
            <w:vAlign w:val="center"/>
          </w:tcPr>
          <w:p w14:paraId="78E7E5A6">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1个；</w:t>
            </w:r>
          </w:p>
        </w:tc>
      </w:tr>
      <w:tr w14:paraId="1672B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466" w:type="dxa"/>
            <w:vMerge w:val="continue"/>
            <w:shd w:val="clear" w:color="auto" w:fill="auto"/>
            <w:noWrap w:val="0"/>
            <w:vAlign w:val="center"/>
          </w:tcPr>
          <w:p w14:paraId="26308C5A">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4F6C71C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进样隔垫</w:t>
            </w:r>
          </w:p>
        </w:tc>
        <w:tc>
          <w:tcPr>
            <w:tcW w:w="4100" w:type="dxa"/>
            <w:shd w:val="clear" w:color="auto" w:fill="auto"/>
            <w:noWrap w:val="0"/>
            <w:vAlign w:val="center"/>
          </w:tcPr>
          <w:p w14:paraId="2972EF1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50个；</w:t>
            </w:r>
          </w:p>
        </w:tc>
      </w:tr>
      <w:tr w14:paraId="7A577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466" w:type="dxa"/>
            <w:vMerge w:val="continue"/>
            <w:shd w:val="clear" w:color="auto" w:fill="auto"/>
            <w:noWrap w:val="0"/>
            <w:vAlign w:val="center"/>
          </w:tcPr>
          <w:p w14:paraId="18C6B6F5">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6C0E6DC8">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进样衬管(含O型环)</w:t>
            </w:r>
          </w:p>
        </w:tc>
        <w:tc>
          <w:tcPr>
            <w:tcW w:w="4100" w:type="dxa"/>
            <w:shd w:val="clear" w:color="auto" w:fill="auto"/>
            <w:noWrap w:val="0"/>
            <w:vAlign w:val="center"/>
          </w:tcPr>
          <w:p w14:paraId="1FCEA2F5">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5个；</w:t>
            </w:r>
          </w:p>
        </w:tc>
      </w:tr>
      <w:tr w14:paraId="553D8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466" w:type="dxa"/>
            <w:vMerge w:val="continue"/>
            <w:shd w:val="clear" w:color="auto" w:fill="auto"/>
            <w:noWrap w:val="0"/>
            <w:vAlign w:val="center"/>
          </w:tcPr>
          <w:p w14:paraId="114B5A7D">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34C06E6F">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不分流进样衬管(含O型环)</w:t>
            </w:r>
          </w:p>
        </w:tc>
        <w:tc>
          <w:tcPr>
            <w:tcW w:w="4100" w:type="dxa"/>
            <w:shd w:val="clear" w:color="auto" w:fill="auto"/>
            <w:noWrap w:val="0"/>
            <w:vAlign w:val="center"/>
          </w:tcPr>
          <w:p w14:paraId="41F6A1D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20根；</w:t>
            </w:r>
          </w:p>
        </w:tc>
      </w:tr>
      <w:tr w14:paraId="67103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466" w:type="dxa"/>
            <w:vMerge w:val="continue"/>
            <w:shd w:val="clear" w:color="auto" w:fill="auto"/>
            <w:noWrap w:val="0"/>
            <w:vAlign w:val="center"/>
          </w:tcPr>
          <w:p w14:paraId="3E3680B7">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11A085AE">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进样口端石墨密封垫</w:t>
            </w:r>
          </w:p>
        </w:tc>
        <w:tc>
          <w:tcPr>
            <w:tcW w:w="4100" w:type="dxa"/>
            <w:shd w:val="clear" w:color="auto" w:fill="auto"/>
            <w:noWrap w:val="0"/>
            <w:vAlign w:val="center"/>
          </w:tcPr>
          <w:p w14:paraId="07E1E23C">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10个；</w:t>
            </w:r>
          </w:p>
        </w:tc>
      </w:tr>
      <w:tr w14:paraId="75BEA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466" w:type="dxa"/>
            <w:vMerge w:val="continue"/>
            <w:shd w:val="clear" w:color="auto" w:fill="auto"/>
            <w:noWrap w:val="0"/>
            <w:vAlign w:val="center"/>
          </w:tcPr>
          <w:p w14:paraId="3EF44DF9">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75E7BA08">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质谱端石墨密封垫</w:t>
            </w:r>
          </w:p>
        </w:tc>
        <w:tc>
          <w:tcPr>
            <w:tcW w:w="4100" w:type="dxa"/>
            <w:shd w:val="clear" w:color="auto" w:fill="auto"/>
            <w:noWrap w:val="0"/>
            <w:vAlign w:val="center"/>
          </w:tcPr>
          <w:p w14:paraId="65CF13D6">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10个；</w:t>
            </w:r>
          </w:p>
        </w:tc>
      </w:tr>
      <w:tr w14:paraId="4D6B7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466" w:type="dxa"/>
            <w:vMerge w:val="continue"/>
            <w:shd w:val="clear" w:color="auto" w:fill="auto"/>
            <w:noWrap w:val="0"/>
            <w:vAlign w:val="center"/>
          </w:tcPr>
          <w:p w14:paraId="3570D9BC">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025A10D5">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进样口端手拧螺母</w:t>
            </w:r>
          </w:p>
        </w:tc>
        <w:tc>
          <w:tcPr>
            <w:tcW w:w="4100" w:type="dxa"/>
            <w:shd w:val="clear" w:color="auto" w:fill="auto"/>
            <w:noWrap w:val="0"/>
            <w:vAlign w:val="center"/>
          </w:tcPr>
          <w:p w14:paraId="18CC0C2B">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1个；</w:t>
            </w:r>
          </w:p>
        </w:tc>
      </w:tr>
      <w:tr w14:paraId="31916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466" w:type="dxa"/>
            <w:vMerge w:val="continue"/>
            <w:shd w:val="clear" w:color="auto" w:fill="auto"/>
            <w:noWrap w:val="0"/>
            <w:vAlign w:val="center"/>
          </w:tcPr>
          <w:p w14:paraId="66CD25A0">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00135581">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质谱端手拧螺母</w:t>
            </w:r>
          </w:p>
        </w:tc>
        <w:tc>
          <w:tcPr>
            <w:tcW w:w="4100" w:type="dxa"/>
            <w:shd w:val="clear" w:color="auto" w:fill="auto"/>
            <w:noWrap w:val="0"/>
            <w:vAlign w:val="center"/>
          </w:tcPr>
          <w:p w14:paraId="3947025F">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1个；</w:t>
            </w:r>
          </w:p>
        </w:tc>
      </w:tr>
      <w:tr w14:paraId="4E074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466" w:type="dxa"/>
            <w:vMerge w:val="continue"/>
            <w:shd w:val="clear" w:color="auto" w:fill="auto"/>
            <w:noWrap w:val="0"/>
            <w:vAlign w:val="center"/>
          </w:tcPr>
          <w:p w14:paraId="43D0E482">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529C8E40">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进样口手动螺母</w:t>
            </w:r>
          </w:p>
        </w:tc>
        <w:tc>
          <w:tcPr>
            <w:tcW w:w="4100" w:type="dxa"/>
            <w:shd w:val="clear" w:color="auto" w:fill="auto"/>
            <w:noWrap w:val="0"/>
            <w:vAlign w:val="center"/>
          </w:tcPr>
          <w:p w14:paraId="710E697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10个，</w:t>
            </w:r>
          </w:p>
        </w:tc>
      </w:tr>
      <w:tr w14:paraId="67678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466" w:type="dxa"/>
            <w:vMerge w:val="continue"/>
            <w:shd w:val="clear" w:color="auto" w:fill="auto"/>
            <w:noWrap w:val="0"/>
            <w:vAlign w:val="center"/>
          </w:tcPr>
          <w:p w14:paraId="13CBA94B">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7C08C6EB">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质谱端手动螺母</w:t>
            </w:r>
          </w:p>
        </w:tc>
        <w:tc>
          <w:tcPr>
            <w:tcW w:w="4100" w:type="dxa"/>
            <w:shd w:val="clear" w:color="auto" w:fill="auto"/>
            <w:noWrap w:val="0"/>
            <w:vAlign w:val="center"/>
          </w:tcPr>
          <w:p w14:paraId="3A1B807B">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10个；</w:t>
            </w:r>
          </w:p>
        </w:tc>
      </w:tr>
      <w:tr w14:paraId="26081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trPr>
        <w:tc>
          <w:tcPr>
            <w:tcW w:w="1466" w:type="dxa"/>
            <w:vMerge w:val="continue"/>
            <w:shd w:val="clear" w:color="auto" w:fill="auto"/>
            <w:noWrap w:val="0"/>
            <w:vAlign w:val="center"/>
          </w:tcPr>
          <w:p w14:paraId="40D347A4">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7E11403A">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样品瓶套装</w:t>
            </w:r>
          </w:p>
        </w:tc>
        <w:tc>
          <w:tcPr>
            <w:tcW w:w="4100" w:type="dxa"/>
            <w:shd w:val="clear" w:color="auto" w:fill="auto"/>
            <w:noWrap w:val="0"/>
            <w:vAlign w:val="center"/>
          </w:tcPr>
          <w:p w14:paraId="2383C24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1000个；</w:t>
            </w:r>
          </w:p>
        </w:tc>
      </w:tr>
      <w:tr w14:paraId="368D6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trPr>
        <w:tc>
          <w:tcPr>
            <w:tcW w:w="1466" w:type="dxa"/>
            <w:vMerge w:val="continue"/>
            <w:shd w:val="clear" w:color="auto" w:fill="auto"/>
            <w:noWrap w:val="0"/>
            <w:vAlign w:val="center"/>
          </w:tcPr>
          <w:p w14:paraId="09D0E7E5">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44F5D769">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EI源灯丝</w:t>
            </w:r>
          </w:p>
        </w:tc>
        <w:tc>
          <w:tcPr>
            <w:tcW w:w="4100" w:type="dxa"/>
            <w:shd w:val="clear" w:color="auto" w:fill="auto"/>
            <w:noWrap w:val="0"/>
            <w:vAlign w:val="center"/>
          </w:tcPr>
          <w:p w14:paraId="59F0D4C1">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2只；</w:t>
            </w:r>
          </w:p>
        </w:tc>
      </w:tr>
      <w:tr w14:paraId="0DC35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trPr>
        <w:tc>
          <w:tcPr>
            <w:tcW w:w="1466" w:type="dxa"/>
            <w:vMerge w:val="continue"/>
            <w:shd w:val="clear" w:color="auto" w:fill="auto"/>
            <w:noWrap w:val="0"/>
            <w:vAlign w:val="center"/>
          </w:tcPr>
          <w:p w14:paraId="4F86BF11">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12EDCBC6">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泵油</w:t>
            </w:r>
          </w:p>
        </w:tc>
        <w:tc>
          <w:tcPr>
            <w:tcW w:w="4100" w:type="dxa"/>
            <w:shd w:val="clear" w:color="auto" w:fill="auto"/>
            <w:noWrap w:val="0"/>
            <w:vAlign w:val="center"/>
          </w:tcPr>
          <w:p w14:paraId="6BB52975">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2桶；</w:t>
            </w:r>
          </w:p>
        </w:tc>
      </w:tr>
      <w:tr w14:paraId="6C9CB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trPr>
        <w:tc>
          <w:tcPr>
            <w:tcW w:w="1466" w:type="dxa"/>
            <w:vMerge w:val="continue"/>
            <w:shd w:val="clear" w:color="auto" w:fill="auto"/>
            <w:noWrap w:val="0"/>
            <w:vAlign w:val="center"/>
          </w:tcPr>
          <w:p w14:paraId="58845BE9">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66FE59A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色谱柱</w:t>
            </w:r>
          </w:p>
        </w:tc>
        <w:tc>
          <w:tcPr>
            <w:tcW w:w="4100" w:type="dxa"/>
            <w:shd w:val="clear" w:color="auto" w:fill="auto"/>
            <w:noWrap w:val="0"/>
            <w:vAlign w:val="center"/>
          </w:tcPr>
          <w:p w14:paraId="7587AE4F">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5根；</w:t>
            </w:r>
          </w:p>
        </w:tc>
      </w:tr>
      <w:tr w14:paraId="189F8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trPr>
        <w:tc>
          <w:tcPr>
            <w:tcW w:w="1466" w:type="dxa"/>
            <w:vMerge w:val="continue"/>
            <w:shd w:val="clear" w:color="auto" w:fill="auto"/>
            <w:noWrap w:val="0"/>
            <w:vAlign w:val="center"/>
          </w:tcPr>
          <w:p w14:paraId="21938B5F">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007F5EAF">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超高惰性分流平板</w:t>
            </w:r>
          </w:p>
        </w:tc>
        <w:tc>
          <w:tcPr>
            <w:tcW w:w="4100" w:type="dxa"/>
            <w:shd w:val="clear" w:color="auto" w:fill="auto"/>
            <w:noWrap w:val="0"/>
            <w:vAlign w:val="center"/>
          </w:tcPr>
          <w:p w14:paraId="6E4FB306">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10/包；</w:t>
            </w:r>
          </w:p>
        </w:tc>
      </w:tr>
      <w:tr w14:paraId="0CF6C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trPr>
        <w:tc>
          <w:tcPr>
            <w:tcW w:w="1466" w:type="dxa"/>
            <w:vMerge w:val="continue"/>
            <w:shd w:val="clear" w:color="auto" w:fill="auto"/>
            <w:noWrap w:val="0"/>
            <w:vAlign w:val="center"/>
          </w:tcPr>
          <w:p w14:paraId="3A1C0398">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3C565CB8">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液体智能进样针</w:t>
            </w:r>
          </w:p>
        </w:tc>
        <w:tc>
          <w:tcPr>
            <w:tcW w:w="4100" w:type="dxa"/>
            <w:shd w:val="clear" w:color="auto" w:fill="auto"/>
            <w:noWrap w:val="0"/>
            <w:vAlign w:val="center"/>
          </w:tcPr>
          <w:p w14:paraId="142D52EF">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10根；</w:t>
            </w:r>
          </w:p>
        </w:tc>
      </w:tr>
      <w:tr w14:paraId="76450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trPr>
        <w:tc>
          <w:tcPr>
            <w:tcW w:w="1466" w:type="dxa"/>
            <w:vMerge w:val="continue"/>
            <w:shd w:val="clear" w:color="auto" w:fill="auto"/>
            <w:noWrap w:val="0"/>
            <w:vAlign w:val="center"/>
          </w:tcPr>
          <w:p w14:paraId="47335591">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0EE94C6B">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顶空智能进样针</w:t>
            </w:r>
          </w:p>
        </w:tc>
        <w:tc>
          <w:tcPr>
            <w:tcW w:w="4100" w:type="dxa"/>
            <w:shd w:val="clear" w:color="auto" w:fill="auto"/>
            <w:noWrap w:val="0"/>
            <w:vAlign w:val="center"/>
          </w:tcPr>
          <w:p w14:paraId="50BB76BA">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2根；</w:t>
            </w:r>
          </w:p>
        </w:tc>
      </w:tr>
      <w:tr w14:paraId="432FC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trPr>
        <w:tc>
          <w:tcPr>
            <w:tcW w:w="1466" w:type="dxa"/>
            <w:vMerge w:val="continue"/>
            <w:shd w:val="clear" w:color="auto" w:fill="auto"/>
            <w:noWrap w:val="0"/>
            <w:vAlign w:val="center"/>
          </w:tcPr>
          <w:p w14:paraId="0323633C">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0B9E2DE4">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SPME直型超高惰性衬管</w:t>
            </w:r>
          </w:p>
        </w:tc>
        <w:tc>
          <w:tcPr>
            <w:tcW w:w="4100" w:type="dxa"/>
            <w:shd w:val="clear" w:color="auto" w:fill="auto"/>
            <w:noWrap w:val="0"/>
            <w:vAlign w:val="center"/>
          </w:tcPr>
          <w:p w14:paraId="3A529A01">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4根；</w:t>
            </w:r>
          </w:p>
        </w:tc>
      </w:tr>
      <w:tr w14:paraId="77F9A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trPr>
        <w:tc>
          <w:tcPr>
            <w:tcW w:w="1466" w:type="dxa"/>
            <w:vMerge w:val="continue"/>
            <w:shd w:val="clear" w:color="auto" w:fill="auto"/>
            <w:noWrap w:val="0"/>
            <w:vAlign w:val="center"/>
          </w:tcPr>
          <w:p w14:paraId="7FF896DF">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69E2302C">
            <w:pPr>
              <w:spacing w:line="460" w:lineRule="exact"/>
              <w:rPr>
                <w:rFonts w:hint="eastAsia" w:ascii="新宋体" w:hAnsi="新宋体" w:eastAsia="新宋体" w:cs="新宋体"/>
                <w:color w:val="auto"/>
                <w:sz w:val="22"/>
                <w:szCs w:val="22"/>
                <w:highlight w:val="none"/>
              </w:rPr>
            </w:pPr>
            <w:bookmarkStart w:id="55" w:name="OLE_LINK5"/>
            <w:r>
              <w:rPr>
                <w:rFonts w:hint="eastAsia" w:ascii="新宋体" w:hAnsi="新宋体" w:eastAsia="新宋体" w:cs="新宋体"/>
                <w:color w:val="auto"/>
                <w:sz w:val="22"/>
                <w:szCs w:val="22"/>
                <w:highlight w:val="none"/>
              </w:rPr>
              <w:t>萃取头</w:t>
            </w:r>
            <w:bookmarkEnd w:id="55"/>
          </w:p>
        </w:tc>
        <w:tc>
          <w:tcPr>
            <w:tcW w:w="4100" w:type="dxa"/>
            <w:shd w:val="clear" w:color="auto" w:fill="auto"/>
            <w:noWrap w:val="0"/>
            <w:vAlign w:val="center"/>
          </w:tcPr>
          <w:p w14:paraId="1996F422">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5个；</w:t>
            </w:r>
          </w:p>
        </w:tc>
      </w:tr>
      <w:tr w14:paraId="5A5F4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1466" w:type="dxa"/>
            <w:vMerge w:val="continue"/>
            <w:shd w:val="clear" w:color="auto" w:fill="auto"/>
            <w:noWrap w:val="0"/>
            <w:vAlign w:val="center"/>
          </w:tcPr>
          <w:p w14:paraId="7E983B9A">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45F6675C">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通用整合捕集阱（氦气）</w:t>
            </w:r>
          </w:p>
        </w:tc>
        <w:tc>
          <w:tcPr>
            <w:tcW w:w="4100" w:type="dxa"/>
            <w:shd w:val="clear" w:color="auto" w:fill="auto"/>
            <w:noWrap w:val="0"/>
            <w:vAlign w:val="center"/>
          </w:tcPr>
          <w:p w14:paraId="6899C42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2套；</w:t>
            </w:r>
          </w:p>
        </w:tc>
      </w:tr>
      <w:tr w14:paraId="4BF16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1466" w:type="dxa"/>
            <w:vMerge w:val="continue"/>
            <w:shd w:val="clear" w:color="auto" w:fill="auto"/>
            <w:noWrap w:val="0"/>
            <w:vAlign w:val="center"/>
          </w:tcPr>
          <w:p w14:paraId="5DCE7910">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7CB05CC8">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死堵</w:t>
            </w:r>
          </w:p>
        </w:tc>
        <w:tc>
          <w:tcPr>
            <w:tcW w:w="4100" w:type="dxa"/>
            <w:shd w:val="clear" w:color="auto" w:fill="auto"/>
            <w:noWrap w:val="0"/>
            <w:vAlign w:val="center"/>
          </w:tcPr>
          <w:p w14:paraId="5CA051D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五盒；</w:t>
            </w:r>
          </w:p>
        </w:tc>
      </w:tr>
      <w:tr w14:paraId="22FB6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trPr>
        <w:tc>
          <w:tcPr>
            <w:tcW w:w="1466" w:type="dxa"/>
            <w:vMerge w:val="continue"/>
            <w:shd w:val="clear" w:color="auto" w:fill="auto"/>
            <w:noWrap w:val="0"/>
            <w:vAlign w:val="center"/>
          </w:tcPr>
          <w:p w14:paraId="4EE84BB4">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4AD53B40">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20ml顶空样品瓶</w:t>
            </w:r>
          </w:p>
        </w:tc>
        <w:tc>
          <w:tcPr>
            <w:tcW w:w="4100" w:type="dxa"/>
            <w:shd w:val="clear" w:color="auto" w:fill="auto"/>
            <w:noWrap w:val="0"/>
            <w:vAlign w:val="center"/>
          </w:tcPr>
          <w:p w14:paraId="1558A659">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500套；</w:t>
            </w:r>
          </w:p>
        </w:tc>
      </w:tr>
      <w:tr w14:paraId="0FA65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1466" w:type="dxa"/>
            <w:vMerge w:val="restart"/>
            <w:shd w:val="clear" w:color="auto" w:fill="auto"/>
            <w:noWrap w:val="0"/>
            <w:vAlign w:val="center"/>
          </w:tcPr>
          <w:p w14:paraId="63E0CB36">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3.11</w:t>
            </w:r>
          </w:p>
        </w:tc>
        <w:tc>
          <w:tcPr>
            <w:tcW w:w="8200" w:type="dxa"/>
            <w:gridSpan w:val="2"/>
            <w:shd w:val="clear" w:color="auto" w:fill="auto"/>
            <w:noWrap w:val="0"/>
            <w:vAlign w:val="center"/>
          </w:tcPr>
          <w:p w14:paraId="759B7A75">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热脱附装置1套；</w:t>
            </w:r>
          </w:p>
        </w:tc>
      </w:tr>
      <w:tr w14:paraId="6D155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 w:hRule="atLeast"/>
        </w:trPr>
        <w:tc>
          <w:tcPr>
            <w:tcW w:w="1466" w:type="dxa"/>
            <w:vMerge w:val="continue"/>
            <w:shd w:val="clear" w:color="auto" w:fill="auto"/>
            <w:noWrap w:val="0"/>
            <w:vAlign w:val="center"/>
          </w:tcPr>
          <w:p w14:paraId="027DD40D">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3C25C818">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热脱附主机</w:t>
            </w:r>
          </w:p>
        </w:tc>
        <w:tc>
          <w:tcPr>
            <w:tcW w:w="4100" w:type="dxa"/>
            <w:shd w:val="clear" w:color="auto" w:fill="auto"/>
            <w:noWrap w:val="0"/>
            <w:vAlign w:val="center"/>
          </w:tcPr>
          <w:p w14:paraId="0913E93C">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1套；</w:t>
            </w:r>
          </w:p>
        </w:tc>
      </w:tr>
      <w:tr w14:paraId="14B92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 w:hRule="atLeast"/>
        </w:trPr>
        <w:tc>
          <w:tcPr>
            <w:tcW w:w="1466" w:type="dxa"/>
            <w:vMerge w:val="continue"/>
            <w:shd w:val="clear" w:color="auto" w:fill="auto"/>
            <w:noWrap w:val="0"/>
            <w:vAlign w:val="center"/>
          </w:tcPr>
          <w:p w14:paraId="6179A9BC">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0616848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自动进样器</w:t>
            </w:r>
          </w:p>
        </w:tc>
        <w:tc>
          <w:tcPr>
            <w:tcW w:w="4100" w:type="dxa"/>
            <w:shd w:val="clear" w:color="auto" w:fill="auto"/>
            <w:noWrap w:val="0"/>
            <w:vAlign w:val="center"/>
          </w:tcPr>
          <w:p w14:paraId="5406F48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1套；</w:t>
            </w:r>
          </w:p>
        </w:tc>
      </w:tr>
      <w:tr w14:paraId="31BEB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1466" w:type="dxa"/>
            <w:vMerge w:val="continue"/>
            <w:shd w:val="clear" w:color="auto" w:fill="auto"/>
            <w:noWrap w:val="0"/>
            <w:vAlign w:val="center"/>
          </w:tcPr>
          <w:p w14:paraId="7731055D">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27BA390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通用吸附管</w:t>
            </w:r>
          </w:p>
        </w:tc>
        <w:tc>
          <w:tcPr>
            <w:tcW w:w="4100" w:type="dxa"/>
            <w:shd w:val="clear" w:color="auto" w:fill="auto"/>
            <w:noWrap w:val="0"/>
            <w:vAlign w:val="center"/>
          </w:tcPr>
          <w:p w14:paraId="7C6D0D5C">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40根；</w:t>
            </w:r>
          </w:p>
        </w:tc>
      </w:tr>
      <w:tr w14:paraId="6278A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1466" w:type="dxa"/>
            <w:vMerge w:val="continue"/>
            <w:shd w:val="clear" w:color="auto" w:fill="auto"/>
            <w:noWrap w:val="0"/>
            <w:vAlign w:val="center"/>
          </w:tcPr>
          <w:p w14:paraId="2FAF6DCE">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4F3937BE">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吸附管螺帽</w:t>
            </w:r>
          </w:p>
        </w:tc>
        <w:tc>
          <w:tcPr>
            <w:tcW w:w="4100" w:type="dxa"/>
            <w:shd w:val="clear" w:color="auto" w:fill="auto"/>
            <w:noWrap w:val="0"/>
            <w:vAlign w:val="center"/>
          </w:tcPr>
          <w:p w14:paraId="1EE1CEAC">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100个，</w:t>
            </w:r>
          </w:p>
        </w:tc>
      </w:tr>
      <w:tr w14:paraId="59292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1466" w:type="dxa"/>
            <w:vMerge w:val="continue"/>
            <w:shd w:val="clear" w:color="auto" w:fill="auto"/>
            <w:noWrap w:val="0"/>
            <w:vAlign w:val="center"/>
          </w:tcPr>
          <w:p w14:paraId="3646FFE0">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36FB608B">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吸附管惰性螺帽</w:t>
            </w:r>
          </w:p>
        </w:tc>
        <w:tc>
          <w:tcPr>
            <w:tcW w:w="4100" w:type="dxa"/>
            <w:shd w:val="clear" w:color="auto" w:fill="auto"/>
            <w:noWrap w:val="0"/>
            <w:vAlign w:val="center"/>
          </w:tcPr>
          <w:p w14:paraId="700D0496">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100个；</w:t>
            </w:r>
          </w:p>
        </w:tc>
      </w:tr>
      <w:tr w14:paraId="08667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1466" w:type="dxa"/>
            <w:vMerge w:val="continue"/>
            <w:shd w:val="clear" w:color="auto" w:fill="auto"/>
            <w:noWrap w:val="0"/>
            <w:vAlign w:val="center"/>
          </w:tcPr>
          <w:p w14:paraId="6FD80F24">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3D13007C">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标样加入装置</w:t>
            </w:r>
          </w:p>
        </w:tc>
        <w:tc>
          <w:tcPr>
            <w:tcW w:w="4100" w:type="dxa"/>
            <w:shd w:val="clear" w:color="auto" w:fill="auto"/>
            <w:noWrap w:val="0"/>
            <w:vAlign w:val="center"/>
          </w:tcPr>
          <w:p w14:paraId="6E28E51E">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1套；</w:t>
            </w:r>
          </w:p>
        </w:tc>
      </w:tr>
      <w:tr w14:paraId="17BB1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1466" w:type="dxa"/>
            <w:vMerge w:val="continue"/>
            <w:shd w:val="clear" w:color="auto" w:fill="auto"/>
            <w:noWrap w:val="0"/>
            <w:vAlign w:val="center"/>
          </w:tcPr>
          <w:p w14:paraId="06778650">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6E69AB1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安装工具包</w:t>
            </w:r>
          </w:p>
        </w:tc>
        <w:tc>
          <w:tcPr>
            <w:tcW w:w="4100" w:type="dxa"/>
            <w:shd w:val="clear" w:color="auto" w:fill="auto"/>
            <w:noWrap w:val="0"/>
            <w:vAlign w:val="center"/>
          </w:tcPr>
          <w:p w14:paraId="0FBE8E86">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1套；</w:t>
            </w:r>
          </w:p>
        </w:tc>
      </w:tr>
      <w:tr w14:paraId="491EF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1466" w:type="dxa"/>
            <w:vMerge w:val="continue"/>
            <w:shd w:val="clear" w:color="auto" w:fill="auto"/>
            <w:noWrap w:val="0"/>
            <w:vAlign w:val="center"/>
          </w:tcPr>
          <w:p w14:paraId="57F83BBA">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24EF6961">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专用冷阱</w:t>
            </w:r>
          </w:p>
        </w:tc>
        <w:tc>
          <w:tcPr>
            <w:tcW w:w="4100" w:type="dxa"/>
            <w:shd w:val="clear" w:color="auto" w:fill="auto"/>
            <w:noWrap w:val="0"/>
            <w:vAlign w:val="center"/>
          </w:tcPr>
          <w:p w14:paraId="5FC6BC61">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1套；</w:t>
            </w:r>
          </w:p>
        </w:tc>
      </w:tr>
      <w:tr w14:paraId="059F6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1466" w:type="dxa"/>
            <w:vMerge w:val="continue"/>
            <w:shd w:val="clear" w:color="auto" w:fill="auto"/>
            <w:noWrap w:val="0"/>
            <w:vAlign w:val="center"/>
          </w:tcPr>
          <w:p w14:paraId="64CCB466">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233A030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10位老化仪</w:t>
            </w:r>
          </w:p>
        </w:tc>
        <w:tc>
          <w:tcPr>
            <w:tcW w:w="4100" w:type="dxa"/>
            <w:shd w:val="clear" w:color="auto" w:fill="auto"/>
            <w:noWrap w:val="0"/>
            <w:vAlign w:val="center"/>
          </w:tcPr>
          <w:p w14:paraId="3288919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1套; </w:t>
            </w:r>
          </w:p>
        </w:tc>
      </w:tr>
      <w:tr w14:paraId="2E81B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1466" w:type="dxa"/>
            <w:vMerge w:val="continue"/>
            <w:shd w:val="clear" w:color="auto" w:fill="auto"/>
            <w:noWrap w:val="0"/>
            <w:vAlign w:val="center"/>
          </w:tcPr>
          <w:p w14:paraId="185E4DE6">
            <w:pPr>
              <w:spacing w:line="460" w:lineRule="exact"/>
              <w:rPr>
                <w:rFonts w:hint="eastAsia" w:ascii="新宋体" w:hAnsi="新宋体" w:eastAsia="新宋体" w:cs="新宋体"/>
                <w:color w:val="auto"/>
                <w:sz w:val="22"/>
                <w:szCs w:val="22"/>
                <w:highlight w:val="none"/>
              </w:rPr>
            </w:pPr>
          </w:p>
        </w:tc>
        <w:tc>
          <w:tcPr>
            <w:tcW w:w="4100" w:type="dxa"/>
            <w:shd w:val="clear" w:color="auto" w:fill="auto"/>
            <w:noWrap w:val="0"/>
            <w:vAlign w:val="center"/>
          </w:tcPr>
          <w:p w14:paraId="5F4D9AE2">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T-C复合管</w:t>
            </w:r>
          </w:p>
        </w:tc>
        <w:tc>
          <w:tcPr>
            <w:tcW w:w="4100" w:type="dxa"/>
            <w:shd w:val="clear" w:color="auto" w:fill="auto"/>
            <w:noWrap w:val="0"/>
            <w:vAlign w:val="center"/>
          </w:tcPr>
          <w:p w14:paraId="3C2BC09E">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100根</w:t>
            </w:r>
          </w:p>
        </w:tc>
      </w:tr>
      <w:tr w14:paraId="1DFED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2BCF4F21">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3.12</w:t>
            </w:r>
          </w:p>
        </w:tc>
        <w:tc>
          <w:tcPr>
            <w:tcW w:w="4100" w:type="dxa"/>
            <w:shd w:val="clear" w:color="auto" w:fill="auto"/>
            <w:noWrap w:val="0"/>
            <w:vAlign w:val="center"/>
          </w:tcPr>
          <w:p w14:paraId="05E4E611">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氦气气瓶</w:t>
            </w:r>
          </w:p>
        </w:tc>
        <w:tc>
          <w:tcPr>
            <w:tcW w:w="4100" w:type="dxa"/>
            <w:shd w:val="clear" w:color="auto" w:fill="auto"/>
            <w:noWrap w:val="0"/>
            <w:vAlign w:val="center"/>
          </w:tcPr>
          <w:p w14:paraId="0A3D76EE">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1个</w:t>
            </w:r>
          </w:p>
        </w:tc>
      </w:tr>
      <w:tr w14:paraId="280C8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3B37CBB5">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3.13</w:t>
            </w:r>
          </w:p>
        </w:tc>
        <w:tc>
          <w:tcPr>
            <w:tcW w:w="4100" w:type="dxa"/>
            <w:shd w:val="clear" w:color="auto" w:fill="auto"/>
            <w:noWrap w:val="0"/>
            <w:vAlign w:val="center"/>
          </w:tcPr>
          <w:p w14:paraId="2BA2F73F">
            <w:pPr>
              <w:spacing w:line="460" w:lineRule="exact"/>
              <w:rPr>
                <w:rFonts w:hint="eastAsia" w:ascii="新宋体" w:hAnsi="新宋体" w:eastAsia="新宋体" w:cs="新宋体"/>
                <w:color w:val="auto"/>
                <w:kern w:val="24"/>
                <w:sz w:val="22"/>
                <w:szCs w:val="22"/>
                <w:highlight w:val="none"/>
              </w:rPr>
            </w:pPr>
            <w:r>
              <w:rPr>
                <w:rFonts w:hint="eastAsia" w:ascii="新宋体" w:hAnsi="新宋体" w:eastAsia="新宋体" w:cs="新宋体"/>
                <w:color w:val="auto"/>
                <w:sz w:val="22"/>
                <w:szCs w:val="22"/>
                <w:highlight w:val="none"/>
              </w:rPr>
              <w:t>品牌商务电脑（</w:t>
            </w:r>
            <w:r>
              <w:rPr>
                <w:rFonts w:hint="eastAsia" w:ascii="新宋体" w:hAnsi="新宋体" w:eastAsia="新宋体" w:cs="新宋体"/>
                <w:color w:val="auto"/>
                <w:kern w:val="24"/>
                <w:sz w:val="22"/>
                <w:szCs w:val="22"/>
                <w:highlight w:val="none"/>
              </w:rPr>
              <w:t>处理器：I7 14代以上（高端；内存：16G DDR4以上；存储：2T；</w:t>
            </w:r>
          </w:p>
          <w:p w14:paraId="09758000">
            <w:pPr>
              <w:spacing w:line="460" w:lineRule="exact"/>
              <w:rPr>
                <w:rFonts w:hint="eastAsia" w:ascii="新宋体" w:hAnsi="新宋体" w:eastAsia="新宋体" w:cs="新宋体"/>
                <w:color w:val="auto"/>
                <w:kern w:val="24"/>
                <w:sz w:val="22"/>
                <w:szCs w:val="22"/>
                <w:highlight w:val="none"/>
              </w:rPr>
            </w:pPr>
            <w:r>
              <w:rPr>
                <w:rFonts w:hint="eastAsia" w:ascii="新宋体" w:hAnsi="新宋体" w:eastAsia="新宋体" w:cs="新宋体"/>
                <w:color w:val="auto"/>
                <w:kern w:val="24"/>
                <w:sz w:val="22"/>
                <w:szCs w:val="22"/>
                <w:highlight w:val="none"/>
              </w:rPr>
              <w:t>显卡：6G独显 GPU频率1400MHz以上；</w:t>
            </w:r>
          </w:p>
          <w:p w14:paraId="6021C942">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24"/>
                <w:sz w:val="22"/>
                <w:szCs w:val="22"/>
                <w:highlight w:val="none"/>
              </w:rPr>
              <w:t>显示器：27英寸</w:t>
            </w:r>
            <w:r>
              <w:rPr>
                <w:rFonts w:hint="eastAsia" w:ascii="新宋体" w:hAnsi="新宋体" w:eastAsia="新宋体" w:cs="新宋体"/>
                <w:color w:val="auto"/>
                <w:sz w:val="22"/>
                <w:szCs w:val="22"/>
                <w:highlight w:val="none"/>
              </w:rPr>
              <w:t>）</w:t>
            </w:r>
          </w:p>
        </w:tc>
        <w:tc>
          <w:tcPr>
            <w:tcW w:w="4100" w:type="dxa"/>
            <w:shd w:val="clear" w:color="auto" w:fill="auto"/>
            <w:noWrap w:val="0"/>
            <w:vAlign w:val="center"/>
          </w:tcPr>
          <w:p w14:paraId="7DDFFC4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1套；</w:t>
            </w:r>
          </w:p>
        </w:tc>
      </w:tr>
      <w:tr w14:paraId="4F99E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357564B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3.14</w:t>
            </w:r>
          </w:p>
        </w:tc>
        <w:tc>
          <w:tcPr>
            <w:tcW w:w="4100" w:type="dxa"/>
            <w:shd w:val="clear" w:color="auto" w:fill="auto"/>
            <w:noWrap w:val="0"/>
            <w:vAlign w:val="center"/>
          </w:tcPr>
          <w:p w14:paraId="332BCD6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激光打印机（</w:t>
            </w:r>
            <w:r>
              <w:rPr>
                <w:rFonts w:hint="eastAsia" w:ascii="新宋体" w:hAnsi="新宋体" w:eastAsia="新宋体" w:cs="新宋体"/>
                <w:color w:val="auto"/>
                <w:kern w:val="24"/>
                <w:sz w:val="22"/>
                <w:szCs w:val="22"/>
                <w:highlight w:val="none"/>
              </w:rPr>
              <w:t>打印速度‌：黑白30页/分钟以上；处理器速度1000Hz以上；支持自动双面打印</w:t>
            </w:r>
            <w:r>
              <w:rPr>
                <w:rFonts w:hint="eastAsia" w:ascii="新宋体" w:hAnsi="新宋体" w:eastAsia="新宋体" w:cs="新宋体"/>
                <w:color w:val="auto"/>
                <w:sz w:val="22"/>
                <w:szCs w:val="22"/>
                <w:highlight w:val="none"/>
              </w:rPr>
              <w:t>）</w:t>
            </w:r>
          </w:p>
        </w:tc>
        <w:tc>
          <w:tcPr>
            <w:tcW w:w="4100" w:type="dxa"/>
            <w:shd w:val="clear" w:color="auto" w:fill="auto"/>
            <w:noWrap w:val="0"/>
            <w:vAlign w:val="center"/>
          </w:tcPr>
          <w:p w14:paraId="3FCC28E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1套；</w:t>
            </w:r>
          </w:p>
        </w:tc>
      </w:tr>
      <w:tr w14:paraId="51927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1A39951F">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3.15</w:t>
            </w:r>
          </w:p>
        </w:tc>
        <w:tc>
          <w:tcPr>
            <w:tcW w:w="4100" w:type="dxa"/>
            <w:shd w:val="clear" w:color="auto" w:fill="auto"/>
            <w:noWrap w:val="0"/>
            <w:vAlign w:val="center"/>
          </w:tcPr>
          <w:p w14:paraId="6F96809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冰箱</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kern w:val="24"/>
                <w:sz w:val="22"/>
                <w:szCs w:val="22"/>
                <w:highlight w:val="none"/>
              </w:rPr>
              <w:t>冷藏室容积≥219L，冷冻室容积≥100L）</w:t>
            </w:r>
          </w:p>
        </w:tc>
        <w:tc>
          <w:tcPr>
            <w:tcW w:w="4100" w:type="dxa"/>
            <w:shd w:val="clear" w:color="auto" w:fill="auto"/>
            <w:noWrap w:val="0"/>
            <w:vAlign w:val="center"/>
          </w:tcPr>
          <w:p w14:paraId="57FE73E5">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2台；</w:t>
            </w:r>
          </w:p>
        </w:tc>
      </w:tr>
      <w:tr w14:paraId="19D91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7897AEEB">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3.16</w:t>
            </w:r>
          </w:p>
        </w:tc>
        <w:tc>
          <w:tcPr>
            <w:tcW w:w="4100" w:type="dxa"/>
            <w:shd w:val="clear" w:color="auto" w:fill="auto"/>
            <w:noWrap w:val="0"/>
            <w:vAlign w:val="center"/>
          </w:tcPr>
          <w:p w14:paraId="487957E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移液枪（5mL，1mL，200μL）</w:t>
            </w:r>
          </w:p>
        </w:tc>
        <w:tc>
          <w:tcPr>
            <w:tcW w:w="4100" w:type="dxa"/>
            <w:shd w:val="clear" w:color="auto" w:fill="auto"/>
            <w:noWrap w:val="0"/>
            <w:vAlign w:val="center"/>
          </w:tcPr>
          <w:p w14:paraId="7521E678">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各1支；</w:t>
            </w:r>
          </w:p>
        </w:tc>
      </w:tr>
      <w:tr w14:paraId="1BAC6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29775369">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3.17</w:t>
            </w:r>
          </w:p>
        </w:tc>
        <w:tc>
          <w:tcPr>
            <w:tcW w:w="4100" w:type="dxa"/>
            <w:shd w:val="clear" w:color="auto" w:fill="auto"/>
            <w:noWrap w:val="0"/>
            <w:vAlign w:val="center"/>
          </w:tcPr>
          <w:p w14:paraId="74081116">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仪器操作椅</w:t>
            </w:r>
          </w:p>
        </w:tc>
        <w:tc>
          <w:tcPr>
            <w:tcW w:w="4100" w:type="dxa"/>
            <w:shd w:val="clear" w:color="auto" w:fill="auto"/>
            <w:noWrap w:val="0"/>
            <w:vAlign w:val="center"/>
          </w:tcPr>
          <w:p w14:paraId="631182AF">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5把</w:t>
            </w:r>
          </w:p>
        </w:tc>
      </w:tr>
      <w:tr w14:paraId="06AB8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389520F9">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4</w:t>
            </w:r>
          </w:p>
        </w:tc>
        <w:tc>
          <w:tcPr>
            <w:tcW w:w="8200" w:type="dxa"/>
            <w:gridSpan w:val="2"/>
            <w:shd w:val="clear" w:color="auto" w:fill="auto"/>
            <w:noWrap w:val="0"/>
            <w:vAlign w:val="center"/>
          </w:tcPr>
          <w:p w14:paraId="19C22830">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售后服务</w:t>
            </w:r>
          </w:p>
        </w:tc>
      </w:tr>
      <w:tr w14:paraId="7CC7D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352B4992">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4.1</w:t>
            </w:r>
          </w:p>
        </w:tc>
        <w:tc>
          <w:tcPr>
            <w:tcW w:w="8200" w:type="dxa"/>
            <w:gridSpan w:val="2"/>
            <w:shd w:val="clear" w:color="auto" w:fill="auto"/>
            <w:noWrap w:val="0"/>
            <w:vAlign w:val="center"/>
          </w:tcPr>
          <w:p w14:paraId="79AEEB7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整机系统（最终验收合格后）免费质保期≥3年；</w:t>
            </w:r>
          </w:p>
        </w:tc>
      </w:tr>
      <w:tr w14:paraId="63D3F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7A13091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4.2</w:t>
            </w:r>
          </w:p>
        </w:tc>
        <w:tc>
          <w:tcPr>
            <w:tcW w:w="8200" w:type="dxa"/>
            <w:gridSpan w:val="2"/>
            <w:shd w:val="clear" w:color="auto" w:fill="auto"/>
            <w:noWrap w:val="0"/>
            <w:vAlign w:val="center"/>
          </w:tcPr>
          <w:p w14:paraId="2EF91CA2">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免费提供操作培训和维修培训（培训内容包括但不限于仪器的基本原理、操作应用及仪器的维护保养知识，直到用户能正常使用和维护仪器，并提供四人次免费制造厂商培训中心名额；</w:t>
            </w:r>
          </w:p>
        </w:tc>
      </w:tr>
      <w:tr w14:paraId="532AC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43931A64">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4.3</w:t>
            </w:r>
          </w:p>
        </w:tc>
        <w:tc>
          <w:tcPr>
            <w:tcW w:w="8200" w:type="dxa"/>
            <w:gridSpan w:val="2"/>
            <w:shd w:val="clear" w:color="auto" w:fill="auto"/>
            <w:noWrap w:val="0"/>
            <w:vAlign w:val="center"/>
          </w:tcPr>
          <w:p w14:paraId="27005492">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提供不定期的仪器应用技术培训服务及上门应用支持服务。免费提供仪器使用手册、培训教材、应用文章等；</w:t>
            </w:r>
          </w:p>
        </w:tc>
      </w:tr>
      <w:tr w14:paraId="6BF37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0FA89B5F">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4.4</w:t>
            </w:r>
          </w:p>
        </w:tc>
        <w:tc>
          <w:tcPr>
            <w:tcW w:w="8200" w:type="dxa"/>
            <w:gridSpan w:val="2"/>
            <w:shd w:val="clear" w:color="auto" w:fill="auto"/>
            <w:noWrap w:val="0"/>
            <w:vAlign w:val="center"/>
          </w:tcPr>
          <w:p w14:paraId="612284F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负责实现自动异味分析（土臭素，2-甲基异莰醇等53种异味物质大方法）操作的脚本方法；</w:t>
            </w:r>
          </w:p>
        </w:tc>
      </w:tr>
      <w:tr w14:paraId="7BD9E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22B80B80">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4.5</w:t>
            </w:r>
          </w:p>
        </w:tc>
        <w:tc>
          <w:tcPr>
            <w:tcW w:w="8200" w:type="dxa"/>
            <w:gridSpan w:val="2"/>
            <w:shd w:val="clear" w:color="auto" w:fill="auto"/>
            <w:noWrap w:val="0"/>
            <w:vAlign w:val="center"/>
          </w:tcPr>
          <w:p w14:paraId="36EB0B22">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负责实现GB/T 18883-2022中总挥发性有机物操作的方法；</w:t>
            </w:r>
          </w:p>
        </w:tc>
      </w:tr>
      <w:tr w14:paraId="7316C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4C7B8A4A">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4.6</w:t>
            </w:r>
          </w:p>
        </w:tc>
        <w:tc>
          <w:tcPr>
            <w:tcW w:w="8200" w:type="dxa"/>
            <w:gridSpan w:val="2"/>
            <w:shd w:val="clear" w:color="auto" w:fill="auto"/>
            <w:noWrap w:val="0"/>
            <w:vAlign w:val="center"/>
          </w:tcPr>
          <w:p w14:paraId="0CC21A46">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设备终身维修，质保期内不收取任何维修保养服务费用，质量保证期后不收取任何维修费、差旅费等，仅收取配件费。对质保期后维修付款必须做到先维修后付款；</w:t>
            </w:r>
          </w:p>
        </w:tc>
      </w:tr>
      <w:tr w14:paraId="378CD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6" w:type="dxa"/>
            <w:shd w:val="clear" w:color="auto" w:fill="auto"/>
            <w:noWrap w:val="0"/>
            <w:vAlign w:val="center"/>
          </w:tcPr>
          <w:p w14:paraId="50C13842">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4.7</w:t>
            </w:r>
          </w:p>
        </w:tc>
        <w:tc>
          <w:tcPr>
            <w:tcW w:w="8200" w:type="dxa"/>
            <w:gridSpan w:val="2"/>
            <w:shd w:val="clear" w:color="auto" w:fill="auto"/>
            <w:noWrap w:val="0"/>
            <w:vAlign w:val="center"/>
          </w:tcPr>
          <w:p w14:paraId="5C5A909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维修响应时间≤2小时，72小时内到达维修现场；</w:t>
            </w:r>
          </w:p>
        </w:tc>
      </w:tr>
    </w:tbl>
    <w:p w14:paraId="5107174E">
      <w:pPr>
        <w:keepNext w:val="0"/>
        <w:keepLines w:val="0"/>
        <w:pageBreakBefore w:val="0"/>
        <w:widowControl w:val="0"/>
        <w:kinsoku/>
        <w:wordWrap/>
        <w:overflowPunct/>
        <w:topLinePunct w:val="0"/>
        <w:bidi w:val="0"/>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lang w:val="en-US" w:eastAsia="zh-CN"/>
        </w:rPr>
        <w:t>五</w:t>
      </w:r>
      <w:r>
        <w:rPr>
          <w:rFonts w:hint="eastAsia" w:ascii="新宋体" w:hAnsi="新宋体" w:eastAsia="新宋体" w:cs="新宋体"/>
          <w:b/>
          <w:bCs/>
          <w:color w:val="auto"/>
          <w:sz w:val="22"/>
          <w:szCs w:val="22"/>
          <w:highlight w:val="none"/>
        </w:rPr>
        <w:t>、</w:t>
      </w:r>
      <w:r>
        <w:rPr>
          <w:rFonts w:hint="eastAsia" w:ascii="新宋体" w:hAnsi="新宋体" w:eastAsia="新宋体" w:cs="新宋体"/>
          <w:b/>
          <w:bCs/>
          <w:color w:val="auto"/>
          <w:sz w:val="22"/>
          <w:szCs w:val="22"/>
          <w:highlight w:val="none"/>
          <w:lang w:val="en-US" w:eastAsia="zh-CN"/>
        </w:rPr>
        <w:t>其他要求：</w:t>
      </w:r>
    </w:p>
    <w:p w14:paraId="51933E33">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1、中标供应商按政府采购线上履约验收流程操作并承当（政府采购项目）履约验收费用。</w:t>
      </w:r>
    </w:p>
    <w:p w14:paraId="3D43CD0D">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2、交货地点：采购人指定地点</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交货时间：</w:t>
      </w:r>
      <w:r>
        <w:rPr>
          <w:rFonts w:hint="eastAsia" w:ascii="新宋体" w:hAnsi="新宋体" w:eastAsia="新宋体" w:cs="新宋体"/>
          <w:color w:val="auto"/>
          <w:sz w:val="22"/>
          <w:szCs w:val="22"/>
          <w:highlight w:val="none"/>
          <w:lang w:val="en-US" w:eastAsia="zh-CN"/>
        </w:rPr>
        <w:t>合同签订后</w:t>
      </w:r>
      <w:r>
        <w:rPr>
          <w:rFonts w:hint="eastAsia" w:ascii="新宋体" w:hAnsi="新宋体" w:eastAsia="新宋体" w:cs="新宋体"/>
          <w:color w:val="auto"/>
          <w:sz w:val="22"/>
          <w:szCs w:val="22"/>
          <w:highlight w:val="none"/>
        </w:rPr>
        <w:t>30天内完成设备安装调试。</w:t>
      </w:r>
    </w:p>
    <w:p w14:paraId="2015E446">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付款方式：合同签订后7个工作日，甲方支付全部货款的40%作为预付款（乙方应先开具同等金额的国家税务发票，否则因此造成的责任由供应商自行承担，如乙方能提供全部货款剩余60%金额的银行、保险机构或其他金融机构（包括融资担保公司）保函并开具同等金额的国家税务发票，甲方将支付该款项，待验收合格后无息退还该保函），无保函待全部货物验收合格后7个工作日内甲方支</w:t>
      </w:r>
      <w:r>
        <w:rPr>
          <w:rFonts w:hint="eastAsia" w:ascii="新宋体" w:hAnsi="新宋体" w:eastAsia="新宋体" w:cs="新宋体"/>
          <w:color w:val="auto"/>
          <w:sz w:val="22"/>
          <w:szCs w:val="22"/>
          <w:highlight w:val="none"/>
        </w:rPr>
        <w:t>付全</w:t>
      </w:r>
      <w:r>
        <w:rPr>
          <w:rFonts w:hint="eastAsia" w:ascii="新宋体" w:hAnsi="新宋体" w:eastAsia="新宋体" w:cs="新宋体"/>
          <w:color w:val="auto"/>
          <w:sz w:val="22"/>
          <w:szCs w:val="22"/>
          <w:highlight w:val="none"/>
        </w:rPr>
        <w:t>部货款剩余的60%（乙方应先开具同等金额的发票，否则因此造成的责任由乙方自行承担）。</w:t>
      </w:r>
    </w:p>
    <w:p w14:paraId="6C14D9E7">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4、产品标准和规范应符合最新版本的中华人民共和国国家标准/规范，或相应的国际标准/规范，或厂家标准/规范。</w:t>
      </w:r>
    </w:p>
    <w:p w14:paraId="42EEECBF">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本标书中的技术要求不得被认为是详尽无遗的，无论规定与否，投标供应商应提供所有投标文件没有规定但投标供应商认为完成本项目必要或必须的设备和材料，应在技术标表中一一列明并在商务标分项报价表中列出对应价格。</w:t>
      </w:r>
    </w:p>
    <w:p w14:paraId="58ADCE75">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6、本次标书所列的技术性能及配置均为最低要求，投标供应商可以按技术性能及配置要求选用的设备功能、配置、技术性能等于或高于</w:t>
      </w:r>
      <w:r>
        <w:rPr>
          <w:rFonts w:hint="eastAsia" w:ascii="新宋体" w:hAnsi="新宋体" w:eastAsia="新宋体" w:cs="新宋体"/>
          <w:color w:val="auto"/>
          <w:sz w:val="22"/>
          <w:szCs w:val="22"/>
          <w:highlight w:val="none"/>
          <w:lang w:eastAsia="zh-CN"/>
        </w:rPr>
        <w:t>采购</w:t>
      </w:r>
      <w:r>
        <w:rPr>
          <w:rFonts w:hint="eastAsia" w:ascii="新宋体" w:hAnsi="新宋体" w:eastAsia="新宋体" w:cs="新宋体"/>
          <w:color w:val="auto"/>
          <w:sz w:val="22"/>
          <w:szCs w:val="22"/>
          <w:highlight w:val="none"/>
        </w:rPr>
        <w:t xml:space="preserve">文件要求，并完全满足采购需要，否则将可能作出对投标供应商不利的评定。 </w:t>
      </w:r>
    </w:p>
    <w:p w14:paraId="678ADB5B">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7、保证所供货物、服务或其任何一部分不受第三方提出侵犯其专利权、商标权、版权和工业设计权的指控。</w:t>
      </w:r>
    </w:p>
    <w:p w14:paraId="427734AB">
      <w:pPr>
        <w:rPr>
          <w:rFonts w:hint="eastAsia" w:ascii="新宋体" w:hAnsi="新宋体" w:eastAsia="新宋体" w:cs="新宋体"/>
          <w:color w:val="auto"/>
          <w:highlight w:val="none"/>
        </w:rPr>
      </w:pPr>
      <w:r>
        <w:rPr>
          <w:rFonts w:hint="eastAsia" w:ascii="新宋体" w:hAnsi="新宋体" w:eastAsia="新宋体" w:cs="新宋体"/>
          <w:color w:val="auto"/>
          <w:highlight w:val="none"/>
        </w:rPr>
        <w:br w:type="page"/>
      </w:r>
    </w:p>
    <w:p w14:paraId="18C7D919">
      <w:pPr>
        <w:pStyle w:val="3"/>
        <w:rPr>
          <w:rFonts w:hint="eastAsia" w:ascii="新宋体" w:hAnsi="新宋体" w:eastAsia="新宋体" w:cs="新宋体"/>
          <w:color w:val="auto"/>
          <w:highlight w:val="none"/>
        </w:rPr>
      </w:pPr>
      <w:bookmarkStart w:id="56" w:name="_Toc29737"/>
      <w:r>
        <w:rPr>
          <w:rFonts w:hint="eastAsia" w:ascii="新宋体" w:hAnsi="新宋体" w:eastAsia="新宋体" w:cs="新宋体"/>
          <w:color w:val="auto"/>
          <w:highlight w:val="none"/>
        </w:rPr>
        <w:t>第五部分   评标原则及方法</w:t>
      </w:r>
      <w:bookmarkEnd w:id="54"/>
      <w:bookmarkEnd w:id="56"/>
    </w:p>
    <w:p w14:paraId="1FAA0E42">
      <w:pPr>
        <w:keepNext w:val="0"/>
        <w:keepLines w:val="0"/>
        <w:pageBreakBefore w:val="0"/>
        <w:kinsoku/>
        <w:wordWrap/>
        <w:overflowPunct/>
        <w:topLinePunct w:val="0"/>
        <w:autoSpaceDE/>
        <w:autoSpaceDN/>
        <w:bidi w:val="0"/>
        <w:spacing w:line="440" w:lineRule="exact"/>
        <w:ind w:firstLine="442" w:firstLineChars="200"/>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根据《中华人民共和国政府采购法》、《政府采购货物和服务招标投标管理办法》、《中华人民共和国政府采购法实施条例》和《关于进一步规范政府采购活动的若干意见》等相关法规特制定以下评标办法。</w:t>
      </w:r>
    </w:p>
    <w:p w14:paraId="5B0796AA">
      <w:pPr>
        <w:keepNext w:val="0"/>
        <w:keepLines w:val="0"/>
        <w:pageBreakBefore w:val="0"/>
        <w:kinsoku/>
        <w:wordWrap/>
        <w:overflowPunct/>
        <w:topLinePunct w:val="0"/>
        <w:autoSpaceDE/>
        <w:autoSpaceDN/>
        <w:bidi w:val="0"/>
        <w:spacing w:line="440" w:lineRule="exact"/>
        <w:ind w:firstLine="442" w:firstLineChars="200"/>
        <w:outlineLvl w:val="1"/>
        <w:rPr>
          <w:rFonts w:hint="eastAsia" w:ascii="新宋体" w:hAnsi="新宋体" w:eastAsia="新宋体" w:cs="新宋体"/>
          <w:b/>
          <w:color w:val="auto"/>
          <w:sz w:val="22"/>
          <w:szCs w:val="22"/>
          <w:highlight w:val="none"/>
        </w:rPr>
      </w:pPr>
      <w:bookmarkStart w:id="57" w:name="_Toc19351"/>
      <w:bookmarkStart w:id="58" w:name="_Toc4407"/>
      <w:r>
        <w:rPr>
          <w:rFonts w:hint="eastAsia" w:ascii="新宋体" w:hAnsi="新宋体" w:eastAsia="新宋体" w:cs="新宋体"/>
          <w:b/>
          <w:color w:val="auto"/>
          <w:sz w:val="22"/>
          <w:szCs w:val="22"/>
          <w:highlight w:val="none"/>
        </w:rPr>
        <w:t>一、总 则</w:t>
      </w:r>
      <w:bookmarkEnd w:id="57"/>
      <w:bookmarkEnd w:id="58"/>
    </w:p>
    <w:p w14:paraId="68E6567D">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评标工作遵循公平、公正、科学、择优原则和诚实、信誉、效率的服务原则。本着科学、严谨的态度，认真进行评标。择优选用，推进技术进步，确保质量、交货期，节约投资，最大限度的保护当事人权益，严格按照</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的商务、技术要求，对投标文件进行综合评定，提出优选方案，编写评标报告。对落标单位，评委会不作任何落标解释。投标人不得以任何方式干扰招投标工作的进行，一经发现其投标文件将被拒绝。</w:t>
      </w:r>
    </w:p>
    <w:p w14:paraId="45CCEF33">
      <w:pPr>
        <w:keepNext w:val="0"/>
        <w:keepLines w:val="0"/>
        <w:pageBreakBefore w:val="0"/>
        <w:kinsoku/>
        <w:wordWrap/>
        <w:overflowPunct/>
        <w:topLinePunct w:val="0"/>
        <w:autoSpaceDE/>
        <w:autoSpaceDN/>
        <w:bidi w:val="0"/>
        <w:spacing w:line="440" w:lineRule="exact"/>
        <w:ind w:firstLine="442" w:firstLineChars="200"/>
        <w:outlineLvl w:val="1"/>
        <w:rPr>
          <w:rFonts w:hint="eastAsia" w:ascii="新宋体" w:hAnsi="新宋体" w:eastAsia="新宋体" w:cs="新宋体"/>
          <w:b/>
          <w:color w:val="auto"/>
          <w:sz w:val="22"/>
          <w:szCs w:val="22"/>
          <w:highlight w:val="none"/>
        </w:rPr>
      </w:pPr>
      <w:bookmarkStart w:id="59" w:name="_Toc31083"/>
      <w:bookmarkStart w:id="60" w:name="_Toc24468"/>
      <w:r>
        <w:rPr>
          <w:rFonts w:hint="eastAsia" w:ascii="新宋体" w:hAnsi="新宋体" w:eastAsia="新宋体" w:cs="新宋体"/>
          <w:b/>
          <w:color w:val="auto"/>
          <w:sz w:val="22"/>
          <w:szCs w:val="22"/>
          <w:highlight w:val="none"/>
        </w:rPr>
        <w:t>二、评标组织</w:t>
      </w:r>
      <w:bookmarkEnd w:id="59"/>
      <w:bookmarkEnd w:id="60"/>
    </w:p>
    <w:p w14:paraId="58DF0C91">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评标工作由</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组建的评标委员会负责，评标全过程由有关部门指导监督。</w:t>
      </w:r>
    </w:p>
    <w:p w14:paraId="4F9F0B4B">
      <w:pPr>
        <w:keepNext w:val="0"/>
        <w:keepLines w:val="0"/>
        <w:pageBreakBefore w:val="0"/>
        <w:kinsoku/>
        <w:wordWrap/>
        <w:overflowPunct/>
        <w:topLinePunct w:val="0"/>
        <w:autoSpaceDE/>
        <w:autoSpaceDN/>
        <w:bidi w:val="0"/>
        <w:spacing w:line="440" w:lineRule="exact"/>
        <w:ind w:firstLine="442" w:firstLineChars="200"/>
        <w:outlineLvl w:val="1"/>
        <w:rPr>
          <w:rFonts w:hint="eastAsia" w:ascii="新宋体" w:hAnsi="新宋体" w:eastAsia="新宋体" w:cs="新宋体"/>
          <w:b/>
          <w:color w:val="auto"/>
          <w:sz w:val="22"/>
          <w:szCs w:val="22"/>
          <w:highlight w:val="none"/>
        </w:rPr>
      </w:pPr>
      <w:bookmarkStart w:id="61" w:name="_Toc15153"/>
      <w:bookmarkStart w:id="62" w:name="_Toc26694"/>
      <w:r>
        <w:rPr>
          <w:rFonts w:hint="eastAsia" w:ascii="新宋体" w:hAnsi="新宋体" w:eastAsia="新宋体" w:cs="新宋体"/>
          <w:b/>
          <w:color w:val="auto"/>
          <w:sz w:val="22"/>
          <w:szCs w:val="22"/>
          <w:highlight w:val="none"/>
        </w:rPr>
        <w:t>三、评标程序</w:t>
      </w:r>
      <w:bookmarkEnd w:id="61"/>
      <w:bookmarkEnd w:id="62"/>
    </w:p>
    <w:p w14:paraId="0A1EF1B5">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lang w:val="en-US" w:eastAsia="zh-CN"/>
        </w:rPr>
        <w:t>1、</w:t>
      </w:r>
      <w:r>
        <w:rPr>
          <w:rFonts w:hint="eastAsia" w:ascii="新宋体" w:hAnsi="新宋体" w:eastAsia="新宋体" w:cs="新宋体"/>
          <w:bCs/>
          <w:color w:val="auto"/>
          <w:sz w:val="22"/>
          <w:szCs w:val="22"/>
          <w:highlight w:val="none"/>
        </w:rPr>
        <w:t>评标委员按照</w:t>
      </w:r>
      <w:r>
        <w:rPr>
          <w:rFonts w:hint="eastAsia" w:ascii="新宋体" w:hAnsi="新宋体" w:eastAsia="新宋体" w:cs="新宋体"/>
          <w:bCs/>
          <w:color w:val="auto"/>
          <w:sz w:val="22"/>
          <w:szCs w:val="22"/>
          <w:highlight w:val="none"/>
          <w:lang w:eastAsia="zh-CN"/>
        </w:rPr>
        <w:t>采购文件</w:t>
      </w:r>
      <w:r>
        <w:rPr>
          <w:rFonts w:hint="eastAsia" w:ascii="新宋体" w:hAnsi="新宋体" w:eastAsia="新宋体" w:cs="新宋体"/>
          <w:bCs/>
          <w:color w:val="auto"/>
          <w:sz w:val="22"/>
          <w:szCs w:val="22"/>
          <w:highlight w:val="none"/>
        </w:rPr>
        <w:t>中规定的评标方法和标准，对投标文件进行商务和技术评估，综合比较与评价</w:t>
      </w:r>
      <w:r>
        <w:rPr>
          <w:rFonts w:hint="eastAsia" w:ascii="新宋体" w:hAnsi="新宋体" w:eastAsia="新宋体" w:cs="新宋体"/>
          <w:color w:val="auto"/>
          <w:sz w:val="22"/>
          <w:szCs w:val="22"/>
          <w:highlight w:val="none"/>
        </w:rPr>
        <w:t>，根据综合评审结果，提交评审报告。</w:t>
      </w:r>
    </w:p>
    <w:p w14:paraId="59104251">
      <w:pPr>
        <w:keepNext w:val="0"/>
        <w:keepLines w:val="0"/>
        <w:pageBreakBefore w:val="0"/>
        <w:kinsoku/>
        <w:wordWrap/>
        <w:overflowPunct/>
        <w:topLinePunct w:val="0"/>
        <w:autoSpaceDE/>
        <w:autoSpaceDN/>
        <w:bidi w:val="0"/>
        <w:spacing w:line="440" w:lineRule="exact"/>
        <w:ind w:firstLine="442" w:firstLineChars="200"/>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2、提供相同品牌产品且通过资格审查、符合性审查的不同投标人参加同一合同项下投标的,按一家投标人计算,评审后综合得分最高的同品牌投标人获得中标人推荐资格；综合得分相同的,报价最低一家供应商获得中标人推荐资格；均相同时采取随机抽取方式确认一个投标人获得中标人推荐资格,其他同品牌投标人不作为中标候选人。</w:t>
      </w:r>
    </w:p>
    <w:p w14:paraId="385B5331">
      <w:pPr>
        <w:keepNext w:val="0"/>
        <w:keepLines w:val="0"/>
        <w:pageBreakBefore w:val="0"/>
        <w:kinsoku/>
        <w:wordWrap/>
        <w:overflowPunct/>
        <w:topLinePunct w:val="0"/>
        <w:autoSpaceDE/>
        <w:autoSpaceDN/>
        <w:bidi w:val="0"/>
        <w:spacing w:line="440" w:lineRule="exact"/>
        <w:ind w:firstLine="442" w:firstLineChars="200"/>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u w:val="single"/>
        </w:rPr>
        <w:t>非单一产品采购项目，应当根据采购项目技术构成、产品价格比重等合理确定核心产品。多家投标人提供的核心产品品牌相同的，按前款规定处理。</w:t>
      </w:r>
    </w:p>
    <w:p w14:paraId="72F2CC11">
      <w:pPr>
        <w:keepNext w:val="0"/>
        <w:keepLines w:val="0"/>
        <w:pageBreakBefore w:val="0"/>
        <w:kinsoku/>
        <w:wordWrap/>
        <w:overflowPunct/>
        <w:topLinePunct w:val="0"/>
        <w:autoSpaceDE/>
        <w:autoSpaceDN/>
        <w:bidi w:val="0"/>
        <w:spacing w:line="440" w:lineRule="exact"/>
        <w:ind w:firstLine="442" w:firstLineChars="200"/>
        <w:outlineLvl w:val="1"/>
        <w:rPr>
          <w:rFonts w:hint="eastAsia" w:ascii="新宋体" w:hAnsi="新宋体" w:eastAsia="新宋体" w:cs="新宋体"/>
          <w:b/>
          <w:color w:val="auto"/>
          <w:sz w:val="22"/>
          <w:szCs w:val="22"/>
          <w:highlight w:val="none"/>
        </w:rPr>
      </w:pPr>
      <w:bookmarkStart w:id="63" w:name="_Toc11306"/>
      <w:bookmarkStart w:id="64" w:name="_Toc13471"/>
      <w:r>
        <w:rPr>
          <w:rFonts w:hint="eastAsia" w:ascii="新宋体" w:hAnsi="新宋体" w:eastAsia="新宋体" w:cs="新宋体"/>
          <w:b/>
          <w:color w:val="auto"/>
          <w:sz w:val="22"/>
          <w:szCs w:val="22"/>
          <w:highlight w:val="none"/>
        </w:rPr>
        <w:t>四、评标办法</w:t>
      </w:r>
      <w:bookmarkEnd w:id="63"/>
      <w:bookmarkEnd w:id="64"/>
    </w:p>
    <w:p w14:paraId="25240C01">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本次采购采用百分制综合评分法，即投标人最大限度地满足</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实质性要求的基础上，按照</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的各项因素进行综合评审后，以评标总得分最高的投标人和次高的投标人作为第一和第二排序的中标候选人的评标方法。根据采购要求，</w:t>
      </w:r>
      <w:r>
        <w:rPr>
          <w:rFonts w:hint="eastAsia" w:ascii="新宋体" w:hAnsi="新宋体" w:eastAsia="新宋体" w:cs="新宋体"/>
          <w:b/>
          <w:color w:val="auto"/>
          <w:sz w:val="22"/>
          <w:szCs w:val="22"/>
          <w:highlight w:val="none"/>
        </w:rPr>
        <w:t>总分设定为100分：技术标</w:t>
      </w:r>
      <w:r>
        <w:rPr>
          <w:rFonts w:hint="eastAsia" w:ascii="新宋体" w:hAnsi="新宋体" w:eastAsia="新宋体" w:cs="新宋体"/>
          <w:b/>
          <w:color w:val="auto"/>
          <w:sz w:val="22"/>
          <w:szCs w:val="22"/>
          <w:highlight w:val="none"/>
          <w:lang w:val="en-US" w:eastAsia="zh-CN"/>
        </w:rPr>
        <w:t>70</w:t>
      </w:r>
      <w:r>
        <w:rPr>
          <w:rFonts w:hint="eastAsia" w:ascii="新宋体" w:hAnsi="新宋体" w:eastAsia="新宋体" w:cs="新宋体"/>
          <w:b/>
          <w:color w:val="auto"/>
          <w:sz w:val="22"/>
          <w:szCs w:val="22"/>
          <w:highlight w:val="none"/>
        </w:rPr>
        <w:t>分（权值</w:t>
      </w:r>
      <w:r>
        <w:rPr>
          <w:rFonts w:hint="eastAsia" w:ascii="新宋体" w:hAnsi="新宋体" w:eastAsia="新宋体" w:cs="新宋体"/>
          <w:b/>
          <w:color w:val="auto"/>
          <w:sz w:val="22"/>
          <w:szCs w:val="22"/>
          <w:highlight w:val="none"/>
          <w:lang w:val="en-US" w:eastAsia="zh-CN"/>
        </w:rPr>
        <w:t>70</w:t>
      </w:r>
      <w:r>
        <w:rPr>
          <w:rFonts w:hint="eastAsia" w:ascii="新宋体" w:hAnsi="新宋体" w:eastAsia="新宋体" w:cs="新宋体"/>
          <w:b/>
          <w:color w:val="auto"/>
          <w:sz w:val="22"/>
          <w:szCs w:val="22"/>
          <w:highlight w:val="none"/>
        </w:rPr>
        <w:t>%），商务标（报价）</w:t>
      </w:r>
      <w:r>
        <w:rPr>
          <w:rFonts w:hint="eastAsia" w:ascii="新宋体" w:hAnsi="新宋体" w:eastAsia="新宋体" w:cs="新宋体"/>
          <w:b/>
          <w:color w:val="auto"/>
          <w:sz w:val="22"/>
          <w:szCs w:val="22"/>
          <w:highlight w:val="none"/>
          <w:lang w:val="en-US" w:eastAsia="zh-CN"/>
        </w:rPr>
        <w:t>30</w:t>
      </w:r>
      <w:r>
        <w:rPr>
          <w:rFonts w:hint="eastAsia" w:ascii="新宋体" w:hAnsi="新宋体" w:eastAsia="新宋体" w:cs="新宋体"/>
          <w:b/>
          <w:color w:val="auto"/>
          <w:sz w:val="22"/>
          <w:szCs w:val="22"/>
          <w:highlight w:val="none"/>
        </w:rPr>
        <w:t>分（权值</w:t>
      </w:r>
      <w:r>
        <w:rPr>
          <w:rFonts w:hint="eastAsia" w:ascii="新宋体" w:hAnsi="新宋体" w:eastAsia="新宋体" w:cs="新宋体"/>
          <w:b/>
          <w:color w:val="auto"/>
          <w:sz w:val="22"/>
          <w:szCs w:val="22"/>
          <w:highlight w:val="none"/>
          <w:lang w:val="en-US" w:eastAsia="zh-CN"/>
        </w:rPr>
        <w:t>30</w:t>
      </w:r>
      <w:r>
        <w:rPr>
          <w:rFonts w:hint="eastAsia" w:ascii="新宋体" w:hAnsi="新宋体" w:eastAsia="新宋体" w:cs="新宋体"/>
          <w:b/>
          <w:color w:val="auto"/>
          <w:sz w:val="22"/>
          <w:szCs w:val="22"/>
          <w:highlight w:val="none"/>
        </w:rPr>
        <w:t>%）。</w:t>
      </w:r>
    </w:p>
    <w:p w14:paraId="5C05384A">
      <w:pPr>
        <w:keepNext w:val="0"/>
        <w:keepLines w:val="0"/>
        <w:pageBreakBefore w:val="0"/>
        <w:numPr>
          <w:ilvl w:val="0"/>
          <w:numId w:val="0"/>
        </w:numPr>
        <w:kinsoku/>
        <w:wordWrap/>
        <w:overflowPunct/>
        <w:topLinePunct w:val="0"/>
        <w:autoSpaceDE/>
        <w:autoSpaceDN/>
        <w:bidi w:val="0"/>
        <w:spacing w:line="440" w:lineRule="exact"/>
        <w:ind w:firstLine="442" w:firstLineChars="200"/>
        <w:outlineLvl w:val="1"/>
        <w:rPr>
          <w:rFonts w:hint="eastAsia" w:ascii="新宋体" w:hAnsi="新宋体" w:eastAsia="新宋体" w:cs="新宋体"/>
          <w:b/>
          <w:color w:val="auto"/>
          <w:sz w:val="22"/>
          <w:szCs w:val="22"/>
          <w:highlight w:val="none"/>
        </w:rPr>
      </w:pPr>
      <w:bookmarkStart w:id="65" w:name="_Toc1535"/>
      <w:bookmarkStart w:id="66" w:name="_Toc16138"/>
      <w:r>
        <w:rPr>
          <w:rFonts w:hint="eastAsia" w:ascii="新宋体" w:hAnsi="新宋体" w:eastAsia="新宋体" w:cs="新宋体"/>
          <w:b/>
          <w:color w:val="auto"/>
          <w:sz w:val="22"/>
          <w:szCs w:val="22"/>
          <w:highlight w:val="none"/>
          <w:lang w:val="en-US" w:eastAsia="zh-CN"/>
        </w:rPr>
        <w:t>五、</w:t>
      </w:r>
      <w:r>
        <w:rPr>
          <w:rFonts w:hint="eastAsia" w:ascii="新宋体" w:hAnsi="新宋体" w:eastAsia="新宋体" w:cs="新宋体"/>
          <w:b/>
          <w:color w:val="auto"/>
          <w:sz w:val="22"/>
          <w:szCs w:val="22"/>
          <w:highlight w:val="none"/>
        </w:rPr>
        <w:t>评分细则</w:t>
      </w:r>
      <w:bookmarkEnd w:id="65"/>
      <w:bookmarkEnd w:id="66"/>
    </w:p>
    <w:p w14:paraId="42AFE9D7">
      <w:pPr>
        <w:keepNext w:val="0"/>
        <w:keepLines w:val="0"/>
        <w:pageBreakBefore w:val="0"/>
        <w:kinsoku/>
        <w:wordWrap/>
        <w:overflowPunct/>
        <w:topLinePunct w:val="0"/>
        <w:autoSpaceDE/>
        <w:autoSpaceDN/>
        <w:bidi w:val="0"/>
        <w:spacing w:line="440" w:lineRule="exact"/>
        <w:ind w:firstLine="442" w:firstLineChars="200"/>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1、技术分的评定：技术标</w:t>
      </w:r>
      <w:r>
        <w:rPr>
          <w:rFonts w:hint="eastAsia" w:ascii="新宋体" w:hAnsi="新宋体" w:eastAsia="新宋体" w:cs="新宋体"/>
          <w:b/>
          <w:color w:val="auto"/>
          <w:sz w:val="22"/>
          <w:szCs w:val="22"/>
          <w:highlight w:val="none"/>
          <w:lang w:val="en-US" w:eastAsia="zh-CN"/>
        </w:rPr>
        <w:t>70</w:t>
      </w:r>
      <w:r>
        <w:rPr>
          <w:rFonts w:hint="eastAsia" w:ascii="新宋体" w:hAnsi="新宋体" w:eastAsia="新宋体" w:cs="新宋体"/>
          <w:b/>
          <w:color w:val="auto"/>
          <w:sz w:val="22"/>
          <w:szCs w:val="22"/>
          <w:highlight w:val="none"/>
        </w:rPr>
        <w:t>分（权值</w:t>
      </w:r>
      <w:r>
        <w:rPr>
          <w:rFonts w:hint="eastAsia" w:ascii="新宋体" w:hAnsi="新宋体" w:eastAsia="新宋体" w:cs="新宋体"/>
          <w:b/>
          <w:color w:val="auto"/>
          <w:sz w:val="22"/>
          <w:szCs w:val="22"/>
          <w:highlight w:val="none"/>
          <w:lang w:val="en-US" w:eastAsia="zh-CN"/>
        </w:rPr>
        <w:t>70</w:t>
      </w:r>
      <w:r>
        <w:rPr>
          <w:rFonts w:hint="eastAsia" w:ascii="新宋体" w:hAnsi="新宋体" w:eastAsia="新宋体" w:cs="新宋体"/>
          <w:b/>
          <w:color w:val="auto"/>
          <w:sz w:val="22"/>
          <w:szCs w:val="22"/>
          <w:highlight w:val="none"/>
        </w:rPr>
        <w:t>%）</w:t>
      </w:r>
    </w:p>
    <w:p w14:paraId="3E34808C">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各评委成员按下列评分项目进行评判，每人一张评分计算票，并记名。投标文件各项评分内容由评标委员会成员各自评分，如某张票的一个因素项目超过规定的范围，则该张票无效。各评标委员会成员对各投标人的各项评分内容评分的算术平均值为各投标人技术分得分（小数点后按四舍五入保留2位）。</w:t>
      </w:r>
    </w:p>
    <w:tbl>
      <w:tblPr>
        <w:tblStyle w:val="5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4"/>
        <w:gridCol w:w="1795"/>
        <w:gridCol w:w="750"/>
        <w:gridCol w:w="6400"/>
      </w:tblGrid>
      <w:tr w14:paraId="60D73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674" w:type="dxa"/>
            <w:vAlign w:val="center"/>
          </w:tcPr>
          <w:p w14:paraId="7F8CB9C0">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vertAlign w:val="baseline"/>
              </w:rPr>
              <w:t>序号</w:t>
            </w:r>
          </w:p>
        </w:tc>
        <w:tc>
          <w:tcPr>
            <w:tcW w:w="1795" w:type="dxa"/>
            <w:vAlign w:val="center"/>
          </w:tcPr>
          <w:p w14:paraId="6F6035D8">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vertAlign w:val="baseline"/>
              </w:rPr>
              <w:t>评分项目</w:t>
            </w:r>
          </w:p>
        </w:tc>
        <w:tc>
          <w:tcPr>
            <w:tcW w:w="750" w:type="dxa"/>
            <w:vAlign w:val="center"/>
          </w:tcPr>
          <w:p w14:paraId="3288CC1D">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vertAlign w:val="baseline"/>
              </w:rPr>
              <w:t>分值</w:t>
            </w:r>
          </w:p>
        </w:tc>
        <w:tc>
          <w:tcPr>
            <w:tcW w:w="6400" w:type="dxa"/>
            <w:vAlign w:val="center"/>
          </w:tcPr>
          <w:p w14:paraId="436229EB">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vertAlign w:val="baseline"/>
              </w:rPr>
              <w:t>评分细则</w:t>
            </w:r>
          </w:p>
        </w:tc>
      </w:tr>
      <w:tr w14:paraId="674CA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Align w:val="center"/>
          </w:tcPr>
          <w:p w14:paraId="550F9998">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r>
              <w:rPr>
                <w:rFonts w:hint="eastAsia" w:ascii="新宋体" w:hAnsi="新宋体" w:eastAsia="新宋体" w:cs="新宋体"/>
                <w:color w:val="auto"/>
                <w:sz w:val="22"/>
                <w:szCs w:val="22"/>
                <w:highlight w:val="none"/>
                <w:vertAlign w:val="baseline"/>
                <w:lang w:val="en-US" w:eastAsia="zh-CN"/>
              </w:rPr>
              <w:t>1</w:t>
            </w:r>
          </w:p>
        </w:tc>
        <w:tc>
          <w:tcPr>
            <w:tcW w:w="1795" w:type="dxa"/>
            <w:vAlign w:val="center"/>
          </w:tcPr>
          <w:p w14:paraId="292C9A58">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产品技术指标及功能响应程度</w:t>
            </w:r>
          </w:p>
        </w:tc>
        <w:tc>
          <w:tcPr>
            <w:tcW w:w="750" w:type="dxa"/>
            <w:vAlign w:val="center"/>
          </w:tcPr>
          <w:p w14:paraId="186E1373">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45分</w:t>
            </w:r>
          </w:p>
        </w:tc>
        <w:tc>
          <w:tcPr>
            <w:tcW w:w="6400" w:type="dxa"/>
            <w:vAlign w:val="center"/>
          </w:tcPr>
          <w:p w14:paraId="320E9092">
            <w:pPr>
              <w:keepNext w:val="0"/>
              <w:keepLines w:val="0"/>
              <w:pageBreakBefore w:val="0"/>
              <w:kinsoku/>
              <w:wordWrap/>
              <w:overflowPunct/>
              <w:topLinePunct w:val="0"/>
              <w:autoSpaceDE/>
              <w:autoSpaceDN/>
              <w:bidi w:val="0"/>
              <w:adjustRightInd w:val="0"/>
              <w:snapToGrid w:val="0"/>
              <w:spacing w:line="440" w:lineRule="exact"/>
              <w:textAlignment w:val="baseline"/>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rPr>
              <w:t>根据所投产品技术指标及功能描述的详细程度及响应（满足）程度进行评分：标注“★”的重要技术指标（条款、参数）</w:t>
            </w:r>
            <w:r>
              <w:rPr>
                <w:rFonts w:hint="eastAsia" w:ascii="新宋体" w:hAnsi="新宋体" w:eastAsia="新宋体" w:cs="新宋体"/>
                <w:color w:val="auto"/>
                <w:sz w:val="22"/>
                <w:szCs w:val="22"/>
                <w:highlight w:val="none"/>
              </w:rPr>
              <w:t>，需按要求提供证明材料，否则视为负偏离。</w:t>
            </w:r>
          </w:p>
          <w:p w14:paraId="35A26353">
            <w:pPr>
              <w:keepNext w:val="0"/>
              <w:keepLines w:val="0"/>
              <w:pageBreakBefore w:val="0"/>
              <w:kinsoku/>
              <w:wordWrap/>
              <w:overflowPunct/>
              <w:topLinePunct w:val="0"/>
              <w:autoSpaceDE/>
              <w:autoSpaceDN/>
              <w:bidi w:val="0"/>
              <w:adjustRightInd w:val="0"/>
              <w:snapToGrid w:val="0"/>
              <w:spacing w:line="440" w:lineRule="exact"/>
              <w:textAlignment w:val="baseline"/>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标注“★”的重要技术指标（条款、参数</w:t>
            </w:r>
            <w:r>
              <w:rPr>
                <w:rFonts w:hint="eastAsia" w:ascii="新宋体" w:hAnsi="新宋体" w:eastAsia="新宋体" w:cs="新宋体"/>
                <w:color w:val="auto"/>
                <w:sz w:val="22"/>
                <w:szCs w:val="22"/>
                <w:highlight w:val="none"/>
                <w:lang w:val="en-US" w:eastAsia="zh-CN"/>
              </w:rPr>
              <w:t>共10条</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val="en-US" w:eastAsia="zh-CN"/>
              </w:rPr>
              <w:t>无</w:t>
            </w:r>
            <w:r>
              <w:rPr>
                <w:rFonts w:hint="eastAsia" w:ascii="新宋体" w:hAnsi="新宋体" w:eastAsia="新宋体" w:cs="新宋体"/>
                <w:color w:val="auto"/>
                <w:sz w:val="22"/>
                <w:szCs w:val="22"/>
                <w:highlight w:val="none"/>
              </w:rPr>
              <w:t>偏离</w:t>
            </w:r>
            <w:r>
              <w:rPr>
                <w:rFonts w:hint="eastAsia" w:ascii="新宋体" w:hAnsi="新宋体" w:eastAsia="新宋体" w:cs="新宋体"/>
                <w:color w:val="auto"/>
                <w:sz w:val="22"/>
                <w:szCs w:val="22"/>
                <w:highlight w:val="none"/>
                <w:lang w:val="en-US" w:eastAsia="zh-CN"/>
              </w:rPr>
              <w:t>或正偏离</w:t>
            </w:r>
            <w:r>
              <w:rPr>
                <w:rFonts w:hint="eastAsia" w:ascii="新宋体" w:hAnsi="新宋体" w:eastAsia="新宋体" w:cs="新宋体"/>
                <w:color w:val="auto"/>
                <w:sz w:val="22"/>
                <w:szCs w:val="22"/>
                <w:highlight w:val="none"/>
              </w:rPr>
              <w:t>，每项</w:t>
            </w:r>
            <w:r>
              <w:rPr>
                <w:rFonts w:hint="eastAsia" w:ascii="新宋体" w:hAnsi="新宋体" w:eastAsia="新宋体" w:cs="新宋体"/>
                <w:color w:val="auto"/>
                <w:sz w:val="22"/>
                <w:szCs w:val="22"/>
                <w:highlight w:val="none"/>
                <w:lang w:val="en-US" w:eastAsia="zh-CN"/>
              </w:rPr>
              <w:t>得3</w:t>
            </w:r>
            <w:r>
              <w:rPr>
                <w:rFonts w:hint="eastAsia" w:ascii="新宋体" w:hAnsi="新宋体" w:eastAsia="新宋体" w:cs="新宋体"/>
                <w:color w:val="auto"/>
                <w:sz w:val="22"/>
                <w:szCs w:val="22"/>
                <w:highlight w:val="none"/>
              </w:rPr>
              <w:t>分。非“★”的一般</w:t>
            </w:r>
            <w:r>
              <w:rPr>
                <w:rFonts w:hint="eastAsia" w:ascii="新宋体" w:hAnsi="新宋体" w:eastAsia="新宋体" w:cs="新宋体"/>
                <w:color w:val="auto"/>
                <w:sz w:val="22"/>
                <w:szCs w:val="22"/>
                <w:highlight w:val="none"/>
              </w:rPr>
              <w:t>技术指标（条款、参数</w:t>
            </w:r>
            <w:r>
              <w:rPr>
                <w:rFonts w:hint="eastAsia" w:ascii="新宋体" w:hAnsi="新宋体" w:eastAsia="新宋体" w:cs="新宋体"/>
                <w:color w:val="auto"/>
                <w:sz w:val="22"/>
                <w:szCs w:val="22"/>
                <w:highlight w:val="none"/>
                <w:lang w:val="en-US" w:eastAsia="zh-CN"/>
              </w:rPr>
              <w:t>共30条</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val="en-US" w:eastAsia="zh-CN"/>
              </w:rPr>
              <w:t>无</w:t>
            </w:r>
            <w:r>
              <w:rPr>
                <w:rFonts w:hint="eastAsia" w:ascii="新宋体" w:hAnsi="新宋体" w:eastAsia="新宋体" w:cs="新宋体"/>
                <w:color w:val="auto"/>
                <w:sz w:val="22"/>
                <w:szCs w:val="22"/>
                <w:highlight w:val="none"/>
              </w:rPr>
              <w:t>偏离</w:t>
            </w:r>
            <w:r>
              <w:rPr>
                <w:rFonts w:hint="eastAsia" w:ascii="新宋体" w:hAnsi="新宋体" w:eastAsia="新宋体" w:cs="新宋体"/>
                <w:color w:val="auto"/>
                <w:sz w:val="22"/>
                <w:szCs w:val="22"/>
                <w:highlight w:val="none"/>
                <w:lang w:val="en-US" w:eastAsia="zh-CN"/>
              </w:rPr>
              <w:t>或正偏离</w:t>
            </w:r>
            <w:r>
              <w:rPr>
                <w:rFonts w:hint="eastAsia" w:ascii="新宋体" w:hAnsi="新宋体" w:eastAsia="新宋体" w:cs="新宋体"/>
                <w:color w:val="auto"/>
                <w:sz w:val="22"/>
                <w:szCs w:val="22"/>
                <w:highlight w:val="none"/>
              </w:rPr>
              <w:t>，每项</w:t>
            </w:r>
            <w:r>
              <w:rPr>
                <w:rFonts w:hint="eastAsia" w:ascii="新宋体" w:hAnsi="新宋体" w:eastAsia="新宋体" w:cs="新宋体"/>
                <w:color w:val="auto"/>
                <w:sz w:val="22"/>
                <w:szCs w:val="22"/>
                <w:highlight w:val="none"/>
                <w:lang w:val="en-US" w:eastAsia="zh-CN"/>
              </w:rPr>
              <w:t>得0.5</w:t>
            </w:r>
            <w:r>
              <w:rPr>
                <w:rFonts w:hint="eastAsia" w:ascii="新宋体" w:hAnsi="新宋体" w:eastAsia="新宋体" w:cs="新宋体"/>
                <w:color w:val="auto"/>
                <w:sz w:val="22"/>
                <w:szCs w:val="22"/>
                <w:highlight w:val="none"/>
              </w:rPr>
              <w:t>分。</w:t>
            </w:r>
            <w:r>
              <w:rPr>
                <w:rFonts w:hint="eastAsia" w:ascii="新宋体" w:hAnsi="新宋体" w:eastAsia="新宋体" w:cs="新宋体"/>
                <w:color w:val="auto"/>
                <w:sz w:val="22"/>
                <w:szCs w:val="22"/>
                <w:highlight w:val="none"/>
                <w:lang w:val="en-US" w:eastAsia="zh-CN"/>
              </w:rPr>
              <w:t>本项最多得45分。</w:t>
            </w:r>
          </w:p>
          <w:p w14:paraId="5A22ACAB">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注：供应商须在技术偏离表（格式见附件</w:t>
            </w:r>
            <w:r>
              <w:rPr>
                <w:rFonts w:hint="eastAsia" w:ascii="新宋体" w:hAnsi="新宋体" w:eastAsia="新宋体" w:cs="新宋体"/>
                <w:color w:val="auto"/>
                <w:sz w:val="22"/>
                <w:szCs w:val="22"/>
                <w:highlight w:val="none"/>
                <w:lang w:val="en-US" w:eastAsia="zh-CN"/>
              </w:rPr>
              <w:t>三-8</w:t>
            </w:r>
            <w:r>
              <w:rPr>
                <w:rFonts w:hint="eastAsia" w:ascii="新宋体" w:hAnsi="新宋体" w:eastAsia="新宋体" w:cs="新宋体"/>
                <w:color w:val="auto"/>
                <w:sz w:val="22"/>
                <w:szCs w:val="22"/>
                <w:highlight w:val="none"/>
              </w:rPr>
              <w:t>）中对</w:t>
            </w:r>
            <w:r>
              <w:rPr>
                <w:rFonts w:hint="eastAsia" w:ascii="新宋体" w:hAnsi="新宋体" w:eastAsia="新宋体" w:cs="新宋体"/>
                <w:color w:val="auto"/>
                <w:sz w:val="22"/>
                <w:szCs w:val="22"/>
                <w:highlight w:val="none"/>
              </w:rPr>
              <w:t>技术指标（条款、参数）</w:t>
            </w:r>
            <w:r>
              <w:rPr>
                <w:rFonts w:hint="eastAsia" w:ascii="新宋体" w:hAnsi="新宋体" w:eastAsia="新宋体" w:cs="新宋体"/>
                <w:color w:val="auto"/>
                <w:sz w:val="22"/>
                <w:szCs w:val="22"/>
                <w:highlight w:val="none"/>
              </w:rPr>
              <w:t>进行逐项响应，并注明偏离情况，不得虚假响应。每条（项）中凡标有最低一级序号的指标项即为一项</w:t>
            </w:r>
            <w:r>
              <w:rPr>
                <w:rFonts w:hint="eastAsia" w:ascii="新宋体" w:hAnsi="新宋体" w:eastAsia="新宋体" w:cs="新宋体"/>
                <w:color w:val="auto"/>
                <w:sz w:val="22"/>
                <w:szCs w:val="22"/>
                <w:highlight w:val="none"/>
              </w:rPr>
              <w:t>技术指标（条款、参数）</w:t>
            </w:r>
            <w:r>
              <w:rPr>
                <w:rFonts w:hint="eastAsia" w:ascii="新宋体" w:hAnsi="新宋体" w:eastAsia="新宋体" w:cs="新宋体"/>
                <w:color w:val="auto"/>
                <w:sz w:val="22"/>
                <w:szCs w:val="22"/>
                <w:highlight w:val="none"/>
              </w:rPr>
              <w:t>，无论是否隶属于上一级编号。</w:t>
            </w:r>
          </w:p>
        </w:tc>
      </w:tr>
      <w:tr w14:paraId="5C759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Align w:val="center"/>
          </w:tcPr>
          <w:p w14:paraId="06F21B0B">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r>
              <w:rPr>
                <w:rFonts w:hint="eastAsia" w:ascii="新宋体" w:hAnsi="新宋体" w:eastAsia="新宋体" w:cs="新宋体"/>
                <w:color w:val="auto"/>
                <w:sz w:val="22"/>
                <w:szCs w:val="22"/>
                <w:highlight w:val="none"/>
                <w:vertAlign w:val="baseline"/>
                <w:lang w:val="en-US" w:eastAsia="zh-CN"/>
              </w:rPr>
              <w:t>2</w:t>
            </w:r>
          </w:p>
        </w:tc>
        <w:tc>
          <w:tcPr>
            <w:tcW w:w="1795" w:type="dxa"/>
            <w:vAlign w:val="center"/>
          </w:tcPr>
          <w:p w14:paraId="18C8450C">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lang w:val="zh-CN"/>
              </w:rPr>
              <w:t>产品配置的完整性和适用性</w:t>
            </w:r>
          </w:p>
        </w:tc>
        <w:tc>
          <w:tcPr>
            <w:tcW w:w="750" w:type="dxa"/>
            <w:vAlign w:val="center"/>
          </w:tcPr>
          <w:p w14:paraId="376B6ABB">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3分</w:t>
            </w:r>
          </w:p>
        </w:tc>
        <w:tc>
          <w:tcPr>
            <w:tcW w:w="6400" w:type="dxa"/>
            <w:vAlign w:val="center"/>
          </w:tcPr>
          <w:p w14:paraId="4E812104">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lang w:val="zh-CN"/>
              </w:rPr>
              <w:t>所投产品配置完整，无缺漏，完全能满足采购人的使用要求的得3分；所投产品配置基本完整、基本能满足采购人的使用要求的得1分；所投产品配置的完整性较差或未描述完整的得0分。</w:t>
            </w:r>
          </w:p>
        </w:tc>
      </w:tr>
      <w:tr w14:paraId="60365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Align w:val="center"/>
          </w:tcPr>
          <w:p w14:paraId="1DE79980">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r>
              <w:rPr>
                <w:rFonts w:hint="eastAsia" w:ascii="新宋体" w:hAnsi="新宋体" w:eastAsia="新宋体" w:cs="新宋体"/>
                <w:color w:val="auto"/>
                <w:sz w:val="22"/>
                <w:szCs w:val="22"/>
                <w:highlight w:val="none"/>
                <w:vertAlign w:val="baseline"/>
                <w:lang w:val="en-US" w:eastAsia="zh-CN"/>
              </w:rPr>
              <w:t>3</w:t>
            </w:r>
          </w:p>
        </w:tc>
        <w:tc>
          <w:tcPr>
            <w:tcW w:w="1795" w:type="dxa"/>
            <w:vAlign w:val="center"/>
          </w:tcPr>
          <w:p w14:paraId="5A35045F">
            <w:pPr>
              <w:keepNext w:val="0"/>
              <w:keepLines w:val="0"/>
              <w:pageBreakBefore w:val="0"/>
              <w:kinsoku/>
              <w:wordWrap/>
              <w:overflowPunct/>
              <w:topLinePunct w:val="0"/>
              <w:autoSpaceDE/>
              <w:autoSpaceDN/>
              <w:bidi w:val="0"/>
              <w:spacing w:line="440" w:lineRule="exact"/>
              <w:jc w:val="left"/>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kern w:val="0"/>
                <w:sz w:val="22"/>
                <w:szCs w:val="22"/>
                <w:highlight w:val="none"/>
              </w:rPr>
              <w:t>产品相关认证证书</w:t>
            </w:r>
          </w:p>
        </w:tc>
        <w:tc>
          <w:tcPr>
            <w:tcW w:w="750" w:type="dxa"/>
            <w:vAlign w:val="center"/>
          </w:tcPr>
          <w:p w14:paraId="43830739">
            <w:pPr>
              <w:keepNext w:val="0"/>
              <w:keepLines w:val="0"/>
              <w:pageBreakBefore w:val="0"/>
              <w:widowControl/>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3分</w:t>
            </w:r>
          </w:p>
        </w:tc>
        <w:tc>
          <w:tcPr>
            <w:tcW w:w="6400" w:type="dxa"/>
            <w:vAlign w:val="center"/>
          </w:tcPr>
          <w:p w14:paraId="5DD643E8">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rPr>
              <w:t>所投产品制造厂商具有有效的ISO9001质量管理体系认证证书、ISO14001环境管理体系认证证书、ISO45001职业健康安全管理体系认证证书，每个证书得1分，本项最高得3分。（提供证书扫描件及全国认证认可信息公共服务平台网页证书查询截图，否则不得分。）</w:t>
            </w:r>
          </w:p>
        </w:tc>
      </w:tr>
      <w:tr w14:paraId="2090D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Align w:val="center"/>
          </w:tcPr>
          <w:p w14:paraId="40C122CD">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r>
              <w:rPr>
                <w:rFonts w:hint="eastAsia" w:ascii="新宋体" w:hAnsi="新宋体" w:eastAsia="新宋体" w:cs="新宋体"/>
                <w:color w:val="auto"/>
                <w:sz w:val="22"/>
                <w:szCs w:val="22"/>
                <w:highlight w:val="none"/>
                <w:vertAlign w:val="baseline"/>
                <w:lang w:val="en-US" w:eastAsia="zh-CN"/>
              </w:rPr>
              <w:t>4</w:t>
            </w:r>
          </w:p>
        </w:tc>
        <w:tc>
          <w:tcPr>
            <w:tcW w:w="1795" w:type="dxa"/>
            <w:vAlign w:val="center"/>
          </w:tcPr>
          <w:p w14:paraId="6AFD1E9A">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产品总体性能及质量水平评价</w:t>
            </w:r>
          </w:p>
        </w:tc>
        <w:tc>
          <w:tcPr>
            <w:tcW w:w="750" w:type="dxa"/>
            <w:vAlign w:val="center"/>
          </w:tcPr>
          <w:p w14:paraId="514316ED">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5分</w:t>
            </w:r>
          </w:p>
        </w:tc>
        <w:tc>
          <w:tcPr>
            <w:tcW w:w="6400" w:type="dxa"/>
            <w:vAlign w:val="center"/>
          </w:tcPr>
          <w:p w14:paraId="5D7D7217">
            <w:pPr>
              <w:keepNext w:val="0"/>
              <w:keepLines w:val="0"/>
              <w:pageBreakBefore w:val="0"/>
              <w:kinsoku/>
              <w:wordWrap/>
              <w:overflowPunct/>
              <w:topLinePunct w:val="0"/>
              <w:autoSpaceDE/>
              <w:autoSpaceDN/>
              <w:bidi w:val="0"/>
              <w:spacing w:line="440" w:lineRule="exact"/>
              <w:jc w:val="left"/>
              <w:rPr>
                <w:rFonts w:hint="eastAsia" w:ascii="新宋体" w:hAnsi="新宋体" w:eastAsia="新宋体" w:cs="新宋体"/>
                <w:color w:val="auto"/>
                <w:sz w:val="22"/>
                <w:szCs w:val="22"/>
                <w:highlight w:val="none"/>
                <w:lang w:val="zh-CN"/>
              </w:rPr>
            </w:pPr>
            <w:r>
              <w:rPr>
                <w:rFonts w:hint="eastAsia" w:ascii="新宋体" w:hAnsi="新宋体" w:eastAsia="新宋体" w:cs="新宋体"/>
                <w:color w:val="auto"/>
                <w:sz w:val="22"/>
                <w:szCs w:val="22"/>
                <w:highlight w:val="none"/>
              </w:rPr>
              <w:t>根据所投</w:t>
            </w:r>
            <w:r>
              <w:rPr>
                <w:rFonts w:hint="eastAsia" w:ascii="新宋体" w:hAnsi="新宋体" w:eastAsia="新宋体" w:cs="新宋体"/>
                <w:color w:val="auto"/>
                <w:sz w:val="22"/>
                <w:szCs w:val="22"/>
                <w:highlight w:val="none"/>
                <w:lang w:val="zh-CN"/>
              </w:rPr>
              <w:t>产品总体</w:t>
            </w:r>
            <w:r>
              <w:rPr>
                <w:rFonts w:hint="eastAsia" w:ascii="新宋体" w:hAnsi="新宋体" w:eastAsia="新宋体" w:cs="新宋体"/>
                <w:color w:val="auto"/>
                <w:sz w:val="22"/>
                <w:szCs w:val="22"/>
                <w:highlight w:val="none"/>
              </w:rPr>
              <w:t>设计、技</w:t>
            </w:r>
            <w:r>
              <w:rPr>
                <w:rFonts w:hint="eastAsia" w:ascii="新宋体" w:hAnsi="新宋体" w:eastAsia="新宋体" w:cs="新宋体"/>
                <w:color w:val="auto"/>
                <w:sz w:val="22"/>
                <w:szCs w:val="22"/>
                <w:highlight w:val="none"/>
                <w:lang w:val="zh-CN"/>
              </w:rPr>
              <w:t>术、</w:t>
            </w:r>
            <w:r>
              <w:rPr>
                <w:rFonts w:hint="eastAsia" w:ascii="新宋体" w:hAnsi="新宋体" w:eastAsia="新宋体" w:cs="新宋体"/>
                <w:color w:val="auto"/>
                <w:sz w:val="22"/>
                <w:szCs w:val="22"/>
                <w:highlight w:val="none"/>
              </w:rPr>
              <w:t>性能特点、质量水平</w:t>
            </w:r>
            <w:r>
              <w:rPr>
                <w:rFonts w:hint="eastAsia" w:ascii="新宋体" w:hAnsi="新宋体" w:eastAsia="新宋体" w:cs="新宋体"/>
                <w:color w:val="auto"/>
                <w:sz w:val="22"/>
                <w:szCs w:val="22"/>
                <w:highlight w:val="none"/>
                <w:lang w:val="zh-CN"/>
              </w:rPr>
              <w:t>、</w:t>
            </w:r>
            <w:r>
              <w:rPr>
                <w:rFonts w:hint="eastAsia" w:ascii="新宋体" w:hAnsi="新宋体" w:eastAsia="新宋体" w:cs="新宋体"/>
                <w:color w:val="auto"/>
                <w:sz w:val="22"/>
                <w:szCs w:val="22"/>
                <w:highlight w:val="none"/>
              </w:rPr>
              <w:t>全周期寿命</w:t>
            </w:r>
            <w:r>
              <w:rPr>
                <w:rFonts w:hint="eastAsia" w:ascii="新宋体" w:hAnsi="新宋体" w:eastAsia="新宋体" w:cs="新宋体"/>
                <w:color w:val="auto"/>
                <w:sz w:val="22"/>
                <w:szCs w:val="22"/>
                <w:highlight w:val="none"/>
                <w:lang w:val="zh-CN"/>
              </w:rPr>
              <w:t>等方面</w:t>
            </w:r>
            <w:r>
              <w:rPr>
                <w:rFonts w:hint="eastAsia" w:ascii="新宋体" w:hAnsi="新宋体" w:eastAsia="新宋体" w:cs="新宋体"/>
                <w:color w:val="auto"/>
                <w:sz w:val="22"/>
                <w:szCs w:val="22"/>
                <w:highlight w:val="none"/>
              </w:rPr>
              <w:t>的描述情况</w:t>
            </w:r>
            <w:r>
              <w:rPr>
                <w:rFonts w:hint="eastAsia" w:ascii="新宋体" w:hAnsi="新宋体" w:eastAsia="新宋体" w:cs="新宋体"/>
                <w:color w:val="auto"/>
                <w:sz w:val="22"/>
                <w:szCs w:val="22"/>
                <w:highlight w:val="none"/>
                <w:lang w:val="zh-CN"/>
              </w:rPr>
              <w:t>进行综合比较打分。</w:t>
            </w:r>
          </w:p>
          <w:p w14:paraId="287FEBAB">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所投</w:t>
            </w:r>
            <w:r>
              <w:rPr>
                <w:rFonts w:hint="eastAsia" w:ascii="新宋体" w:hAnsi="新宋体" w:eastAsia="新宋体" w:cs="新宋体"/>
                <w:color w:val="auto"/>
                <w:sz w:val="22"/>
                <w:szCs w:val="22"/>
                <w:highlight w:val="none"/>
                <w:lang w:val="zh-CN"/>
              </w:rPr>
              <w:t>产品</w:t>
            </w:r>
            <w:r>
              <w:rPr>
                <w:rFonts w:hint="eastAsia" w:ascii="新宋体" w:hAnsi="新宋体" w:eastAsia="新宋体" w:cs="新宋体"/>
                <w:color w:val="auto"/>
                <w:sz w:val="22"/>
                <w:szCs w:val="22"/>
                <w:highlight w:val="none"/>
              </w:rPr>
              <w:t>总体设计</w:t>
            </w:r>
            <w:r>
              <w:rPr>
                <w:rFonts w:hint="eastAsia" w:ascii="新宋体" w:hAnsi="新宋体" w:eastAsia="新宋体" w:cs="新宋体"/>
                <w:color w:val="auto"/>
                <w:sz w:val="22"/>
                <w:szCs w:val="22"/>
                <w:highlight w:val="none"/>
                <w:lang w:val="zh-CN"/>
              </w:rPr>
              <w:t>成熟，</w:t>
            </w:r>
            <w:r>
              <w:rPr>
                <w:rFonts w:hint="eastAsia" w:ascii="新宋体" w:hAnsi="新宋体" w:eastAsia="新宋体" w:cs="新宋体"/>
                <w:color w:val="auto"/>
                <w:sz w:val="22"/>
                <w:szCs w:val="22"/>
                <w:highlight w:val="none"/>
              </w:rPr>
              <w:t>技术特点鲜明、优势突出，质量稳定</w:t>
            </w:r>
            <w:r>
              <w:rPr>
                <w:rFonts w:hint="eastAsia" w:ascii="新宋体" w:hAnsi="新宋体" w:eastAsia="新宋体" w:cs="新宋体"/>
                <w:color w:val="auto"/>
                <w:sz w:val="22"/>
                <w:szCs w:val="22"/>
                <w:highlight w:val="none"/>
                <w:lang w:val="zh-CN"/>
              </w:rPr>
              <w:t>可靠、</w:t>
            </w:r>
            <w:r>
              <w:rPr>
                <w:rFonts w:hint="eastAsia" w:ascii="新宋体" w:hAnsi="新宋体" w:eastAsia="新宋体" w:cs="新宋体"/>
                <w:color w:val="auto"/>
                <w:sz w:val="22"/>
                <w:szCs w:val="22"/>
                <w:highlight w:val="none"/>
              </w:rPr>
              <w:t>全周期寿命长</w:t>
            </w:r>
            <w:r>
              <w:rPr>
                <w:rFonts w:hint="eastAsia" w:ascii="新宋体" w:hAnsi="新宋体" w:eastAsia="新宋体" w:cs="新宋体"/>
                <w:color w:val="auto"/>
                <w:sz w:val="22"/>
                <w:szCs w:val="22"/>
                <w:highlight w:val="none"/>
                <w:lang w:val="zh-CN"/>
              </w:rPr>
              <w:t>的</w:t>
            </w:r>
            <w:r>
              <w:rPr>
                <w:rFonts w:hint="eastAsia" w:ascii="新宋体" w:hAnsi="新宋体" w:eastAsia="新宋体" w:cs="新宋体"/>
                <w:color w:val="auto"/>
                <w:sz w:val="22"/>
                <w:szCs w:val="22"/>
                <w:highlight w:val="none"/>
              </w:rPr>
              <w:t>得5</w:t>
            </w:r>
            <w:r>
              <w:rPr>
                <w:rFonts w:hint="eastAsia" w:ascii="新宋体" w:hAnsi="新宋体" w:eastAsia="新宋体" w:cs="新宋体"/>
                <w:color w:val="auto"/>
                <w:sz w:val="22"/>
                <w:szCs w:val="22"/>
                <w:highlight w:val="none"/>
                <w:lang w:val="zh-CN"/>
              </w:rPr>
              <w:t>分；</w:t>
            </w:r>
            <w:r>
              <w:rPr>
                <w:rFonts w:hint="eastAsia" w:ascii="新宋体" w:hAnsi="新宋体" w:eastAsia="新宋体" w:cs="新宋体"/>
                <w:color w:val="auto"/>
                <w:sz w:val="22"/>
                <w:szCs w:val="22"/>
                <w:highlight w:val="none"/>
              </w:rPr>
              <w:t>所投</w:t>
            </w:r>
            <w:r>
              <w:rPr>
                <w:rFonts w:hint="eastAsia" w:ascii="新宋体" w:hAnsi="新宋体" w:eastAsia="新宋体" w:cs="新宋体"/>
                <w:color w:val="auto"/>
                <w:sz w:val="22"/>
                <w:szCs w:val="22"/>
                <w:highlight w:val="none"/>
                <w:lang w:val="zh-CN"/>
              </w:rPr>
              <w:t>产品</w:t>
            </w:r>
            <w:r>
              <w:rPr>
                <w:rFonts w:hint="eastAsia" w:ascii="新宋体" w:hAnsi="新宋体" w:eastAsia="新宋体" w:cs="新宋体"/>
                <w:color w:val="auto"/>
                <w:sz w:val="22"/>
                <w:szCs w:val="22"/>
                <w:highlight w:val="none"/>
              </w:rPr>
              <w:t>总体设计比较</w:t>
            </w:r>
            <w:r>
              <w:rPr>
                <w:rFonts w:hint="eastAsia" w:ascii="新宋体" w:hAnsi="新宋体" w:eastAsia="新宋体" w:cs="新宋体"/>
                <w:color w:val="auto"/>
                <w:sz w:val="22"/>
                <w:szCs w:val="22"/>
                <w:highlight w:val="none"/>
                <w:lang w:val="zh-CN"/>
              </w:rPr>
              <w:t>成熟，</w:t>
            </w:r>
            <w:r>
              <w:rPr>
                <w:rFonts w:hint="eastAsia" w:ascii="新宋体" w:hAnsi="新宋体" w:eastAsia="新宋体" w:cs="新宋体"/>
                <w:color w:val="auto"/>
                <w:sz w:val="22"/>
                <w:szCs w:val="22"/>
                <w:highlight w:val="none"/>
              </w:rPr>
              <w:t>有一定的技术性能特点，质量较稳定</w:t>
            </w:r>
            <w:r>
              <w:rPr>
                <w:rFonts w:hint="eastAsia" w:ascii="新宋体" w:hAnsi="新宋体" w:eastAsia="新宋体" w:cs="新宋体"/>
                <w:color w:val="auto"/>
                <w:sz w:val="22"/>
                <w:szCs w:val="22"/>
                <w:highlight w:val="none"/>
                <w:lang w:val="zh-CN"/>
              </w:rPr>
              <w:t>可靠，</w:t>
            </w:r>
            <w:r>
              <w:rPr>
                <w:rFonts w:hint="eastAsia" w:ascii="新宋体" w:hAnsi="新宋体" w:eastAsia="新宋体" w:cs="新宋体"/>
                <w:color w:val="auto"/>
                <w:sz w:val="22"/>
                <w:szCs w:val="22"/>
                <w:highlight w:val="none"/>
              </w:rPr>
              <w:t>全周期寿命较长的得3</w:t>
            </w:r>
            <w:r>
              <w:rPr>
                <w:rFonts w:hint="eastAsia" w:ascii="新宋体" w:hAnsi="新宋体" w:eastAsia="新宋体" w:cs="新宋体"/>
                <w:color w:val="auto"/>
                <w:sz w:val="22"/>
                <w:szCs w:val="22"/>
                <w:highlight w:val="none"/>
                <w:lang w:val="zh-CN"/>
              </w:rPr>
              <w:t>分</w:t>
            </w:r>
            <w:r>
              <w:rPr>
                <w:rFonts w:hint="eastAsia" w:ascii="新宋体" w:hAnsi="新宋体" w:eastAsia="新宋体" w:cs="新宋体"/>
                <w:color w:val="auto"/>
                <w:sz w:val="22"/>
                <w:szCs w:val="22"/>
                <w:highlight w:val="none"/>
              </w:rPr>
              <w:t>；所投</w:t>
            </w:r>
            <w:r>
              <w:rPr>
                <w:rFonts w:hint="eastAsia" w:ascii="新宋体" w:hAnsi="新宋体" w:eastAsia="新宋体" w:cs="新宋体"/>
                <w:color w:val="auto"/>
                <w:sz w:val="22"/>
                <w:szCs w:val="22"/>
                <w:highlight w:val="none"/>
                <w:lang w:val="zh-CN"/>
              </w:rPr>
              <w:t>产品</w:t>
            </w:r>
            <w:r>
              <w:rPr>
                <w:rFonts w:hint="eastAsia" w:ascii="新宋体" w:hAnsi="新宋体" w:eastAsia="新宋体" w:cs="新宋体"/>
                <w:color w:val="auto"/>
                <w:sz w:val="22"/>
                <w:szCs w:val="22"/>
                <w:highlight w:val="none"/>
              </w:rPr>
              <w:t>总体设计基本成熟</w:t>
            </w:r>
            <w:r>
              <w:rPr>
                <w:rFonts w:hint="eastAsia" w:ascii="新宋体" w:hAnsi="新宋体" w:eastAsia="新宋体" w:cs="新宋体"/>
                <w:color w:val="auto"/>
                <w:sz w:val="22"/>
                <w:szCs w:val="22"/>
                <w:highlight w:val="none"/>
                <w:lang w:val="zh-CN"/>
              </w:rPr>
              <w:t>，</w:t>
            </w:r>
            <w:r>
              <w:rPr>
                <w:rFonts w:hint="eastAsia" w:ascii="新宋体" w:hAnsi="新宋体" w:eastAsia="新宋体" w:cs="新宋体"/>
                <w:color w:val="auto"/>
                <w:sz w:val="22"/>
                <w:szCs w:val="22"/>
                <w:highlight w:val="none"/>
              </w:rPr>
              <w:t>技术性能特点较普通，质量及全周期寿命一般的得1</w:t>
            </w:r>
            <w:r>
              <w:rPr>
                <w:rFonts w:hint="eastAsia" w:ascii="新宋体" w:hAnsi="新宋体" w:eastAsia="新宋体" w:cs="新宋体"/>
                <w:color w:val="auto"/>
                <w:sz w:val="22"/>
                <w:szCs w:val="22"/>
                <w:highlight w:val="none"/>
                <w:lang w:val="zh-CN"/>
              </w:rPr>
              <w:t>分</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rPr>
              <w:t>未提供相关内容或产品设计及技术质量有明显缺陷或瑕疵的不得分</w:t>
            </w:r>
            <w:r>
              <w:rPr>
                <w:rFonts w:hint="eastAsia" w:ascii="新宋体" w:hAnsi="新宋体" w:eastAsia="新宋体" w:cs="新宋体"/>
                <w:color w:val="auto"/>
                <w:sz w:val="22"/>
                <w:szCs w:val="22"/>
                <w:highlight w:val="none"/>
              </w:rPr>
              <w:t>。</w:t>
            </w:r>
          </w:p>
        </w:tc>
      </w:tr>
      <w:tr w14:paraId="079B9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Align w:val="center"/>
          </w:tcPr>
          <w:p w14:paraId="10BC36C4">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r>
              <w:rPr>
                <w:rFonts w:hint="eastAsia" w:ascii="新宋体" w:hAnsi="新宋体" w:eastAsia="新宋体" w:cs="新宋体"/>
                <w:color w:val="auto"/>
                <w:sz w:val="22"/>
                <w:szCs w:val="22"/>
                <w:highlight w:val="none"/>
                <w:vertAlign w:val="baseline"/>
                <w:lang w:val="en-US" w:eastAsia="zh-CN"/>
              </w:rPr>
              <w:t>5</w:t>
            </w:r>
          </w:p>
        </w:tc>
        <w:tc>
          <w:tcPr>
            <w:tcW w:w="1795" w:type="dxa"/>
            <w:vAlign w:val="center"/>
          </w:tcPr>
          <w:p w14:paraId="5C7DAFF1">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产品供货验收方案</w:t>
            </w:r>
          </w:p>
        </w:tc>
        <w:tc>
          <w:tcPr>
            <w:tcW w:w="750" w:type="dxa"/>
            <w:vAlign w:val="center"/>
          </w:tcPr>
          <w:p w14:paraId="25A51D86">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lang w:val="en-US" w:eastAsia="zh-CN"/>
              </w:rPr>
              <w:t>2</w:t>
            </w:r>
            <w:r>
              <w:rPr>
                <w:rFonts w:hint="eastAsia" w:ascii="新宋体" w:hAnsi="新宋体" w:eastAsia="新宋体" w:cs="新宋体"/>
                <w:color w:val="auto"/>
                <w:sz w:val="22"/>
                <w:szCs w:val="22"/>
                <w:highlight w:val="none"/>
              </w:rPr>
              <w:t>分</w:t>
            </w:r>
          </w:p>
        </w:tc>
        <w:tc>
          <w:tcPr>
            <w:tcW w:w="6400" w:type="dxa"/>
            <w:vAlign w:val="center"/>
          </w:tcPr>
          <w:p w14:paraId="42A5D533">
            <w:pPr>
              <w:keepNext w:val="0"/>
              <w:keepLines w:val="0"/>
              <w:pageBreakBefore w:val="0"/>
              <w:widowControl/>
              <w:kinsoku/>
              <w:wordWrap/>
              <w:overflowPunct/>
              <w:topLinePunct w:val="0"/>
              <w:autoSpaceDE/>
              <w:autoSpaceDN/>
              <w:bidi w:val="0"/>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根据产品供货验收方案，包括供货、安装、调试、测试、试运行及验收，质量保障措施等内容进行综合评审：</w:t>
            </w:r>
          </w:p>
          <w:p w14:paraId="204BD2B2">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kern w:val="0"/>
                <w:sz w:val="22"/>
                <w:szCs w:val="22"/>
                <w:highlight w:val="none"/>
              </w:rPr>
              <w:t>方案</w:t>
            </w:r>
            <w:r>
              <w:rPr>
                <w:rFonts w:hint="eastAsia" w:ascii="新宋体" w:hAnsi="新宋体" w:eastAsia="新宋体" w:cs="新宋体"/>
                <w:color w:val="auto"/>
                <w:sz w:val="22"/>
                <w:szCs w:val="22"/>
                <w:highlight w:val="none"/>
              </w:rPr>
              <w:t>内容全面详细、质量保障措施完善可行，针对性强，能完全满足项目需求的得</w:t>
            </w:r>
            <w:r>
              <w:rPr>
                <w:rFonts w:hint="eastAsia" w:ascii="新宋体" w:hAnsi="新宋体" w:eastAsia="新宋体" w:cs="新宋体"/>
                <w:color w:val="auto"/>
                <w:sz w:val="22"/>
                <w:szCs w:val="22"/>
                <w:highlight w:val="none"/>
                <w:lang w:val="en-US" w:eastAsia="zh-CN"/>
              </w:rPr>
              <w:t>2</w:t>
            </w:r>
            <w:r>
              <w:rPr>
                <w:rFonts w:hint="eastAsia" w:ascii="新宋体" w:hAnsi="新宋体" w:eastAsia="新宋体" w:cs="新宋体"/>
                <w:color w:val="auto"/>
                <w:sz w:val="22"/>
                <w:szCs w:val="22"/>
                <w:highlight w:val="none"/>
              </w:rPr>
              <w:t>分；</w:t>
            </w:r>
            <w:r>
              <w:rPr>
                <w:rFonts w:hint="eastAsia" w:ascii="新宋体" w:hAnsi="新宋体" w:eastAsia="新宋体" w:cs="新宋体"/>
                <w:color w:val="auto"/>
                <w:kern w:val="0"/>
                <w:sz w:val="22"/>
                <w:szCs w:val="22"/>
                <w:highlight w:val="none"/>
              </w:rPr>
              <w:t>方案</w:t>
            </w:r>
            <w:r>
              <w:rPr>
                <w:rFonts w:hint="eastAsia" w:ascii="新宋体" w:hAnsi="新宋体" w:eastAsia="新宋体" w:cs="新宋体"/>
                <w:color w:val="auto"/>
                <w:sz w:val="22"/>
                <w:szCs w:val="22"/>
                <w:highlight w:val="none"/>
              </w:rPr>
              <w:t>基本完整，质量保障措施基本可行，有针对性，基本满足采购需求的得1分；</w:t>
            </w:r>
            <w:r>
              <w:rPr>
                <w:rFonts w:hint="eastAsia" w:ascii="新宋体" w:hAnsi="新宋体" w:eastAsia="新宋体" w:cs="新宋体"/>
                <w:color w:val="auto"/>
                <w:kern w:val="0"/>
                <w:sz w:val="22"/>
                <w:szCs w:val="22"/>
                <w:highlight w:val="none"/>
              </w:rPr>
              <w:t>方案</w:t>
            </w:r>
            <w:r>
              <w:rPr>
                <w:rFonts w:hint="eastAsia" w:ascii="新宋体" w:hAnsi="新宋体" w:eastAsia="新宋体" w:cs="新宋体"/>
                <w:color w:val="auto"/>
                <w:sz w:val="22"/>
                <w:szCs w:val="22"/>
                <w:highlight w:val="none"/>
              </w:rPr>
              <w:t>内容简单不全，有明显欠缺不足的得0.5分；未提供不得分。</w:t>
            </w:r>
          </w:p>
        </w:tc>
      </w:tr>
      <w:tr w14:paraId="4D6FE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Align w:val="center"/>
          </w:tcPr>
          <w:p w14:paraId="017201E1">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r>
              <w:rPr>
                <w:rFonts w:hint="eastAsia" w:ascii="新宋体" w:hAnsi="新宋体" w:eastAsia="新宋体" w:cs="新宋体"/>
                <w:color w:val="auto"/>
                <w:sz w:val="22"/>
                <w:szCs w:val="22"/>
                <w:highlight w:val="none"/>
                <w:vertAlign w:val="baseline"/>
                <w:lang w:val="en-US" w:eastAsia="zh-CN"/>
              </w:rPr>
              <w:t>6</w:t>
            </w:r>
          </w:p>
        </w:tc>
        <w:tc>
          <w:tcPr>
            <w:tcW w:w="1795" w:type="dxa"/>
            <w:vAlign w:val="center"/>
          </w:tcPr>
          <w:p w14:paraId="63D89DAB">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运行维护成本</w:t>
            </w:r>
          </w:p>
        </w:tc>
        <w:tc>
          <w:tcPr>
            <w:tcW w:w="750" w:type="dxa"/>
            <w:vAlign w:val="center"/>
          </w:tcPr>
          <w:p w14:paraId="45FE10E6">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2分</w:t>
            </w:r>
          </w:p>
        </w:tc>
        <w:tc>
          <w:tcPr>
            <w:tcW w:w="6400" w:type="dxa"/>
            <w:vAlign w:val="center"/>
          </w:tcPr>
          <w:p w14:paraId="3E5AE721">
            <w:pPr>
              <w:pStyle w:val="21"/>
              <w:keepNext w:val="0"/>
              <w:keepLines w:val="0"/>
              <w:pageBreakBefore w:val="0"/>
              <w:kinsoku/>
              <w:wordWrap/>
              <w:overflowPunct/>
              <w:topLinePunct w:val="0"/>
              <w:autoSpaceDE/>
              <w:autoSpaceDN/>
              <w:bidi w:val="0"/>
              <w:spacing w:after="0" w:line="44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根据供应商提供的所投产品运行维护成本分析（包括消耗成本、维修成本、保养成本）及耗材配件报价等进行综合比较打分。</w:t>
            </w:r>
          </w:p>
          <w:p w14:paraId="1F75F720">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运行维护成本低且耗材配件报价合理的得2分；运行维护成本较低且耗材配件报价较合理的得1分，运行维护成本和耗材配件报价较高的得0.5分，未提供的不得分。</w:t>
            </w:r>
          </w:p>
        </w:tc>
      </w:tr>
      <w:tr w14:paraId="0EE7BB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Merge w:val="restart"/>
            <w:vAlign w:val="center"/>
          </w:tcPr>
          <w:p w14:paraId="2848B60F">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r>
              <w:rPr>
                <w:rFonts w:hint="eastAsia" w:ascii="新宋体" w:hAnsi="新宋体" w:eastAsia="新宋体" w:cs="新宋体"/>
                <w:color w:val="auto"/>
                <w:sz w:val="22"/>
                <w:szCs w:val="22"/>
                <w:highlight w:val="none"/>
                <w:vertAlign w:val="baseline"/>
                <w:lang w:val="en-US" w:eastAsia="zh-CN"/>
              </w:rPr>
              <w:t>7</w:t>
            </w:r>
          </w:p>
        </w:tc>
        <w:tc>
          <w:tcPr>
            <w:tcW w:w="1795" w:type="dxa"/>
            <w:vMerge w:val="restart"/>
            <w:vAlign w:val="center"/>
          </w:tcPr>
          <w:p w14:paraId="68B7A92A">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售后服务及培训能力</w:t>
            </w:r>
          </w:p>
        </w:tc>
        <w:tc>
          <w:tcPr>
            <w:tcW w:w="750" w:type="dxa"/>
            <w:vAlign w:val="center"/>
          </w:tcPr>
          <w:p w14:paraId="19FF2D21">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3分</w:t>
            </w:r>
          </w:p>
        </w:tc>
        <w:tc>
          <w:tcPr>
            <w:tcW w:w="6400" w:type="dxa"/>
            <w:shd w:val="clear" w:color="auto" w:fill="auto"/>
            <w:vAlign w:val="center"/>
          </w:tcPr>
          <w:p w14:paraId="49000D4C">
            <w:pPr>
              <w:keepNext w:val="0"/>
              <w:keepLines w:val="0"/>
              <w:pageBreakBefore w:val="0"/>
              <w:widowControl/>
              <w:kinsoku/>
              <w:wordWrap/>
              <w:overflowPunct/>
              <w:topLinePunct w:val="0"/>
              <w:autoSpaceDE/>
              <w:autoSpaceDN/>
              <w:bidi w:val="0"/>
              <w:spacing w:line="440" w:lineRule="exact"/>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售后服务承诺（</w:t>
            </w:r>
            <w:r>
              <w:rPr>
                <w:rFonts w:hint="eastAsia" w:ascii="新宋体" w:hAnsi="新宋体" w:eastAsia="新宋体" w:cs="新宋体"/>
                <w:color w:val="auto"/>
                <w:sz w:val="22"/>
                <w:szCs w:val="22"/>
                <w:highlight w:val="none"/>
              </w:rPr>
              <w:t>包括售后服务内容、服务措施、定期维护、维修承诺、故障响应、人员配置、应急措施、备品备件供应保障措施、质保期外售后维护等</w:t>
            </w:r>
            <w:r>
              <w:rPr>
                <w:rFonts w:hint="eastAsia" w:ascii="新宋体" w:hAnsi="新宋体" w:eastAsia="新宋体" w:cs="新宋体"/>
                <w:color w:val="auto"/>
                <w:sz w:val="22"/>
                <w:szCs w:val="22"/>
                <w:highlight w:val="none"/>
              </w:rPr>
              <w:t>）</w:t>
            </w:r>
          </w:p>
          <w:p w14:paraId="4D9CE79D">
            <w:pPr>
              <w:keepNext w:val="0"/>
              <w:keepLines w:val="0"/>
              <w:pageBreakBefore w:val="0"/>
              <w:widowControl/>
              <w:kinsoku/>
              <w:wordWrap/>
              <w:overflowPunct/>
              <w:topLinePunct w:val="0"/>
              <w:autoSpaceDE/>
              <w:autoSpaceDN/>
              <w:bidi w:val="0"/>
              <w:spacing w:line="440" w:lineRule="exact"/>
              <w:jc w:val="left"/>
              <w:rPr>
                <w:rFonts w:hint="eastAsia" w:ascii="新宋体" w:hAnsi="新宋体" w:eastAsia="新宋体" w:cs="新宋体"/>
                <w:color w:val="auto"/>
                <w:kern w:val="2"/>
                <w:sz w:val="22"/>
                <w:szCs w:val="22"/>
                <w:highlight w:val="none"/>
                <w:lang w:val="en-US" w:eastAsia="zh-CN" w:bidi="ar-SA"/>
              </w:rPr>
            </w:pPr>
            <w:r>
              <w:rPr>
                <w:rFonts w:hint="eastAsia" w:ascii="新宋体" w:hAnsi="新宋体" w:eastAsia="新宋体" w:cs="新宋体"/>
                <w:color w:val="auto"/>
                <w:sz w:val="22"/>
                <w:szCs w:val="22"/>
                <w:highlight w:val="none"/>
              </w:rPr>
              <w:t>售后服务承诺详细、完整，针对性强，能较好地满足采购人需求的得3分；售后服务承诺基本完整，有一定的针对性，基本能满足采购人需求的得1分；售后服务承诺简单不全，</w:t>
            </w:r>
            <w:r>
              <w:rPr>
                <w:rFonts w:hint="eastAsia" w:ascii="新宋体" w:hAnsi="新宋体" w:eastAsia="新宋体" w:cs="新宋体"/>
                <w:color w:val="auto"/>
                <w:sz w:val="22"/>
                <w:szCs w:val="22"/>
                <w:highlight w:val="none"/>
              </w:rPr>
              <w:t>有明显欠缺不足的得0.5分；</w:t>
            </w:r>
            <w:r>
              <w:rPr>
                <w:rFonts w:hint="eastAsia" w:ascii="新宋体" w:hAnsi="新宋体" w:eastAsia="新宋体" w:cs="新宋体"/>
                <w:color w:val="auto"/>
                <w:sz w:val="22"/>
                <w:szCs w:val="22"/>
                <w:highlight w:val="none"/>
              </w:rPr>
              <w:t>未提供不得分。</w:t>
            </w:r>
          </w:p>
        </w:tc>
      </w:tr>
      <w:tr w14:paraId="714E1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Merge w:val="continue"/>
            <w:vAlign w:val="center"/>
          </w:tcPr>
          <w:p w14:paraId="104AEA78">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p>
        </w:tc>
        <w:tc>
          <w:tcPr>
            <w:tcW w:w="1795" w:type="dxa"/>
            <w:vMerge w:val="continue"/>
            <w:vAlign w:val="center"/>
          </w:tcPr>
          <w:p w14:paraId="31FEFFE1">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p>
        </w:tc>
        <w:tc>
          <w:tcPr>
            <w:tcW w:w="750" w:type="dxa"/>
            <w:vAlign w:val="center"/>
          </w:tcPr>
          <w:p w14:paraId="5560B27D">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2分</w:t>
            </w:r>
          </w:p>
        </w:tc>
        <w:tc>
          <w:tcPr>
            <w:tcW w:w="6400" w:type="dxa"/>
            <w:shd w:val="clear" w:color="auto" w:fill="auto"/>
            <w:vAlign w:val="center"/>
          </w:tcPr>
          <w:p w14:paraId="1E8D7AD3">
            <w:pPr>
              <w:keepNext w:val="0"/>
              <w:keepLines w:val="0"/>
              <w:pageBreakBefore w:val="0"/>
              <w:kinsoku/>
              <w:wordWrap/>
              <w:overflowPunct/>
              <w:topLinePunct w:val="0"/>
              <w:autoSpaceDE/>
              <w:autoSpaceDN/>
              <w:bidi w:val="0"/>
              <w:spacing w:line="440" w:lineRule="exact"/>
              <w:ind w:left="-2" w:leftChars="-6" w:hanging="11" w:hangingChars="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技术培训方案（包括但不限于培训计划安排、培训内容、培训形式、培训人员、培训目标等）</w:t>
            </w:r>
          </w:p>
          <w:p w14:paraId="1CF9C451">
            <w:pPr>
              <w:keepNext w:val="0"/>
              <w:keepLines w:val="0"/>
              <w:pageBreakBefore w:val="0"/>
              <w:kinsoku/>
              <w:wordWrap/>
              <w:overflowPunct/>
              <w:topLinePunct w:val="0"/>
              <w:autoSpaceDE/>
              <w:autoSpaceDN/>
              <w:bidi w:val="0"/>
              <w:spacing w:line="440" w:lineRule="exact"/>
              <w:ind w:left="-2" w:leftChars="-6" w:hanging="11" w:hangingChars="5"/>
              <w:rPr>
                <w:rFonts w:hint="eastAsia" w:ascii="新宋体" w:hAnsi="新宋体" w:eastAsia="新宋体" w:cs="新宋体"/>
                <w:color w:val="auto"/>
                <w:kern w:val="2"/>
                <w:sz w:val="22"/>
                <w:szCs w:val="22"/>
                <w:highlight w:val="none"/>
                <w:lang w:val="en-US" w:eastAsia="zh-CN" w:bidi="ar-SA"/>
              </w:rPr>
            </w:pPr>
            <w:r>
              <w:rPr>
                <w:rFonts w:hint="eastAsia" w:ascii="新宋体" w:hAnsi="新宋体" w:eastAsia="新宋体" w:cs="新宋体"/>
                <w:color w:val="auto"/>
                <w:sz w:val="22"/>
                <w:szCs w:val="22"/>
                <w:highlight w:val="none"/>
              </w:rPr>
              <w:t>技术培训方案详细、完整，针对性强，能较好地满足采购人需求的得2分；技术培训方案基本完整，有一定的针对性，基本能满足采购人需求的得1分；技术培训方案简单不全，</w:t>
            </w:r>
            <w:r>
              <w:rPr>
                <w:rFonts w:hint="eastAsia" w:ascii="新宋体" w:hAnsi="新宋体" w:eastAsia="新宋体" w:cs="新宋体"/>
                <w:color w:val="auto"/>
                <w:sz w:val="22"/>
                <w:szCs w:val="22"/>
                <w:highlight w:val="none"/>
              </w:rPr>
              <w:t>有明显欠缺不足的得0.5分；</w:t>
            </w:r>
            <w:r>
              <w:rPr>
                <w:rFonts w:hint="eastAsia" w:ascii="新宋体" w:hAnsi="新宋体" w:eastAsia="新宋体" w:cs="新宋体"/>
                <w:color w:val="auto"/>
                <w:sz w:val="22"/>
                <w:szCs w:val="22"/>
                <w:highlight w:val="none"/>
              </w:rPr>
              <w:t>未提供不得分。</w:t>
            </w:r>
          </w:p>
        </w:tc>
      </w:tr>
      <w:tr w14:paraId="1FBBC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Align w:val="center"/>
          </w:tcPr>
          <w:p w14:paraId="3FC370E8">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r>
              <w:rPr>
                <w:rFonts w:hint="eastAsia" w:ascii="新宋体" w:hAnsi="新宋体" w:eastAsia="新宋体" w:cs="新宋体"/>
                <w:color w:val="auto"/>
                <w:sz w:val="22"/>
                <w:szCs w:val="22"/>
                <w:highlight w:val="none"/>
                <w:vertAlign w:val="baseline"/>
                <w:lang w:val="en-US" w:eastAsia="zh-CN"/>
              </w:rPr>
              <w:t>8</w:t>
            </w:r>
          </w:p>
        </w:tc>
        <w:tc>
          <w:tcPr>
            <w:tcW w:w="1795" w:type="dxa"/>
            <w:vAlign w:val="center"/>
          </w:tcPr>
          <w:p w14:paraId="5F01B34B">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vertAlign w:val="baseline"/>
              </w:rPr>
              <w:t>保修服务</w:t>
            </w:r>
          </w:p>
        </w:tc>
        <w:tc>
          <w:tcPr>
            <w:tcW w:w="750" w:type="dxa"/>
            <w:vAlign w:val="center"/>
          </w:tcPr>
          <w:p w14:paraId="6C47BB82">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vertAlign w:val="baseline"/>
                <w:lang w:val="en-US" w:eastAsia="zh-CN"/>
              </w:rPr>
              <w:t>1</w:t>
            </w:r>
            <w:r>
              <w:rPr>
                <w:rFonts w:hint="eastAsia" w:ascii="新宋体" w:hAnsi="新宋体" w:eastAsia="新宋体" w:cs="新宋体"/>
                <w:color w:val="auto"/>
                <w:sz w:val="22"/>
                <w:szCs w:val="22"/>
                <w:highlight w:val="none"/>
                <w:vertAlign w:val="baseline"/>
              </w:rPr>
              <w:t>分</w:t>
            </w:r>
          </w:p>
        </w:tc>
        <w:tc>
          <w:tcPr>
            <w:tcW w:w="6400" w:type="dxa"/>
            <w:shd w:val="clear" w:color="auto" w:fill="auto"/>
            <w:vAlign w:val="center"/>
          </w:tcPr>
          <w:p w14:paraId="4953F206">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vertAlign w:val="baseline"/>
              </w:rPr>
              <w:t>设备免费保修期</w:t>
            </w:r>
            <w:r>
              <w:rPr>
                <w:rFonts w:hint="eastAsia" w:ascii="新宋体" w:hAnsi="新宋体" w:eastAsia="新宋体" w:cs="新宋体"/>
                <w:color w:val="auto"/>
                <w:sz w:val="22"/>
                <w:szCs w:val="22"/>
                <w:highlight w:val="none"/>
                <w:vertAlign w:val="baseline"/>
                <w:lang w:eastAsia="zh-CN"/>
              </w:rPr>
              <w:t>（</w:t>
            </w:r>
            <w:r>
              <w:rPr>
                <w:rFonts w:hint="eastAsia" w:ascii="新宋体" w:hAnsi="新宋体" w:eastAsia="新宋体" w:cs="新宋体"/>
                <w:color w:val="auto"/>
                <w:sz w:val="22"/>
                <w:szCs w:val="22"/>
                <w:highlight w:val="none"/>
              </w:rPr>
              <w:t>免费质保期</w:t>
            </w:r>
            <w:r>
              <w:rPr>
                <w:rFonts w:hint="eastAsia" w:ascii="新宋体" w:hAnsi="新宋体" w:eastAsia="新宋体" w:cs="新宋体"/>
                <w:color w:val="auto"/>
                <w:sz w:val="22"/>
                <w:szCs w:val="22"/>
                <w:highlight w:val="none"/>
                <w:vertAlign w:val="baseline"/>
                <w:lang w:eastAsia="zh-CN"/>
              </w:rPr>
              <w:t>）</w:t>
            </w:r>
            <w:r>
              <w:rPr>
                <w:rFonts w:hint="eastAsia" w:ascii="新宋体" w:hAnsi="新宋体" w:eastAsia="新宋体" w:cs="新宋体"/>
                <w:color w:val="auto"/>
                <w:sz w:val="22"/>
                <w:szCs w:val="22"/>
                <w:highlight w:val="none"/>
                <w:vertAlign w:val="baseline"/>
              </w:rPr>
              <w:t>超过</w:t>
            </w:r>
            <w:r>
              <w:rPr>
                <w:rFonts w:hint="eastAsia" w:ascii="新宋体" w:hAnsi="新宋体" w:eastAsia="新宋体" w:cs="新宋体"/>
                <w:color w:val="auto"/>
                <w:sz w:val="22"/>
                <w:szCs w:val="22"/>
                <w:highlight w:val="none"/>
                <w:vertAlign w:val="baseline"/>
                <w:lang w:val="en-US" w:eastAsia="zh-CN"/>
              </w:rPr>
              <w:t>采购</w:t>
            </w:r>
            <w:r>
              <w:rPr>
                <w:rFonts w:hint="eastAsia" w:ascii="新宋体" w:hAnsi="新宋体" w:eastAsia="新宋体" w:cs="新宋体"/>
                <w:color w:val="auto"/>
                <w:sz w:val="22"/>
                <w:szCs w:val="22"/>
                <w:highlight w:val="none"/>
                <w:vertAlign w:val="baseline"/>
              </w:rPr>
              <w:t>文件要求的，每增加1年加</w:t>
            </w:r>
            <w:r>
              <w:rPr>
                <w:rFonts w:hint="eastAsia" w:ascii="新宋体" w:hAnsi="新宋体" w:eastAsia="新宋体" w:cs="新宋体"/>
                <w:color w:val="auto"/>
                <w:sz w:val="22"/>
                <w:szCs w:val="22"/>
                <w:highlight w:val="none"/>
                <w:vertAlign w:val="baseline"/>
                <w:lang w:val="en-US" w:eastAsia="zh-CN"/>
              </w:rPr>
              <w:t>0.5</w:t>
            </w:r>
            <w:r>
              <w:rPr>
                <w:rFonts w:hint="eastAsia" w:ascii="新宋体" w:hAnsi="新宋体" w:eastAsia="新宋体" w:cs="新宋体"/>
                <w:color w:val="auto"/>
                <w:sz w:val="22"/>
                <w:szCs w:val="22"/>
                <w:highlight w:val="none"/>
                <w:vertAlign w:val="baseline"/>
              </w:rPr>
              <w:t>分，增加部分不足1年的不计分，最多得</w:t>
            </w:r>
            <w:r>
              <w:rPr>
                <w:rFonts w:hint="eastAsia" w:ascii="新宋体" w:hAnsi="新宋体" w:eastAsia="新宋体" w:cs="新宋体"/>
                <w:color w:val="auto"/>
                <w:sz w:val="22"/>
                <w:szCs w:val="22"/>
                <w:highlight w:val="none"/>
                <w:vertAlign w:val="baseline"/>
                <w:lang w:val="en-US" w:eastAsia="zh-CN"/>
              </w:rPr>
              <w:t>1</w:t>
            </w:r>
            <w:r>
              <w:rPr>
                <w:rFonts w:hint="eastAsia" w:ascii="新宋体" w:hAnsi="新宋体" w:eastAsia="新宋体" w:cs="新宋体"/>
                <w:color w:val="auto"/>
                <w:sz w:val="22"/>
                <w:szCs w:val="22"/>
                <w:highlight w:val="none"/>
                <w:vertAlign w:val="baseline"/>
              </w:rPr>
              <w:t>分。</w:t>
            </w:r>
          </w:p>
        </w:tc>
      </w:tr>
      <w:tr w14:paraId="547FC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Align w:val="center"/>
          </w:tcPr>
          <w:p w14:paraId="785B2032">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r>
              <w:rPr>
                <w:rFonts w:hint="eastAsia" w:ascii="新宋体" w:hAnsi="新宋体" w:eastAsia="新宋体" w:cs="新宋体"/>
                <w:color w:val="auto"/>
                <w:sz w:val="22"/>
                <w:szCs w:val="22"/>
                <w:highlight w:val="none"/>
                <w:vertAlign w:val="baseline"/>
                <w:lang w:val="en-US" w:eastAsia="zh-CN"/>
              </w:rPr>
              <w:t>9</w:t>
            </w:r>
          </w:p>
        </w:tc>
        <w:tc>
          <w:tcPr>
            <w:tcW w:w="1795" w:type="dxa"/>
            <w:vAlign w:val="center"/>
          </w:tcPr>
          <w:p w14:paraId="1FC78E29">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所投产品业绩</w:t>
            </w:r>
          </w:p>
        </w:tc>
        <w:tc>
          <w:tcPr>
            <w:tcW w:w="750" w:type="dxa"/>
            <w:vAlign w:val="center"/>
          </w:tcPr>
          <w:p w14:paraId="7534F8D4">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3分</w:t>
            </w:r>
          </w:p>
        </w:tc>
        <w:tc>
          <w:tcPr>
            <w:tcW w:w="6400" w:type="dxa"/>
            <w:vAlign w:val="center"/>
          </w:tcPr>
          <w:p w14:paraId="62B99B4F">
            <w:pPr>
              <w:keepNext w:val="0"/>
              <w:keepLines w:val="0"/>
              <w:pageBreakBefore w:val="0"/>
              <w:widowControl/>
              <w:kinsoku/>
              <w:wordWrap/>
              <w:overflowPunct/>
              <w:topLinePunct w:val="0"/>
              <w:autoSpaceDE/>
              <w:autoSpaceDN/>
              <w:bidi w:val="0"/>
              <w:spacing w:line="440" w:lineRule="exact"/>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所投同品牌同型号产品202</w:t>
            </w:r>
            <w:r>
              <w:rPr>
                <w:rFonts w:hint="eastAsia" w:ascii="新宋体" w:hAnsi="新宋体" w:eastAsia="新宋体" w:cs="新宋体"/>
                <w:color w:val="auto"/>
                <w:sz w:val="22"/>
                <w:szCs w:val="22"/>
                <w:highlight w:val="none"/>
                <w:lang w:val="en-US" w:eastAsia="zh-CN"/>
              </w:rPr>
              <w:t>2</w:t>
            </w:r>
            <w:r>
              <w:rPr>
                <w:rFonts w:hint="eastAsia" w:ascii="新宋体" w:hAnsi="新宋体" w:eastAsia="新宋体" w:cs="新宋体"/>
                <w:color w:val="auto"/>
                <w:sz w:val="22"/>
                <w:szCs w:val="22"/>
                <w:highlight w:val="none"/>
              </w:rPr>
              <w:t>年1月1日以来（以合同签署日期为准）</w:t>
            </w:r>
            <w:r>
              <w:rPr>
                <w:rFonts w:hint="eastAsia" w:ascii="新宋体" w:hAnsi="新宋体" w:eastAsia="新宋体" w:cs="新宋体"/>
                <w:color w:val="auto"/>
                <w:sz w:val="22"/>
                <w:szCs w:val="22"/>
                <w:highlight w:val="none"/>
              </w:rPr>
              <w:t>的销售业绩</w:t>
            </w:r>
            <w:r>
              <w:rPr>
                <w:rFonts w:hint="eastAsia" w:ascii="新宋体" w:hAnsi="新宋体" w:eastAsia="新宋体" w:cs="新宋体"/>
                <w:color w:val="auto"/>
                <w:sz w:val="22"/>
                <w:szCs w:val="22"/>
                <w:highlight w:val="none"/>
              </w:rPr>
              <w:t>，每提供1个合同业绩得1分，最高3分。</w:t>
            </w:r>
          </w:p>
          <w:p w14:paraId="6CBEBE67">
            <w:pPr>
              <w:keepNext w:val="0"/>
              <w:keepLines w:val="0"/>
              <w:pageBreakBefore w:val="0"/>
              <w:kinsoku/>
              <w:wordWrap/>
              <w:overflowPunct/>
              <w:topLinePunct w:val="0"/>
              <w:autoSpaceDE/>
              <w:autoSpaceDN/>
              <w:bidi w:val="0"/>
              <w:spacing w:line="440" w:lineRule="exact"/>
              <w:ind w:left="-2" w:leftChars="-6" w:hanging="11" w:hangingChars="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（业绩以合同文件和销售发票证明为准，须同时提供合同扫描件和销售发票证明扫描件作为业绩证明，二者缺一不得分。）</w:t>
            </w:r>
          </w:p>
          <w:p w14:paraId="06E1FF1E">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注：根据浙财采监〔2022〕8号文要求，对省级以上主管部门认定的首台套产品，自纳入《省推广应用指导目录》起三年内参加政府采购活动，视同已具备相应销售业绩，该产品业绩分为满分。（供应商须提供相关证明）</w:t>
            </w:r>
          </w:p>
        </w:tc>
      </w:tr>
      <w:tr w14:paraId="5B196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4" w:type="dxa"/>
            <w:vAlign w:val="center"/>
          </w:tcPr>
          <w:p w14:paraId="7B28D449">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lang w:val="en-US" w:eastAsia="zh-CN"/>
              </w:rPr>
            </w:pPr>
            <w:r>
              <w:rPr>
                <w:rFonts w:hint="eastAsia" w:ascii="新宋体" w:hAnsi="新宋体" w:eastAsia="新宋体" w:cs="新宋体"/>
                <w:color w:val="auto"/>
                <w:sz w:val="22"/>
                <w:szCs w:val="22"/>
                <w:highlight w:val="none"/>
                <w:vertAlign w:val="baseline"/>
                <w:lang w:val="en-US" w:eastAsia="zh-CN"/>
              </w:rPr>
              <w:t>10</w:t>
            </w:r>
          </w:p>
        </w:tc>
        <w:tc>
          <w:tcPr>
            <w:tcW w:w="1795" w:type="dxa"/>
            <w:vAlign w:val="center"/>
          </w:tcPr>
          <w:p w14:paraId="09D01F90">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lang w:eastAsia="zh-CN"/>
              </w:rPr>
            </w:pPr>
            <w:r>
              <w:rPr>
                <w:rFonts w:hint="eastAsia" w:ascii="新宋体" w:hAnsi="新宋体" w:eastAsia="新宋体" w:cs="新宋体"/>
                <w:color w:val="auto"/>
                <w:kern w:val="0"/>
                <w:sz w:val="22"/>
                <w:szCs w:val="22"/>
                <w:highlight w:val="none"/>
              </w:rPr>
              <w:t>产品节能环保情况</w:t>
            </w:r>
          </w:p>
        </w:tc>
        <w:tc>
          <w:tcPr>
            <w:tcW w:w="750" w:type="dxa"/>
            <w:vAlign w:val="center"/>
          </w:tcPr>
          <w:p w14:paraId="4A18E835">
            <w:pPr>
              <w:keepNext w:val="0"/>
              <w:keepLines w:val="0"/>
              <w:pageBreakBefore w:val="0"/>
              <w:kinsoku/>
              <w:wordWrap/>
              <w:overflowPunct/>
              <w:topLinePunct w:val="0"/>
              <w:autoSpaceDE/>
              <w:autoSpaceDN/>
              <w:bidi w:val="0"/>
              <w:spacing w:line="440" w:lineRule="exact"/>
              <w:jc w:val="center"/>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1分</w:t>
            </w:r>
          </w:p>
        </w:tc>
        <w:tc>
          <w:tcPr>
            <w:tcW w:w="6400" w:type="dxa"/>
            <w:vAlign w:val="center"/>
          </w:tcPr>
          <w:p w14:paraId="45EA0D67">
            <w:pPr>
              <w:keepNext w:val="0"/>
              <w:keepLines w:val="0"/>
              <w:pageBreakBefore w:val="0"/>
              <w:kinsoku/>
              <w:wordWrap/>
              <w:overflowPunct/>
              <w:topLinePunct w:val="0"/>
              <w:autoSpaceDE/>
              <w:autoSpaceDN/>
              <w:bidi w:val="0"/>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所投产品属于“节能产品政府采购品目清单”或“环境标志产品政府采购品目清单”范围，具有国家确定的认证机构出具的处于有效期内的节能产品、环境标志产品认证证书。</w:t>
            </w:r>
          </w:p>
          <w:p w14:paraId="01AC1483">
            <w:pPr>
              <w:keepNext w:val="0"/>
              <w:keepLines w:val="0"/>
              <w:pageBreakBefore w:val="0"/>
              <w:kinsoku/>
              <w:wordWrap/>
              <w:overflowPunct/>
              <w:topLinePunct w:val="0"/>
              <w:autoSpaceDE/>
              <w:autoSpaceDN/>
              <w:bidi w:val="0"/>
              <w:spacing w:line="440" w:lineRule="exact"/>
              <w:jc w:val="both"/>
              <w:rPr>
                <w:rFonts w:hint="eastAsia" w:ascii="新宋体" w:hAnsi="新宋体" w:eastAsia="新宋体" w:cs="新宋体"/>
                <w:color w:val="auto"/>
                <w:sz w:val="22"/>
                <w:szCs w:val="22"/>
                <w:highlight w:val="none"/>
                <w:vertAlign w:val="baseline"/>
              </w:rPr>
            </w:pPr>
            <w:r>
              <w:rPr>
                <w:rFonts w:hint="eastAsia" w:ascii="新宋体" w:hAnsi="新宋体" w:eastAsia="新宋体" w:cs="新宋体"/>
                <w:color w:val="auto"/>
                <w:sz w:val="22"/>
                <w:szCs w:val="22"/>
                <w:highlight w:val="none"/>
              </w:rPr>
              <w:t>所投产品中具有符合上述要求的节能产品得0.5分，具有符合上述要求的环境标志产品得0.5分，满分1分。（提供相关采购品目清单及认证证书原件扫描件，由评委确认打分。）</w:t>
            </w:r>
          </w:p>
        </w:tc>
      </w:tr>
    </w:tbl>
    <w:p w14:paraId="6F8BCD11">
      <w:pPr>
        <w:pStyle w:val="22"/>
        <w:keepNext w:val="0"/>
        <w:keepLines w:val="0"/>
        <w:pageBreakBefore w:val="0"/>
        <w:kinsoku/>
        <w:wordWrap/>
        <w:overflowPunct/>
        <w:topLinePunct w:val="0"/>
        <w:autoSpaceDE/>
        <w:autoSpaceDN/>
        <w:bidi w:val="0"/>
        <w:spacing w:line="440" w:lineRule="exact"/>
        <w:ind w:left="439" w:leftChars="209" w:firstLine="0" w:firstLineChars="0"/>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2、报价评分（</w:t>
      </w:r>
      <w:r>
        <w:rPr>
          <w:rFonts w:hint="eastAsia" w:ascii="新宋体" w:hAnsi="新宋体" w:eastAsia="新宋体" w:cs="新宋体"/>
          <w:b/>
          <w:color w:val="auto"/>
          <w:sz w:val="22"/>
          <w:szCs w:val="22"/>
          <w:highlight w:val="none"/>
          <w:lang w:val="en-US" w:eastAsia="zh-CN"/>
        </w:rPr>
        <w:t>30</w:t>
      </w:r>
      <w:r>
        <w:rPr>
          <w:rFonts w:hint="eastAsia" w:ascii="新宋体" w:hAnsi="新宋体" w:eastAsia="新宋体" w:cs="新宋体"/>
          <w:b/>
          <w:color w:val="auto"/>
          <w:sz w:val="22"/>
          <w:szCs w:val="22"/>
          <w:highlight w:val="none"/>
        </w:rPr>
        <w:t>分）（权值</w:t>
      </w:r>
      <w:r>
        <w:rPr>
          <w:rFonts w:hint="eastAsia" w:ascii="新宋体" w:hAnsi="新宋体" w:eastAsia="新宋体" w:cs="新宋体"/>
          <w:b/>
          <w:color w:val="auto"/>
          <w:sz w:val="22"/>
          <w:szCs w:val="22"/>
          <w:highlight w:val="none"/>
          <w:lang w:val="en-US" w:eastAsia="zh-CN"/>
        </w:rPr>
        <w:t>30</w:t>
      </w:r>
      <w:r>
        <w:rPr>
          <w:rFonts w:hint="eastAsia" w:ascii="新宋体" w:hAnsi="新宋体" w:eastAsia="新宋体" w:cs="新宋体"/>
          <w:b/>
          <w:color w:val="auto"/>
          <w:sz w:val="22"/>
          <w:szCs w:val="22"/>
          <w:highlight w:val="none"/>
        </w:rPr>
        <w:t>%）：</w:t>
      </w:r>
    </w:p>
    <w:p w14:paraId="7755B0FB">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满足</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要求且投标报价最低的投标报价为评标基准价，其余投标人投标报价与该基准价对比，计算出商务报价评分值（保留小数2位）：</w:t>
      </w:r>
    </w:p>
    <w:p w14:paraId="5814F74B">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1）有效投标人的投标报价等于评标基准价时其报价分为满分</w:t>
      </w:r>
      <w:r>
        <w:rPr>
          <w:rFonts w:hint="eastAsia" w:ascii="新宋体" w:hAnsi="新宋体" w:eastAsia="新宋体" w:cs="新宋体"/>
          <w:color w:val="auto"/>
          <w:sz w:val="22"/>
          <w:szCs w:val="22"/>
          <w:highlight w:val="none"/>
          <w:lang w:val="en-US" w:eastAsia="zh-CN"/>
        </w:rPr>
        <w:t>30</w:t>
      </w:r>
      <w:r>
        <w:rPr>
          <w:rFonts w:hint="eastAsia" w:ascii="新宋体" w:hAnsi="新宋体" w:eastAsia="新宋体" w:cs="新宋体"/>
          <w:color w:val="auto"/>
          <w:sz w:val="22"/>
          <w:szCs w:val="22"/>
          <w:highlight w:val="none"/>
        </w:rPr>
        <w:t>分；</w:t>
      </w:r>
    </w:p>
    <w:p w14:paraId="3A58D160">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2）其他投标人的价格分按以下公式计算：</w:t>
      </w:r>
    </w:p>
    <w:p w14:paraId="41568EA1">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投标报价得分=（评分基准价/投标人投标报价）× 价格权值 ×100（保留小数2位）</w:t>
      </w:r>
    </w:p>
    <w:p w14:paraId="442E321E">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3、有效投标人的综合得分为技术分和商务（报价）分的总和。</w:t>
      </w:r>
    </w:p>
    <w:p w14:paraId="518C51DE">
      <w:pPr>
        <w:keepNext w:val="0"/>
        <w:keepLines w:val="0"/>
        <w:pageBreakBefore w:val="0"/>
        <w:kinsoku/>
        <w:wordWrap/>
        <w:overflowPunct/>
        <w:topLinePunct w:val="0"/>
        <w:autoSpaceDE/>
        <w:autoSpaceDN/>
        <w:bidi w:val="0"/>
        <w:spacing w:line="440" w:lineRule="exact"/>
        <w:ind w:firstLine="442" w:firstLineChars="200"/>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lang w:val="en-US" w:eastAsia="zh-CN"/>
        </w:rPr>
        <w:t>4</w:t>
      </w:r>
      <w:r>
        <w:rPr>
          <w:rFonts w:hint="eastAsia" w:ascii="新宋体" w:hAnsi="新宋体" w:eastAsia="新宋体" w:cs="新宋体"/>
          <w:b/>
          <w:bCs/>
          <w:color w:val="auto"/>
          <w:sz w:val="22"/>
          <w:szCs w:val="22"/>
          <w:highlight w:val="none"/>
          <w:u w:val="singl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5F85F3E0">
      <w:pPr>
        <w:keepNext w:val="0"/>
        <w:keepLines w:val="0"/>
        <w:pageBreakBefore w:val="0"/>
        <w:kinsoku/>
        <w:wordWrap/>
        <w:overflowPunct/>
        <w:topLinePunct w:val="0"/>
        <w:autoSpaceDE/>
        <w:autoSpaceDN/>
        <w:bidi w:val="0"/>
        <w:spacing w:line="440" w:lineRule="exact"/>
        <w:ind w:firstLine="442" w:firstLineChars="200"/>
        <w:outlineLvl w:val="1"/>
        <w:rPr>
          <w:rFonts w:hint="eastAsia" w:ascii="新宋体" w:hAnsi="新宋体" w:eastAsia="新宋体" w:cs="新宋体"/>
          <w:b/>
          <w:bCs/>
          <w:color w:val="auto"/>
          <w:sz w:val="22"/>
          <w:szCs w:val="22"/>
          <w:highlight w:val="none"/>
        </w:rPr>
      </w:pPr>
      <w:bookmarkStart w:id="67" w:name="_Toc2482"/>
      <w:bookmarkStart w:id="68" w:name="_Toc25303"/>
      <w:r>
        <w:rPr>
          <w:rFonts w:hint="eastAsia" w:ascii="新宋体" w:hAnsi="新宋体" w:eastAsia="新宋体" w:cs="新宋体"/>
          <w:b/>
          <w:bCs/>
          <w:color w:val="auto"/>
          <w:sz w:val="22"/>
          <w:szCs w:val="22"/>
          <w:highlight w:val="none"/>
        </w:rPr>
        <w:t>六、定标办法</w:t>
      </w:r>
      <w:bookmarkEnd w:id="67"/>
      <w:bookmarkEnd w:id="68"/>
    </w:p>
    <w:p w14:paraId="65BD5D12">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1</w:t>
      </w:r>
      <w:r>
        <w:rPr>
          <w:rFonts w:hint="eastAsia" w:ascii="新宋体" w:hAnsi="新宋体" w:eastAsia="新宋体" w:cs="新宋体"/>
          <w:color w:val="auto"/>
          <w:kern w:val="0"/>
          <w:sz w:val="22"/>
          <w:szCs w:val="22"/>
          <w:highlight w:val="none"/>
        </w:rPr>
        <w:t>、</w:t>
      </w:r>
      <w:r>
        <w:rPr>
          <w:rFonts w:hint="eastAsia" w:ascii="新宋体" w:hAnsi="新宋体" w:eastAsia="新宋体" w:cs="新宋体"/>
          <w:color w:val="auto"/>
          <w:sz w:val="22"/>
          <w:szCs w:val="22"/>
          <w:highlight w:val="none"/>
        </w:rPr>
        <w:t>确定中标候选人</w:t>
      </w:r>
    </w:p>
    <w:p w14:paraId="4929DA9E">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1.1由评标委员会确定中标候选人。</w:t>
      </w:r>
    </w:p>
    <w:p w14:paraId="4BDD73A8">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1.2评标委员会依据法律、法规及</w:t>
      </w:r>
      <w:r>
        <w:rPr>
          <w:rFonts w:hint="eastAsia" w:ascii="新宋体" w:hAnsi="新宋体" w:eastAsia="新宋体" w:cs="新宋体"/>
          <w:color w:val="auto"/>
          <w:sz w:val="22"/>
          <w:szCs w:val="22"/>
          <w:highlight w:val="none"/>
          <w:lang w:eastAsia="zh-CN"/>
        </w:rPr>
        <w:t>采购文件</w:t>
      </w:r>
      <w:r>
        <w:rPr>
          <w:rFonts w:hint="eastAsia" w:ascii="新宋体" w:hAnsi="新宋体" w:eastAsia="新宋体" w:cs="新宋体"/>
          <w:color w:val="auto"/>
          <w:sz w:val="22"/>
          <w:szCs w:val="22"/>
          <w:highlight w:val="none"/>
        </w:rPr>
        <w:t>有关规定按评审后得分（即商务技术分与报价得分之和）由高到低顺序排序，得分前二名的投标人确定为该项目的第一和第二中标候选人（得分相同的，按投标报价由低到高顺序排列。得分且投标报价相同的并列。）向</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推荐。</w:t>
      </w:r>
    </w:p>
    <w:p w14:paraId="6B357691">
      <w:pPr>
        <w:keepNext w:val="0"/>
        <w:keepLines w:val="0"/>
        <w:pageBreakBefore w:val="0"/>
        <w:kinsoku/>
        <w:wordWrap/>
        <w:overflowPunct/>
        <w:topLinePunct w:val="0"/>
        <w:autoSpaceDE/>
        <w:autoSpaceDN/>
        <w:bidi w:val="0"/>
        <w:spacing w:line="440" w:lineRule="exact"/>
        <w:ind w:firstLine="442" w:firstLineChars="20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2、确定中标人</w:t>
      </w:r>
    </w:p>
    <w:p w14:paraId="6671B686">
      <w:pPr>
        <w:keepNext w:val="0"/>
        <w:keepLines w:val="0"/>
        <w:pageBreakBefore w:val="0"/>
        <w:kinsoku/>
        <w:wordWrap/>
        <w:overflowPunct/>
        <w:topLinePunct w:val="0"/>
        <w:autoSpaceDE/>
        <w:autoSpaceDN/>
        <w:bidi w:val="0"/>
        <w:spacing w:line="440" w:lineRule="exact"/>
        <w:ind w:firstLine="442" w:firstLineChars="20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2.1</w:t>
      </w:r>
      <w:r>
        <w:rPr>
          <w:rFonts w:hint="eastAsia" w:ascii="新宋体" w:hAnsi="新宋体" w:eastAsia="新宋体" w:cs="新宋体"/>
          <w:b/>
          <w:bCs/>
          <w:color w:val="auto"/>
          <w:sz w:val="22"/>
          <w:szCs w:val="22"/>
          <w:highlight w:val="none"/>
          <w:lang w:eastAsia="zh-CN"/>
        </w:rPr>
        <w:t>采购人</w:t>
      </w:r>
      <w:r>
        <w:rPr>
          <w:rFonts w:hint="eastAsia" w:ascii="新宋体" w:hAnsi="新宋体" w:eastAsia="新宋体" w:cs="新宋体"/>
          <w:b/>
          <w:bCs/>
          <w:color w:val="auto"/>
          <w:sz w:val="22"/>
          <w:szCs w:val="22"/>
          <w:highlight w:val="none"/>
        </w:rPr>
        <w:t>按照评标报告中推荐的中标候选供应商顺序确定中标人；中标候选人并列的，由评标委员会全体成员记名投票按少数服从多数的原则确定排名。</w:t>
      </w:r>
    </w:p>
    <w:p w14:paraId="5B378E0C">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2.2如中标人放弃中标；或未能在规定时间内与</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签订合同的；或者经质疑，</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审查后，确因排名第一的候选人在本次采购活动中存在违法违规行为或其他原因使质疑成立的，</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可以视情况直接确定排名第二的候选人为中标人或重新组织招标。</w:t>
      </w:r>
    </w:p>
    <w:p w14:paraId="679CC75E">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w:t>
      </w:r>
      <w:r>
        <w:rPr>
          <w:rFonts w:hint="eastAsia" w:ascii="新宋体" w:hAnsi="新宋体" w:eastAsia="新宋体" w:cs="新宋体"/>
          <w:color w:val="auto"/>
          <w:kern w:val="0"/>
          <w:sz w:val="22"/>
          <w:szCs w:val="22"/>
          <w:highlight w:val="none"/>
        </w:rPr>
        <w:t>、</w:t>
      </w:r>
      <w:r>
        <w:rPr>
          <w:rFonts w:hint="eastAsia" w:ascii="新宋体" w:hAnsi="新宋体" w:eastAsia="新宋体" w:cs="新宋体"/>
          <w:color w:val="auto"/>
          <w:sz w:val="22"/>
          <w:szCs w:val="22"/>
          <w:highlight w:val="none"/>
        </w:rPr>
        <w:t>中标人确定后，</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将在指定媒体公告中标结果，</w:t>
      </w:r>
      <w:r>
        <w:rPr>
          <w:rFonts w:hint="eastAsia" w:ascii="新宋体" w:hAnsi="新宋体" w:eastAsia="新宋体" w:cs="新宋体"/>
          <w:color w:val="auto"/>
          <w:sz w:val="22"/>
          <w:szCs w:val="22"/>
          <w:highlight w:val="none"/>
          <w:lang w:eastAsia="zh-CN"/>
        </w:rPr>
        <w:t>采购人</w:t>
      </w:r>
      <w:r>
        <w:rPr>
          <w:rFonts w:hint="eastAsia" w:ascii="新宋体" w:hAnsi="新宋体" w:eastAsia="新宋体" w:cs="新宋体"/>
          <w:color w:val="auto"/>
          <w:sz w:val="22"/>
          <w:szCs w:val="22"/>
          <w:highlight w:val="none"/>
        </w:rPr>
        <w:t>向中标人发出中标通知书。</w:t>
      </w:r>
    </w:p>
    <w:p w14:paraId="6E6634BB">
      <w:pPr>
        <w:keepNext w:val="0"/>
        <w:keepLines w:val="0"/>
        <w:pageBreakBefore w:val="0"/>
        <w:kinsoku/>
        <w:wordWrap/>
        <w:overflowPunct/>
        <w:topLinePunct w:val="0"/>
        <w:autoSpaceDE/>
        <w:autoSpaceDN/>
        <w:bidi w:val="0"/>
        <w:spacing w:line="440" w:lineRule="exact"/>
        <w:ind w:firstLine="442" w:firstLineChars="200"/>
        <w:outlineLvl w:val="1"/>
        <w:rPr>
          <w:rFonts w:hint="eastAsia" w:ascii="新宋体" w:hAnsi="新宋体" w:eastAsia="新宋体" w:cs="新宋体"/>
          <w:b/>
          <w:color w:val="auto"/>
          <w:sz w:val="22"/>
          <w:szCs w:val="22"/>
          <w:highlight w:val="none"/>
        </w:rPr>
      </w:pPr>
      <w:bookmarkStart w:id="69" w:name="_Toc17587"/>
      <w:bookmarkStart w:id="70" w:name="_Toc14834"/>
      <w:r>
        <w:rPr>
          <w:rFonts w:hint="eastAsia" w:ascii="新宋体" w:hAnsi="新宋体" w:eastAsia="新宋体" w:cs="新宋体"/>
          <w:b/>
          <w:color w:val="auto"/>
          <w:sz w:val="22"/>
          <w:szCs w:val="22"/>
          <w:highlight w:val="none"/>
        </w:rPr>
        <w:t>七、投标人义务</w:t>
      </w:r>
      <w:bookmarkEnd w:id="69"/>
      <w:bookmarkEnd w:id="70"/>
    </w:p>
    <w:p w14:paraId="240CA50B">
      <w:pPr>
        <w:keepNext w:val="0"/>
        <w:keepLines w:val="0"/>
        <w:pageBreakBefore w:val="0"/>
        <w:kinsoku/>
        <w:wordWrap/>
        <w:overflowPunct/>
        <w:topLinePunct w:val="0"/>
        <w:autoSpaceDE/>
        <w:autoSpaceDN/>
        <w:bidi w:val="0"/>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rPr>
        <w:t>投标人应随时接受评标委员会的询标，解答包括有关的商务、技术问题等。评标结束，所有评标资料存</w:t>
      </w:r>
      <w:r>
        <w:rPr>
          <w:rFonts w:hint="eastAsia" w:ascii="新宋体" w:hAnsi="新宋体" w:eastAsia="新宋体" w:cs="新宋体"/>
          <w:color w:val="auto"/>
          <w:sz w:val="22"/>
          <w:szCs w:val="22"/>
          <w:highlight w:val="none"/>
          <w:lang w:eastAsia="zh-CN"/>
        </w:rPr>
        <w:t>采购</w:t>
      </w:r>
      <w:r>
        <w:rPr>
          <w:rFonts w:hint="eastAsia" w:ascii="新宋体" w:hAnsi="新宋体" w:eastAsia="新宋体" w:cs="新宋体"/>
          <w:color w:val="auto"/>
          <w:sz w:val="22"/>
          <w:szCs w:val="22"/>
          <w:highlight w:val="none"/>
          <w:lang w:val="en-US" w:eastAsia="zh-CN"/>
        </w:rPr>
        <w:t>代理</w:t>
      </w:r>
      <w:r>
        <w:rPr>
          <w:rFonts w:hint="eastAsia" w:ascii="新宋体" w:hAnsi="新宋体" w:eastAsia="新宋体" w:cs="新宋体"/>
          <w:color w:val="auto"/>
          <w:sz w:val="22"/>
          <w:szCs w:val="22"/>
          <w:highlight w:val="none"/>
        </w:rPr>
        <w:t>机构备查。</w:t>
      </w:r>
    </w:p>
    <w:p w14:paraId="4D05804C">
      <w:pPr>
        <w:keepNext w:val="0"/>
        <w:keepLines w:val="0"/>
        <w:pageBreakBefore w:val="0"/>
        <w:widowControl w:val="0"/>
        <w:kinsoku/>
        <w:wordWrap/>
        <w:overflowPunct/>
        <w:topLinePunct w:val="0"/>
        <w:autoSpaceDE/>
        <w:autoSpaceDN/>
        <w:bidi w:val="0"/>
        <w:adjustRightInd/>
        <w:snapToGrid/>
        <w:spacing w:line="440" w:lineRule="exact"/>
        <w:ind w:firstLine="442" w:firstLineChars="200"/>
        <w:textAlignment w:val="auto"/>
        <w:rPr>
          <w:rFonts w:hint="eastAsia" w:ascii="新宋体" w:hAnsi="新宋体" w:eastAsia="新宋体" w:cs="新宋体"/>
          <w:color w:val="auto"/>
          <w:kern w:val="0"/>
          <w:sz w:val="22"/>
          <w:szCs w:val="22"/>
          <w:highlight w:val="none"/>
        </w:rPr>
      </w:pPr>
      <w:r>
        <w:rPr>
          <w:rFonts w:hint="eastAsia" w:ascii="新宋体" w:hAnsi="新宋体" w:eastAsia="新宋体" w:cs="新宋体"/>
          <w:b/>
          <w:bCs/>
          <w:color w:val="auto"/>
          <w:sz w:val="22"/>
          <w:szCs w:val="22"/>
          <w:highlight w:val="none"/>
          <w:lang w:val="en-US" w:eastAsia="zh-CN"/>
        </w:rPr>
        <w:t>2、中标供应商须提供纸质投标响应文件并加盖单位公章一份，送至代理公司。</w:t>
      </w:r>
    </w:p>
    <w:sectPr>
      <w:headerReference r:id="rId6" w:type="default"/>
      <w:footerReference r:id="rId7" w:type="default"/>
      <w:pgSz w:w="11906" w:h="16838"/>
      <w:pgMar w:top="1134" w:right="1134" w:bottom="1134" w:left="1134" w:header="850" w:footer="992" w:gutter="0"/>
      <w:cols w:space="720" w:num="1"/>
      <w:docGrid w:type="lines" w:linePitch="32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Wingdings 2">
    <w:panose1 w:val="05020102010507070707"/>
    <w:charset w:val="02"/>
    <w:family w:val="roman"/>
    <w:pitch w:val="default"/>
    <w:sig w:usb0="00000000" w:usb1="00000000" w:usb2="00000000" w:usb3="00000000" w:csb0="80000000" w:csb1="00000000"/>
  </w:font>
  <w:font w:name="ˎ̥">
    <w:altName w:val="微软雅黑"/>
    <w:panose1 w:val="00000000000000000000"/>
    <w:charset w:val="00"/>
    <w:family w:val="roman"/>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新宋体">
    <w:panose1 w:val="02010609030101010101"/>
    <w:charset w:val="86"/>
    <w:family w:val="auto"/>
    <w:pitch w:val="default"/>
    <w:sig w:usb0="00000203" w:usb1="288F0000" w:usb2="00000006" w:usb3="00000000" w:csb0="00040001" w:csb1="00000000"/>
  </w:font>
  <w:font w:name="Verdana">
    <w:panose1 w:val="020B0604030504040204"/>
    <w:charset w:val="00"/>
    <w:family w:val="swiss"/>
    <w:pitch w:val="default"/>
    <w:sig w:usb0="A00006FF" w:usb1="4000205B" w:usb2="00000010" w:usb3="00000000" w:csb0="2000019F" w:csb1="00000000"/>
  </w:font>
  <w:font w:name="Arial Unicode MS">
    <w:panose1 w:val="020B0604020202020204"/>
    <w:charset w:val="86"/>
    <w:family w:val="auto"/>
    <w:pitch w:val="default"/>
    <w:sig w:usb0="FFFFFFFF" w:usb1="E9FFFFFF" w:usb2="0000003F" w:usb3="00000000" w:csb0="603F01FF" w:csb1="FFFF0000"/>
  </w:font>
  <w:font w:name="Century Gothic">
    <w:panose1 w:val="020B0502020202020204"/>
    <w:charset w:val="00"/>
    <w:family w:val="swiss"/>
    <w:pitch w:val="default"/>
    <w:sig w:usb0="00000287" w:usb1="00000000" w:usb2="00000000" w:usb3="00000000" w:csb0="2000009F" w:csb1="DFD70000"/>
  </w:font>
  <w:font w:name="Helvetica">
    <w:altName w:val="Arial"/>
    <w:panose1 w:val="020B0604020202020204"/>
    <w:charset w:val="00"/>
    <w:family w:val="swiss"/>
    <w:pitch w:val="default"/>
    <w:sig w:usb0="00000000" w:usb1="00000000" w:usb2="00000000" w:usb3="00000000" w:csb0="00000001" w:csb1="00000000"/>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DC0422">
    <w:pPr>
      <w:pStyle w:val="34"/>
      <w:framePr w:wrap="around" w:vAnchor="text" w:hAnchor="margin" w:xAlign="center" w:y="1"/>
      <w:rPr>
        <w:rStyle w:val="57"/>
      </w:rPr>
    </w:pPr>
    <w:r>
      <w:fldChar w:fldCharType="begin"/>
    </w:r>
    <w:r>
      <w:rPr>
        <w:rStyle w:val="57"/>
      </w:rPr>
      <w:instrText xml:space="preserve">PAGE  </w:instrText>
    </w:r>
    <w:r>
      <w:fldChar w:fldCharType="separate"/>
    </w:r>
    <w:r>
      <w:rPr>
        <w:rStyle w:val="57"/>
      </w:rPr>
      <w:t>56</w:t>
    </w:r>
    <w:r>
      <w:fldChar w:fldCharType="end"/>
    </w:r>
  </w:p>
  <w:p w14:paraId="019089DB">
    <w:pPr>
      <w:pStyle w:val="34"/>
      <w:ind w:right="360" w:firstLine="4500" w:firstLineChars="250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401EB7">
    <w:pPr>
      <w:pStyle w:val="34"/>
      <w:framePr w:wrap="around" w:vAnchor="text" w:hAnchor="margin" w:xAlign="center" w:y="1"/>
      <w:rPr>
        <w:rStyle w:val="57"/>
      </w:rPr>
    </w:pPr>
    <w:r>
      <w:fldChar w:fldCharType="begin"/>
    </w:r>
    <w:r>
      <w:rPr>
        <w:rStyle w:val="57"/>
      </w:rPr>
      <w:instrText xml:space="preserve">PAGE  </w:instrText>
    </w:r>
    <w:r>
      <w:fldChar w:fldCharType="separate"/>
    </w:r>
    <w:r>
      <w:rPr>
        <w:rStyle w:val="57"/>
      </w:rPr>
      <w:t>76</w:t>
    </w:r>
    <w:r>
      <w:fldChar w:fldCharType="end"/>
    </w:r>
  </w:p>
  <w:p w14:paraId="79D07A9A">
    <w:pPr>
      <w:pStyle w:val="34"/>
      <w:ind w:right="360" w:firstLine="4500" w:firstLineChars="250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BA1196">
    <w:pPr>
      <w:pStyle w:val="35"/>
      <w:pBdr>
        <w:bottom w:val="single" w:color="auto" w:sz="6" w:space="0"/>
      </w:pBdr>
      <w:jc w:val="both"/>
      <w:rPr>
        <w:rFonts w:hint="eastAsia" w:eastAsia="宋体"/>
        <w:lang w:eastAsia="zh-CN"/>
      </w:rPr>
    </w:pPr>
    <w:r>
      <w:rPr>
        <w:rFonts w:hint="eastAsia" w:ascii="新宋体" w:hAnsi="新宋体" w:eastAsia="新宋体" w:cs="新宋体"/>
      </w:rPr>
      <w:t>温州市政府（分散）采购</w:t>
    </w:r>
    <w:r>
      <w:rPr>
        <w:rFonts w:hint="eastAsia" w:ascii="新宋体" w:hAnsi="新宋体" w:eastAsia="新宋体" w:cs="新宋体"/>
        <w:lang w:eastAsia="zh-CN"/>
      </w:rPr>
      <w:t>采购文件</w:t>
    </w:r>
    <w:r>
      <w:rPr>
        <w:rFonts w:hint="eastAsia" w:ascii="新宋体" w:hAnsi="新宋体" w:eastAsia="新宋体" w:cs="新宋体"/>
      </w:rPr>
      <w:t xml:space="preserve">                                     项目编号：</w:t>
    </w:r>
    <w:r>
      <w:rPr>
        <w:rFonts w:hint="eastAsia" w:ascii="新宋体" w:hAnsi="新宋体" w:eastAsia="新宋体" w:cs="新宋体"/>
        <w:lang w:eastAsia="zh-CN"/>
      </w:rPr>
      <w:t>WZLCZB（L）-2025-02058</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E28806">
    <w:pPr>
      <w:pStyle w:val="35"/>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E7548F">
    <w:pPr>
      <w:pStyle w:val="35"/>
      <w:pBdr>
        <w:bottom w:val="single" w:color="auto" w:sz="6" w:space="0"/>
      </w:pBdr>
      <w:jc w:val="both"/>
      <w:rPr>
        <w:rFonts w:hint="eastAsia" w:eastAsia="宋体"/>
        <w:lang w:eastAsia="zh-CN"/>
      </w:rPr>
    </w:pPr>
    <w:r>
      <w:rPr>
        <w:rFonts w:hint="eastAsia" w:ascii="新宋体" w:hAnsi="新宋体" w:eastAsia="新宋体" w:cs="新宋体"/>
      </w:rPr>
      <w:t>温州市政府（分散）采购</w:t>
    </w:r>
    <w:r>
      <w:rPr>
        <w:rFonts w:hint="eastAsia" w:ascii="新宋体" w:hAnsi="新宋体" w:eastAsia="新宋体" w:cs="新宋体"/>
        <w:lang w:eastAsia="zh-CN"/>
      </w:rPr>
      <w:t>采购文件</w:t>
    </w:r>
    <w:r>
      <w:rPr>
        <w:rFonts w:hint="eastAsia" w:ascii="新宋体" w:hAnsi="新宋体" w:eastAsia="新宋体" w:cs="新宋体"/>
      </w:rPr>
      <w:t xml:space="preserve">                                     项目编号：</w:t>
    </w:r>
    <w:r>
      <w:rPr>
        <w:rFonts w:hint="eastAsia" w:ascii="新宋体" w:hAnsi="新宋体" w:eastAsia="新宋体" w:cs="新宋体"/>
        <w:lang w:eastAsia="zh-CN"/>
      </w:rPr>
      <w:t>WZLCZB（L）-2025-02058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E2D4FE1"/>
    <w:multiLevelType w:val="multilevel"/>
    <w:tmpl w:val="1E2D4FE1"/>
    <w:lvl w:ilvl="0" w:tentative="0">
      <w:start w:val="4"/>
      <w:numFmt w:val="decimal"/>
      <w:lvlText w:val="%1."/>
      <w:lvlJc w:val="left"/>
      <w:pPr>
        <w:tabs>
          <w:tab w:val="left" w:pos="555"/>
        </w:tabs>
        <w:ind w:left="555" w:hanging="555"/>
      </w:pPr>
      <w:rPr>
        <w:rFonts w:hint="default"/>
        <w:b w:val="0"/>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52D7A3B6"/>
    <w:multiLevelType w:val="singleLevel"/>
    <w:tmpl w:val="52D7A3B6"/>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dit="forms" w:enforcement="0"/>
  <w:defaultTabStop w:val="420"/>
  <w:drawingGridHorizontalSpacing w:val="210"/>
  <w:drawingGridVerticalSpacing w:val="160"/>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QzM2JkNDhjZjM1ZDA0OTYyYzExNzBlMGM3MmIzMGEifQ=="/>
  </w:docVars>
  <w:rsids>
    <w:rsidRoot w:val="00172A27"/>
    <w:rsid w:val="000149E3"/>
    <w:rsid w:val="00020693"/>
    <w:rsid w:val="000217C7"/>
    <w:rsid w:val="00026A46"/>
    <w:rsid w:val="00027D0D"/>
    <w:rsid w:val="00031F49"/>
    <w:rsid w:val="00037B6F"/>
    <w:rsid w:val="000474B4"/>
    <w:rsid w:val="00063600"/>
    <w:rsid w:val="000A6326"/>
    <w:rsid w:val="000B2878"/>
    <w:rsid w:val="0010260A"/>
    <w:rsid w:val="00121549"/>
    <w:rsid w:val="0013451B"/>
    <w:rsid w:val="00146E35"/>
    <w:rsid w:val="00172A27"/>
    <w:rsid w:val="00176791"/>
    <w:rsid w:val="0018007B"/>
    <w:rsid w:val="0019644F"/>
    <w:rsid w:val="001B0F17"/>
    <w:rsid w:val="001B2275"/>
    <w:rsid w:val="001D4048"/>
    <w:rsid w:val="001D49A1"/>
    <w:rsid w:val="001E7897"/>
    <w:rsid w:val="001F5D2B"/>
    <w:rsid w:val="002018F6"/>
    <w:rsid w:val="002044B9"/>
    <w:rsid w:val="00212172"/>
    <w:rsid w:val="00223CC1"/>
    <w:rsid w:val="00227214"/>
    <w:rsid w:val="00230913"/>
    <w:rsid w:val="00243D5B"/>
    <w:rsid w:val="002447E7"/>
    <w:rsid w:val="00261F3C"/>
    <w:rsid w:val="00270294"/>
    <w:rsid w:val="00271C2D"/>
    <w:rsid w:val="002843F3"/>
    <w:rsid w:val="00296547"/>
    <w:rsid w:val="002A31D6"/>
    <w:rsid w:val="002B5782"/>
    <w:rsid w:val="002C08AE"/>
    <w:rsid w:val="002C09AD"/>
    <w:rsid w:val="002D20EE"/>
    <w:rsid w:val="002D2D3D"/>
    <w:rsid w:val="002E7DAB"/>
    <w:rsid w:val="00303CC3"/>
    <w:rsid w:val="003058EA"/>
    <w:rsid w:val="00327AB8"/>
    <w:rsid w:val="00350DF6"/>
    <w:rsid w:val="00351F86"/>
    <w:rsid w:val="00352124"/>
    <w:rsid w:val="0035435E"/>
    <w:rsid w:val="00357388"/>
    <w:rsid w:val="00357A7B"/>
    <w:rsid w:val="003654EF"/>
    <w:rsid w:val="00372FCF"/>
    <w:rsid w:val="00373BB2"/>
    <w:rsid w:val="00380B23"/>
    <w:rsid w:val="00383F1F"/>
    <w:rsid w:val="003B0A15"/>
    <w:rsid w:val="003B1471"/>
    <w:rsid w:val="003B5050"/>
    <w:rsid w:val="003C713C"/>
    <w:rsid w:val="003F3276"/>
    <w:rsid w:val="00405F28"/>
    <w:rsid w:val="0041137E"/>
    <w:rsid w:val="00430AB9"/>
    <w:rsid w:val="00441256"/>
    <w:rsid w:val="0045663E"/>
    <w:rsid w:val="00461389"/>
    <w:rsid w:val="0046542D"/>
    <w:rsid w:val="00481BD3"/>
    <w:rsid w:val="004B66F1"/>
    <w:rsid w:val="004C013A"/>
    <w:rsid w:val="004C7034"/>
    <w:rsid w:val="005001D6"/>
    <w:rsid w:val="00522EF2"/>
    <w:rsid w:val="005238A3"/>
    <w:rsid w:val="00526065"/>
    <w:rsid w:val="00532669"/>
    <w:rsid w:val="00533C40"/>
    <w:rsid w:val="00555FA3"/>
    <w:rsid w:val="00561E5D"/>
    <w:rsid w:val="0056534C"/>
    <w:rsid w:val="00565E01"/>
    <w:rsid w:val="005674BB"/>
    <w:rsid w:val="00572B8A"/>
    <w:rsid w:val="00582AEF"/>
    <w:rsid w:val="00586839"/>
    <w:rsid w:val="00587A14"/>
    <w:rsid w:val="005A1DD3"/>
    <w:rsid w:val="005A3AA2"/>
    <w:rsid w:val="005A65DF"/>
    <w:rsid w:val="005B3595"/>
    <w:rsid w:val="005C388F"/>
    <w:rsid w:val="00607A59"/>
    <w:rsid w:val="00631E7A"/>
    <w:rsid w:val="0064398C"/>
    <w:rsid w:val="00644CD7"/>
    <w:rsid w:val="00647AB1"/>
    <w:rsid w:val="00654A9F"/>
    <w:rsid w:val="00665E12"/>
    <w:rsid w:val="00692D32"/>
    <w:rsid w:val="00696C82"/>
    <w:rsid w:val="006A1CF7"/>
    <w:rsid w:val="006B3E1C"/>
    <w:rsid w:val="006C06F0"/>
    <w:rsid w:val="006D6C7C"/>
    <w:rsid w:val="006E2672"/>
    <w:rsid w:val="007068AC"/>
    <w:rsid w:val="00722BB3"/>
    <w:rsid w:val="00725254"/>
    <w:rsid w:val="00740E65"/>
    <w:rsid w:val="00753072"/>
    <w:rsid w:val="007546B0"/>
    <w:rsid w:val="007671B7"/>
    <w:rsid w:val="00774E3F"/>
    <w:rsid w:val="00776F48"/>
    <w:rsid w:val="00780CBF"/>
    <w:rsid w:val="00781B95"/>
    <w:rsid w:val="007A21E8"/>
    <w:rsid w:val="007A62BD"/>
    <w:rsid w:val="007B564B"/>
    <w:rsid w:val="007B769B"/>
    <w:rsid w:val="007E29D6"/>
    <w:rsid w:val="007E6E86"/>
    <w:rsid w:val="007F2164"/>
    <w:rsid w:val="00800A72"/>
    <w:rsid w:val="00804ACD"/>
    <w:rsid w:val="0080543D"/>
    <w:rsid w:val="00817CE2"/>
    <w:rsid w:val="00831C7B"/>
    <w:rsid w:val="00832D9C"/>
    <w:rsid w:val="00836E00"/>
    <w:rsid w:val="00846CC5"/>
    <w:rsid w:val="00850622"/>
    <w:rsid w:val="00870DFA"/>
    <w:rsid w:val="00871EBE"/>
    <w:rsid w:val="00873949"/>
    <w:rsid w:val="00875629"/>
    <w:rsid w:val="00877499"/>
    <w:rsid w:val="00892732"/>
    <w:rsid w:val="00893202"/>
    <w:rsid w:val="0089599B"/>
    <w:rsid w:val="008A127E"/>
    <w:rsid w:val="008B2FA9"/>
    <w:rsid w:val="008C2D7B"/>
    <w:rsid w:val="008C31BC"/>
    <w:rsid w:val="008D62C9"/>
    <w:rsid w:val="008D75C3"/>
    <w:rsid w:val="008E0B76"/>
    <w:rsid w:val="008E26D5"/>
    <w:rsid w:val="008F4E37"/>
    <w:rsid w:val="008F7BE3"/>
    <w:rsid w:val="008F7D27"/>
    <w:rsid w:val="009016FC"/>
    <w:rsid w:val="00902AA2"/>
    <w:rsid w:val="009254A6"/>
    <w:rsid w:val="0093089E"/>
    <w:rsid w:val="00933974"/>
    <w:rsid w:val="00936127"/>
    <w:rsid w:val="00945DCB"/>
    <w:rsid w:val="009652E5"/>
    <w:rsid w:val="00973F7A"/>
    <w:rsid w:val="0097671D"/>
    <w:rsid w:val="00977673"/>
    <w:rsid w:val="00987F54"/>
    <w:rsid w:val="00991B38"/>
    <w:rsid w:val="00996305"/>
    <w:rsid w:val="009C748F"/>
    <w:rsid w:val="009E4D45"/>
    <w:rsid w:val="00A24A5C"/>
    <w:rsid w:val="00A42424"/>
    <w:rsid w:val="00A45873"/>
    <w:rsid w:val="00A56219"/>
    <w:rsid w:val="00A61866"/>
    <w:rsid w:val="00A77176"/>
    <w:rsid w:val="00A92B83"/>
    <w:rsid w:val="00A957CF"/>
    <w:rsid w:val="00AA3DA6"/>
    <w:rsid w:val="00AA7C87"/>
    <w:rsid w:val="00AD31D4"/>
    <w:rsid w:val="00AD66E6"/>
    <w:rsid w:val="00AE4B39"/>
    <w:rsid w:val="00AF7BEB"/>
    <w:rsid w:val="00B06E43"/>
    <w:rsid w:val="00B2584A"/>
    <w:rsid w:val="00B41362"/>
    <w:rsid w:val="00B43A9E"/>
    <w:rsid w:val="00B44537"/>
    <w:rsid w:val="00B5466C"/>
    <w:rsid w:val="00B74039"/>
    <w:rsid w:val="00B87E26"/>
    <w:rsid w:val="00B9767A"/>
    <w:rsid w:val="00BA78D1"/>
    <w:rsid w:val="00BB0805"/>
    <w:rsid w:val="00BC0A13"/>
    <w:rsid w:val="00BC2B54"/>
    <w:rsid w:val="00BC4AC5"/>
    <w:rsid w:val="00BC66D1"/>
    <w:rsid w:val="00BF1399"/>
    <w:rsid w:val="00BF32BD"/>
    <w:rsid w:val="00C12358"/>
    <w:rsid w:val="00C232C8"/>
    <w:rsid w:val="00C468B7"/>
    <w:rsid w:val="00C67C97"/>
    <w:rsid w:val="00C70CE6"/>
    <w:rsid w:val="00C758F7"/>
    <w:rsid w:val="00C816DD"/>
    <w:rsid w:val="00C95163"/>
    <w:rsid w:val="00CB584C"/>
    <w:rsid w:val="00CC06DE"/>
    <w:rsid w:val="00CC3B91"/>
    <w:rsid w:val="00CE590D"/>
    <w:rsid w:val="00CF5C76"/>
    <w:rsid w:val="00D00FFE"/>
    <w:rsid w:val="00D13A1C"/>
    <w:rsid w:val="00D224FF"/>
    <w:rsid w:val="00D27DB2"/>
    <w:rsid w:val="00D3078D"/>
    <w:rsid w:val="00D30E82"/>
    <w:rsid w:val="00D47AC2"/>
    <w:rsid w:val="00D56369"/>
    <w:rsid w:val="00D70EBE"/>
    <w:rsid w:val="00D73718"/>
    <w:rsid w:val="00D7763D"/>
    <w:rsid w:val="00D844F8"/>
    <w:rsid w:val="00DB09B7"/>
    <w:rsid w:val="00DB2DE0"/>
    <w:rsid w:val="00DB41D0"/>
    <w:rsid w:val="00DF073C"/>
    <w:rsid w:val="00DF0B3F"/>
    <w:rsid w:val="00E02244"/>
    <w:rsid w:val="00E05AD1"/>
    <w:rsid w:val="00E11D98"/>
    <w:rsid w:val="00E15CD1"/>
    <w:rsid w:val="00E22045"/>
    <w:rsid w:val="00E248CD"/>
    <w:rsid w:val="00E36483"/>
    <w:rsid w:val="00E53874"/>
    <w:rsid w:val="00E5643F"/>
    <w:rsid w:val="00E56BD4"/>
    <w:rsid w:val="00E57D1E"/>
    <w:rsid w:val="00E72ABC"/>
    <w:rsid w:val="00E74DBC"/>
    <w:rsid w:val="00E76E5A"/>
    <w:rsid w:val="00EC182D"/>
    <w:rsid w:val="00EC6C26"/>
    <w:rsid w:val="00EC7DF8"/>
    <w:rsid w:val="00ED2873"/>
    <w:rsid w:val="00ED3B24"/>
    <w:rsid w:val="00ED7497"/>
    <w:rsid w:val="00EE45C7"/>
    <w:rsid w:val="00EF4A4C"/>
    <w:rsid w:val="00F03D32"/>
    <w:rsid w:val="00F06ABE"/>
    <w:rsid w:val="00F270F8"/>
    <w:rsid w:val="00F27576"/>
    <w:rsid w:val="00F36312"/>
    <w:rsid w:val="00F5082C"/>
    <w:rsid w:val="00F52CCB"/>
    <w:rsid w:val="00F52CD3"/>
    <w:rsid w:val="00F52E99"/>
    <w:rsid w:val="00F60DCB"/>
    <w:rsid w:val="00F80AAA"/>
    <w:rsid w:val="00F93BBA"/>
    <w:rsid w:val="00F95280"/>
    <w:rsid w:val="00FA662A"/>
    <w:rsid w:val="00FB0E0C"/>
    <w:rsid w:val="00FB1229"/>
    <w:rsid w:val="00FB62B3"/>
    <w:rsid w:val="00FC44CE"/>
    <w:rsid w:val="00FD52B1"/>
    <w:rsid w:val="00FF3A66"/>
    <w:rsid w:val="00FF6977"/>
    <w:rsid w:val="0116709E"/>
    <w:rsid w:val="01606883"/>
    <w:rsid w:val="017E2EFE"/>
    <w:rsid w:val="019C0F58"/>
    <w:rsid w:val="020D29B1"/>
    <w:rsid w:val="021F634E"/>
    <w:rsid w:val="021F7DAD"/>
    <w:rsid w:val="0224444B"/>
    <w:rsid w:val="022D7429"/>
    <w:rsid w:val="02451328"/>
    <w:rsid w:val="027D25C0"/>
    <w:rsid w:val="02841565"/>
    <w:rsid w:val="02B3222E"/>
    <w:rsid w:val="02CB2CD8"/>
    <w:rsid w:val="02F63BA4"/>
    <w:rsid w:val="03134011"/>
    <w:rsid w:val="031D0871"/>
    <w:rsid w:val="03283281"/>
    <w:rsid w:val="033260DD"/>
    <w:rsid w:val="03331487"/>
    <w:rsid w:val="03400B54"/>
    <w:rsid w:val="034456E0"/>
    <w:rsid w:val="034A64CB"/>
    <w:rsid w:val="034F14FC"/>
    <w:rsid w:val="037D10FB"/>
    <w:rsid w:val="039714E5"/>
    <w:rsid w:val="03BE392F"/>
    <w:rsid w:val="03E13A1E"/>
    <w:rsid w:val="04156ACE"/>
    <w:rsid w:val="042A5AFC"/>
    <w:rsid w:val="043D6DF1"/>
    <w:rsid w:val="043F2279"/>
    <w:rsid w:val="044865A2"/>
    <w:rsid w:val="048D46D7"/>
    <w:rsid w:val="04A01243"/>
    <w:rsid w:val="04BA38D0"/>
    <w:rsid w:val="04C27070"/>
    <w:rsid w:val="04E23C80"/>
    <w:rsid w:val="04FD6D0A"/>
    <w:rsid w:val="050751FC"/>
    <w:rsid w:val="05166806"/>
    <w:rsid w:val="0529508C"/>
    <w:rsid w:val="053A30CA"/>
    <w:rsid w:val="057D25F0"/>
    <w:rsid w:val="05936339"/>
    <w:rsid w:val="05A864BD"/>
    <w:rsid w:val="05D76F02"/>
    <w:rsid w:val="062F7E7F"/>
    <w:rsid w:val="0650016B"/>
    <w:rsid w:val="06535B8C"/>
    <w:rsid w:val="06695ADA"/>
    <w:rsid w:val="067F52AB"/>
    <w:rsid w:val="06843699"/>
    <w:rsid w:val="06931F1F"/>
    <w:rsid w:val="06CF774B"/>
    <w:rsid w:val="06E17425"/>
    <w:rsid w:val="06E81491"/>
    <w:rsid w:val="07081502"/>
    <w:rsid w:val="072046E3"/>
    <w:rsid w:val="07373C8C"/>
    <w:rsid w:val="074234A9"/>
    <w:rsid w:val="0747552D"/>
    <w:rsid w:val="07525C58"/>
    <w:rsid w:val="07592C30"/>
    <w:rsid w:val="07791E20"/>
    <w:rsid w:val="078177D5"/>
    <w:rsid w:val="07924879"/>
    <w:rsid w:val="079C0E64"/>
    <w:rsid w:val="07D60F62"/>
    <w:rsid w:val="07F01CB1"/>
    <w:rsid w:val="082A6B76"/>
    <w:rsid w:val="08621901"/>
    <w:rsid w:val="0873007F"/>
    <w:rsid w:val="08911C02"/>
    <w:rsid w:val="08913549"/>
    <w:rsid w:val="08A026E0"/>
    <w:rsid w:val="08B53A61"/>
    <w:rsid w:val="08E76FD5"/>
    <w:rsid w:val="08FD20E7"/>
    <w:rsid w:val="09101BCD"/>
    <w:rsid w:val="091751CA"/>
    <w:rsid w:val="09257549"/>
    <w:rsid w:val="09315C91"/>
    <w:rsid w:val="09324E46"/>
    <w:rsid w:val="09453417"/>
    <w:rsid w:val="09510BFE"/>
    <w:rsid w:val="097E368B"/>
    <w:rsid w:val="09816EE6"/>
    <w:rsid w:val="099757EE"/>
    <w:rsid w:val="09A34824"/>
    <w:rsid w:val="09B85302"/>
    <w:rsid w:val="09B94936"/>
    <w:rsid w:val="09BE20F9"/>
    <w:rsid w:val="09CA7E31"/>
    <w:rsid w:val="09D26DBF"/>
    <w:rsid w:val="09DB53D8"/>
    <w:rsid w:val="09F65854"/>
    <w:rsid w:val="0A07422F"/>
    <w:rsid w:val="0A1B49C1"/>
    <w:rsid w:val="0A214154"/>
    <w:rsid w:val="0A3D0590"/>
    <w:rsid w:val="0A7416D8"/>
    <w:rsid w:val="0A7A04B3"/>
    <w:rsid w:val="0A8455AD"/>
    <w:rsid w:val="0A8945EB"/>
    <w:rsid w:val="0AED28DB"/>
    <w:rsid w:val="0AF972EB"/>
    <w:rsid w:val="0B077661"/>
    <w:rsid w:val="0BAC1F4C"/>
    <w:rsid w:val="0BAD28E2"/>
    <w:rsid w:val="0BBE4F63"/>
    <w:rsid w:val="0BD1763E"/>
    <w:rsid w:val="0BDA530A"/>
    <w:rsid w:val="0BFA07E4"/>
    <w:rsid w:val="0C0247C0"/>
    <w:rsid w:val="0C0506D0"/>
    <w:rsid w:val="0C186C57"/>
    <w:rsid w:val="0C353302"/>
    <w:rsid w:val="0C496297"/>
    <w:rsid w:val="0C660E5E"/>
    <w:rsid w:val="0C9A109E"/>
    <w:rsid w:val="0CA74D09"/>
    <w:rsid w:val="0CA75583"/>
    <w:rsid w:val="0CA943CD"/>
    <w:rsid w:val="0CA9483B"/>
    <w:rsid w:val="0CC47DEB"/>
    <w:rsid w:val="0CC51217"/>
    <w:rsid w:val="0CF12CA2"/>
    <w:rsid w:val="0D0A01F7"/>
    <w:rsid w:val="0D1F1C9D"/>
    <w:rsid w:val="0D735BCC"/>
    <w:rsid w:val="0D7C2119"/>
    <w:rsid w:val="0D920730"/>
    <w:rsid w:val="0DE33D9A"/>
    <w:rsid w:val="0DF2282E"/>
    <w:rsid w:val="0E022677"/>
    <w:rsid w:val="0E064CB1"/>
    <w:rsid w:val="0E2021E3"/>
    <w:rsid w:val="0E255A66"/>
    <w:rsid w:val="0E39220B"/>
    <w:rsid w:val="0E4706D1"/>
    <w:rsid w:val="0E4B6575"/>
    <w:rsid w:val="0E5C2643"/>
    <w:rsid w:val="0E6537C4"/>
    <w:rsid w:val="0E701E1B"/>
    <w:rsid w:val="0E750CB0"/>
    <w:rsid w:val="0E8E6882"/>
    <w:rsid w:val="0ED9462C"/>
    <w:rsid w:val="0EE50D43"/>
    <w:rsid w:val="0EF26D17"/>
    <w:rsid w:val="0F0377AE"/>
    <w:rsid w:val="0F0E6EE3"/>
    <w:rsid w:val="0F706416"/>
    <w:rsid w:val="0F9D0EBF"/>
    <w:rsid w:val="0FCD5779"/>
    <w:rsid w:val="0FD03A0D"/>
    <w:rsid w:val="10381F40"/>
    <w:rsid w:val="104869BA"/>
    <w:rsid w:val="10575CC4"/>
    <w:rsid w:val="105C5B5E"/>
    <w:rsid w:val="106164CC"/>
    <w:rsid w:val="10867034"/>
    <w:rsid w:val="10A25D7C"/>
    <w:rsid w:val="10A834AA"/>
    <w:rsid w:val="10B5773E"/>
    <w:rsid w:val="10F47168"/>
    <w:rsid w:val="1102285D"/>
    <w:rsid w:val="110264F1"/>
    <w:rsid w:val="1104198D"/>
    <w:rsid w:val="1105049E"/>
    <w:rsid w:val="112717A7"/>
    <w:rsid w:val="112E2296"/>
    <w:rsid w:val="11397FB3"/>
    <w:rsid w:val="115434FF"/>
    <w:rsid w:val="115D3896"/>
    <w:rsid w:val="11697CFE"/>
    <w:rsid w:val="11B62E53"/>
    <w:rsid w:val="11F9036B"/>
    <w:rsid w:val="12103D4D"/>
    <w:rsid w:val="12245EF7"/>
    <w:rsid w:val="12345EA5"/>
    <w:rsid w:val="124027F2"/>
    <w:rsid w:val="12485EB2"/>
    <w:rsid w:val="125A673E"/>
    <w:rsid w:val="12775E6D"/>
    <w:rsid w:val="12A01322"/>
    <w:rsid w:val="12AB0828"/>
    <w:rsid w:val="12B25142"/>
    <w:rsid w:val="12E05DF5"/>
    <w:rsid w:val="12F56CE7"/>
    <w:rsid w:val="133616DD"/>
    <w:rsid w:val="133868DC"/>
    <w:rsid w:val="13582BF6"/>
    <w:rsid w:val="13583E3E"/>
    <w:rsid w:val="138356B4"/>
    <w:rsid w:val="13884680"/>
    <w:rsid w:val="13996DA4"/>
    <w:rsid w:val="13A56966"/>
    <w:rsid w:val="13A73C91"/>
    <w:rsid w:val="13B56A40"/>
    <w:rsid w:val="13C62793"/>
    <w:rsid w:val="13D309B3"/>
    <w:rsid w:val="13E2070F"/>
    <w:rsid w:val="13EC3F05"/>
    <w:rsid w:val="13F8202D"/>
    <w:rsid w:val="14077D57"/>
    <w:rsid w:val="14342819"/>
    <w:rsid w:val="14904D9F"/>
    <w:rsid w:val="14965811"/>
    <w:rsid w:val="14C904F8"/>
    <w:rsid w:val="14D92610"/>
    <w:rsid w:val="14FE78F7"/>
    <w:rsid w:val="15001500"/>
    <w:rsid w:val="154A25D7"/>
    <w:rsid w:val="15522008"/>
    <w:rsid w:val="15525604"/>
    <w:rsid w:val="156E5828"/>
    <w:rsid w:val="15B36E57"/>
    <w:rsid w:val="15B43A33"/>
    <w:rsid w:val="15C02CFA"/>
    <w:rsid w:val="15D02588"/>
    <w:rsid w:val="16077F5E"/>
    <w:rsid w:val="163004AD"/>
    <w:rsid w:val="164356BB"/>
    <w:rsid w:val="16696D72"/>
    <w:rsid w:val="166F777C"/>
    <w:rsid w:val="169C21B8"/>
    <w:rsid w:val="169C6B59"/>
    <w:rsid w:val="16BB60A4"/>
    <w:rsid w:val="16D604C4"/>
    <w:rsid w:val="173A5387"/>
    <w:rsid w:val="17484EA6"/>
    <w:rsid w:val="174F00A2"/>
    <w:rsid w:val="17725C57"/>
    <w:rsid w:val="17755246"/>
    <w:rsid w:val="17800AEC"/>
    <w:rsid w:val="18061B0D"/>
    <w:rsid w:val="18071853"/>
    <w:rsid w:val="18121892"/>
    <w:rsid w:val="18245E40"/>
    <w:rsid w:val="182A3E5C"/>
    <w:rsid w:val="186B461D"/>
    <w:rsid w:val="188B4950"/>
    <w:rsid w:val="18C7387D"/>
    <w:rsid w:val="18C76564"/>
    <w:rsid w:val="18DC4207"/>
    <w:rsid w:val="18F04591"/>
    <w:rsid w:val="18F9585A"/>
    <w:rsid w:val="19087A11"/>
    <w:rsid w:val="191B7534"/>
    <w:rsid w:val="19267572"/>
    <w:rsid w:val="193463F1"/>
    <w:rsid w:val="19594DA9"/>
    <w:rsid w:val="196C6250"/>
    <w:rsid w:val="196E2C37"/>
    <w:rsid w:val="1974690A"/>
    <w:rsid w:val="19C072D3"/>
    <w:rsid w:val="19DF1832"/>
    <w:rsid w:val="19E632E0"/>
    <w:rsid w:val="1A25720B"/>
    <w:rsid w:val="1A510684"/>
    <w:rsid w:val="1A6171B2"/>
    <w:rsid w:val="1A66082C"/>
    <w:rsid w:val="1A7A3206"/>
    <w:rsid w:val="1AA65F2A"/>
    <w:rsid w:val="1AA666F2"/>
    <w:rsid w:val="1AC000B4"/>
    <w:rsid w:val="1ADC340E"/>
    <w:rsid w:val="1AED2C78"/>
    <w:rsid w:val="1AEF15D5"/>
    <w:rsid w:val="1B1F6B22"/>
    <w:rsid w:val="1B257957"/>
    <w:rsid w:val="1B343FD0"/>
    <w:rsid w:val="1B356551"/>
    <w:rsid w:val="1B377F92"/>
    <w:rsid w:val="1B3E4ABA"/>
    <w:rsid w:val="1B677902"/>
    <w:rsid w:val="1B9D2D2C"/>
    <w:rsid w:val="1BAB13EA"/>
    <w:rsid w:val="1BE02644"/>
    <w:rsid w:val="1BEE40C9"/>
    <w:rsid w:val="1BF27CE6"/>
    <w:rsid w:val="1BF57F17"/>
    <w:rsid w:val="1BFC6DBC"/>
    <w:rsid w:val="1C13053F"/>
    <w:rsid w:val="1C162BF5"/>
    <w:rsid w:val="1C212DFA"/>
    <w:rsid w:val="1C3065A1"/>
    <w:rsid w:val="1C32514E"/>
    <w:rsid w:val="1C4F6712"/>
    <w:rsid w:val="1C753733"/>
    <w:rsid w:val="1C8449C2"/>
    <w:rsid w:val="1C8676F7"/>
    <w:rsid w:val="1C8B5EF5"/>
    <w:rsid w:val="1C9B7764"/>
    <w:rsid w:val="1C9C37E6"/>
    <w:rsid w:val="1CA3081A"/>
    <w:rsid w:val="1CB81673"/>
    <w:rsid w:val="1CEB7EC5"/>
    <w:rsid w:val="1D0A50BD"/>
    <w:rsid w:val="1D2A3DAB"/>
    <w:rsid w:val="1D46542E"/>
    <w:rsid w:val="1D6359BB"/>
    <w:rsid w:val="1D664936"/>
    <w:rsid w:val="1D6D740C"/>
    <w:rsid w:val="1D71729C"/>
    <w:rsid w:val="1D7373B4"/>
    <w:rsid w:val="1D981331"/>
    <w:rsid w:val="1DAB3C89"/>
    <w:rsid w:val="1DBC130B"/>
    <w:rsid w:val="1DBE6139"/>
    <w:rsid w:val="1DC06E93"/>
    <w:rsid w:val="1DCC77C2"/>
    <w:rsid w:val="1DCF4890"/>
    <w:rsid w:val="1DF52813"/>
    <w:rsid w:val="1DFB57EB"/>
    <w:rsid w:val="1E0062C5"/>
    <w:rsid w:val="1E1A4A5E"/>
    <w:rsid w:val="1E4F15C4"/>
    <w:rsid w:val="1E665E93"/>
    <w:rsid w:val="1E6D0B8E"/>
    <w:rsid w:val="1E7012E8"/>
    <w:rsid w:val="1E740910"/>
    <w:rsid w:val="1E8A1B7B"/>
    <w:rsid w:val="1EAF32E5"/>
    <w:rsid w:val="1ED05FDD"/>
    <w:rsid w:val="1EDA4565"/>
    <w:rsid w:val="1F0115E6"/>
    <w:rsid w:val="1F0A1D41"/>
    <w:rsid w:val="1F43063A"/>
    <w:rsid w:val="1F5417D9"/>
    <w:rsid w:val="1F607217"/>
    <w:rsid w:val="1F8B73B9"/>
    <w:rsid w:val="1FB06AB2"/>
    <w:rsid w:val="1FBF3F6B"/>
    <w:rsid w:val="1FC0508F"/>
    <w:rsid w:val="1FD17519"/>
    <w:rsid w:val="1FDB3B9B"/>
    <w:rsid w:val="1FDE37FF"/>
    <w:rsid w:val="1FE77E87"/>
    <w:rsid w:val="1FE87CF6"/>
    <w:rsid w:val="20142293"/>
    <w:rsid w:val="202875D1"/>
    <w:rsid w:val="203B6405"/>
    <w:rsid w:val="204042C4"/>
    <w:rsid w:val="204434A6"/>
    <w:rsid w:val="204E3E54"/>
    <w:rsid w:val="208E2CB0"/>
    <w:rsid w:val="20C7192F"/>
    <w:rsid w:val="20C94ACB"/>
    <w:rsid w:val="20DA4942"/>
    <w:rsid w:val="20F3606E"/>
    <w:rsid w:val="20FA2C9D"/>
    <w:rsid w:val="213009EF"/>
    <w:rsid w:val="213D75BE"/>
    <w:rsid w:val="213F7AB1"/>
    <w:rsid w:val="215726A0"/>
    <w:rsid w:val="217A33A1"/>
    <w:rsid w:val="218710D4"/>
    <w:rsid w:val="21872636"/>
    <w:rsid w:val="218F2648"/>
    <w:rsid w:val="21AB5C9B"/>
    <w:rsid w:val="21B427AB"/>
    <w:rsid w:val="21BD46E0"/>
    <w:rsid w:val="21E274F2"/>
    <w:rsid w:val="22067C29"/>
    <w:rsid w:val="22134C1B"/>
    <w:rsid w:val="22206C77"/>
    <w:rsid w:val="22314D0B"/>
    <w:rsid w:val="224E7E12"/>
    <w:rsid w:val="22657A47"/>
    <w:rsid w:val="227C0C68"/>
    <w:rsid w:val="227D1F07"/>
    <w:rsid w:val="229E355B"/>
    <w:rsid w:val="22AE5DFE"/>
    <w:rsid w:val="22C82C18"/>
    <w:rsid w:val="22DE7DE0"/>
    <w:rsid w:val="22DF19C7"/>
    <w:rsid w:val="22ED1D41"/>
    <w:rsid w:val="22F24251"/>
    <w:rsid w:val="23025E80"/>
    <w:rsid w:val="235C31B0"/>
    <w:rsid w:val="2360341B"/>
    <w:rsid w:val="238447CD"/>
    <w:rsid w:val="238D0EEE"/>
    <w:rsid w:val="23916DF4"/>
    <w:rsid w:val="23B93239"/>
    <w:rsid w:val="23C16FD2"/>
    <w:rsid w:val="24106BD2"/>
    <w:rsid w:val="242C445B"/>
    <w:rsid w:val="242F6BC5"/>
    <w:rsid w:val="247E04BE"/>
    <w:rsid w:val="248B6BF0"/>
    <w:rsid w:val="24975A35"/>
    <w:rsid w:val="24A451C8"/>
    <w:rsid w:val="24A95A92"/>
    <w:rsid w:val="24B0777F"/>
    <w:rsid w:val="24B21E7E"/>
    <w:rsid w:val="24B80E3D"/>
    <w:rsid w:val="24BA3A6C"/>
    <w:rsid w:val="24C14262"/>
    <w:rsid w:val="24DB11B1"/>
    <w:rsid w:val="24DB1DC1"/>
    <w:rsid w:val="254579AD"/>
    <w:rsid w:val="254C6870"/>
    <w:rsid w:val="25550995"/>
    <w:rsid w:val="257F66CF"/>
    <w:rsid w:val="25916749"/>
    <w:rsid w:val="25D9375F"/>
    <w:rsid w:val="25E5097B"/>
    <w:rsid w:val="25ED1CE2"/>
    <w:rsid w:val="260366CA"/>
    <w:rsid w:val="2612386C"/>
    <w:rsid w:val="26190B1E"/>
    <w:rsid w:val="261954E5"/>
    <w:rsid w:val="26232D49"/>
    <w:rsid w:val="26251690"/>
    <w:rsid w:val="26360630"/>
    <w:rsid w:val="263D4CDE"/>
    <w:rsid w:val="26647088"/>
    <w:rsid w:val="26B25A04"/>
    <w:rsid w:val="26DA1D14"/>
    <w:rsid w:val="26E86A48"/>
    <w:rsid w:val="27101EDB"/>
    <w:rsid w:val="272E26D1"/>
    <w:rsid w:val="27360181"/>
    <w:rsid w:val="27450F96"/>
    <w:rsid w:val="27A03254"/>
    <w:rsid w:val="27A230C5"/>
    <w:rsid w:val="27A851CF"/>
    <w:rsid w:val="27B93B4C"/>
    <w:rsid w:val="27EC18B9"/>
    <w:rsid w:val="27F6755B"/>
    <w:rsid w:val="2835156C"/>
    <w:rsid w:val="28451D51"/>
    <w:rsid w:val="285E7742"/>
    <w:rsid w:val="285F589C"/>
    <w:rsid w:val="2860075F"/>
    <w:rsid w:val="288E7537"/>
    <w:rsid w:val="28957DF4"/>
    <w:rsid w:val="28D51CE9"/>
    <w:rsid w:val="28E0382C"/>
    <w:rsid w:val="28FB2940"/>
    <w:rsid w:val="28FF661A"/>
    <w:rsid w:val="2935387C"/>
    <w:rsid w:val="295642C7"/>
    <w:rsid w:val="29923BE6"/>
    <w:rsid w:val="29A85B4A"/>
    <w:rsid w:val="29C00AAE"/>
    <w:rsid w:val="29D70027"/>
    <w:rsid w:val="29E4565C"/>
    <w:rsid w:val="2A217644"/>
    <w:rsid w:val="2A5522DC"/>
    <w:rsid w:val="2A6D7AE4"/>
    <w:rsid w:val="2A81126C"/>
    <w:rsid w:val="2A9A509F"/>
    <w:rsid w:val="2ABE75C5"/>
    <w:rsid w:val="2AC54EDF"/>
    <w:rsid w:val="2AD0715B"/>
    <w:rsid w:val="2ADE1592"/>
    <w:rsid w:val="2AE72478"/>
    <w:rsid w:val="2AFE6BB2"/>
    <w:rsid w:val="2AFF547A"/>
    <w:rsid w:val="2B0F5BE3"/>
    <w:rsid w:val="2B194010"/>
    <w:rsid w:val="2B1A0A86"/>
    <w:rsid w:val="2B3544FB"/>
    <w:rsid w:val="2B766889"/>
    <w:rsid w:val="2BB62C14"/>
    <w:rsid w:val="2BB82208"/>
    <w:rsid w:val="2BB86F96"/>
    <w:rsid w:val="2BBA1AC6"/>
    <w:rsid w:val="2BC1544C"/>
    <w:rsid w:val="2BF45826"/>
    <w:rsid w:val="2BF83122"/>
    <w:rsid w:val="2C0A4D8F"/>
    <w:rsid w:val="2C1F1A7F"/>
    <w:rsid w:val="2C4D4422"/>
    <w:rsid w:val="2C61592A"/>
    <w:rsid w:val="2C7A7FEE"/>
    <w:rsid w:val="2CAA1EE8"/>
    <w:rsid w:val="2CF23348"/>
    <w:rsid w:val="2D0212AF"/>
    <w:rsid w:val="2D0721CE"/>
    <w:rsid w:val="2D2D0FB8"/>
    <w:rsid w:val="2D401D7D"/>
    <w:rsid w:val="2D5369A4"/>
    <w:rsid w:val="2D553E12"/>
    <w:rsid w:val="2D563294"/>
    <w:rsid w:val="2D572DE8"/>
    <w:rsid w:val="2D7657B0"/>
    <w:rsid w:val="2D880354"/>
    <w:rsid w:val="2D8E0951"/>
    <w:rsid w:val="2DA66D99"/>
    <w:rsid w:val="2DA92533"/>
    <w:rsid w:val="2DC542FD"/>
    <w:rsid w:val="2DED783E"/>
    <w:rsid w:val="2E027319"/>
    <w:rsid w:val="2E70692E"/>
    <w:rsid w:val="2E740C9C"/>
    <w:rsid w:val="2E912614"/>
    <w:rsid w:val="2EB82B9B"/>
    <w:rsid w:val="2EDB211E"/>
    <w:rsid w:val="2F065DAA"/>
    <w:rsid w:val="2F2105FF"/>
    <w:rsid w:val="2F3802F5"/>
    <w:rsid w:val="2F4C21DE"/>
    <w:rsid w:val="2F5C1DA5"/>
    <w:rsid w:val="2FAB4DBA"/>
    <w:rsid w:val="2FAF734F"/>
    <w:rsid w:val="2FB74538"/>
    <w:rsid w:val="2FF16930"/>
    <w:rsid w:val="30255652"/>
    <w:rsid w:val="302A5959"/>
    <w:rsid w:val="305B0C4B"/>
    <w:rsid w:val="306F34C7"/>
    <w:rsid w:val="30C56FF6"/>
    <w:rsid w:val="30E71C81"/>
    <w:rsid w:val="31024AE6"/>
    <w:rsid w:val="31232744"/>
    <w:rsid w:val="313F60CD"/>
    <w:rsid w:val="316C164E"/>
    <w:rsid w:val="31AC33EA"/>
    <w:rsid w:val="31B469D0"/>
    <w:rsid w:val="31D64F96"/>
    <w:rsid w:val="32017181"/>
    <w:rsid w:val="3202578C"/>
    <w:rsid w:val="32110C25"/>
    <w:rsid w:val="326D3B31"/>
    <w:rsid w:val="327021FA"/>
    <w:rsid w:val="327B1627"/>
    <w:rsid w:val="32954E00"/>
    <w:rsid w:val="329C1DF0"/>
    <w:rsid w:val="329E2BA3"/>
    <w:rsid w:val="32AE7A75"/>
    <w:rsid w:val="32E032B1"/>
    <w:rsid w:val="32EF11A3"/>
    <w:rsid w:val="32EF2028"/>
    <w:rsid w:val="33011C41"/>
    <w:rsid w:val="330D10BF"/>
    <w:rsid w:val="33227172"/>
    <w:rsid w:val="333C6A3D"/>
    <w:rsid w:val="33644CFD"/>
    <w:rsid w:val="33774568"/>
    <w:rsid w:val="33A0028D"/>
    <w:rsid w:val="33A570FA"/>
    <w:rsid w:val="33D32C1C"/>
    <w:rsid w:val="33D92429"/>
    <w:rsid w:val="33E0226A"/>
    <w:rsid w:val="33FA3B34"/>
    <w:rsid w:val="343B3818"/>
    <w:rsid w:val="343C1893"/>
    <w:rsid w:val="34854716"/>
    <w:rsid w:val="34BE4682"/>
    <w:rsid w:val="35160D6B"/>
    <w:rsid w:val="351D3779"/>
    <w:rsid w:val="357911C3"/>
    <w:rsid w:val="358526AE"/>
    <w:rsid w:val="35B54B22"/>
    <w:rsid w:val="35DF0F8E"/>
    <w:rsid w:val="35E623C9"/>
    <w:rsid w:val="35E83CBD"/>
    <w:rsid w:val="35EF293B"/>
    <w:rsid w:val="35F13A2A"/>
    <w:rsid w:val="360453EB"/>
    <w:rsid w:val="361633A9"/>
    <w:rsid w:val="362C0965"/>
    <w:rsid w:val="36495F37"/>
    <w:rsid w:val="36523501"/>
    <w:rsid w:val="366A6E58"/>
    <w:rsid w:val="37282883"/>
    <w:rsid w:val="37366041"/>
    <w:rsid w:val="373D0F4E"/>
    <w:rsid w:val="37625DAE"/>
    <w:rsid w:val="37685F13"/>
    <w:rsid w:val="377717B0"/>
    <w:rsid w:val="378C5758"/>
    <w:rsid w:val="37922808"/>
    <w:rsid w:val="379D7A74"/>
    <w:rsid w:val="37A03DDA"/>
    <w:rsid w:val="37AF57BC"/>
    <w:rsid w:val="37DC389E"/>
    <w:rsid w:val="37E41DF1"/>
    <w:rsid w:val="37FC364E"/>
    <w:rsid w:val="382206B3"/>
    <w:rsid w:val="38463090"/>
    <w:rsid w:val="3882116E"/>
    <w:rsid w:val="388234B9"/>
    <w:rsid w:val="38973473"/>
    <w:rsid w:val="38A56CC9"/>
    <w:rsid w:val="38C05F24"/>
    <w:rsid w:val="38D750B8"/>
    <w:rsid w:val="38F2240C"/>
    <w:rsid w:val="38F741FC"/>
    <w:rsid w:val="39171CC0"/>
    <w:rsid w:val="393F39C1"/>
    <w:rsid w:val="3941283A"/>
    <w:rsid w:val="3950742F"/>
    <w:rsid w:val="395212E1"/>
    <w:rsid w:val="395765D1"/>
    <w:rsid w:val="39654761"/>
    <w:rsid w:val="398E0DAD"/>
    <w:rsid w:val="39976574"/>
    <w:rsid w:val="39A165F9"/>
    <w:rsid w:val="39A22205"/>
    <w:rsid w:val="39B72706"/>
    <w:rsid w:val="39C84E5A"/>
    <w:rsid w:val="39DE0D55"/>
    <w:rsid w:val="39FA0921"/>
    <w:rsid w:val="3A1E1EAB"/>
    <w:rsid w:val="3A3457E8"/>
    <w:rsid w:val="3A3F0320"/>
    <w:rsid w:val="3A536E24"/>
    <w:rsid w:val="3A565A98"/>
    <w:rsid w:val="3A810ECA"/>
    <w:rsid w:val="3A871F8A"/>
    <w:rsid w:val="3AA31206"/>
    <w:rsid w:val="3AB57780"/>
    <w:rsid w:val="3AC37DF0"/>
    <w:rsid w:val="3AC65AD2"/>
    <w:rsid w:val="3ACF5A26"/>
    <w:rsid w:val="3AD35612"/>
    <w:rsid w:val="3AE76371"/>
    <w:rsid w:val="3AE80991"/>
    <w:rsid w:val="3B1B509F"/>
    <w:rsid w:val="3B3575B2"/>
    <w:rsid w:val="3B4764C1"/>
    <w:rsid w:val="3B4A51A8"/>
    <w:rsid w:val="3B54731C"/>
    <w:rsid w:val="3B67428D"/>
    <w:rsid w:val="3B713350"/>
    <w:rsid w:val="3B7A26BE"/>
    <w:rsid w:val="3B8406BA"/>
    <w:rsid w:val="3BA471B6"/>
    <w:rsid w:val="3BE767A5"/>
    <w:rsid w:val="3C073099"/>
    <w:rsid w:val="3C1701DB"/>
    <w:rsid w:val="3C2E25AC"/>
    <w:rsid w:val="3C33699A"/>
    <w:rsid w:val="3C41291B"/>
    <w:rsid w:val="3C447C27"/>
    <w:rsid w:val="3C4E3440"/>
    <w:rsid w:val="3C97031E"/>
    <w:rsid w:val="3D01778A"/>
    <w:rsid w:val="3D5F1707"/>
    <w:rsid w:val="3E225ED0"/>
    <w:rsid w:val="3E23342E"/>
    <w:rsid w:val="3E29108F"/>
    <w:rsid w:val="3E763568"/>
    <w:rsid w:val="3EB341AB"/>
    <w:rsid w:val="3EC20226"/>
    <w:rsid w:val="3EC33FD7"/>
    <w:rsid w:val="3EC451E1"/>
    <w:rsid w:val="3EC47F80"/>
    <w:rsid w:val="3EE2622E"/>
    <w:rsid w:val="3EE91017"/>
    <w:rsid w:val="3F1E63B0"/>
    <w:rsid w:val="3F2226EC"/>
    <w:rsid w:val="3F601C75"/>
    <w:rsid w:val="3FAC6CE4"/>
    <w:rsid w:val="3FDA48AC"/>
    <w:rsid w:val="3FDD4106"/>
    <w:rsid w:val="400C759D"/>
    <w:rsid w:val="4018038B"/>
    <w:rsid w:val="402A3DD6"/>
    <w:rsid w:val="402E363B"/>
    <w:rsid w:val="40375320"/>
    <w:rsid w:val="403A7A13"/>
    <w:rsid w:val="40562031"/>
    <w:rsid w:val="4080695A"/>
    <w:rsid w:val="40883F9A"/>
    <w:rsid w:val="40A6403B"/>
    <w:rsid w:val="40A92971"/>
    <w:rsid w:val="40C31767"/>
    <w:rsid w:val="40D11C13"/>
    <w:rsid w:val="40D14228"/>
    <w:rsid w:val="40D25C2C"/>
    <w:rsid w:val="40E32648"/>
    <w:rsid w:val="41133374"/>
    <w:rsid w:val="413F338F"/>
    <w:rsid w:val="415D3A83"/>
    <w:rsid w:val="418E0B2C"/>
    <w:rsid w:val="41A50FA5"/>
    <w:rsid w:val="41CC07BC"/>
    <w:rsid w:val="41DD5AAF"/>
    <w:rsid w:val="41E40AD4"/>
    <w:rsid w:val="41E53E7C"/>
    <w:rsid w:val="420569A4"/>
    <w:rsid w:val="422363B0"/>
    <w:rsid w:val="422E01F2"/>
    <w:rsid w:val="4246080B"/>
    <w:rsid w:val="42CE24FD"/>
    <w:rsid w:val="42F302DD"/>
    <w:rsid w:val="430B5EBA"/>
    <w:rsid w:val="43260C43"/>
    <w:rsid w:val="438034F8"/>
    <w:rsid w:val="4388321A"/>
    <w:rsid w:val="43940D48"/>
    <w:rsid w:val="43953319"/>
    <w:rsid w:val="43C04933"/>
    <w:rsid w:val="43DF61E6"/>
    <w:rsid w:val="43EA37DE"/>
    <w:rsid w:val="441A31FF"/>
    <w:rsid w:val="446A3759"/>
    <w:rsid w:val="446B4961"/>
    <w:rsid w:val="449428DA"/>
    <w:rsid w:val="449D218D"/>
    <w:rsid w:val="449D552C"/>
    <w:rsid w:val="44BD0248"/>
    <w:rsid w:val="44E86A19"/>
    <w:rsid w:val="45132E7E"/>
    <w:rsid w:val="455C5806"/>
    <w:rsid w:val="45A046DF"/>
    <w:rsid w:val="45AC020B"/>
    <w:rsid w:val="45B15EF6"/>
    <w:rsid w:val="45B457B1"/>
    <w:rsid w:val="45B725A0"/>
    <w:rsid w:val="45D22078"/>
    <w:rsid w:val="45F468CD"/>
    <w:rsid w:val="462E25CA"/>
    <w:rsid w:val="46303A17"/>
    <w:rsid w:val="465A58CC"/>
    <w:rsid w:val="467E5DD2"/>
    <w:rsid w:val="46931FE6"/>
    <w:rsid w:val="46D637ED"/>
    <w:rsid w:val="46DD3F38"/>
    <w:rsid w:val="46F16F1D"/>
    <w:rsid w:val="46FD2CBF"/>
    <w:rsid w:val="47040E65"/>
    <w:rsid w:val="472910BD"/>
    <w:rsid w:val="47322F35"/>
    <w:rsid w:val="47553E8E"/>
    <w:rsid w:val="475C108B"/>
    <w:rsid w:val="477C293C"/>
    <w:rsid w:val="47980FDC"/>
    <w:rsid w:val="47A02A41"/>
    <w:rsid w:val="47CA2F97"/>
    <w:rsid w:val="47CA63D4"/>
    <w:rsid w:val="47D135C4"/>
    <w:rsid w:val="47D84675"/>
    <w:rsid w:val="47E17B3A"/>
    <w:rsid w:val="481379C4"/>
    <w:rsid w:val="481947FE"/>
    <w:rsid w:val="48366669"/>
    <w:rsid w:val="483B043E"/>
    <w:rsid w:val="4853266E"/>
    <w:rsid w:val="486B0826"/>
    <w:rsid w:val="486B1D8E"/>
    <w:rsid w:val="489A7399"/>
    <w:rsid w:val="48A93D74"/>
    <w:rsid w:val="48B1679E"/>
    <w:rsid w:val="48D139F6"/>
    <w:rsid w:val="48D96FD7"/>
    <w:rsid w:val="48F56DD6"/>
    <w:rsid w:val="491916C6"/>
    <w:rsid w:val="49540F5F"/>
    <w:rsid w:val="49573AC8"/>
    <w:rsid w:val="4961628B"/>
    <w:rsid w:val="49AA7971"/>
    <w:rsid w:val="49B515B1"/>
    <w:rsid w:val="49FE240E"/>
    <w:rsid w:val="4A0A7CBB"/>
    <w:rsid w:val="4A141151"/>
    <w:rsid w:val="4A316318"/>
    <w:rsid w:val="4A643B84"/>
    <w:rsid w:val="4A777A6A"/>
    <w:rsid w:val="4AC9062D"/>
    <w:rsid w:val="4AE52C42"/>
    <w:rsid w:val="4AF2187D"/>
    <w:rsid w:val="4AF4011B"/>
    <w:rsid w:val="4AFC3953"/>
    <w:rsid w:val="4B1E385E"/>
    <w:rsid w:val="4B6870F9"/>
    <w:rsid w:val="4B6C2969"/>
    <w:rsid w:val="4B7A2609"/>
    <w:rsid w:val="4BCF6DCB"/>
    <w:rsid w:val="4BD06B38"/>
    <w:rsid w:val="4BDF321A"/>
    <w:rsid w:val="4BEE1D43"/>
    <w:rsid w:val="4C0065CE"/>
    <w:rsid w:val="4C18241E"/>
    <w:rsid w:val="4C227943"/>
    <w:rsid w:val="4C286B5D"/>
    <w:rsid w:val="4C4373DD"/>
    <w:rsid w:val="4C472142"/>
    <w:rsid w:val="4C5F22C4"/>
    <w:rsid w:val="4CF80F08"/>
    <w:rsid w:val="4CFC3DF0"/>
    <w:rsid w:val="4D2C2C5D"/>
    <w:rsid w:val="4D563E01"/>
    <w:rsid w:val="4DC43B09"/>
    <w:rsid w:val="4DC86CD0"/>
    <w:rsid w:val="4DD62C1F"/>
    <w:rsid w:val="4DF46D27"/>
    <w:rsid w:val="4E367509"/>
    <w:rsid w:val="4E5211BA"/>
    <w:rsid w:val="4E76149E"/>
    <w:rsid w:val="4E762A71"/>
    <w:rsid w:val="4E7F6390"/>
    <w:rsid w:val="4E90713C"/>
    <w:rsid w:val="4E911651"/>
    <w:rsid w:val="4E935AF8"/>
    <w:rsid w:val="4E9D1D1E"/>
    <w:rsid w:val="4EBB3EDA"/>
    <w:rsid w:val="4EEE65AD"/>
    <w:rsid w:val="4F0E0B1D"/>
    <w:rsid w:val="4F3A3567"/>
    <w:rsid w:val="4F6C41E3"/>
    <w:rsid w:val="4F8A0B61"/>
    <w:rsid w:val="4F9C55BF"/>
    <w:rsid w:val="4FB410CF"/>
    <w:rsid w:val="4FBD41CA"/>
    <w:rsid w:val="4FD246D2"/>
    <w:rsid w:val="50077D56"/>
    <w:rsid w:val="50131451"/>
    <w:rsid w:val="50245755"/>
    <w:rsid w:val="503600B3"/>
    <w:rsid w:val="507D4F01"/>
    <w:rsid w:val="50831BFE"/>
    <w:rsid w:val="50922478"/>
    <w:rsid w:val="50B52FE4"/>
    <w:rsid w:val="50BF2E54"/>
    <w:rsid w:val="510252D6"/>
    <w:rsid w:val="51305EE3"/>
    <w:rsid w:val="51390BE4"/>
    <w:rsid w:val="51975E1F"/>
    <w:rsid w:val="51BC697B"/>
    <w:rsid w:val="51C804DE"/>
    <w:rsid w:val="51CF0D4C"/>
    <w:rsid w:val="51E10471"/>
    <w:rsid w:val="51E12FF8"/>
    <w:rsid w:val="51E33826"/>
    <w:rsid w:val="51E71C22"/>
    <w:rsid w:val="520C6B50"/>
    <w:rsid w:val="522E62F3"/>
    <w:rsid w:val="5293590B"/>
    <w:rsid w:val="52967C7B"/>
    <w:rsid w:val="52A33960"/>
    <w:rsid w:val="52B476CE"/>
    <w:rsid w:val="52B67E93"/>
    <w:rsid w:val="52F47A95"/>
    <w:rsid w:val="53070B86"/>
    <w:rsid w:val="530D6D8F"/>
    <w:rsid w:val="531645CA"/>
    <w:rsid w:val="531F2A96"/>
    <w:rsid w:val="53262EC9"/>
    <w:rsid w:val="53734149"/>
    <w:rsid w:val="5391219B"/>
    <w:rsid w:val="53915C12"/>
    <w:rsid w:val="53932760"/>
    <w:rsid w:val="539873E7"/>
    <w:rsid w:val="53A17D41"/>
    <w:rsid w:val="53B46D0C"/>
    <w:rsid w:val="53F171B7"/>
    <w:rsid w:val="53F87A3F"/>
    <w:rsid w:val="54087353"/>
    <w:rsid w:val="54375044"/>
    <w:rsid w:val="544232E7"/>
    <w:rsid w:val="54557110"/>
    <w:rsid w:val="545D6CB6"/>
    <w:rsid w:val="549661B6"/>
    <w:rsid w:val="54A34D96"/>
    <w:rsid w:val="54D24E79"/>
    <w:rsid w:val="54F430A2"/>
    <w:rsid w:val="5503429F"/>
    <w:rsid w:val="551027C6"/>
    <w:rsid w:val="552F7315"/>
    <w:rsid w:val="55440F33"/>
    <w:rsid w:val="554B0FDD"/>
    <w:rsid w:val="55631D2D"/>
    <w:rsid w:val="55AA6F28"/>
    <w:rsid w:val="55BB1E97"/>
    <w:rsid w:val="55C8709D"/>
    <w:rsid w:val="560509A3"/>
    <w:rsid w:val="56250237"/>
    <w:rsid w:val="56450A3C"/>
    <w:rsid w:val="564569EB"/>
    <w:rsid w:val="56921A85"/>
    <w:rsid w:val="56AB5944"/>
    <w:rsid w:val="56F645A2"/>
    <w:rsid w:val="57214861"/>
    <w:rsid w:val="572B4616"/>
    <w:rsid w:val="57541EAD"/>
    <w:rsid w:val="577465D8"/>
    <w:rsid w:val="577A658F"/>
    <w:rsid w:val="57A14827"/>
    <w:rsid w:val="57A5627A"/>
    <w:rsid w:val="57A91DD2"/>
    <w:rsid w:val="57AE5029"/>
    <w:rsid w:val="57C23486"/>
    <w:rsid w:val="57CE4606"/>
    <w:rsid w:val="57D123D3"/>
    <w:rsid w:val="57DF3814"/>
    <w:rsid w:val="5807247D"/>
    <w:rsid w:val="58117CC1"/>
    <w:rsid w:val="582C3384"/>
    <w:rsid w:val="584D1267"/>
    <w:rsid w:val="58624A55"/>
    <w:rsid w:val="59137642"/>
    <w:rsid w:val="59216A89"/>
    <w:rsid w:val="59A175DF"/>
    <w:rsid w:val="59B819C2"/>
    <w:rsid w:val="59C7668D"/>
    <w:rsid w:val="59F7428A"/>
    <w:rsid w:val="59FC4729"/>
    <w:rsid w:val="59FF697B"/>
    <w:rsid w:val="5A0A04BC"/>
    <w:rsid w:val="5A0B75E4"/>
    <w:rsid w:val="5A15685D"/>
    <w:rsid w:val="5A323EDC"/>
    <w:rsid w:val="5A36378A"/>
    <w:rsid w:val="5A4E7FD5"/>
    <w:rsid w:val="5A575BFF"/>
    <w:rsid w:val="5A77586F"/>
    <w:rsid w:val="5AA12CBD"/>
    <w:rsid w:val="5AB40905"/>
    <w:rsid w:val="5ACA65CD"/>
    <w:rsid w:val="5ACC7A53"/>
    <w:rsid w:val="5AE51758"/>
    <w:rsid w:val="5B237EEB"/>
    <w:rsid w:val="5B581F93"/>
    <w:rsid w:val="5B6B529B"/>
    <w:rsid w:val="5B93247B"/>
    <w:rsid w:val="5BAB667D"/>
    <w:rsid w:val="5BB250E2"/>
    <w:rsid w:val="5BB3320D"/>
    <w:rsid w:val="5BBFEE14"/>
    <w:rsid w:val="5BC31A45"/>
    <w:rsid w:val="5BC772C9"/>
    <w:rsid w:val="5BF00094"/>
    <w:rsid w:val="5BF50377"/>
    <w:rsid w:val="5C465FA2"/>
    <w:rsid w:val="5C544090"/>
    <w:rsid w:val="5C726BB6"/>
    <w:rsid w:val="5C7322D1"/>
    <w:rsid w:val="5C870F46"/>
    <w:rsid w:val="5CBC3B9B"/>
    <w:rsid w:val="5CC91C52"/>
    <w:rsid w:val="5CEF4070"/>
    <w:rsid w:val="5CFC28A8"/>
    <w:rsid w:val="5D246FFC"/>
    <w:rsid w:val="5D331782"/>
    <w:rsid w:val="5D36426B"/>
    <w:rsid w:val="5D7A3B33"/>
    <w:rsid w:val="5D955C26"/>
    <w:rsid w:val="5D9A103A"/>
    <w:rsid w:val="5DC818E3"/>
    <w:rsid w:val="5DDA696A"/>
    <w:rsid w:val="5DF52A7C"/>
    <w:rsid w:val="5E410FFD"/>
    <w:rsid w:val="5E544606"/>
    <w:rsid w:val="5E8E05EA"/>
    <w:rsid w:val="5EFB61FA"/>
    <w:rsid w:val="5F2C7D02"/>
    <w:rsid w:val="5F59269F"/>
    <w:rsid w:val="5F7663E9"/>
    <w:rsid w:val="5FB656F9"/>
    <w:rsid w:val="5FBC2CFA"/>
    <w:rsid w:val="5FC53466"/>
    <w:rsid w:val="5FD13015"/>
    <w:rsid w:val="60190EE3"/>
    <w:rsid w:val="601D48F2"/>
    <w:rsid w:val="601E31F8"/>
    <w:rsid w:val="602832C7"/>
    <w:rsid w:val="60307BB1"/>
    <w:rsid w:val="603D1F50"/>
    <w:rsid w:val="603F673E"/>
    <w:rsid w:val="605467C6"/>
    <w:rsid w:val="60D605A1"/>
    <w:rsid w:val="60E23609"/>
    <w:rsid w:val="613D1565"/>
    <w:rsid w:val="61464F6C"/>
    <w:rsid w:val="61515A7F"/>
    <w:rsid w:val="61633E93"/>
    <w:rsid w:val="61A4558D"/>
    <w:rsid w:val="61C32B70"/>
    <w:rsid w:val="61D46DD9"/>
    <w:rsid w:val="61E045CD"/>
    <w:rsid w:val="61E23930"/>
    <w:rsid w:val="61FD4A0F"/>
    <w:rsid w:val="62016875"/>
    <w:rsid w:val="62100B67"/>
    <w:rsid w:val="623E052A"/>
    <w:rsid w:val="6241319E"/>
    <w:rsid w:val="6242484B"/>
    <w:rsid w:val="628B7263"/>
    <w:rsid w:val="628D49EE"/>
    <w:rsid w:val="62902D58"/>
    <w:rsid w:val="6290385D"/>
    <w:rsid w:val="62AE4BDA"/>
    <w:rsid w:val="62C97640"/>
    <w:rsid w:val="62D27C48"/>
    <w:rsid w:val="6307315E"/>
    <w:rsid w:val="63184211"/>
    <w:rsid w:val="631B5AD9"/>
    <w:rsid w:val="632E7764"/>
    <w:rsid w:val="6339520C"/>
    <w:rsid w:val="635C575B"/>
    <w:rsid w:val="636863CF"/>
    <w:rsid w:val="63691740"/>
    <w:rsid w:val="63752C12"/>
    <w:rsid w:val="638C1080"/>
    <w:rsid w:val="63B413CF"/>
    <w:rsid w:val="63D4721A"/>
    <w:rsid w:val="63FF6C27"/>
    <w:rsid w:val="6405263C"/>
    <w:rsid w:val="642454D9"/>
    <w:rsid w:val="64557DB3"/>
    <w:rsid w:val="6464336B"/>
    <w:rsid w:val="647136A3"/>
    <w:rsid w:val="648D360B"/>
    <w:rsid w:val="64D33EFF"/>
    <w:rsid w:val="653C5193"/>
    <w:rsid w:val="655C7828"/>
    <w:rsid w:val="65CB1350"/>
    <w:rsid w:val="65FD7F1B"/>
    <w:rsid w:val="66291C05"/>
    <w:rsid w:val="66330E7B"/>
    <w:rsid w:val="66351622"/>
    <w:rsid w:val="665A2304"/>
    <w:rsid w:val="667F3E30"/>
    <w:rsid w:val="669C6349"/>
    <w:rsid w:val="66A80AC6"/>
    <w:rsid w:val="66CF3F7F"/>
    <w:rsid w:val="67144976"/>
    <w:rsid w:val="67202357"/>
    <w:rsid w:val="67603F26"/>
    <w:rsid w:val="67670D0C"/>
    <w:rsid w:val="67A9330C"/>
    <w:rsid w:val="67B36B6E"/>
    <w:rsid w:val="67D3264E"/>
    <w:rsid w:val="68024DD3"/>
    <w:rsid w:val="680F332B"/>
    <w:rsid w:val="6832253F"/>
    <w:rsid w:val="685C3C4D"/>
    <w:rsid w:val="685F19E3"/>
    <w:rsid w:val="687102AD"/>
    <w:rsid w:val="68724B40"/>
    <w:rsid w:val="68902798"/>
    <w:rsid w:val="690C7142"/>
    <w:rsid w:val="69412846"/>
    <w:rsid w:val="695907E9"/>
    <w:rsid w:val="6964290E"/>
    <w:rsid w:val="69794BD2"/>
    <w:rsid w:val="698304CD"/>
    <w:rsid w:val="69932BAE"/>
    <w:rsid w:val="69A16FDB"/>
    <w:rsid w:val="69BA6060"/>
    <w:rsid w:val="69F73D8C"/>
    <w:rsid w:val="6A041525"/>
    <w:rsid w:val="6A223F21"/>
    <w:rsid w:val="6A4771F0"/>
    <w:rsid w:val="6A641277"/>
    <w:rsid w:val="6A985E45"/>
    <w:rsid w:val="6AAD0001"/>
    <w:rsid w:val="6ACC3B62"/>
    <w:rsid w:val="6AE24654"/>
    <w:rsid w:val="6AE30427"/>
    <w:rsid w:val="6B1B05C6"/>
    <w:rsid w:val="6B2C0FBC"/>
    <w:rsid w:val="6B35684E"/>
    <w:rsid w:val="6B6C1D6A"/>
    <w:rsid w:val="6B6D666B"/>
    <w:rsid w:val="6B706DFD"/>
    <w:rsid w:val="6B735145"/>
    <w:rsid w:val="6B76701F"/>
    <w:rsid w:val="6B8C29DA"/>
    <w:rsid w:val="6B972EBA"/>
    <w:rsid w:val="6BAF67DE"/>
    <w:rsid w:val="6BB64940"/>
    <w:rsid w:val="6BBA5ABD"/>
    <w:rsid w:val="6BC04151"/>
    <w:rsid w:val="6BFF6B53"/>
    <w:rsid w:val="6C1016CB"/>
    <w:rsid w:val="6C161EDD"/>
    <w:rsid w:val="6C17534B"/>
    <w:rsid w:val="6C52384A"/>
    <w:rsid w:val="6C5F577B"/>
    <w:rsid w:val="6C5F6B13"/>
    <w:rsid w:val="6C710D22"/>
    <w:rsid w:val="6C831486"/>
    <w:rsid w:val="6C8C7141"/>
    <w:rsid w:val="6C903E5F"/>
    <w:rsid w:val="6C92595F"/>
    <w:rsid w:val="6CA31D11"/>
    <w:rsid w:val="6CE513BE"/>
    <w:rsid w:val="6CEE595E"/>
    <w:rsid w:val="6CF82160"/>
    <w:rsid w:val="6D094BFA"/>
    <w:rsid w:val="6D1D7324"/>
    <w:rsid w:val="6D283EB3"/>
    <w:rsid w:val="6D476F5C"/>
    <w:rsid w:val="6D524D35"/>
    <w:rsid w:val="6D57260A"/>
    <w:rsid w:val="6D5E7E22"/>
    <w:rsid w:val="6D631E8B"/>
    <w:rsid w:val="6D691E34"/>
    <w:rsid w:val="6DA45721"/>
    <w:rsid w:val="6DDA08E3"/>
    <w:rsid w:val="6DEF5724"/>
    <w:rsid w:val="6E2D7396"/>
    <w:rsid w:val="6E3F2A1C"/>
    <w:rsid w:val="6E555DD6"/>
    <w:rsid w:val="6E73203B"/>
    <w:rsid w:val="6E977E1E"/>
    <w:rsid w:val="6E9A083E"/>
    <w:rsid w:val="6F1013D6"/>
    <w:rsid w:val="6F1830F3"/>
    <w:rsid w:val="6F2C4E6B"/>
    <w:rsid w:val="6F6E6E2B"/>
    <w:rsid w:val="6F7502BE"/>
    <w:rsid w:val="6F8E346E"/>
    <w:rsid w:val="6F922D77"/>
    <w:rsid w:val="6F9E073A"/>
    <w:rsid w:val="6FA85985"/>
    <w:rsid w:val="6FEA2DEF"/>
    <w:rsid w:val="6FF03DFF"/>
    <w:rsid w:val="70231C9D"/>
    <w:rsid w:val="703E7AC3"/>
    <w:rsid w:val="70411BFE"/>
    <w:rsid w:val="704B3709"/>
    <w:rsid w:val="707B5C7D"/>
    <w:rsid w:val="708C386D"/>
    <w:rsid w:val="7093353E"/>
    <w:rsid w:val="70A25D2A"/>
    <w:rsid w:val="70EC15F1"/>
    <w:rsid w:val="70F606D1"/>
    <w:rsid w:val="710B3229"/>
    <w:rsid w:val="710C3141"/>
    <w:rsid w:val="71104E62"/>
    <w:rsid w:val="713927A1"/>
    <w:rsid w:val="713C57D0"/>
    <w:rsid w:val="71426CAF"/>
    <w:rsid w:val="7150636D"/>
    <w:rsid w:val="715F2EF4"/>
    <w:rsid w:val="716D4921"/>
    <w:rsid w:val="718F25AD"/>
    <w:rsid w:val="719525E5"/>
    <w:rsid w:val="71C43EDF"/>
    <w:rsid w:val="71D12B7B"/>
    <w:rsid w:val="72047D57"/>
    <w:rsid w:val="72114EBD"/>
    <w:rsid w:val="722E4A91"/>
    <w:rsid w:val="724B7048"/>
    <w:rsid w:val="72563FB1"/>
    <w:rsid w:val="726E28BC"/>
    <w:rsid w:val="729701F7"/>
    <w:rsid w:val="72C13435"/>
    <w:rsid w:val="72EF6B00"/>
    <w:rsid w:val="7332304C"/>
    <w:rsid w:val="73460DCF"/>
    <w:rsid w:val="736F51CC"/>
    <w:rsid w:val="73765DF7"/>
    <w:rsid w:val="739C093C"/>
    <w:rsid w:val="739D0315"/>
    <w:rsid w:val="73CE4F10"/>
    <w:rsid w:val="73D27643"/>
    <w:rsid w:val="73DE0BF4"/>
    <w:rsid w:val="73EF72A5"/>
    <w:rsid w:val="73F12089"/>
    <w:rsid w:val="740166CA"/>
    <w:rsid w:val="741606DE"/>
    <w:rsid w:val="74677303"/>
    <w:rsid w:val="746B4618"/>
    <w:rsid w:val="748E187D"/>
    <w:rsid w:val="74A9176B"/>
    <w:rsid w:val="74D612A7"/>
    <w:rsid w:val="74F727ED"/>
    <w:rsid w:val="75165209"/>
    <w:rsid w:val="75176D76"/>
    <w:rsid w:val="75395A4F"/>
    <w:rsid w:val="75402693"/>
    <w:rsid w:val="75A62599"/>
    <w:rsid w:val="75C718AC"/>
    <w:rsid w:val="75E5168E"/>
    <w:rsid w:val="75E65018"/>
    <w:rsid w:val="75FB3847"/>
    <w:rsid w:val="75FD7923"/>
    <w:rsid w:val="764536B8"/>
    <w:rsid w:val="764C1E95"/>
    <w:rsid w:val="765340BE"/>
    <w:rsid w:val="76600B0B"/>
    <w:rsid w:val="769040A2"/>
    <w:rsid w:val="76EC025F"/>
    <w:rsid w:val="76F00E8F"/>
    <w:rsid w:val="77104195"/>
    <w:rsid w:val="773106E6"/>
    <w:rsid w:val="7739357A"/>
    <w:rsid w:val="77532B5B"/>
    <w:rsid w:val="77792552"/>
    <w:rsid w:val="778F5B0D"/>
    <w:rsid w:val="77A72B49"/>
    <w:rsid w:val="77BA48A1"/>
    <w:rsid w:val="77EA45C3"/>
    <w:rsid w:val="77F1105C"/>
    <w:rsid w:val="77F3515D"/>
    <w:rsid w:val="77F537AF"/>
    <w:rsid w:val="78366808"/>
    <w:rsid w:val="78427D95"/>
    <w:rsid w:val="785505CD"/>
    <w:rsid w:val="785F7D92"/>
    <w:rsid w:val="787273D3"/>
    <w:rsid w:val="78942820"/>
    <w:rsid w:val="78B2018D"/>
    <w:rsid w:val="78CE3373"/>
    <w:rsid w:val="78EA06B1"/>
    <w:rsid w:val="79303653"/>
    <w:rsid w:val="79332894"/>
    <w:rsid w:val="79432FDA"/>
    <w:rsid w:val="794E031B"/>
    <w:rsid w:val="795A1679"/>
    <w:rsid w:val="796340FE"/>
    <w:rsid w:val="79AA599D"/>
    <w:rsid w:val="79CD580C"/>
    <w:rsid w:val="79D941C5"/>
    <w:rsid w:val="79F651E3"/>
    <w:rsid w:val="7A17628C"/>
    <w:rsid w:val="7A4A0DFD"/>
    <w:rsid w:val="7A552236"/>
    <w:rsid w:val="7A616556"/>
    <w:rsid w:val="7A735659"/>
    <w:rsid w:val="7A7E0068"/>
    <w:rsid w:val="7AB60141"/>
    <w:rsid w:val="7AB817D3"/>
    <w:rsid w:val="7AC17447"/>
    <w:rsid w:val="7AD70C9B"/>
    <w:rsid w:val="7ADA5B3C"/>
    <w:rsid w:val="7ADC203B"/>
    <w:rsid w:val="7AF44B79"/>
    <w:rsid w:val="7B3856F0"/>
    <w:rsid w:val="7B4531F1"/>
    <w:rsid w:val="7B4D07FD"/>
    <w:rsid w:val="7B6A15AB"/>
    <w:rsid w:val="7BAB3DF5"/>
    <w:rsid w:val="7BBD17C9"/>
    <w:rsid w:val="7BD26364"/>
    <w:rsid w:val="7BD36C7F"/>
    <w:rsid w:val="7BDB29F1"/>
    <w:rsid w:val="7BF1074D"/>
    <w:rsid w:val="7C2C67C8"/>
    <w:rsid w:val="7C2F53CB"/>
    <w:rsid w:val="7C3A3603"/>
    <w:rsid w:val="7C461D0D"/>
    <w:rsid w:val="7C485C63"/>
    <w:rsid w:val="7C556F97"/>
    <w:rsid w:val="7CA27DFF"/>
    <w:rsid w:val="7CA834CE"/>
    <w:rsid w:val="7CB9036C"/>
    <w:rsid w:val="7D047631"/>
    <w:rsid w:val="7D220123"/>
    <w:rsid w:val="7D3475DB"/>
    <w:rsid w:val="7D417EE1"/>
    <w:rsid w:val="7D771F95"/>
    <w:rsid w:val="7D7B0F0A"/>
    <w:rsid w:val="7D7BA450"/>
    <w:rsid w:val="7D7E6BFC"/>
    <w:rsid w:val="7D942460"/>
    <w:rsid w:val="7DDD5D1F"/>
    <w:rsid w:val="7E0B3754"/>
    <w:rsid w:val="7E3C4D54"/>
    <w:rsid w:val="7E470D98"/>
    <w:rsid w:val="7E563F68"/>
    <w:rsid w:val="7E5A6E88"/>
    <w:rsid w:val="7E750639"/>
    <w:rsid w:val="7E9728D2"/>
    <w:rsid w:val="7EA55CBC"/>
    <w:rsid w:val="7EC40A24"/>
    <w:rsid w:val="7EF100A0"/>
    <w:rsid w:val="7F5F072D"/>
    <w:rsid w:val="7F711C25"/>
    <w:rsid w:val="7FB40554"/>
    <w:rsid w:val="7FBA1359"/>
    <w:rsid w:val="7FF41FF0"/>
    <w:rsid w:val="E7F328BB"/>
    <w:rsid w:val="EAFF4C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qFormat="1"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29"/>
    <w:qFormat/>
    <w:uiPriority w:val="0"/>
    <w:pPr>
      <w:keepNext/>
      <w:jc w:val="center"/>
      <w:outlineLvl w:val="0"/>
    </w:pPr>
    <w:rPr>
      <w:rFonts w:eastAsia="黑体"/>
      <w:b/>
      <w:sz w:val="32"/>
      <w:szCs w:val="20"/>
    </w:rPr>
  </w:style>
  <w:style w:type="paragraph" w:styleId="4">
    <w:name w:val="heading 2"/>
    <w:basedOn w:val="1"/>
    <w:next w:val="1"/>
    <w:link w:val="67"/>
    <w:qFormat/>
    <w:uiPriority w:val="0"/>
    <w:pPr>
      <w:keepNext/>
      <w:outlineLvl w:val="1"/>
    </w:pPr>
    <w:rPr>
      <w:rFonts w:ascii="仿宋_GB2312"/>
      <w:b/>
      <w:sz w:val="28"/>
      <w:szCs w:val="32"/>
    </w:rPr>
  </w:style>
  <w:style w:type="paragraph" w:styleId="5">
    <w:name w:val="heading 3"/>
    <w:basedOn w:val="1"/>
    <w:next w:val="1"/>
    <w:link w:val="152"/>
    <w:qFormat/>
    <w:uiPriority w:val="0"/>
    <w:pPr>
      <w:keepNext/>
      <w:keepLines/>
      <w:spacing w:line="540" w:lineRule="atLeast"/>
      <w:outlineLvl w:val="2"/>
    </w:pPr>
    <w:rPr>
      <w:rFonts w:eastAsia="黑体"/>
      <w:b/>
      <w:sz w:val="28"/>
      <w:szCs w:val="20"/>
    </w:rPr>
  </w:style>
  <w:style w:type="paragraph" w:styleId="6">
    <w:name w:val="heading 4"/>
    <w:basedOn w:val="1"/>
    <w:next w:val="1"/>
    <w:link w:val="149"/>
    <w:qFormat/>
    <w:uiPriority w:val="0"/>
    <w:pPr>
      <w:keepNext/>
      <w:keepLines/>
      <w:spacing w:line="540" w:lineRule="atLeast"/>
      <w:outlineLvl w:val="3"/>
    </w:pPr>
    <w:rPr>
      <w:sz w:val="28"/>
      <w:szCs w:val="28"/>
    </w:rPr>
  </w:style>
  <w:style w:type="paragraph" w:styleId="7">
    <w:name w:val="heading 5"/>
    <w:basedOn w:val="1"/>
    <w:next w:val="1"/>
    <w:link w:val="132"/>
    <w:qFormat/>
    <w:uiPriority w:val="0"/>
    <w:pPr>
      <w:keepNext/>
      <w:keepLines/>
      <w:spacing w:before="280" w:after="290" w:line="372" w:lineRule="auto"/>
      <w:outlineLvl w:val="4"/>
    </w:pPr>
    <w:rPr>
      <w:b/>
      <w:bCs/>
      <w:kern w:val="0"/>
      <w:sz w:val="28"/>
      <w:szCs w:val="28"/>
    </w:rPr>
  </w:style>
  <w:style w:type="paragraph" w:styleId="8">
    <w:name w:val="heading 6"/>
    <w:basedOn w:val="1"/>
    <w:next w:val="9"/>
    <w:link w:val="173"/>
    <w:qFormat/>
    <w:uiPriority w:val="0"/>
    <w:pPr>
      <w:keepNext/>
      <w:keepLines/>
      <w:spacing w:before="240" w:after="64" w:line="317" w:lineRule="auto"/>
      <w:outlineLvl w:val="5"/>
    </w:pPr>
    <w:rPr>
      <w:rFonts w:ascii="Arial" w:hAnsi="Arial" w:eastAsia="黑体"/>
      <w:b/>
      <w:sz w:val="24"/>
      <w:szCs w:val="20"/>
    </w:rPr>
  </w:style>
  <w:style w:type="paragraph" w:styleId="10">
    <w:name w:val="heading 7"/>
    <w:basedOn w:val="1"/>
    <w:next w:val="9"/>
    <w:link w:val="70"/>
    <w:qFormat/>
    <w:uiPriority w:val="0"/>
    <w:pPr>
      <w:keepNext/>
      <w:keepLines/>
      <w:spacing w:before="240" w:after="64" w:line="317" w:lineRule="auto"/>
      <w:outlineLvl w:val="6"/>
    </w:pPr>
    <w:rPr>
      <w:b/>
      <w:sz w:val="24"/>
      <w:szCs w:val="20"/>
    </w:rPr>
  </w:style>
  <w:style w:type="paragraph" w:styleId="11">
    <w:name w:val="heading 8"/>
    <w:basedOn w:val="1"/>
    <w:next w:val="9"/>
    <w:link w:val="176"/>
    <w:qFormat/>
    <w:uiPriority w:val="0"/>
    <w:pPr>
      <w:keepNext/>
      <w:keepLines/>
      <w:spacing w:before="240" w:after="64" w:line="317" w:lineRule="auto"/>
      <w:outlineLvl w:val="7"/>
    </w:pPr>
    <w:rPr>
      <w:rFonts w:ascii="Arial" w:hAnsi="Arial" w:eastAsia="黑体"/>
      <w:sz w:val="24"/>
      <w:szCs w:val="20"/>
    </w:rPr>
  </w:style>
  <w:style w:type="paragraph" w:styleId="12">
    <w:name w:val="heading 9"/>
    <w:basedOn w:val="1"/>
    <w:next w:val="9"/>
    <w:link w:val="163"/>
    <w:qFormat/>
    <w:uiPriority w:val="0"/>
    <w:pPr>
      <w:keepNext/>
      <w:keepLines/>
      <w:spacing w:before="240" w:after="64" w:line="317" w:lineRule="auto"/>
      <w:outlineLvl w:val="8"/>
    </w:pPr>
    <w:rPr>
      <w:rFonts w:ascii="Arial" w:hAnsi="Arial" w:eastAsia="黑体"/>
      <w:szCs w:val="20"/>
    </w:rPr>
  </w:style>
  <w:style w:type="character" w:default="1" w:styleId="55">
    <w:name w:val="Default Paragraph Font"/>
    <w:semiHidden/>
    <w:unhideWhenUsed/>
    <w:qFormat/>
    <w:uiPriority w:val="1"/>
  </w:style>
  <w:style w:type="table" w:default="1" w:styleId="53">
    <w:name w:val="Normal Table"/>
    <w:semiHidden/>
    <w:unhideWhenUsed/>
    <w:qFormat/>
    <w:uiPriority w:val="99"/>
    <w:tblPr>
      <w:tblCellMar>
        <w:top w:w="0" w:type="dxa"/>
        <w:left w:w="108" w:type="dxa"/>
        <w:bottom w:w="0" w:type="dxa"/>
        <w:right w:w="108" w:type="dxa"/>
      </w:tblCellMar>
    </w:tblPr>
  </w:style>
  <w:style w:type="paragraph" w:styleId="2">
    <w:name w:val="macro"/>
    <w:link w:val="118"/>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Times New Roman" w:cs="Times New Roman"/>
      <w:kern w:val="2"/>
      <w:sz w:val="24"/>
      <w:szCs w:val="24"/>
      <w:lang w:val="en-US" w:eastAsia="zh-CN" w:bidi="ar-SA"/>
    </w:rPr>
  </w:style>
  <w:style w:type="paragraph" w:styleId="9">
    <w:name w:val="Normal Indent"/>
    <w:basedOn w:val="1"/>
    <w:next w:val="1"/>
    <w:link w:val="105"/>
    <w:qFormat/>
    <w:uiPriority w:val="0"/>
    <w:pPr>
      <w:adjustRightInd w:val="0"/>
      <w:spacing w:line="312" w:lineRule="atLeast"/>
      <w:ind w:firstLine="420"/>
      <w:textAlignment w:val="baseline"/>
    </w:pPr>
    <w:rPr>
      <w:rFonts w:ascii="仿宋_GB2312"/>
      <w:b/>
      <w:kern w:val="0"/>
      <w:szCs w:val="32"/>
    </w:rPr>
  </w:style>
  <w:style w:type="paragraph" w:styleId="13">
    <w:name w:val="toc 7"/>
    <w:basedOn w:val="1"/>
    <w:next w:val="1"/>
    <w:qFormat/>
    <w:uiPriority w:val="0"/>
    <w:pPr>
      <w:autoSpaceDE w:val="0"/>
      <w:autoSpaceDN w:val="0"/>
      <w:adjustRightInd w:val="0"/>
      <w:ind w:left="2520" w:leftChars="1200"/>
      <w:jc w:val="left"/>
    </w:pPr>
    <w:rPr>
      <w:kern w:val="0"/>
      <w:sz w:val="20"/>
      <w:szCs w:val="20"/>
    </w:rPr>
  </w:style>
  <w:style w:type="paragraph" w:styleId="14">
    <w:name w:val="List Number"/>
    <w:basedOn w:val="1"/>
    <w:qFormat/>
    <w:uiPriority w:val="0"/>
    <w:pPr>
      <w:tabs>
        <w:tab w:val="left" w:pos="360"/>
      </w:tabs>
      <w:ind w:left="360" w:hanging="360" w:hangingChars="200"/>
    </w:pPr>
  </w:style>
  <w:style w:type="paragraph" w:styleId="15">
    <w:name w:val="caption"/>
    <w:basedOn w:val="1"/>
    <w:next w:val="1"/>
    <w:qFormat/>
    <w:uiPriority w:val="0"/>
    <w:pPr>
      <w:autoSpaceDE w:val="0"/>
      <w:autoSpaceDN w:val="0"/>
      <w:adjustRightInd w:val="0"/>
      <w:jc w:val="left"/>
    </w:pPr>
    <w:rPr>
      <w:rFonts w:ascii="Arial" w:hAnsi="Arial" w:eastAsia="黑体" w:cs="Arial"/>
      <w:kern w:val="0"/>
      <w:sz w:val="20"/>
      <w:szCs w:val="20"/>
    </w:rPr>
  </w:style>
  <w:style w:type="paragraph" w:styleId="16">
    <w:name w:val="List Bullet"/>
    <w:basedOn w:val="1"/>
    <w:qFormat/>
    <w:uiPriority w:val="0"/>
    <w:pPr>
      <w:tabs>
        <w:tab w:val="left" w:pos="360"/>
      </w:tabs>
    </w:pPr>
    <w:rPr>
      <w:rFonts w:ascii="Calibri" w:hAnsi="Calibri"/>
      <w:szCs w:val="22"/>
    </w:rPr>
  </w:style>
  <w:style w:type="paragraph" w:styleId="17">
    <w:name w:val="Document Map"/>
    <w:basedOn w:val="1"/>
    <w:link w:val="131"/>
    <w:qFormat/>
    <w:uiPriority w:val="0"/>
    <w:pPr>
      <w:shd w:val="clear" w:color="auto" w:fill="000080"/>
    </w:pPr>
  </w:style>
  <w:style w:type="paragraph" w:styleId="18">
    <w:name w:val="annotation text"/>
    <w:basedOn w:val="1"/>
    <w:link w:val="91"/>
    <w:qFormat/>
    <w:uiPriority w:val="0"/>
    <w:pPr>
      <w:jc w:val="left"/>
    </w:pPr>
  </w:style>
  <w:style w:type="paragraph" w:styleId="19">
    <w:name w:val="Salutation"/>
    <w:basedOn w:val="1"/>
    <w:next w:val="1"/>
    <w:link w:val="79"/>
    <w:qFormat/>
    <w:uiPriority w:val="0"/>
    <w:pPr>
      <w:tabs>
        <w:tab w:val="left" w:pos="840"/>
      </w:tabs>
      <w:autoSpaceDE w:val="0"/>
      <w:autoSpaceDN w:val="0"/>
      <w:adjustRightInd w:val="0"/>
      <w:jc w:val="left"/>
    </w:pPr>
    <w:rPr>
      <w:rFonts w:ascii="仿宋_GB2312" w:eastAsia="仿宋_GB2312"/>
      <w:b/>
      <w:kern w:val="0"/>
      <w:sz w:val="24"/>
      <w:szCs w:val="32"/>
    </w:rPr>
  </w:style>
  <w:style w:type="paragraph" w:styleId="20">
    <w:name w:val="Body Text 3"/>
    <w:basedOn w:val="1"/>
    <w:link w:val="95"/>
    <w:qFormat/>
    <w:uiPriority w:val="0"/>
    <w:pPr>
      <w:autoSpaceDE w:val="0"/>
      <w:autoSpaceDN w:val="0"/>
      <w:adjustRightInd w:val="0"/>
      <w:jc w:val="center"/>
    </w:pPr>
  </w:style>
  <w:style w:type="paragraph" w:styleId="21">
    <w:name w:val="Body Text"/>
    <w:basedOn w:val="1"/>
    <w:link w:val="164"/>
    <w:qFormat/>
    <w:uiPriority w:val="0"/>
    <w:pPr>
      <w:spacing w:after="120"/>
    </w:pPr>
    <w:rPr>
      <w:rFonts w:ascii="仿宋_GB2312"/>
      <w:b/>
    </w:rPr>
  </w:style>
  <w:style w:type="paragraph" w:styleId="22">
    <w:name w:val="Body Text Indent"/>
    <w:basedOn w:val="1"/>
    <w:link w:val="144"/>
    <w:qFormat/>
    <w:uiPriority w:val="0"/>
    <w:pPr>
      <w:ind w:left="480" w:hanging="480" w:hangingChars="200"/>
    </w:pPr>
    <w:rPr>
      <w:sz w:val="24"/>
    </w:rPr>
  </w:style>
  <w:style w:type="paragraph" w:styleId="23">
    <w:name w:val="List Number 3"/>
    <w:basedOn w:val="1"/>
    <w:qFormat/>
    <w:uiPriority w:val="0"/>
    <w:pPr>
      <w:tabs>
        <w:tab w:val="left" w:pos="1200"/>
      </w:tabs>
      <w:ind w:left="1200" w:leftChars="400" w:hanging="360" w:hangingChars="200"/>
    </w:pPr>
  </w:style>
  <w:style w:type="paragraph" w:styleId="24">
    <w:name w:val="Block Text"/>
    <w:basedOn w:val="1"/>
    <w:qFormat/>
    <w:uiPriority w:val="0"/>
    <w:pPr>
      <w:spacing w:line="520" w:lineRule="exact"/>
      <w:ind w:left="540" w:leftChars="257" w:right="-514"/>
    </w:pPr>
    <w:rPr>
      <w:rFonts w:ascii="宋体" w:hAnsi="宋体"/>
      <w:sz w:val="24"/>
    </w:rPr>
  </w:style>
  <w:style w:type="paragraph" w:styleId="25">
    <w:name w:val="List Bullet 2"/>
    <w:basedOn w:val="1"/>
    <w:qFormat/>
    <w:uiPriority w:val="0"/>
    <w:pPr>
      <w:tabs>
        <w:tab w:val="left" w:pos="780"/>
      </w:tabs>
      <w:spacing w:line="360" w:lineRule="auto"/>
      <w:ind w:left="780" w:leftChars="200" w:hanging="360" w:hangingChars="200"/>
    </w:pPr>
  </w:style>
  <w:style w:type="paragraph" w:styleId="26">
    <w:name w:val="toc 5"/>
    <w:basedOn w:val="1"/>
    <w:next w:val="1"/>
    <w:qFormat/>
    <w:uiPriority w:val="0"/>
    <w:pPr>
      <w:autoSpaceDE w:val="0"/>
      <w:autoSpaceDN w:val="0"/>
      <w:adjustRightInd w:val="0"/>
      <w:ind w:left="1680" w:leftChars="800"/>
      <w:jc w:val="left"/>
    </w:pPr>
    <w:rPr>
      <w:kern w:val="0"/>
      <w:sz w:val="20"/>
      <w:szCs w:val="20"/>
    </w:rPr>
  </w:style>
  <w:style w:type="paragraph" w:styleId="27">
    <w:name w:val="toc 3"/>
    <w:basedOn w:val="1"/>
    <w:next w:val="1"/>
    <w:qFormat/>
    <w:uiPriority w:val="0"/>
    <w:pPr>
      <w:ind w:left="840" w:leftChars="400"/>
    </w:pPr>
  </w:style>
  <w:style w:type="paragraph" w:styleId="28">
    <w:name w:val="Plain Text"/>
    <w:basedOn w:val="1"/>
    <w:link w:val="192"/>
    <w:qFormat/>
    <w:uiPriority w:val="0"/>
    <w:pPr>
      <w:widowControl/>
      <w:overflowPunct w:val="0"/>
      <w:autoSpaceDE w:val="0"/>
      <w:autoSpaceDN w:val="0"/>
      <w:adjustRightInd w:val="0"/>
      <w:jc w:val="left"/>
      <w:textAlignment w:val="baseline"/>
    </w:pPr>
    <w:rPr>
      <w:rFonts w:ascii="宋体" w:hAnsi="Courier New"/>
      <w:b/>
      <w:kern w:val="0"/>
      <w:szCs w:val="21"/>
    </w:rPr>
  </w:style>
  <w:style w:type="paragraph" w:styleId="29">
    <w:name w:val="List Number 4"/>
    <w:basedOn w:val="1"/>
    <w:qFormat/>
    <w:uiPriority w:val="0"/>
    <w:pPr>
      <w:tabs>
        <w:tab w:val="left" w:pos="840"/>
      </w:tabs>
      <w:autoSpaceDE w:val="0"/>
      <w:autoSpaceDN w:val="0"/>
      <w:adjustRightInd w:val="0"/>
      <w:spacing w:line="360" w:lineRule="atLeast"/>
      <w:ind w:left="840" w:hanging="420"/>
      <w:jc w:val="left"/>
    </w:pPr>
    <w:rPr>
      <w:kern w:val="0"/>
      <w:sz w:val="24"/>
      <w:szCs w:val="20"/>
    </w:rPr>
  </w:style>
  <w:style w:type="paragraph" w:styleId="30">
    <w:name w:val="toc 8"/>
    <w:basedOn w:val="1"/>
    <w:next w:val="1"/>
    <w:qFormat/>
    <w:uiPriority w:val="0"/>
    <w:pPr>
      <w:autoSpaceDE w:val="0"/>
      <w:autoSpaceDN w:val="0"/>
      <w:adjustRightInd w:val="0"/>
      <w:ind w:left="2940" w:leftChars="1400"/>
      <w:jc w:val="left"/>
    </w:pPr>
    <w:rPr>
      <w:kern w:val="0"/>
      <w:sz w:val="20"/>
      <w:szCs w:val="20"/>
    </w:rPr>
  </w:style>
  <w:style w:type="paragraph" w:styleId="31">
    <w:name w:val="Date"/>
    <w:basedOn w:val="1"/>
    <w:next w:val="1"/>
    <w:link w:val="133"/>
    <w:qFormat/>
    <w:uiPriority w:val="0"/>
    <w:pPr>
      <w:ind w:left="100" w:leftChars="2500"/>
    </w:pPr>
  </w:style>
  <w:style w:type="paragraph" w:styleId="32">
    <w:name w:val="Body Text Indent 2"/>
    <w:basedOn w:val="1"/>
    <w:link w:val="178"/>
    <w:qFormat/>
    <w:uiPriority w:val="0"/>
    <w:pPr>
      <w:spacing w:line="500" w:lineRule="exact"/>
      <w:ind w:firstLine="511" w:firstLineChars="213"/>
    </w:pPr>
    <w:rPr>
      <w:sz w:val="24"/>
    </w:rPr>
  </w:style>
  <w:style w:type="paragraph" w:styleId="33">
    <w:name w:val="Balloon Text"/>
    <w:basedOn w:val="1"/>
    <w:link w:val="151"/>
    <w:qFormat/>
    <w:uiPriority w:val="0"/>
    <w:rPr>
      <w:sz w:val="18"/>
      <w:szCs w:val="18"/>
    </w:rPr>
  </w:style>
  <w:style w:type="paragraph" w:styleId="34">
    <w:name w:val="footer"/>
    <w:basedOn w:val="1"/>
    <w:link w:val="120"/>
    <w:qFormat/>
    <w:uiPriority w:val="0"/>
    <w:pPr>
      <w:tabs>
        <w:tab w:val="center" w:pos="4153"/>
        <w:tab w:val="right" w:pos="8306"/>
      </w:tabs>
      <w:snapToGrid w:val="0"/>
      <w:jc w:val="left"/>
    </w:pPr>
    <w:rPr>
      <w:sz w:val="18"/>
      <w:szCs w:val="18"/>
    </w:rPr>
  </w:style>
  <w:style w:type="paragraph" w:styleId="35">
    <w:name w:val="header"/>
    <w:basedOn w:val="1"/>
    <w:link w:val="135"/>
    <w:qFormat/>
    <w:uiPriority w:val="0"/>
    <w:pPr>
      <w:pBdr>
        <w:bottom w:val="single" w:color="auto" w:sz="6" w:space="1"/>
      </w:pBdr>
      <w:tabs>
        <w:tab w:val="center" w:pos="4153"/>
        <w:tab w:val="right" w:pos="8306"/>
      </w:tabs>
      <w:snapToGrid w:val="0"/>
      <w:jc w:val="center"/>
    </w:pPr>
    <w:rPr>
      <w:sz w:val="18"/>
      <w:szCs w:val="18"/>
    </w:rPr>
  </w:style>
  <w:style w:type="paragraph" w:styleId="36">
    <w:name w:val="Signature"/>
    <w:basedOn w:val="1"/>
    <w:link w:val="154"/>
    <w:qFormat/>
    <w:uiPriority w:val="0"/>
    <w:pPr>
      <w:autoSpaceDE w:val="0"/>
      <w:autoSpaceDN w:val="0"/>
      <w:adjustRightInd w:val="0"/>
      <w:spacing w:after="600" w:line="312" w:lineRule="atLeast"/>
      <w:jc w:val="center"/>
      <w:textAlignment w:val="baseline"/>
    </w:pPr>
    <w:rPr>
      <w:rFonts w:ascii="仿宋_GB2312" w:eastAsia="仿宋_GB2312"/>
      <w:b/>
      <w:kern w:val="0"/>
      <w:sz w:val="24"/>
      <w:szCs w:val="32"/>
    </w:rPr>
  </w:style>
  <w:style w:type="paragraph" w:styleId="37">
    <w:name w:val="toc 1"/>
    <w:basedOn w:val="38"/>
    <w:next w:val="1"/>
    <w:qFormat/>
    <w:uiPriority w:val="0"/>
  </w:style>
  <w:style w:type="paragraph" w:styleId="38">
    <w:name w:val="index 1"/>
    <w:basedOn w:val="1"/>
    <w:next w:val="1"/>
    <w:qFormat/>
    <w:uiPriority w:val="0"/>
  </w:style>
  <w:style w:type="paragraph" w:styleId="39">
    <w:name w:val="toc 4"/>
    <w:basedOn w:val="1"/>
    <w:next w:val="1"/>
    <w:qFormat/>
    <w:uiPriority w:val="0"/>
    <w:pPr>
      <w:autoSpaceDE w:val="0"/>
      <w:autoSpaceDN w:val="0"/>
      <w:adjustRightInd w:val="0"/>
      <w:ind w:left="1260" w:leftChars="600"/>
      <w:jc w:val="left"/>
    </w:pPr>
    <w:rPr>
      <w:kern w:val="0"/>
      <w:sz w:val="20"/>
      <w:szCs w:val="20"/>
    </w:rPr>
  </w:style>
  <w:style w:type="paragraph" w:styleId="40">
    <w:name w:val="Subtitle"/>
    <w:basedOn w:val="1"/>
    <w:next w:val="1"/>
    <w:link w:val="134"/>
    <w:qFormat/>
    <w:uiPriority w:val="0"/>
    <w:pPr>
      <w:spacing w:before="240" w:after="60" w:line="312" w:lineRule="auto"/>
      <w:jc w:val="center"/>
      <w:outlineLvl w:val="1"/>
    </w:pPr>
    <w:rPr>
      <w:rFonts w:ascii="Cambria" w:hAnsi="Cambria"/>
      <w:b/>
      <w:bCs/>
      <w:kern w:val="28"/>
      <w:sz w:val="32"/>
      <w:szCs w:val="32"/>
    </w:rPr>
  </w:style>
  <w:style w:type="paragraph" w:styleId="41">
    <w:name w:val="List Number 5"/>
    <w:basedOn w:val="1"/>
    <w:qFormat/>
    <w:uiPriority w:val="0"/>
    <w:pPr>
      <w:tabs>
        <w:tab w:val="left" w:pos="2040"/>
      </w:tabs>
      <w:autoSpaceDE w:val="0"/>
      <w:autoSpaceDN w:val="0"/>
      <w:adjustRightInd w:val="0"/>
      <w:spacing w:line="400" w:lineRule="exact"/>
      <w:ind w:left="2040" w:hanging="360"/>
      <w:jc w:val="left"/>
    </w:pPr>
    <w:rPr>
      <w:kern w:val="0"/>
      <w:sz w:val="24"/>
      <w:szCs w:val="20"/>
    </w:rPr>
  </w:style>
  <w:style w:type="paragraph" w:styleId="42">
    <w:name w:val="List"/>
    <w:basedOn w:val="1"/>
    <w:qFormat/>
    <w:uiPriority w:val="0"/>
    <w:pPr>
      <w:ind w:left="200" w:hanging="200" w:hangingChars="200"/>
    </w:pPr>
  </w:style>
  <w:style w:type="paragraph" w:styleId="43">
    <w:name w:val="toc 6"/>
    <w:basedOn w:val="1"/>
    <w:next w:val="1"/>
    <w:qFormat/>
    <w:uiPriority w:val="0"/>
    <w:pPr>
      <w:autoSpaceDE w:val="0"/>
      <w:autoSpaceDN w:val="0"/>
      <w:adjustRightInd w:val="0"/>
      <w:ind w:left="2100" w:leftChars="1000"/>
      <w:jc w:val="left"/>
    </w:pPr>
    <w:rPr>
      <w:kern w:val="0"/>
      <w:sz w:val="20"/>
      <w:szCs w:val="20"/>
    </w:rPr>
  </w:style>
  <w:style w:type="paragraph" w:styleId="44">
    <w:name w:val="Body Text Indent 3"/>
    <w:basedOn w:val="1"/>
    <w:link w:val="146"/>
    <w:qFormat/>
    <w:uiPriority w:val="0"/>
    <w:pPr>
      <w:spacing w:line="500" w:lineRule="exact"/>
      <w:ind w:left="511" w:hanging="511" w:hangingChars="213"/>
    </w:pPr>
    <w:rPr>
      <w:sz w:val="24"/>
    </w:rPr>
  </w:style>
  <w:style w:type="paragraph" w:styleId="45">
    <w:name w:val="toc 2"/>
    <w:basedOn w:val="1"/>
    <w:next w:val="1"/>
    <w:qFormat/>
    <w:uiPriority w:val="0"/>
    <w:pPr>
      <w:ind w:left="420" w:leftChars="200"/>
    </w:pPr>
  </w:style>
  <w:style w:type="paragraph" w:styleId="46">
    <w:name w:val="toc 9"/>
    <w:basedOn w:val="1"/>
    <w:next w:val="1"/>
    <w:qFormat/>
    <w:uiPriority w:val="0"/>
    <w:pPr>
      <w:autoSpaceDE w:val="0"/>
      <w:autoSpaceDN w:val="0"/>
      <w:adjustRightInd w:val="0"/>
      <w:ind w:left="3360" w:leftChars="1600"/>
      <w:jc w:val="left"/>
    </w:pPr>
    <w:rPr>
      <w:kern w:val="0"/>
      <w:sz w:val="20"/>
      <w:szCs w:val="20"/>
    </w:rPr>
  </w:style>
  <w:style w:type="paragraph" w:styleId="47">
    <w:name w:val="Body Text 2"/>
    <w:basedOn w:val="1"/>
    <w:link w:val="198"/>
    <w:qFormat/>
    <w:uiPriority w:val="0"/>
    <w:pPr>
      <w:autoSpaceDE w:val="0"/>
      <w:autoSpaceDN w:val="0"/>
      <w:adjustRightInd w:val="0"/>
      <w:spacing w:after="120" w:line="480" w:lineRule="auto"/>
      <w:jc w:val="left"/>
    </w:pPr>
  </w:style>
  <w:style w:type="paragraph" w:styleId="48">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49">
    <w:name w:val="Title"/>
    <w:basedOn w:val="1"/>
    <w:next w:val="1"/>
    <w:link w:val="111"/>
    <w:qFormat/>
    <w:uiPriority w:val="0"/>
    <w:pPr>
      <w:spacing w:before="240" w:after="60"/>
      <w:jc w:val="center"/>
      <w:outlineLvl w:val="0"/>
    </w:pPr>
    <w:rPr>
      <w:rFonts w:ascii="Cambria" w:hAnsi="Cambria"/>
      <w:b/>
      <w:bCs/>
      <w:sz w:val="32"/>
      <w:szCs w:val="32"/>
    </w:rPr>
  </w:style>
  <w:style w:type="paragraph" w:styleId="50">
    <w:name w:val="annotation subject"/>
    <w:basedOn w:val="18"/>
    <w:next w:val="18"/>
    <w:link w:val="96"/>
    <w:qFormat/>
    <w:uiPriority w:val="0"/>
    <w:rPr>
      <w:b/>
      <w:bCs/>
    </w:rPr>
  </w:style>
  <w:style w:type="paragraph" w:styleId="51">
    <w:name w:val="Body Text First Indent"/>
    <w:basedOn w:val="21"/>
    <w:link w:val="196"/>
    <w:qFormat/>
    <w:uiPriority w:val="0"/>
    <w:pPr>
      <w:autoSpaceDE w:val="0"/>
      <w:autoSpaceDN w:val="0"/>
      <w:adjustRightInd w:val="0"/>
      <w:ind w:firstLine="420" w:firstLineChars="100"/>
      <w:jc w:val="left"/>
    </w:pPr>
    <w:rPr>
      <w:rFonts w:ascii="Times New Roman"/>
      <w:b w:val="0"/>
      <w:kern w:val="0"/>
      <w:sz w:val="20"/>
      <w:szCs w:val="20"/>
    </w:rPr>
  </w:style>
  <w:style w:type="paragraph" w:styleId="52">
    <w:name w:val="Body Text First Indent 2"/>
    <w:basedOn w:val="22"/>
    <w:qFormat/>
    <w:uiPriority w:val="0"/>
    <w:pPr>
      <w:spacing w:after="120"/>
      <w:ind w:left="420" w:leftChars="200" w:firstLine="420"/>
    </w:pPr>
    <w:rPr>
      <w:rFonts w:cs="宋体"/>
      <w:sz w:val="21"/>
      <w:szCs w:val="21"/>
    </w:rPr>
  </w:style>
  <w:style w:type="table" w:styleId="54">
    <w:name w:val="Table Grid"/>
    <w:basedOn w:val="5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6">
    <w:name w:val="Strong"/>
    <w:basedOn w:val="55"/>
    <w:qFormat/>
    <w:uiPriority w:val="0"/>
    <w:rPr>
      <w:rFonts w:ascii="仿宋_GB2312" w:eastAsia="仿宋_GB2312"/>
      <w:bCs/>
      <w:sz w:val="32"/>
      <w:szCs w:val="32"/>
    </w:rPr>
  </w:style>
  <w:style w:type="character" w:styleId="57">
    <w:name w:val="page number"/>
    <w:basedOn w:val="55"/>
    <w:qFormat/>
    <w:uiPriority w:val="0"/>
  </w:style>
  <w:style w:type="character" w:styleId="58">
    <w:name w:val="FollowedHyperlink"/>
    <w:qFormat/>
    <w:uiPriority w:val="0"/>
    <w:rPr>
      <w:rFonts w:ascii="仿宋_GB2312" w:eastAsia="仿宋_GB2312"/>
      <w:b/>
      <w:color w:val="800080"/>
      <w:sz w:val="32"/>
      <w:szCs w:val="32"/>
      <w:u w:val="none"/>
    </w:rPr>
  </w:style>
  <w:style w:type="character" w:styleId="59">
    <w:name w:val="Emphasis"/>
    <w:qFormat/>
    <w:uiPriority w:val="0"/>
    <w:rPr>
      <w:i/>
      <w:iCs/>
    </w:rPr>
  </w:style>
  <w:style w:type="character" w:styleId="60">
    <w:name w:val="line number"/>
    <w:basedOn w:val="55"/>
    <w:qFormat/>
    <w:uiPriority w:val="0"/>
  </w:style>
  <w:style w:type="character" w:styleId="61">
    <w:name w:val="Hyperlink"/>
    <w:qFormat/>
    <w:uiPriority w:val="0"/>
    <w:rPr>
      <w:rFonts w:ascii="仿宋_GB2312" w:eastAsia="仿宋_GB2312"/>
      <w:b/>
      <w:color w:val="0000FF"/>
      <w:sz w:val="32"/>
      <w:szCs w:val="32"/>
      <w:u w:val="none"/>
    </w:rPr>
  </w:style>
  <w:style w:type="character" w:styleId="62">
    <w:name w:val="annotation reference"/>
    <w:qFormat/>
    <w:uiPriority w:val="0"/>
    <w:rPr>
      <w:sz w:val="21"/>
      <w:szCs w:val="21"/>
    </w:rPr>
  </w:style>
  <w:style w:type="character" w:styleId="63">
    <w:name w:val="HTML Cite"/>
    <w:qFormat/>
    <w:uiPriority w:val="0"/>
    <w:rPr>
      <w:color w:val="008000"/>
    </w:rPr>
  </w:style>
  <w:style w:type="paragraph" w:customStyle="1" w:styleId="64">
    <w:name w:val="Char3 Char Char Char"/>
    <w:basedOn w:val="1"/>
    <w:qFormat/>
    <w:uiPriority w:val="0"/>
  </w:style>
  <w:style w:type="character" w:customStyle="1" w:styleId="65">
    <w:name w:val="不明显参考1"/>
    <w:qFormat/>
    <w:uiPriority w:val="0"/>
    <w:rPr>
      <w:smallCaps/>
      <w:color w:val="C0504D"/>
      <w:u w:val="single"/>
    </w:rPr>
  </w:style>
  <w:style w:type="character" w:customStyle="1" w:styleId="66">
    <w:name w:val="PI Char1"/>
    <w:qFormat/>
    <w:uiPriority w:val="0"/>
    <w:rPr>
      <w:rFonts w:eastAsia="宋体"/>
      <w:kern w:val="2"/>
      <w:sz w:val="24"/>
      <w:szCs w:val="24"/>
      <w:lang w:val="en-US" w:eastAsia="zh-CN" w:bidi="ar-SA"/>
    </w:rPr>
  </w:style>
  <w:style w:type="character" w:customStyle="1" w:styleId="67">
    <w:name w:val="标题 2 Char"/>
    <w:link w:val="4"/>
    <w:qFormat/>
    <w:uiPriority w:val="0"/>
    <w:rPr>
      <w:rFonts w:ascii="仿宋_GB2312" w:eastAsia="宋体"/>
      <w:b/>
      <w:kern w:val="2"/>
      <w:sz w:val="28"/>
      <w:szCs w:val="32"/>
      <w:lang w:val="en-US" w:eastAsia="zh-CN" w:bidi="ar-SA"/>
    </w:rPr>
  </w:style>
  <w:style w:type="character" w:customStyle="1" w:styleId="68">
    <w:name w:val="pt141"/>
    <w:qFormat/>
    <w:uiPriority w:val="0"/>
    <w:rPr>
      <w:color w:val="330066"/>
      <w:spacing w:val="450"/>
      <w:sz w:val="22"/>
      <w:szCs w:val="22"/>
    </w:rPr>
  </w:style>
  <w:style w:type="character" w:customStyle="1" w:styleId="69">
    <w:name w:val="Char Char27"/>
    <w:qFormat/>
    <w:uiPriority w:val="0"/>
    <w:rPr>
      <w:rFonts w:eastAsia="宋体"/>
      <w:kern w:val="2"/>
      <w:sz w:val="28"/>
      <w:lang w:val="en-US" w:eastAsia="zh-CN" w:bidi="ar-SA"/>
    </w:rPr>
  </w:style>
  <w:style w:type="character" w:customStyle="1" w:styleId="70">
    <w:name w:val="标题 7 Char"/>
    <w:link w:val="10"/>
    <w:qFormat/>
    <w:uiPriority w:val="0"/>
    <w:rPr>
      <w:rFonts w:eastAsia="宋体"/>
      <w:b/>
      <w:kern w:val="2"/>
      <w:sz w:val="24"/>
      <w:lang w:val="en-US" w:eastAsia="zh-CN" w:bidi="ar-SA"/>
    </w:rPr>
  </w:style>
  <w:style w:type="character" w:customStyle="1" w:styleId="71">
    <w:name w:val="明显参考1"/>
    <w:qFormat/>
    <w:uiPriority w:val="0"/>
    <w:rPr>
      <w:b/>
      <w:bCs/>
      <w:smallCaps/>
      <w:color w:val="C0504D"/>
      <w:spacing w:val="5"/>
      <w:u w:val="single"/>
    </w:rPr>
  </w:style>
  <w:style w:type="character" w:customStyle="1" w:styleId="72">
    <w:name w:val="书籍标题1"/>
    <w:qFormat/>
    <w:uiPriority w:val="0"/>
    <w:rPr>
      <w:b/>
      <w:bCs/>
      <w:smallCaps/>
      <w:spacing w:val="5"/>
    </w:rPr>
  </w:style>
  <w:style w:type="character" w:customStyle="1" w:styleId="73">
    <w:name w:val="Char Char61"/>
    <w:qFormat/>
    <w:uiPriority w:val="0"/>
    <w:rPr>
      <w:rFonts w:ascii="Times New Roman" w:hAnsi="Times New Roman" w:eastAsia="宋体" w:cs="Times New Roman"/>
      <w:szCs w:val="24"/>
    </w:rPr>
  </w:style>
  <w:style w:type="character" w:customStyle="1" w:styleId="74">
    <w:name w:val="Char Char24"/>
    <w:qFormat/>
    <w:uiPriority w:val="0"/>
    <w:rPr>
      <w:rFonts w:eastAsia="宋体"/>
      <w:b/>
      <w:kern w:val="2"/>
      <w:sz w:val="28"/>
      <w:lang w:val="en-US" w:eastAsia="zh-CN" w:bidi="ar-SA"/>
    </w:rPr>
  </w:style>
  <w:style w:type="character" w:customStyle="1" w:styleId="75">
    <w:name w:val="Style4"/>
    <w:qFormat/>
    <w:uiPriority w:val="0"/>
    <w:rPr>
      <w:rFonts w:ascii="Calibri" w:hAnsi="宋体" w:eastAsia="宋体" w:cs="Times New Roman"/>
      <w:szCs w:val="22"/>
      <w:lang w:eastAsia="zh-CN"/>
    </w:rPr>
  </w:style>
  <w:style w:type="character" w:customStyle="1" w:styleId="76">
    <w:name w:val="Style1"/>
    <w:qFormat/>
    <w:uiPriority w:val="0"/>
    <w:rPr>
      <w:rFonts w:ascii="Calibri" w:hAnsi="宋体" w:eastAsia="宋体" w:cs="Times New Roman"/>
      <w:sz w:val="22"/>
      <w:szCs w:val="22"/>
      <w:lang w:eastAsia="zh-CN"/>
    </w:rPr>
  </w:style>
  <w:style w:type="character" w:customStyle="1" w:styleId="77">
    <w:name w:val="heading 1 Char1"/>
    <w:qFormat/>
    <w:uiPriority w:val="0"/>
    <w:rPr>
      <w:rFonts w:eastAsia="宋体"/>
      <w:b/>
      <w:bCs/>
      <w:kern w:val="44"/>
      <w:sz w:val="44"/>
      <w:szCs w:val="44"/>
      <w:lang w:val="en-US" w:eastAsia="zh-CN" w:bidi="ar-SA"/>
    </w:rPr>
  </w:style>
  <w:style w:type="character" w:customStyle="1" w:styleId="78">
    <w:name w:val="Style5"/>
    <w:qFormat/>
    <w:uiPriority w:val="0"/>
    <w:rPr>
      <w:rFonts w:ascii="Calibri" w:hAnsi="宋体" w:eastAsia="宋体" w:cs="Times New Roman"/>
      <w:sz w:val="22"/>
      <w:szCs w:val="22"/>
      <w:lang w:eastAsia="zh-CN"/>
    </w:rPr>
  </w:style>
  <w:style w:type="character" w:customStyle="1" w:styleId="79">
    <w:name w:val="称呼 Char"/>
    <w:link w:val="19"/>
    <w:qFormat/>
    <w:uiPriority w:val="0"/>
    <w:rPr>
      <w:rFonts w:ascii="仿宋_GB2312" w:eastAsia="仿宋_GB2312"/>
      <w:b/>
      <w:sz w:val="24"/>
      <w:szCs w:val="32"/>
    </w:rPr>
  </w:style>
  <w:style w:type="character" w:customStyle="1" w:styleId="80">
    <w:name w:val="Ò³Ã¼ Char Char2"/>
    <w:qFormat/>
    <w:uiPriority w:val="0"/>
    <w:rPr>
      <w:kern w:val="2"/>
      <w:sz w:val="18"/>
      <w:szCs w:val="18"/>
    </w:rPr>
  </w:style>
  <w:style w:type="character" w:customStyle="1" w:styleId="81">
    <w:name w:val="明显强调1"/>
    <w:qFormat/>
    <w:uiPriority w:val="0"/>
    <w:rPr>
      <w:b/>
      <w:bCs/>
      <w:i/>
      <w:iCs/>
      <w:color w:val="4F81BD"/>
    </w:rPr>
  </w:style>
  <w:style w:type="character" w:customStyle="1" w:styleId="82">
    <w:name w:val="样式 标题 3 + 黑体 小四 Char Char"/>
    <w:link w:val="83"/>
    <w:qFormat/>
    <w:uiPriority w:val="0"/>
    <w:rPr>
      <w:rFonts w:ascii="黑体" w:hAnsi="Arial" w:eastAsia="黑体"/>
      <w:bCs/>
      <w:sz w:val="24"/>
      <w:szCs w:val="24"/>
      <w:lang w:bidi="ar-SA"/>
    </w:rPr>
  </w:style>
  <w:style w:type="paragraph" w:customStyle="1" w:styleId="83">
    <w:name w:val="样式 标题 3 + 黑体 小四"/>
    <w:basedOn w:val="5"/>
    <w:link w:val="82"/>
    <w:qFormat/>
    <w:uiPriority w:val="0"/>
    <w:pPr>
      <w:spacing w:before="260" w:after="260" w:line="413" w:lineRule="auto"/>
    </w:pPr>
    <w:rPr>
      <w:rFonts w:ascii="黑体" w:hAnsi="Arial"/>
      <w:b w:val="0"/>
      <w:bCs/>
      <w:kern w:val="0"/>
      <w:sz w:val="24"/>
      <w:szCs w:val="24"/>
    </w:rPr>
  </w:style>
  <w:style w:type="character" w:customStyle="1" w:styleId="84">
    <w:name w:val="heading 7 Char1"/>
    <w:qFormat/>
    <w:uiPriority w:val="0"/>
    <w:rPr>
      <w:rFonts w:ascii="Arial" w:hAnsi="Arial" w:eastAsia="黑体"/>
      <w:sz w:val="21"/>
      <w:szCs w:val="21"/>
      <w:lang w:val="en-US" w:eastAsia="zh-CN" w:bidi="ar-SA"/>
    </w:rPr>
  </w:style>
  <w:style w:type="character" w:customStyle="1" w:styleId="85">
    <w:name w:val="Char Char1"/>
    <w:qFormat/>
    <w:uiPriority w:val="0"/>
    <w:rPr>
      <w:rFonts w:eastAsia="宋体"/>
      <w:sz w:val="21"/>
      <w:lang w:val="en-US" w:eastAsia="zh-CN" w:bidi="ar-SA"/>
    </w:rPr>
  </w:style>
  <w:style w:type="character" w:customStyle="1" w:styleId="86">
    <w:name w:val="Char Char12"/>
    <w:qFormat/>
    <w:uiPriority w:val="0"/>
    <w:rPr>
      <w:rFonts w:eastAsia="宋体"/>
      <w:kern w:val="2"/>
      <w:sz w:val="21"/>
      <w:szCs w:val="24"/>
      <w:lang w:val="en-US" w:eastAsia="zh-CN" w:bidi="ar-SA"/>
    </w:rPr>
  </w:style>
  <w:style w:type="character" w:customStyle="1" w:styleId="87">
    <w:name w:val="Char Char18"/>
    <w:qFormat/>
    <w:uiPriority w:val="0"/>
    <w:rPr>
      <w:b/>
      <w:bCs/>
      <w:kern w:val="2"/>
      <w:sz w:val="32"/>
      <w:szCs w:val="32"/>
    </w:rPr>
  </w:style>
  <w:style w:type="character" w:customStyle="1" w:styleId="88">
    <w:name w:val="Char Char4"/>
    <w:qFormat/>
    <w:uiPriority w:val="0"/>
    <w:rPr>
      <w:rFonts w:ascii="Cambria" w:hAnsi="Cambria" w:eastAsia="宋体"/>
      <w:b/>
      <w:bCs/>
      <w:sz w:val="32"/>
      <w:szCs w:val="32"/>
      <w:lang w:bidi="ar-SA"/>
    </w:rPr>
  </w:style>
  <w:style w:type="character" w:customStyle="1" w:styleId="89">
    <w:name w:val="PI Char"/>
    <w:qFormat/>
    <w:uiPriority w:val="0"/>
    <w:rPr>
      <w:rFonts w:ascii="宋体" w:hAnsi="宋体"/>
      <w:sz w:val="24"/>
    </w:rPr>
  </w:style>
  <w:style w:type="character" w:customStyle="1" w:styleId="90">
    <w:name w:val="明显参考2"/>
    <w:qFormat/>
    <w:uiPriority w:val="0"/>
    <w:rPr>
      <w:b/>
      <w:bCs/>
      <w:smallCaps/>
      <w:color w:val="C0504D"/>
      <w:spacing w:val="5"/>
      <w:u w:val="single"/>
    </w:rPr>
  </w:style>
  <w:style w:type="character" w:customStyle="1" w:styleId="91">
    <w:name w:val="批注文字 Char"/>
    <w:link w:val="18"/>
    <w:qFormat/>
    <w:uiPriority w:val="0"/>
    <w:rPr>
      <w:rFonts w:eastAsia="宋体"/>
      <w:kern w:val="2"/>
      <w:sz w:val="21"/>
      <w:szCs w:val="24"/>
      <w:lang w:val="en-US" w:eastAsia="zh-CN" w:bidi="ar-SA"/>
    </w:rPr>
  </w:style>
  <w:style w:type="character" w:customStyle="1" w:styleId="92">
    <w:name w:val="Style2"/>
    <w:qFormat/>
    <w:uiPriority w:val="0"/>
    <w:rPr>
      <w:rFonts w:ascii="Calibri" w:hAnsi="宋体" w:eastAsia="宋体" w:cs="Times New Roman"/>
      <w:sz w:val="22"/>
      <w:szCs w:val="22"/>
      <w:lang w:eastAsia="zh-CN"/>
    </w:rPr>
  </w:style>
  <w:style w:type="character" w:customStyle="1" w:styleId="93">
    <w:name w:val="Footer-Even Char1"/>
    <w:qFormat/>
    <w:uiPriority w:val="0"/>
    <w:rPr>
      <w:rFonts w:eastAsia="宋体"/>
      <w:kern w:val="2"/>
      <w:sz w:val="18"/>
      <w:szCs w:val="18"/>
      <w:lang w:val="en-US" w:eastAsia="zh-CN" w:bidi="ar-SA"/>
    </w:rPr>
  </w:style>
  <w:style w:type="character" w:customStyle="1" w:styleId="94">
    <w:name w:val="heading 4 Char1"/>
    <w:qFormat/>
    <w:uiPriority w:val="0"/>
    <w:rPr>
      <w:rFonts w:ascii="Cambria" w:hAnsi="Cambria" w:eastAsia="宋体"/>
      <w:b/>
      <w:bCs/>
      <w:kern w:val="2"/>
      <w:sz w:val="28"/>
      <w:szCs w:val="28"/>
      <w:lang w:val="en-US" w:eastAsia="zh-CN" w:bidi="ar-SA"/>
    </w:rPr>
  </w:style>
  <w:style w:type="character" w:customStyle="1" w:styleId="95">
    <w:name w:val="正文文本 3 Char"/>
    <w:basedOn w:val="55"/>
    <w:link w:val="20"/>
    <w:qFormat/>
    <w:uiPriority w:val="0"/>
  </w:style>
  <w:style w:type="character" w:customStyle="1" w:styleId="96">
    <w:name w:val="批注主题 Char"/>
    <w:link w:val="50"/>
    <w:qFormat/>
    <w:uiPriority w:val="0"/>
    <w:rPr>
      <w:rFonts w:eastAsia="宋体"/>
      <w:b/>
      <w:bCs/>
      <w:kern w:val="2"/>
      <w:sz w:val="21"/>
      <w:szCs w:val="24"/>
      <w:lang w:val="en-US" w:eastAsia="zh-CN" w:bidi="ar-SA"/>
    </w:rPr>
  </w:style>
  <w:style w:type="character" w:customStyle="1" w:styleId="97">
    <w:name w:val="不明显参考11"/>
    <w:qFormat/>
    <w:uiPriority w:val="0"/>
    <w:rPr>
      <w:smallCaps/>
      <w:color w:val="C0504D"/>
      <w:u w:val="single"/>
    </w:rPr>
  </w:style>
  <w:style w:type="character" w:customStyle="1" w:styleId="98">
    <w:name w:val="Plain Text Char"/>
    <w:qFormat/>
    <w:uiPriority w:val="0"/>
    <w:rPr>
      <w:rFonts w:ascii="宋体" w:hAnsi="Courier New" w:eastAsia="宋体" w:cs="Times New Roman"/>
      <w:sz w:val="21"/>
      <w:szCs w:val="21"/>
    </w:rPr>
  </w:style>
  <w:style w:type="character" w:customStyle="1" w:styleId="99">
    <w:name w:val="Char Char111"/>
    <w:qFormat/>
    <w:uiPriority w:val="0"/>
    <w:rPr>
      <w:rFonts w:ascii="Times New Roman" w:hAnsi="Times New Roman" w:eastAsia="宋体" w:cs="Times New Roman"/>
      <w:sz w:val="18"/>
      <w:szCs w:val="18"/>
    </w:rPr>
  </w:style>
  <w:style w:type="character" w:customStyle="1" w:styleId="100">
    <w:name w:val="无间距字符"/>
    <w:link w:val="101"/>
    <w:qFormat/>
    <w:uiPriority w:val="0"/>
    <w:rPr>
      <w:rFonts w:eastAsia="Times New Roman"/>
      <w:sz w:val="22"/>
      <w:szCs w:val="22"/>
      <w:lang w:val="en-US" w:eastAsia="zh-CN" w:bidi="ar-SA"/>
    </w:rPr>
  </w:style>
  <w:style w:type="paragraph" w:customStyle="1" w:styleId="101">
    <w:name w:val="无间距"/>
    <w:link w:val="100"/>
    <w:qFormat/>
    <w:uiPriority w:val="0"/>
    <w:rPr>
      <w:rFonts w:ascii="Times New Roman" w:hAnsi="Times New Roman" w:eastAsia="Times New Roman" w:cs="Times New Roman"/>
      <w:sz w:val="22"/>
      <w:szCs w:val="22"/>
      <w:lang w:val="en-US" w:eastAsia="zh-CN" w:bidi="ar-SA"/>
    </w:rPr>
  </w:style>
  <w:style w:type="character" w:customStyle="1" w:styleId="102">
    <w:name w:val="heading 5 Char2"/>
    <w:qFormat/>
    <w:uiPriority w:val="0"/>
    <w:rPr>
      <w:b/>
      <w:bCs/>
      <w:kern w:val="2"/>
      <w:sz w:val="28"/>
      <w:szCs w:val="28"/>
    </w:rPr>
  </w:style>
  <w:style w:type="character" w:customStyle="1" w:styleId="103">
    <w:name w:val="样式2 Char Char"/>
    <w:link w:val="104"/>
    <w:qFormat/>
    <w:uiPriority w:val="0"/>
    <w:rPr>
      <w:rFonts w:ascii="宋体" w:hAnsi="宋体" w:eastAsia="宋体"/>
      <w:bCs/>
      <w:kern w:val="2"/>
      <w:sz w:val="28"/>
      <w:szCs w:val="28"/>
      <w:lang w:val="en-US" w:eastAsia="zh-CN" w:bidi="ar-SA"/>
    </w:rPr>
  </w:style>
  <w:style w:type="paragraph" w:customStyle="1" w:styleId="104">
    <w:name w:val="样式2"/>
    <w:basedOn w:val="4"/>
    <w:link w:val="103"/>
    <w:qFormat/>
    <w:uiPriority w:val="0"/>
    <w:pPr>
      <w:keepLines/>
      <w:snapToGrid w:val="0"/>
      <w:spacing w:before="260" w:afterLines="50" w:line="480" w:lineRule="exact"/>
      <w:ind w:firstLine="556"/>
    </w:pPr>
    <w:rPr>
      <w:rFonts w:ascii="宋体" w:hAnsi="宋体"/>
      <w:b w:val="0"/>
      <w:bCs/>
      <w:szCs w:val="28"/>
    </w:rPr>
  </w:style>
  <w:style w:type="character" w:customStyle="1" w:styleId="105">
    <w:name w:val="正文缩进 Char"/>
    <w:link w:val="9"/>
    <w:qFormat/>
    <w:uiPriority w:val="0"/>
    <w:rPr>
      <w:rFonts w:ascii="仿宋_GB2312" w:eastAsia="宋体"/>
      <w:b/>
      <w:sz w:val="21"/>
      <w:szCs w:val="32"/>
      <w:lang w:val="en-US" w:eastAsia="zh-CN" w:bidi="ar-SA"/>
    </w:rPr>
  </w:style>
  <w:style w:type="character" w:customStyle="1" w:styleId="106">
    <w:name w:val="heading 2 Char1"/>
    <w:qFormat/>
    <w:uiPriority w:val="0"/>
    <w:rPr>
      <w:rFonts w:ascii="Cambria" w:hAnsi="Cambria" w:eastAsia="宋体"/>
      <w:b/>
      <w:bCs/>
      <w:kern w:val="2"/>
      <w:sz w:val="32"/>
      <w:szCs w:val="32"/>
      <w:lang w:val="en-US" w:eastAsia="zh-CN" w:bidi="ar-SA"/>
    </w:rPr>
  </w:style>
  <w:style w:type="character" w:customStyle="1" w:styleId="107">
    <w:name w:val="heading 3 Char1"/>
    <w:qFormat/>
    <w:uiPriority w:val="0"/>
    <w:rPr>
      <w:rFonts w:eastAsia="宋体"/>
      <w:b/>
      <w:bCs/>
      <w:kern w:val="2"/>
      <w:sz w:val="32"/>
      <w:szCs w:val="32"/>
      <w:lang w:val="en-US" w:eastAsia="zh-CN" w:bidi="ar-SA"/>
    </w:rPr>
  </w:style>
  <w:style w:type="character" w:customStyle="1" w:styleId="108">
    <w:name w:val="Char Char15"/>
    <w:qFormat/>
    <w:uiPriority w:val="0"/>
    <w:rPr>
      <w:rFonts w:ascii="Arial" w:hAnsi="Arial" w:eastAsia="黑体"/>
      <w:sz w:val="24"/>
      <w:szCs w:val="24"/>
    </w:rPr>
  </w:style>
  <w:style w:type="character" w:customStyle="1" w:styleId="109">
    <w:name w:val="heading 1 Char"/>
    <w:qFormat/>
    <w:uiPriority w:val="0"/>
    <w:rPr>
      <w:rFonts w:ascii="Arial" w:hAnsi="Arial" w:eastAsia="黑体"/>
      <w:b/>
      <w:sz w:val="36"/>
      <w:szCs w:val="36"/>
    </w:rPr>
  </w:style>
  <w:style w:type="character" w:customStyle="1" w:styleId="110">
    <w:name w:val="ändrad Char"/>
    <w:qFormat/>
    <w:uiPriority w:val="0"/>
    <w:rPr>
      <w:rFonts w:eastAsia="宋体"/>
      <w:kern w:val="2"/>
      <w:sz w:val="21"/>
      <w:szCs w:val="24"/>
      <w:lang w:val="en-US" w:eastAsia="zh-CN" w:bidi="ar-SA"/>
    </w:rPr>
  </w:style>
  <w:style w:type="character" w:customStyle="1" w:styleId="111">
    <w:name w:val="标题 Char"/>
    <w:link w:val="49"/>
    <w:qFormat/>
    <w:uiPriority w:val="0"/>
    <w:rPr>
      <w:rFonts w:ascii="Cambria" w:hAnsi="Cambria" w:eastAsia="宋体"/>
      <w:b/>
      <w:bCs/>
      <w:kern w:val="2"/>
      <w:sz w:val="32"/>
      <w:szCs w:val="32"/>
      <w:lang w:val="en-US" w:eastAsia="zh-CN" w:bidi="ar-SA"/>
    </w:rPr>
  </w:style>
  <w:style w:type="character" w:customStyle="1" w:styleId="112">
    <w:name w:val="Char Char22"/>
    <w:qFormat/>
    <w:uiPriority w:val="0"/>
    <w:rPr>
      <w:rFonts w:ascii="Arial" w:hAnsi="Arial" w:eastAsia="黑体"/>
      <w:b/>
      <w:bCs/>
      <w:kern w:val="44"/>
      <w:sz w:val="30"/>
      <w:szCs w:val="44"/>
      <w:lang w:val="en-US" w:eastAsia="zh-CN" w:bidi="ar-SA"/>
    </w:rPr>
  </w:style>
  <w:style w:type="character" w:customStyle="1" w:styleId="113">
    <w:name w:val="blue1"/>
    <w:basedOn w:val="55"/>
    <w:qFormat/>
    <w:uiPriority w:val="0"/>
  </w:style>
  <w:style w:type="character" w:customStyle="1" w:styleId="114">
    <w:name w:val="样式 宋体"/>
    <w:qFormat/>
    <w:uiPriority w:val="0"/>
    <w:rPr>
      <w:rFonts w:ascii="宋体" w:hAnsi="宋体" w:eastAsia="宋体"/>
      <w:sz w:val="24"/>
      <w:szCs w:val="24"/>
    </w:rPr>
  </w:style>
  <w:style w:type="character" w:customStyle="1" w:styleId="115">
    <w:name w:val="dandyren_title1"/>
    <w:qFormat/>
    <w:uiPriority w:val="0"/>
    <w:rPr>
      <w:b/>
      <w:bCs/>
      <w:color w:val="FF6633"/>
      <w:sz w:val="18"/>
      <w:szCs w:val="18"/>
    </w:rPr>
  </w:style>
  <w:style w:type="character" w:customStyle="1" w:styleId="116">
    <w:name w:val="font21"/>
    <w:basedOn w:val="55"/>
    <w:qFormat/>
    <w:uiPriority w:val="0"/>
    <w:rPr>
      <w:rFonts w:ascii="Wingdings 2" w:hAnsi="Wingdings 2" w:eastAsia="Wingdings 2" w:cs="Wingdings 2"/>
      <w:b/>
      <w:color w:val="000000"/>
      <w:sz w:val="20"/>
      <w:szCs w:val="20"/>
      <w:u w:val="none"/>
    </w:rPr>
  </w:style>
  <w:style w:type="character" w:customStyle="1" w:styleId="117">
    <w:name w:val="Ò³Ã¼ Char Char1"/>
    <w:qFormat/>
    <w:uiPriority w:val="0"/>
    <w:rPr>
      <w:rFonts w:eastAsia="宋体"/>
      <w:kern w:val="2"/>
      <w:sz w:val="18"/>
      <w:szCs w:val="18"/>
      <w:lang w:val="en-US" w:eastAsia="zh-CN" w:bidi="ar-SA"/>
    </w:rPr>
  </w:style>
  <w:style w:type="character" w:customStyle="1" w:styleId="118">
    <w:name w:val="宏文本 Char"/>
    <w:link w:val="2"/>
    <w:qFormat/>
    <w:uiPriority w:val="0"/>
    <w:rPr>
      <w:rFonts w:ascii="Courier New" w:hAnsi="Courier New" w:eastAsia="Times New Roman"/>
      <w:kern w:val="2"/>
      <w:sz w:val="24"/>
      <w:szCs w:val="24"/>
      <w:lang w:val="en-US" w:eastAsia="zh-CN" w:bidi="ar-SA"/>
    </w:rPr>
  </w:style>
  <w:style w:type="character" w:customStyle="1" w:styleId="119">
    <w:name w:val="Footer-Even Char"/>
    <w:qFormat/>
    <w:uiPriority w:val="0"/>
    <w:rPr>
      <w:sz w:val="18"/>
      <w:szCs w:val="18"/>
    </w:rPr>
  </w:style>
  <w:style w:type="character" w:customStyle="1" w:styleId="120">
    <w:name w:val="页脚 Char"/>
    <w:link w:val="34"/>
    <w:qFormat/>
    <w:uiPriority w:val="0"/>
    <w:rPr>
      <w:rFonts w:eastAsia="宋体"/>
      <w:kern w:val="2"/>
      <w:sz w:val="18"/>
      <w:szCs w:val="18"/>
      <w:lang w:val="en-US" w:eastAsia="zh-CN" w:bidi="ar-SA"/>
    </w:rPr>
  </w:style>
  <w:style w:type="character" w:customStyle="1" w:styleId="121">
    <w:name w:val="style111"/>
    <w:qFormat/>
    <w:uiPriority w:val="0"/>
    <w:rPr>
      <w:sz w:val="27"/>
      <w:szCs w:val="27"/>
    </w:rPr>
  </w:style>
  <w:style w:type="character" w:customStyle="1" w:styleId="122">
    <w:name w:val="PI Char2"/>
    <w:qFormat/>
    <w:uiPriority w:val="0"/>
    <w:rPr>
      <w:kern w:val="2"/>
      <w:sz w:val="24"/>
      <w:szCs w:val="24"/>
    </w:rPr>
  </w:style>
  <w:style w:type="character" w:customStyle="1" w:styleId="123">
    <w:name w:val="gray6"/>
    <w:basedOn w:val="55"/>
    <w:qFormat/>
    <w:uiPriority w:val="0"/>
  </w:style>
  <w:style w:type="character" w:customStyle="1" w:styleId="124">
    <w:name w:val="Char Char Char1"/>
    <w:qFormat/>
    <w:uiPriority w:val="0"/>
    <w:rPr>
      <w:rFonts w:ascii="宋体" w:hAnsi="Courier New"/>
      <w:sz w:val="21"/>
      <w:szCs w:val="21"/>
    </w:rPr>
  </w:style>
  <w:style w:type="character" w:customStyle="1" w:styleId="125">
    <w:name w:val="Char Char121"/>
    <w:qFormat/>
    <w:uiPriority w:val="0"/>
    <w:rPr>
      <w:rFonts w:eastAsia="宋体"/>
      <w:kern w:val="2"/>
      <w:sz w:val="21"/>
      <w:szCs w:val="24"/>
      <w:lang w:val="en-US" w:eastAsia="zh-CN" w:bidi="ar-SA"/>
    </w:rPr>
  </w:style>
  <w:style w:type="character" w:customStyle="1" w:styleId="126">
    <w:name w:val="Char Char Char Char Char Char Char Char Char"/>
    <w:qFormat/>
    <w:uiPriority w:val="0"/>
    <w:rPr>
      <w:rFonts w:ascii="宋体" w:hAnsi="Courier New" w:eastAsia="宋体"/>
      <w:sz w:val="21"/>
      <w:szCs w:val="21"/>
      <w:lang w:val="en-US" w:eastAsia="zh-CN" w:bidi="ar-SA"/>
    </w:rPr>
  </w:style>
  <w:style w:type="character" w:customStyle="1" w:styleId="127">
    <w:name w:val="heading 4 Char2"/>
    <w:qFormat/>
    <w:uiPriority w:val="0"/>
    <w:rPr>
      <w:rFonts w:ascii="Cambria" w:hAnsi="Cambria"/>
      <w:b/>
      <w:bCs/>
      <w:kern w:val="2"/>
      <w:sz w:val="28"/>
      <w:szCs w:val="28"/>
    </w:rPr>
  </w:style>
  <w:style w:type="character" w:customStyle="1" w:styleId="128">
    <w:name w:val="heading 3 Char"/>
    <w:qFormat/>
    <w:uiPriority w:val="0"/>
    <w:rPr>
      <w:rFonts w:ascii="Arial" w:hAnsi="Arial" w:eastAsia="黑体"/>
      <w:sz w:val="28"/>
      <w:szCs w:val="24"/>
    </w:rPr>
  </w:style>
  <w:style w:type="character" w:customStyle="1" w:styleId="129">
    <w:name w:val="标题 1 Char"/>
    <w:link w:val="3"/>
    <w:qFormat/>
    <w:uiPriority w:val="0"/>
    <w:rPr>
      <w:rFonts w:eastAsia="黑体"/>
      <w:b/>
      <w:kern w:val="2"/>
      <w:sz w:val="32"/>
      <w:lang w:val="en-US" w:eastAsia="zh-CN" w:bidi="ar-SA"/>
    </w:rPr>
  </w:style>
  <w:style w:type="character" w:customStyle="1" w:styleId="130">
    <w:name w:val="Char Char16"/>
    <w:qFormat/>
    <w:uiPriority w:val="0"/>
    <w:rPr>
      <w:b/>
      <w:bCs/>
      <w:kern w:val="2"/>
      <w:sz w:val="28"/>
      <w:szCs w:val="28"/>
    </w:rPr>
  </w:style>
  <w:style w:type="character" w:customStyle="1" w:styleId="131">
    <w:name w:val="文档结构图 Char"/>
    <w:link w:val="17"/>
    <w:qFormat/>
    <w:uiPriority w:val="0"/>
    <w:rPr>
      <w:rFonts w:eastAsia="宋体"/>
      <w:kern w:val="2"/>
      <w:sz w:val="21"/>
      <w:szCs w:val="24"/>
      <w:lang w:val="en-US" w:eastAsia="zh-CN" w:bidi="ar-SA"/>
    </w:rPr>
  </w:style>
  <w:style w:type="character" w:customStyle="1" w:styleId="132">
    <w:name w:val="标题 5 Char"/>
    <w:link w:val="7"/>
    <w:qFormat/>
    <w:uiPriority w:val="0"/>
    <w:rPr>
      <w:rFonts w:eastAsia="宋体"/>
      <w:b/>
      <w:bCs/>
      <w:sz w:val="28"/>
      <w:szCs w:val="28"/>
      <w:lang w:bidi="ar-SA"/>
    </w:rPr>
  </w:style>
  <w:style w:type="character" w:customStyle="1" w:styleId="133">
    <w:name w:val="日期 Char"/>
    <w:link w:val="31"/>
    <w:qFormat/>
    <w:uiPriority w:val="0"/>
    <w:rPr>
      <w:rFonts w:eastAsia="宋体"/>
      <w:kern w:val="2"/>
      <w:sz w:val="21"/>
      <w:szCs w:val="24"/>
      <w:lang w:val="en-US" w:eastAsia="zh-CN" w:bidi="ar-SA"/>
    </w:rPr>
  </w:style>
  <w:style w:type="character" w:customStyle="1" w:styleId="134">
    <w:name w:val="副标题 Char"/>
    <w:link w:val="40"/>
    <w:qFormat/>
    <w:uiPriority w:val="0"/>
    <w:rPr>
      <w:rFonts w:ascii="Cambria" w:hAnsi="Cambria" w:eastAsia="宋体"/>
      <w:b/>
      <w:bCs/>
      <w:kern w:val="28"/>
      <w:sz w:val="32"/>
      <w:szCs w:val="32"/>
      <w:lang w:val="en-US" w:eastAsia="zh-CN" w:bidi="ar-SA"/>
    </w:rPr>
  </w:style>
  <w:style w:type="character" w:customStyle="1" w:styleId="135">
    <w:name w:val="页眉 Char"/>
    <w:link w:val="35"/>
    <w:qFormat/>
    <w:uiPriority w:val="0"/>
    <w:rPr>
      <w:rFonts w:eastAsia="宋体"/>
      <w:kern w:val="2"/>
      <w:sz w:val="18"/>
      <w:szCs w:val="18"/>
      <w:lang w:val="en-US" w:eastAsia="zh-CN" w:bidi="ar-SA"/>
    </w:rPr>
  </w:style>
  <w:style w:type="character" w:customStyle="1" w:styleId="136">
    <w:name w:val="style13"/>
    <w:basedOn w:val="55"/>
    <w:qFormat/>
    <w:uiPriority w:val="0"/>
  </w:style>
  <w:style w:type="character" w:customStyle="1" w:styleId="137">
    <w:name w:val="textcolor1"/>
    <w:qFormat/>
    <w:uiPriority w:val="0"/>
    <w:rPr>
      <w:rFonts w:ascii="仿宋_GB2312" w:eastAsia="仿宋_GB2312"/>
      <w:b/>
      <w:color w:val="FF6600"/>
      <w:sz w:val="32"/>
      <w:szCs w:val="32"/>
    </w:rPr>
  </w:style>
  <w:style w:type="character" w:customStyle="1" w:styleId="138">
    <w:name w:val="Table Text Char Char"/>
    <w:link w:val="139"/>
    <w:qFormat/>
    <w:uiPriority w:val="0"/>
    <w:rPr>
      <w:sz w:val="21"/>
      <w:lang w:val="en-US" w:eastAsia="en-US" w:bidi="ar-SA"/>
    </w:rPr>
  </w:style>
  <w:style w:type="paragraph" w:customStyle="1" w:styleId="139">
    <w:name w:val="Table Text"/>
    <w:basedOn w:val="1"/>
    <w:link w:val="138"/>
    <w:qFormat/>
    <w:uiPriority w:val="0"/>
    <w:pPr>
      <w:widowControl/>
      <w:tabs>
        <w:tab w:val="decimal" w:pos="0"/>
      </w:tabs>
      <w:overflowPunct w:val="0"/>
      <w:autoSpaceDE w:val="0"/>
      <w:autoSpaceDN w:val="0"/>
      <w:adjustRightInd w:val="0"/>
      <w:jc w:val="left"/>
      <w:textAlignment w:val="baseline"/>
    </w:pPr>
    <w:rPr>
      <w:kern w:val="0"/>
      <w:szCs w:val="20"/>
      <w:lang w:eastAsia="en-US"/>
    </w:rPr>
  </w:style>
  <w:style w:type="character" w:customStyle="1" w:styleId="140">
    <w:name w:val="Ò³Ã¼ Char Char"/>
    <w:qFormat/>
    <w:uiPriority w:val="0"/>
    <w:rPr>
      <w:sz w:val="18"/>
      <w:szCs w:val="18"/>
    </w:rPr>
  </w:style>
  <w:style w:type="character" w:customStyle="1" w:styleId="141">
    <w:name w:val="heading 2 Char2"/>
    <w:qFormat/>
    <w:uiPriority w:val="0"/>
    <w:rPr>
      <w:rFonts w:ascii="Cambria" w:hAnsi="Cambria"/>
      <w:b/>
      <w:bCs/>
      <w:kern w:val="2"/>
      <w:sz w:val="32"/>
      <w:szCs w:val="32"/>
    </w:rPr>
  </w:style>
  <w:style w:type="character" w:customStyle="1" w:styleId="142">
    <w:name w:val="书籍标题11"/>
    <w:qFormat/>
    <w:uiPriority w:val="0"/>
    <w:rPr>
      <w:b/>
      <w:bCs/>
      <w:smallCaps/>
      <w:spacing w:val="5"/>
    </w:rPr>
  </w:style>
  <w:style w:type="character" w:customStyle="1" w:styleId="143">
    <w:name w:val="Char Char21"/>
    <w:qFormat/>
    <w:uiPriority w:val="0"/>
    <w:rPr>
      <w:rFonts w:ascii="Times New Roman" w:hAnsi="Times New Roman" w:eastAsia="宋体" w:cs="Times New Roman"/>
      <w:b/>
      <w:bCs/>
      <w:kern w:val="44"/>
      <w:sz w:val="44"/>
      <w:szCs w:val="44"/>
    </w:rPr>
  </w:style>
  <w:style w:type="character" w:customStyle="1" w:styleId="144">
    <w:name w:val="正文文本缩进 Char"/>
    <w:link w:val="22"/>
    <w:qFormat/>
    <w:uiPriority w:val="0"/>
    <w:rPr>
      <w:rFonts w:eastAsia="宋体"/>
      <w:kern w:val="2"/>
      <w:sz w:val="24"/>
      <w:szCs w:val="24"/>
      <w:lang w:val="en-US" w:eastAsia="zh-CN" w:bidi="ar-SA"/>
    </w:rPr>
  </w:style>
  <w:style w:type="character" w:customStyle="1" w:styleId="145">
    <w:name w:val="不明显强调1"/>
    <w:qFormat/>
    <w:uiPriority w:val="0"/>
    <w:rPr>
      <w:i/>
      <w:iCs/>
      <w:color w:val="808080"/>
    </w:rPr>
  </w:style>
  <w:style w:type="character" w:customStyle="1" w:styleId="146">
    <w:name w:val="正文文本缩进 3 Char"/>
    <w:link w:val="44"/>
    <w:qFormat/>
    <w:uiPriority w:val="0"/>
    <w:rPr>
      <w:rFonts w:eastAsia="宋体"/>
      <w:kern w:val="2"/>
      <w:sz w:val="24"/>
      <w:szCs w:val="24"/>
      <w:lang w:val="en-US" w:eastAsia="zh-CN" w:bidi="ar-SA"/>
    </w:rPr>
  </w:style>
  <w:style w:type="character" w:customStyle="1" w:styleId="147">
    <w:name w:val="heading 5 Char"/>
    <w:qFormat/>
    <w:uiPriority w:val="0"/>
    <w:rPr>
      <w:rFonts w:ascii="Arial" w:hAnsi="Arial" w:eastAsia="黑体"/>
      <w:sz w:val="21"/>
      <w:szCs w:val="21"/>
    </w:rPr>
  </w:style>
  <w:style w:type="character" w:customStyle="1" w:styleId="148">
    <w:name w:val="Style3"/>
    <w:qFormat/>
    <w:uiPriority w:val="0"/>
    <w:rPr>
      <w:rFonts w:ascii="Calibri" w:hAnsi="宋体" w:eastAsia="宋体" w:cs="Times New Roman"/>
      <w:szCs w:val="22"/>
      <w:lang w:eastAsia="zh-CN"/>
    </w:rPr>
  </w:style>
  <w:style w:type="character" w:customStyle="1" w:styleId="149">
    <w:name w:val="标题 4 Char"/>
    <w:link w:val="6"/>
    <w:qFormat/>
    <w:uiPriority w:val="0"/>
    <w:rPr>
      <w:rFonts w:eastAsia="宋体"/>
      <w:kern w:val="2"/>
      <w:sz w:val="28"/>
      <w:szCs w:val="28"/>
      <w:lang w:val="en-US" w:eastAsia="zh-CN" w:bidi="ar-SA"/>
    </w:rPr>
  </w:style>
  <w:style w:type="character" w:customStyle="1" w:styleId="150">
    <w:name w:val="Char Char241"/>
    <w:qFormat/>
    <w:uiPriority w:val="0"/>
    <w:rPr>
      <w:rFonts w:eastAsia="宋体"/>
      <w:b/>
      <w:kern w:val="2"/>
      <w:sz w:val="28"/>
      <w:lang w:val="en-US" w:eastAsia="zh-CN" w:bidi="ar-SA"/>
    </w:rPr>
  </w:style>
  <w:style w:type="character" w:customStyle="1" w:styleId="151">
    <w:name w:val="批注框文本 Char"/>
    <w:link w:val="33"/>
    <w:qFormat/>
    <w:uiPriority w:val="0"/>
    <w:rPr>
      <w:rFonts w:eastAsia="宋体"/>
      <w:kern w:val="2"/>
      <w:sz w:val="18"/>
      <w:szCs w:val="18"/>
      <w:lang w:val="en-US" w:eastAsia="zh-CN" w:bidi="ar-SA"/>
    </w:rPr>
  </w:style>
  <w:style w:type="character" w:customStyle="1" w:styleId="152">
    <w:name w:val="标题 3 Char"/>
    <w:link w:val="5"/>
    <w:qFormat/>
    <w:uiPriority w:val="0"/>
    <w:rPr>
      <w:rFonts w:eastAsia="黑体"/>
      <w:b/>
      <w:kern w:val="2"/>
      <w:sz w:val="28"/>
      <w:lang w:val="en-US" w:eastAsia="zh-CN" w:bidi="ar-SA"/>
    </w:rPr>
  </w:style>
  <w:style w:type="character" w:customStyle="1" w:styleId="153">
    <w:name w:val="明显强调11"/>
    <w:qFormat/>
    <w:uiPriority w:val="0"/>
    <w:rPr>
      <w:b/>
      <w:bCs/>
      <w:i/>
      <w:iCs/>
      <w:color w:val="4F81BD"/>
    </w:rPr>
  </w:style>
  <w:style w:type="character" w:customStyle="1" w:styleId="154">
    <w:name w:val="签名 Char"/>
    <w:link w:val="36"/>
    <w:qFormat/>
    <w:uiPriority w:val="0"/>
    <w:rPr>
      <w:rFonts w:ascii="仿宋_GB2312" w:eastAsia="仿宋_GB2312"/>
      <w:b/>
      <w:sz w:val="24"/>
      <w:szCs w:val="32"/>
    </w:rPr>
  </w:style>
  <w:style w:type="character" w:customStyle="1" w:styleId="155">
    <w:name w:val="heading 3 Char2"/>
    <w:qFormat/>
    <w:uiPriority w:val="0"/>
    <w:rPr>
      <w:b/>
      <w:bCs/>
      <w:kern w:val="2"/>
      <w:sz w:val="32"/>
      <w:szCs w:val="32"/>
    </w:rPr>
  </w:style>
  <w:style w:type="character" w:customStyle="1" w:styleId="156">
    <w:name w:val="style21"/>
    <w:qFormat/>
    <w:uiPriority w:val="0"/>
    <w:rPr>
      <w:sz w:val="15"/>
      <w:szCs w:val="15"/>
    </w:rPr>
  </w:style>
  <w:style w:type="character" w:customStyle="1" w:styleId="157">
    <w:name w:val="Char Char271"/>
    <w:qFormat/>
    <w:uiPriority w:val="0"/>
    <w:rPr>
      <w:rFonts w:eastAsia="宋体"/>
      <w:kern w:val="2"/>
      <w:sz w:val="28"/>
      <w:lang w:val="en-US" w:eastAsia="zh-CN" w:bidi="ar-SA"/>
    </w:rPr>
  </w:style>
  <w:style w:type="character" w:customStyle="1" w:styleId="158">
    <w:name w:val="表格 Char Char"/>
    <w:link w:val="159"/>
    <w:qFormat/>
    <w:uiPriority w:val="0"/>
    <w:rPr>
      <w:rFonts w:ascii="宋体" w:hAnsi="宋体" w:eastAsia="宋体"/>
      <w:lang w:val="en-US" w:eastAsia="zh-CN" w:bidi="ar-SA"/>
    </w:rPr>
  </w:style>
  <w:style w:type="paragraph" w:customStyle="1" w:styleId="159">
    <w:name w:val="表格"/>
    <w:basedOn w:val="1"/>
    <w:link w:val="158"/>
    <w:qFormat/>
    <w:uiPriority w:val="0"/>
    <w:pPr>
      <w:autoSpaceDE w:val="0"/>
      <w:autoSpaceDN w:val="0"/>
      <w:adjustRightInd w:val="0"/>
      <w:snapToGrid w:val="0"/>
      <w:ind w:firstLine="42" w:firstLineChars="21"/>
      <w:jc w:val="left"/>
    </w:pPr>
    <w:rPr>
      <w:rFonts w:ascii="宋体" w:hAnsi="宋体"/>
      <w:kern w:val="0"/>
      <w:sz w:val="20"/>
      <w:szCs w:val="20"/>
    </w:rPr>
  </w:style>
  <w:style w:type="character" w:customStyle="1" w:styleId="160">
    <w:name w:val="heading 6 Char1"/>
    <w:qFormat/>
    <w:uiPriority w:val="0"/>
    <w:rPr>
      <w:rFonts w:ascii="Arial" w:hAnsi="Arial" w:eastAsia="黑体"/>
      <w:kern w:val="2"/>
      <w:sz w:val="24"/>
      <w:szCs w:val="24"/>
      <w:lang w:val="en-US" w:eastAsia="zh-CN" w:bidi="ar-SA"/>
    </w:rPr>
  </w:style>
  <w:style w:type="character" w:customStyle="1" w:styleId="161">
    <w:name w:val="Char Char211"/>
    <w:qFormat/>
    <w:uiPriority w:val="0"/>
    <w:rPr>
      <w:rFonts w:ascii="Times New Roman" w:hAnsi="Times New Roman" w:eastAsia="宋体" w:cs="Times New Roman"/>
      <w:b/>
      <w:bCs/>
      <w:kern w:val="44"/>
      <w:sz w:val="44"/>
      <w:szCs w:val="44"/>
    </w:rPr>
  </w:style>
  <w:style w:type="character" w:customStyle="1" w:styleId="162">
    <w:name w:val="不明显强调11"/>
    <w:qFormat/>
    <w:uiPriority w:val="0"/>
    <w:rPr>
      <w:i/>
      <w:iCs/>
      <w:color w:val="808080"/>
    </w:rPr>
  </w:style>
  <w:style w:type="character" w:customStyle="1" w:styleId="163">
    <w:name w:val="标题 9 Char"/>
    <w:link w:val="12"/>
    <w:qFormat/>
    <w:uiPriority w:val="0"/>
    <w:rPr>
      <w:rFonts w:ascii="Arial" w:hAnsi="Arial" w:eastAsia="黑体"/>
      <w:kern w:val="2"/>
      <w:sz w:val="21"/>
      <w:lang w:val="en-US" w:eastAsia="zh-CN" w:bidi="ar-SA"/>
    </w:rPr>
  </w:style>
  <w:style w:type="character" w:customStyle="1" w:styleId="164">
    <w:name w:val="正文文本 Char"/>
    <w:link w:val="21"/>
    <w:qFormat/>
    <w:uiPriority w:val="0"/>
    <w:rPr>
      <w:rFonts w:ascii="仿宋_GB2312" w:eastAsia="宋体"/>
      <w:b/>
      <w:kern w:val="2"/>
      <w:sz w:val="21"/>
      <w:szCs w:val="24"/>
      <w:lang w:val="en-US" w:eastAsia="zh-CN" w:bidi="ar-SA"/>
    </w:rPr>
  </w:style>
  <w:style w:type="character" w:customStyle="1" w:styleId="165">
    <w:name w:val="明显引用 Char"/>
    <w:link w:val="166"/>
    <w:qFormat/>
    <w:uiPriority w:val="0"/>
    <w:rPr>
      <w:rFonts w:ascii="Calibri" w:hAnsi="Calibri" w:eastAsia="宋体"/>
      <w:b/>
      <w:bCs/>
      <w:i/>
      <w:iCs/>
      <w:color w:val="4F81BD"/>
      <w:lang w:val="en-US" w:eastAsia="zh-CN" w:bidi="ar-SA"/>
    </w:rPr>
  </w:style>
  <w:style w:type="paragraph" w:styleId="166">
    <w:name w:val="Intense Quote"/>
    <w:basedOn w:val="1"/>
    <w:next w:val="1"/>
    <w:link w:val="165"/>
    <w:qFormat/>
    <w:uiPriority w:val="0"/>
    <w:pPr>
      <w:pBdr>
        <w:bottom w:val="single" w:color="4F81BD" w:sz="4" w:space="4"/>
      </w:pBdr>
      <w:spacing w:before="200" w:after="280"/>
      <w:ind w:left="936" w:right="936"/>
    </w:pPr>
    <w:rPr>
      <w:rFonts w:ascii="Calibri" w:hAnsi="Calibri"/>
      <w:b/>
      <w:bCs/>
      <w:i/>
      <w:iCs/>
      <w:color w:val="4F81BD"/>
      <w:kern w:val="0"/>
      <w:sz w:val="20"/>
      <w:szCs w:val="20"/>
    </w:rPr>
  </w:style>
  <w:style w:type="character" w:customStyle="1" w:styleId="167">
    <w:name w:val="heading 5 Char1"/>
    <w:qFormat/>
    <w:uiPriority w:val="0"/>
    <w:rPr>
      <w:rFonts w:eastAsia="宋体"/>
      <w:b/>
      <w:bCs/>
      <w:kern w:val="2"/>
      <w:sz w:val="28"/>
      <w:szCs w:val="28"/>
      <w:lang w:val="en-US" w:eastAsia="zh-CN" w:bidi="ar-SA"/>
    </w:rPr>
  </w:style>
  <w:style w:type="character" w:customStyle="1" w:styleId="168">
    <w:name w:val="Texte Char Char"/>
    <w:qFormat/>
    <w:uiPriority w:val="0"/>
    <w:rPr>
      <w:rFonts w:ascii="宋体" w:hAnsi="Courier New" w:eastAsia="宋体"/>
      <w:sz w:val="21"/>
      <w:szCs w:val="21"/>
      <w:lang w:val="en-US" w:eastAsia="zh-CN" w:bidi="ar-SA"/>
    </w:rPr>
  </w:style>
  <w:style w:type="character" w:customStyle="1" w:styleId="169">
    <w:name w:val="正文1 Char Char"/>
    <w:link w:val="170"/>
    <w:qFormat/>
    <w:uiPriority w:val="0"/>
    <w:rPr>
      <w:rFonts w:ascii="宋体" w:hAnsi="宋体" w:eastAsia="宋体" w:cs="宋体"/>
      <w:sz w:val="21"/>
      <w:lang w:val="en-US" w:eastAsia="zh-CN" w:bidi="ar-SA"/>
    </w:rPr>
  </w:style>
  <w:style w:type="paragraph" w:customStyle="1" w:styleId="170">
    <w:name w:val="正文1"/>
    <w:basedOn w:val="1"/>
    <w:link w:val="169"/>
    <w:qFormat/>
    <w:uiPriority w:val="0"/>
    <w:pPr>
      <w:widowControl/>
      <w:spacing w:line="360" w:lineRule="auto"/>
      <w:ind w:left="360" w:firstLine="420"/>
      <w:jc w:val="left"/>
    </w:pPr>
    <w:rPr>
      <w:rFonts w:ascii="宋体" w:hAnsi="宋体" w:cs="宋体"/>
      <w:kern w:val="0"/>
      <w:szCs w:val="20"/>
    </w:rPr>
  </w:style>
  <w:style w:type="character" w:customStyle="1" w:styleId="171">
    <w:name w:val="heading 8 Char1"/>
    <w:qFormat/>
    <w:uiPriority w:val="0"/>
    <w:rPr>
      <w:rFonts w:ascii="Arial" w:hAnsi="Arial" w:eastAsia="黑体"/>
      <w:sz w:val="24"/>
      <w:lang w:val="en-US" w:eastAsia="zh-CN" w:bidi="ar-SA"/>
    </w:rPr>
  </w:style>
  <w:style w:type="character" w:customStyle="1" w:styleId="172">
    <w:name w:val="heading 9 Char1"/>
    <w:qFormat/>
    <w:uiPriority w:val="0"/>
    <w:rPr>
      <w:rFonts w:ascii="Arial" w:hAnsi="Arial" w:eastAsia="黑体"/>
      <w:sz w:val="21"/>
      <w:lang w:val="en-US" w:eastAsia="zh-CN" w:bidi="ar-SA"/>
    </w:rPr>
  </w:style>
  <w:style w:type="character" w:customStyle="1" w:styleId="173">
    <w:name w:val="标题 6 Char"/>
    <w:link w:val="8"/>
    <w:qFormat/>
    <w:uiPriority w:val="0"/>
    <w:rPr>
      <w:rFonts w:ascii="Arial" w:hAnsi="Arial" w:eastAsia="黑体"/>
      <w:b/>
      <w:kern w:val="2"/>
      <w:sz w:val="24"/>
      <w:lang w:val="en-US" w:eastAsia="zh-CN" w:bidi="ar-SA"/>
    </w:rPr>
  </w:style>
  <w:style w:type="character" w:customStyle="1" w:styleId="174">
    <w:name w:val="ändrad Char1"/>
    <w:qFormat/>
    <w:uiPriority w:val="0"/>
    <w:rPr>
      <w:rFonts w:ascii="仿宋_GB2312" w:eastAsia="宋体"/>
      <w:b/>
      <w:kern w:val="2"/>
      <w:sz w:val="21"/>
      <w:szCs w:val="24"/>
      <w:lang w:val="en-US" w:eastAsia="zh-CN" w:bidi="ar-SA"/>
    </w:rPr>
  </w:style>
  <w:style w:type="character" w:customStyle="1" w:styleId="175">
    <w:name w:val="Char Char41"/>
    <w:qFormat/>
    <w:uiPriority w:val="0"/>
    <w:rPr>
      <w:rFonts w:ascii="Cambria" w:hAnsi="Cambria" w:eastAsia="宋体"/>
      <w:b/>
      <w:bCs/>
      <w:sz w:val="32"/>
      <w:szCs w:val="32"/>
      <w:lang w:bidi="ar-SA"/>
    </w:rPr>
  </w:style>
  <w:style w:type="character" w:customStyle="1" w:styleId="176">
    <w:name w:val="标题 8 Char"/>
    <w:link w:val="11"/>
    <w:qFormat/>
    <w:uiPriority w:val="0"/>
    <w:rPr>
      <w:rFonts w:ascii="Arial" w:hAnsi="Arial" w:eastAsia="黑体"/>
      <w:kern w:val="2"/>
      <w:sz w:val="24"/>
      <w:lang w:val="en-US" w:eastAsia="zh-CN" w:bidi="ar-SA"/>
    </w:rPr>
  </w:style>
  <w:style w:type="character" w:customStyle="1" w:styleId="177">
    <w:name w:val="Char Char11"/>
    <w:qFormat/>
    <w:uiPriority w:val="0"/>
    <w:rPr>
      <w:rFonts w:ascii="Times New Roman" w:hAnsi="Times New Roman" w:eastAsia="宋体" w:cs="Times New Roman"/>
      <w:sz w:val="18"/>
      <w:szCs w:val="18"/>
    </w:rPr>
  </w:style>
  <w:style w:type="character" w:customStyle="1" w:styleId="178">
    <w:name w:val="正文文本缩进 2 Char"/>
    <w:link w:val="32"/>
    <w:qFormat/>
    <w:uiPriority w:val="0"/>
    <w:rPr>
      <w:rFonts w:eastAsia="宋体"/>
      <w:kern w:val="2"/>
      <w:sz w:val="24"/>
      <w:szCs w:val="24"/>
      <w:lang w:val="en-US" w:eastAsia="zh-CN" w:bidi="ar-SA"/>
    </w:rPr>
  </w:style>
  <w:style w:type="character" w:customStyle="1" w:styleId="179">
    <w:name w:val="Char Char6"/>
    <w:qFormat/>
    <w:uiPriority w:val="0"/>
    <w:rPr>
      <w:rFonts w:ascii="Times New Roman" w:hAnsi="Times New Roman" w:eastAsia="宋体" w:cs="Times New Roman"/>
      <w:szCs w:val="24"/>
    </w:rPr>
  </w:style>
  <w:style w:type="character" w:customStyle="1" w:styleId="180">
    <w:name w:val="Char Char Char"/>
    <w:qFormat/>
    <w:uiPriority w:val="0"/>
    <w:rPr>
      <w:rFonts w:ascii="宋体" w:hAnsi="Courier New" w:eastAsia="宋体"/>
      <w:b/>
      <w:sz w:val="21"/>
      <w:szCs w:val="21"/>
      <w:lang w:val="en-US" w:eastAsia="zh-CN" w:bidi="ar-SA"/>
    </w:rPr>
  </w:style>
  <w:style w:type="character" w:customStyle="1" w:styleId="181">
    <w:name w:val="heading 2 Char"/>
    <w:qFormat/>
    <w:uiPriority w:val="0"/>
    <w:rPr>
      <w:rFonts w:ascii="Arial" w:hAnsi="Arial" w:eastAsia="黑体" w:cs="Times New Roman"/>
      <w:sz w:val="30"/>
      <w:szCs w:val="24"/>
    </w:rPr>
  </w:style>
  <w:style w:type="character" w:customStyle="1" w:styleId="182">
    <w:name w:val="Char Char2"/>
    <w:qFormat/>
    <w:uiPriority w:val="0"/>
    <w:rPr>
      <w:rFonts w:ascii="Arial" w:hAnsi="Arial" w:eastAsia="黑体"/>
      <w:b/>
      <w:bCs/>
      <w:kern w:val="44"/>
      <w:sz w:val="30"/>
      <w:szCs w:val="44"/>
      <w:lang w:val="en-US" w:eastAsia="zh-CN" w:bidi="ar-SA"/>
    </w:rPr>
  </w:style>
  <w:style w:type="character" w:customStyle="1" w:styleId="183">
    <w:name w:val="Footer-Even Char2"/>
    <w:qFormat/>
    <w:uiPriority w:val="0"/>
    <w:rPr>
      <w:kern w:val="2"/>
      <w:sz w:val="18"/>
      <w:szCs w:val="18"/>
    </w:rPr>
  </w:style>
  <w:style w:type="character" w:customStyle="1" w:styleId="184">
    <w:name w:val="Char Char17"/>
    <w:qFormat/>
    <w:uiPriority w:val="0"/>
    <w:rPr>
      <w:rFonts w:ascii="Cambria" w:hAnsi="Cambria"/>
      <w:b/>
      <w:bCs/>
      <w:kern w:val="2"/>
      <w:sz w:val="28"/>
      <w:szCs w:val="28"/>
    </w:rPr>
  </w:style>
  <w:style w:type="character" w:customStyle="1" w:styleId="185">
    <w:name w:val="heading 4 Char"/>
    <w:qFormat/>
    <w:uiPriority w:val="0"/>
    <w:rPr>
      <w:rFonts w:ascii="Arial" w:hAnsi="Arial" w:eastAsia="黑体" w:cs="Times New Roman"/>
      <w:sz w:val="21"/>
      <w:szCs w:val="21"/>
    </w:rPr>
  </w:style>
  <w:style w:type="character" w:customStyle="1" w:styleId="186">
    <w:name w:val="Char Char20"/>
    <w:qFormat/>
    <w:uiPriority w:val="0"/>
    <w:rPr>
      <w:b/>
      <w:bCs/>
      <w:kern w:val="44"/>
      <w:sz w:val="44"/>
      <w:szCs w:val="44"/>
    </w:rPr>
  </w:style>
  <w:style w:type="character" w:customStyle="1" w:styleId="187">
    <w:name w:val="heading 1 Char2"/>
    <w:qFormat/>
    <w:uiPriority w:val="0"/>
    <w:rPr>
      <w:b/>
      <w:bCs/>
      <w:kern w:val="44"/>
      <w:sz w:val="44"/>
      <w:szCs w:val="44"/>
    </w:rPr>
  </w:style>
  <w:style w:type="character" w:customStyle="1" w:styleId="188">
    <w:name w:val="font11"/>
    <w:qFormat/>
    <w:uiPriority w:val="0"/>
    <w:rPr>
      <w:rFonts w:hint="eastAsia" w:ascii="宋体" w:hAnsi="宋体" w:eastAsia="宋体" w:cs="宋体"/>
      <w:b/>
      <w:color w:val="000000"/>
      <w:sz w:val="20"/>
      <w:szCs w:val="20"/>
      <w:u w:val="none"/>
    </w:rPr>
  </w:style>
  <w:style w:type="character" w:customStyle="1" w:styleId="189">
    <w:name w:val="表正文 Char2"/>
    <w:qFormat/>
    <w:uiPriority w:val="0"/>
    <w:rPr>
      <w:rFonts w:ascii="Times New Roman" w:hAnsi="Times New Roman" w:eastAsia="宋体" w:cs="Times New Roman"/>
      <w:szCs w:val="24"/>
    </w:rPr>
  </w:style>
  <w:style w:type="character" w:customStyle="1" w:styleId="190">
    <w:name w:val="引用 Char"/>
    <w:link w:val="191"/>
    <w:qFormat/>
    <w:uiPriority w:val="0"/>
    <w:rPr>
      <w:rFonts w:ascii="Calibri" w:hAnsi="Calibri" w:eastAsia="宋体"/>
      <w:i/>
      <w:iCs/>
      <w:color w:val="000000"/>
      <w:lang w:val="en-US" w:eastAsia="zh-CN" w:bidi="ar-SA"/>
    </w:rPr>
  </w:style>
  <w:style w:type="paragraph" w:styleId="191">
    <w:name w:val="Quote"/>
    <w:basedOn w:val="1"/>
    <w:next w:val="1"/>
    <w:link w:val="190"/>
    <w:qFormat/>
    <w:uiPriority w:val="0"/>
    <w:rPr>
      <w:rFonts w:ascii="Calibri" w:hAnsi="Calibri"/>
      <w:i/>
      <w:iCs/>
      <w:color w:val="000000"/>
      <w:kern w:val="0"/>
      <w:sz w:val="20"/>
      <w:szCs w:val="20"/>
    </w:rPr>
  </w:style>
  <w:style w:type="character" w:customStyle="1" w:styleId="192">
    <w:name w:val="纯文本 Char"/>
    <w:link w:val="28"/>
    <w:qFormat/>
    <w:uiPriority w:val="0"/>
    <w:rPr>
      <w:rFonts w:ascii="宋体" w:hAnsi="Courier New" w:eastAsia="宋体"/>
      <w:b/>
      <w:sz w:val="21"/>
      <w:szCs w:val="21"/>
      <w:lang w:val="en-US" w:eastAsia="zh-CN" w:bidi="ar-SA"/>
    </w:rPr>
  </w:style>
  <w:style w:type="character" w:customStyle="1" w:styleId="193">
    <w:name w:val="Char Char19"/>
    <w:qFormat/>
    <w:uiPriority w:val="0"/>
    <w:rPr>
      <w:rFonts w:ascii="Cambria" w:hAnsi="Cambria"/>
      <w:b/>
      <w:bCs/>
      <w:kern w:val="2"/>
      <w:sz w:val="32"/>
      <w:szCs w:val="32"/>
    </w:rPr>
  </w:style>
  <w:style w:type="character" w:customStyle="1" w:styleId="194">
    <w:name w:val="style41"/>
    <w:qFormat/>
    <w:uiPriority w:val="0"/>
    <w:rPr>
      <w:color w:val="auto"/>
    </w:rPr>
  </w:style>
  <w:style w:type="character" w:customStyle="1" w:styleId="195">
    <w:name w:val="Char Char201"/>
    <w:qFormat/>
    <w:uiPriority w:val="0"/>
    <w:rPr>
      <w:rFonts w:ascii="Cambria" w:hAnsi="Cambria" w:eastAsia="宋体" w:cs="Times New Roman"/>
      <w:b/>
      <w:bCs/>
      <w:sz w:val="32"/>
      <w:szCs w:val="32"/>
    </w:rPr>
  </w:style>
  <w:style w:type="character" w:customStyle="1" w:styleId="196">
    <w:name w:val="正文首行缩进 Char"/>
    <w:link w:val="51"/>
    <w:qFormat/>
    <w:uiPriority w:val="0"/>
    <w:rPr>
      <w:rFonts w:eastAsia="宋体"/>
      <w:lang w:val="en-US" w:eastAsia="zh-CN" w:bidi="ar-SA"/>
    </w:rPr>
  </w:style>
  <w:style w:type="character" w:customStyle="1" w:styleId="197">
    <w:name w:val="smalltxt1"/>
    <w:qFormat/>
    <w:uiPriority w:val="0"/>
    <w:rPr>
      <w:rFonts w:hint="default" w:ascii="ˎ̥" w:hAnsi="ˎ̥"/>
      <w:sz w:val="24"/>
      <w:szCs w:val="24"/>
    </w:rPr>
  </w:style>
  <w:style w:type="character" w:customStyle="1" w:styleId="198">
    <w:name w:val="正文文本 2 Char"/>
    <w:basedOn w:val="55"/>
    <w:link w:val="47"/>
    <w:qFormat/>
    <w:uiPriority w:val="0"/>
  </w:style>
  <w:style w:type="paragraph" w:customStyle="1" w:styleId="19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200">
    <w:name w:val="Char Char Char Char"/>
    <w:basedOn w:val="1"/>
    <w:qFormat/>
    <w:uiPriority w:val="0"/>
    <w:pPr>
      <w:autoSpaceDE w:val="0"/>
      <w:autoSpaceDN w:val="0"/>
      <w:adjustRightInd w:val="0"/>
      <w:jc w:val="left"/>
    </w:pPr>
    <w:rPr>
      <w:rFonts w:ascii="Tahoma" w:hAnsi="Tahoma"/>
      <w:kern w:val="0"/>
      <w:sz w:val="24"/>
      <w:szCs w:val="20"/>
    </w:rPr>
  </w:style>
  <w:style w:type="paragraph" w:customStyle="1" w:styleId="201">
    <w:name w:val="表内文字"/>
    <w:basedOn w:val="1"/>
    <w:qFormat/>
    <w:uiPriority w:val="0"/>
    <w:pPr>
      <w:spacing w:line="240" w:lineRule="atLeast"/>
      <w:jc w:val="center"/>
    </w:pPr>
    <w:rPr>
      <w:rFonts w:ascii="Arial" w:hAnsi="Arial" w:cs="Arial"/>
      <w:b/>
      <w:bCs/>
    </w:rPr>
  </w:style>
  <w:style w:type="paragraph" w:customStyle="1" w:styleId="202">
    <w:name w:val="列项——（一级）"/>
    <w:qFormat/>
    <w:uiPriority w:val="0"/>
    <w:pPr>
      <w:widowControl w:val="0"/>
      <w:tabs>
        <w:tab w:val="left" w:pos="854"/>
        <w:tab w:val="left" w:pos="1260"/>
      </w:tabs>
      <w:ind w:left="1260" w:hanging="420"/>
      <w:jc w:val="both"/>
    </w:pPr>
    <w:rPr>
      <w:rFonts w:ascii="宋体" w:hAnsi="Times New Roman" w:eastAsia="宋体" w:cs="Times New Roman"/>
      <w:sz w:val="21"/>
      <w:lang w:val="en-US" w:eastAsia="zh-CN" w:bidi="ar-SA"/>
    </w:rPr>
  </w:style>
  <w:style w:type="paragraph" w:customStyle="1" w:styleId="203">
    <w:name w:val="Char Char Char Char Char Char Char"/>
    <w:basedOn w:val="1"/>
    <w:qFormat/>
    <w:uiPriority w:val="0"/>
    <w:rPr>
      <w:rFonts w:ascii="仿宋_GB2312" w:eastAsia="仿宋_GB2312"/>
      <w:b/>
      <w:sz w:val="32"/>
      <w:szCs w:val="32"/>
    </w:rPr>
  </w:style>
  <w:style w:type="paragraph" w:customStyle="1" w:styleId="204">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05">
    <w:name w:val="列出段落1"/>
    <w:basedOn w:val="1"/>
    <w:qFormat/>
    <w:uiPriority w:val="0"/>
    <w:pPr>
      <w:ind w:firstLine="420" w:firstLineChars="200"/>
    </w:pPr>
    <w:rPr>
      <w:szCs w:val="20"/>
    </w:rPr>
  </w:style>
  <w:style w:type="paragraph" w:customStyle="1" w:styleId="206">
    <w:name w:val="一级条标题"/>
    <w:next w:val="1"/>
    <w:qFormat/>
    <w:uiPriority w:val="0"/>
    <w:pPr>
      <w:tabs>
        <w:tab w:val="left" w:pos="3889"/>
      </w:tabs>
      <w:ind w:left="3889" w:hanging="420"/>
      <w:outlineLvl w:val="2"/>
    </w:pPr>
    <w:rPr>
      <w:rFonts w:ascii="Times New Roman" w:hAnsi="Times New Roman" w:eastAsia="黑体" w:cs="Times New Roman"/>
      <w:sz w:val="21"/>
      <w:lang w:val="en-US" w:eastAsia="zh-CN" w:bidi="ar-SA"/>
    </w:rPr>
  </w:style>
  <w:style w:type="paragraph" w:customStyle="1" w:styleId="207">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08">
    <w:name w:val="技术报告正文"/>
    <w:basedOn w:val="1"/>
    <w:qFormat/>
    <w:uiPriority w:val="0"/>
    <w:pPr>
      <w:autoSpaceDE w:val="0"/>
      <w:autoSpaceDN w:val="0"/>
      <w:adjustRightInd w:val="0"/>
      <w:spacing w:beforeLines="50" w:line="440" w:lineRule="exact"/>
      <w:ind w:firstLine="538" w:firstLineChars="192"/>
      <w:jc w:val="left"/>
    </w:pPr>
    <w:rPr>
      <w:rFonts w:cs="Arial"/>
      <w:bCs/>
      <w:kern w:val="0"/>
      <w:sz w:val="28"/>
      <w:szCs w:val="20"/>
    </w:rPr>
  </w:style>
  <w:style w:type="paragraph" w:customStyle="1" w:styleId="209">
    <w:name w:val="xl84"/>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10">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新宋体" w:hAnsi="新宋体" w:eastAsia="新宋体" w:cs="宋体"/>
      <w:color w:val="000000"/>
      <w:kern w:val="0"/>
      <w:sz w:val="24"/>
    </w:rPr>
  </w:style>
  <w:style w:type="paragraph" w:customStyle="1" w:styleId="21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12">
    <w:name w:val="NICMAN Body Text"/>
    <w:basedOn w:val="1"/>
    <w:next w:val="21"/>
    <w:qFormat/>
    <w:uiPriority w:val="0"/>
    <w:pPr>
      <w:autoSpaceDE w:val="0"/>
      <w:autoSpaceDN w:val="0"/>
      <w:adjustRightInd w:val="0"/>
      <w:spacing w:after="120"/>
      <w:jc w:val="left"/>
    </w:pPr>
    <w:rPr>
      <w:kern w:val="0"/>
      <w:sz w:val="20"/>
      <w:szCs w:val="20"/>
    </w:rPr>
  </w:style>
  <w:style w:type="paragraph" w:customStyle="1" w:styleId="213">
    <w:name w:val="Char Char Char Char Char Char Char Char Char Char Char Char Char"/>
    <w:basedOn w:val="1"/>
    <w:qFormat/>
    <w:uiPriority w:val="0"/>
    <w:rPr>
      <w:rFonts w:ascii="Tahoma" w:hAnsi="Tahoma"/>
      <w:sz w:val="24"/>
      <w:szCs w:val="20"/>
    </w:rPr>
  </w:style>
  <w:style w:type="paragraph" w:customStyle="1" w:styleId="214">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新宋体" w:hAnsi="新宋体" w:eastAsia="新宋体" w:cs="宋体"/>
      <w:b/>
      <w:bCs/>
      <w:color w:val="000000"/>
      <w:kern w:val="0"/>
      <w:sz w:val="24"/>
    </w:rPr>
  </w:style>
  <w:style w:type="paragraph" w:customStyle="1" w:styleId="215">
    <w:name w:val="正文缩进1"/>
    <w:basedOn w:val="1"/>
    <w:next w:val="22"/>
    <w:qFormat/>
    <w:uiPriority w:val="0"/>
    <w:pPr>
      <w:autoSpaceDE w:val="0"/>
      <w:autoSpaceDN w:val="0"/>
      <w:adjustRightInd w:val="0"/>
      <w:snapToGrid w:val="0"/>
      <w:spacing w:after="120" w:line="360" w:lineRule="auto"/>
      <w:ind w:left="420" w:leftChars="200" w:firstLine="480" w:firstLineChars="200"/>
      <w:jc w:val="left"/>
    </w:pPr>
    <w:rPr>
      <w:kern w:val="0"/>
      <w:sz w:val="24"/>
      <w:szCs w:val="21"/>
    </w:rPr>
  </w:style>
  <w:style w:type="paragraph" w:customStyle="1" w:styleId="216">
    <w:name w:val="Table Heading"/>
    <w:qFormat/>
    <w:uiPriority w:val="0"/>
    <w:pPr>
      <w:keepNext/>
      <w:snapToGrid w:val="0"/>
      <w:spacing w:before="80" w:after="80"/>
      <w:jc w:val="center"/>
    </w:pPr>
    <w:rPr>
      <w:rFonts w:ascii="Times New Roman" w:hAnsi="Times New Roman" w:eastAsia="黑体" w:cs="Arial"/>
      <w:kern w:val="2"/>
      <w:sz w:val="18"/>
      <w:szCs w:val="18"/>
      <w:lang w:val="en-US" w:eastAsia="zh-CN" w:bidi="ar-SA"/>
    </w:rPr>
  </w:style>
  <w:style w:type="paragraph" w:customStyle="1" w:styleId="217">
    <w:name w:val="Char Char Char Char1"/>
    <w:basedOn w:val="17"/>
    <w:qFormat/>
    <w:uiPriority w:val="0"/>
    <w:rPr>
      <w:rFonts w:ascii="Tahoma" w:hAnsi="Tahoma"/>
      <w:sz w:val="24"/>
    </w:rPr>
  </w:style>
  <w:style w:type="paragraph" w:customStyle="1" w:styleId="218">
    <w:name w:val="正文 首行缩进:  2 字符 Char"/>
    <w:basedOn w:val="1"/>
    <w:qFormat/>
    <w:uiPriority w:val="0"/>
    <w:pPr>
      <w:spacing w:line="360" w:lineRule="auto"/>
      <w:ind w:firstLine="480"/>
    </w:pPr>
    <w:rPr>
      <w:rFonts w:cs="宋体"/>
      <w:sz w:val="24"/>
      <w:szCs w:val="20"/>
    </w:rPr>
  </w:style>
  <w:style w:type="paragraph" w:customStyle="1" w:styleId="219">
    <w:name w:val="样式1"/>
    <w:basedOn w:val="1"/>
    <w:qFormat/>
    <w:uiPriority w:val="0"/>
    <w:pPr>
      <w:autoSpaceDE w:val="0"/>
      <w:autoSpaceDN w:val="0"/>
      <w:adjustRightInd w:val="0"/>
      <w:spacing w:line="400" w:lineRule="exact"/>
    </w:pPr>
    <w:rPr>
      <w:rFonts w:ascii="宋体" w:cs="宋体"/>
      <w:kern w:val="0"/>
    </w:rPr>
  </w:style>
  <w:style w:type="paragraph" w:customStyle="1" w:styleId="22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21">
    <w:name w:val="小标题"/>
    <w:basedOn w:val="1"/>
    <w:qFormat/>
    <w:uiPriority w:val="0"/>
    <w:pPr>
      <w:autoSpaceDE w:val="0"/>
      <w:autoSpaceDN w:val="0"/>
      <w:adjustRightInd w:val="0"/>
      <w:spacing w:before="120" w:line="360" w:lineRule="atLeast"/>
      <w:ind w:left="1134"/>
      <w:jc w:val="left"/>
      <w:textAlignment w:val="baseline"/>
    </w:pPr>
    <w:rPr>
      <w:rFonts w:eastAsia="黑体"/>
      <w:kern w:val="0"/>
      <w:sz w:val="20"/>
      <w:szCs w:val="20"/>
    </w:rPr>
  </w:style>
  <w:style w:type="paragraph" w:customStyle="1" w:styleId="222">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23">
    <w:name w:val="Char Char Char Char Char Char Char Char Char Char"/>
    <w:basedOn w:val="1"/>
    <w:qFormat/>
    <w:uiPriority w:val="0"/>
    <w:pPr>
      <w:autoSpaceDE w:val="0"/>
      <w:autoSpaceDN w:val="0"/>
      <w:adjustRightInd w:val="0"/>
      <w:jc w:val="left"/>
    </w:pPr>
    <w:rPr>
      <w:rFonts w:ascii="仿宋_GB2312" w:eastAsia="仿宋_GB2312"/>
      <w:b/>
      <w:kern w:val="0"/>
      <w:sz w:val="32"/>
      <w:szCs w:val="32"/>
    </w:rPr>
  </w:style>
  <w:style w:type="paragraph" w:customStyle="1" w:styleId="224">
    <w:name w:val="样式"/>
    <w:basedOn w:val="1"/>
    <w:qFormat/>
    <w:uiPriority w:val="0"/>
    <w:pPr>
      <w:autoSpaceDE w:val="0"/>
      <w:autoSpaceDN w:val="0"/>
      <w:adjustRightInd w:val="0"/>
      <w:snapToGrid w:val="0"/>
      <w:spacing w:before="120" w:after="120" w:line="360" w:lineRule="auto"/>
      <w:jc w:val="left"/>
    </w:pPr>
    <w:rPr>
      <w:rFonts w:ascii="宋体"/>
      <w:kern w:val="0"/>
      <w:sz w:val="24"/>
      <w:szCs w:val="20"/>
    </w:rPr>
  </w:style>
  <w:style w:type="paragraph" w:customStyle="1" w:styleId="225">
    <w:name w:val="二级条标题"/>
    <w:basedOn w:val="206"/>
    <w:next w:val="1"/>
    <w:qFormat/>
    <w:uiPriority w:val="0"/>
    <w:pPr>
      <w:tabs>
        <w:tab w:val="left" w:pos="4309"/>
        <w:tab w:val="clear" w:pos="3889"/>
      </w:tabs>
      <w:ind w:left="4309"/>
      <w:outlineLvl w:val="3"/>
    </w:pPr>
  </w:style>
  <w:style w:type="paragraph" w:customStyle="1" w:styleId="226">
    <w:name w:val="正文－恩普"/>
    <w:basedOn w:val="9"/>
    <w:qFormat/>
    <w:uiPriority w:val="0"/>
    <w:pPr>
      <w:adjustRightInd/>
      <w:spacing w:line="360" w:lineRule="auto"/>
      <w:ind w:firstLine="200" w:firstLineChars="200"/>
      <w:textAlignment w:val="auto"/>
    </w:pPr>
    <w:rPr>
      <w:kern w:val="2"/>
      <w:sz w:val="24"/>
      <w:szCs w:val="24"/>
    </w:rPr>
  </w:style>
  <w:style w:type="paragraph" w:customStyle="1" w:styleId="227">
    <w:name w:val="列表内容"/>
    <w:basedOn w:val="1"/>
    <w:next w:val="1"/>
    <w:qFormat/>
    <w:uiPriority w:val="0"/>
    <w:pPr>
      <w:widowControl/>
      <w:autoSpaceDE w:val="0"/>
      <w:autoSpaceDN w:val="0"/>
      <w:adjustRightInd w:val="0"/>
      <w:ind w:firstLine="200"/>
      <w:jc w:val="left"/>
    </w:pPr>
    <w:rPr>
      <w:kern w:val="0"/>
      <w:sz w:val="18"/>
      <w:szCs w:val="20"/>
    </w:rPr>
  </w:style>
  <w:style w:type="paragraph" w:customStyle="1" w:styleId="228">
    <w:name w:val="正文（首行缩进）"/>
    <w:basedOn w:val="22"/>
    <w:qFormat/>
    <w:uiPriority w:val="0"/>
    <w:pPr>
      <w:widowControl/>
      <w:overflowPunct w:val="0"/>
      <w:autoSpaceDE w:val="0"/>
      <w:autoSpaceDN w:val="0"/>
      <w:adjustRightInd w:val="0"/>
      <w:spacing w:beforeLines="50" w:after="120" w:line="400" w:lineRule="exact"/>
      <w:ind w:left="200" w:leftChars="200" w:firstLine="200" w:firstLineChars="200"/>
      <w:jc w:val="left"/>
      <w:textAlignment w:val="baseline"/>
    </w:pPr>
    <w:rPr>
      <w:spacing w:val="10"/>
      <w:kern w:val="0"/>
      <w:szCs w:val="20"/>
    </w:rPr>
  </w:style>
  <w:style w:type="paragraph" w:customStyle="1" w:styleId="229">
    <w:name w:val="xl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30">
    <w:name w:val="文字"/>
    <w:basedOn w:val="1"/>
    <w:qFormat/>
    <w:uiPriority w:val="0"/>
    <w:pPr>
      <w:tabs>
        <w:tab w:val="left" w:pos="8520"/>
      </w:tabs>
      <w:spacing w:line="312" w:lineRule="auto"/>
      <w:ind w:right="-210" w:firstLine="556"/>
    </w:pPr>
    <w:rPr>
      <w:rFonts w:ascii="宋体"/>
      <w:sz w:val="28"/>
      <w:szCs w:val="20"/>
    </w:rPr>
  </w:style>
  <w:style w:type="paragraph" w:customStyle="1" w:styleId="23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新宋体" w:hAnsi="新宋体" w:eastAsia="新宋体" w:cs="宋体"/>
      <w:b/>
      <w:bCs/>
      <w:color w:val="000000"/>
      <w:kern w:val="0"/>
      <w:sz w:val="24"/>
    </w:rPr>
  </w:style>
  <w:style w:type="paragraph" w:customStyle="1" w:styleId="232">
    <w:name w:val="xl8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33">
    <w:name w:val="标准段落"/>
    <w:basedOn w:val="1"/>
    <w:qFormat/>
    <w:uiPriority w:val="0"/>
    <w:pPr>
      <w:spacing w:after="120" w:line="360" w:lineRule="auto"/>
      <w:ind w:firstLine="420"/>
    </w:pPr>
    <w:rPr>
      <w:rFonts w:ascii="黑体" w:hAnsi="宋体" w:eastAsia="黑体"/>
      <w:b/>
      <w:spacing w:val="6"/>
      <w:szCs w:val="22"/>
    </w:rPr>
  </w:style>
  <w:style w:type="paragraph" w:customStyle="1" w:styleId="234">
    <w:name w:val="三级条标题"/>
    <w:basedOn w:val="225"/>
    <w:next w:val="1"/>
    <w:qFormat/>
    <w:uiPriority w:val="0"/>
    <w:pPr>
      <w:tabs>
        <w:tab w:val="left" w:pos="4729"/>
        <w:tab w:val="clear" w:pos="4309"/>
      </w:tabs>
      <w:ind w:left="4729"/>
      <w:outlineLvl w:val="4"/>
    </w:pPr>
  </w:style>
  <w:style w:type="paragraph" w:customStyle="1" w:styleId="235">
    <w:name w:val="Test2"/>
    <w:basedOn w:val="4"/>
    <w:qFormat/>
    <w:uiPriority w:val="0"/>
    <w:pPr>
      <w:keepNext w:val="0"/>
      <w:widowControl/>
      <w:tabs>
        <w:tab w:val="left" w:pos="774"/>
      </w:tabs>
      <w:autoSpaceDE w:val="0"/>
      <w:autoSpaceDN w:val="0"/>
      <w:adjustRightInd w:val="0"/>
      <w:snapToGrid w:val="0"/>
      <w:spacing w:before="360" w:after="360" w:line="240" w:lineRule="atLeast"/>
      <w:ind w:left="774" w:hanging="576"/>
      <w:jc w:val="left"/>
    </w:pPr>
    <w:rPr>
      <w:rFonts w:ascii="宋体" w:hAnsi="Arial"/>
      <w:snapToGrid w:val="0"/>
      <w:kern w:val="0"/>
    </w:rPr>
  </w:style>
  <w:style w:type="paragraph" w:customStyle="1" w:styleId="236">
    <w:name w:val="默认段落字体 Para Char Char Char Char Char Char Char"/>
    <w:basedOn w:val="1"/>
    <w:qFormat/>
    <w:uiPriority w:val="0"/>
  </w:style>
  <w:style w:type="paragraph" w:customStyle="1" w:styleId="237">
    <w:name w:val="标准小四"/>
    <w:basedOn w:val="1"/>
    <w:qFormat/>
    <w:uiPriority w:val="0"/>
    <w:pPr>
      <w:autoSpaceDE w:val="0"/>
      <w:autoSpaceDN w:val="0"/>
      <w:adjustRightInd w:val="0"/>
      <w:spacing w:line="360" w:lineRule="auto"/>
      <w:ind w:firstLine="480" w:firstLineChars="200"/>
      <w:jc w:val="left"/>
    </w:pPr>
    <w:rPr>
      <w:rFonts w:ascii="Arial" w:hAnsi="Arial"/>
      <w:kern w:val="0"/>
      <w:sz w:val="24"/>
      <w:szCs w:val="21"/>
    </w:rPr>
  </w:style>
  <w:style w:type="paragraph" w:customStyle="1" w:styleId="238">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39">
    <w:name w:val="Char13"/>
    <w:basedOn w:val="1"/>
    <w:qFormat/>
    <w:uiPriority w:val="0"/>
    <w:pPr>
      <w:widowControl/>
      <w:spacing w:after="160" w:line="240" w:lineRule="exact"/>
      <w:jc w:val="left"/>
    </w:pPr>
    <w:rPr>
      <w:rFonts w:ascii="Verdana" w:hAnsi="Verdana"/>
      <w:kern w:val="0"/>
      <w:sz w:val="20"/>
      <w:szCs w:val="20"/>
      <w:lang w:eastAsia="en-US"/>
    </w:rPr>
  </w:style>
  <w:style w:type="paragraph" w:customStyle="1" w:styleId="240">
    <w:name w:val="xl6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cs="宋体"/>
      <w:b/>
      <w:bCs/>
      <w:color w:val="000000"/>
      <w:kern w:val="0"/>
      <w:sz w:val="24"/>
    </w:rPr>
  </w:style>
  <w:style w:type="paragraph" w:customStyle="1" w:styleId="241">
    <w:name w:val="样式 样式 正文文本缩进 + 仿宋_GB2312 小四 首行缩进:  0 厘米 行距: 1.5 倍行距 + (中文) 仿宋_GB... Char Char"/>
    <w:basedOn w:val="1"/>
    <w:qFormat/>
    <w:uiPriority w:val="0"/>
    <w:pPr>
      <w:autoSpaceDE w:val="0"/>
      <w:autoSpaceDN w:val="0"/>
      <w:adjustRightInd w:val="0"/>
      <w:spacing w:line="360" w:lineRule="auto"/>
      <w:ind w:firstLine="480" w:firstLineChars="200"/>
      <w:jc w:val="left"/>
    </w:pPr>
    <w:rPr>
      <w:rFonts w:ascii="仿宋_GB2312" w:eastAsia="新宋体"/>
      <w:kern w:val="0"/>
      <w:sz w:val="24"/>
      <w:szCs w:val="20"/>
    </w:rPr>
  </w:style>
  <w:style w:type="paragraph" w:customStyle="1" w:styleId="242">
    <w:name w:val="列表段落"/>
    <w:basedOn w:val="1"/>
    <w:qFormat/>
    <w:uiPriority w:val="0"/>
    <w:pPr>
      <w:ind w:firstLine="420" w:firstLineChars="200"/>
    </w:pPr>
    <w:rPr>
      <w:rFonts w:ascii="Calibri" w:hAnsi="Calibri"/>
      <w:szCs w:val="22"/>
    </w:rPr>
  </w:style>
  <w:style w:type="paragraph" w:customStyle="1" w:styleId="243">
    <w:name w:val="五级条标题"/>
    <w:basedOn w:val="244"/>
    <w:next w:val="1"/>
    <w:qFormat/>
    <w:uiPriority w:val="0"/>
    <w:pPr>
      <w:tabs>
        <w:tab w:val="left" w:pos="5149"/>
        <w:tab w:val="left" w:pos="5569"/>
      </w:tabs>
      <w:ind w:left="5569"/>
      <w:outlineLvl w:val="6"/>
    </w:pPr>
  </w:style>
  <w:style w:type="paragraph" w:customStyle="1" w:styleId="244">
    <w:name w:val="四级条标题"/>
    <w:basedOn w:val="234"/>
    <w:next w:val="1"/>
    <w:qFormat/>
    <w:uiPriority w:val="0"/>
    <w:pPr>
      <w:tabs>
        <w:tab w:val="left" w:pos="5149"/>
        <w:tab w:val="clear" w:pos="4729"/>
      </w:tabs>
      <w:ind w:left="5149"/>
      <w:outlineLvl w:val="5"/>
    </w:pPr>
  </w:style>
  <w:style w:type="paragraph" w:customStyle="1" w:styleId="245">
    <w:name w:val="正文-宋体四号"/>
    <w:basedOn w:val="1"/>
    <w:qFormat/>
    <w:uiPriority w:val="0"/>
    <w:pPr>
      <w:spacing w:line="360" w:lineRule="auto"/>
      <w:ind w:firstLine="560" w:firstLineChars="200"/>
    </w:pPr>
    <w:rPr>
      <w:rFonts w:cs="宋体"/>
      <w:sz w:val="28"/>
      <w:szCs w:val="20"/>
    </w:rPr>
  </w:style>
  <w:style w:type="paragraph" w:customStyle="1" w:styleId="246">
    <w:name w:val="纯文本1"/>
    <w:basedOn w:val="1"/>
    <w:qFormat/>
    <w:uiPriority w:val="0"/>
    <w:pPr>
      <w:adjustRightInd w:val="0"/>
      <w:textAlignment w:val="baseline"/>
    </w:pPr>
    <w:rPr>
      <w:rFonts w:ascii="宋体" w:hAnsi="Courier New" w:eastAsia="楷体_GB2312"/>
      <w:sz w:val="28"/>
      <w:szCs w:val="20"/>
    </w:rPr>
  </w:style>
  <w:style w:type="paragraph" w:customStyle="1" w:styleId="247">
    <w:name w:val="Char2"/>
    <w:basedOn w:val="1"/>
    <w:qFormat/>
    <w:uiPriority w:val="0"/>
  </w:style>
  <w:style w:type="paragraph" w:customStyle="1" w:styleId="248">
    <w:name w:val="Char Char Char Char Char Char Char Char Char Char Char Char Char Char Char Char Char Char Char"/>
    <w:basedOn w:val="1"/>
    <w:qFormat/>
    <w:uiPriority w:val="0"/>
    <w:rPr>
      <w:rFonts w:ascii="仿宋_GB2312" w:eastAsia="仿宋_GB2312"/>
      <w:b/>
      <w:sz w:val="32"/>
      <w:szCs w:val="32"/>
    </w:rPr>
  </w:style>
  <w:style w:type="paragraph" w:customStyle="1" w:styleId="249">
    <w:name w:val="样式5"/>
    <w:basedOn w:val="9"/>
    <w:qFormat/>
    <w:uiPriority w:val="0"/>
    <w:pPr>
      <w:adjustRightInd/>
      <w:spacing w:line="360" w:lineRule="auto"/>
      <w:ind w:firstLine="200" w:firstLineChars="200"/>
      <w:textAlignment w:val="auto"/>
    </w:pPr>
    <w:rPr>
      <w:sz w:val="28"/>
      <w:szCs w:val="21"/>
    </w:rPr>
  </w:style>
  <w:style w:type="paragraph" w:customStyle="1" w:styleId="250">
    <w:name w:val="14"/>
    <w:basedOn w:val="1"/>
    <w:qFormat/>
    <w:uiPriority w:val="0"/>
    <w:pPr>
      <w:snapToGrid w:val="0"/>
      <w:spacing w:beforeLines="30" w:line="288" w:lineRule="auto"/>
      <w:ind w:left="852" w:leftChars="355" w:firstLine="420" w:firstLineChars="175"/>
    </w:pPr>
    <w:rPr>
      <w:rFonts w:ascii="新宋体" w:hAnsi="新宋体"/>
      <w:sz w:val="24"/>
      <w:szCs w:val="20"/>
    </w:rPr>
  </w:style>
  <w:style w:type="paragraph" w:customStyle="1" w:styleId="251">
    <w:name w:val="Char Char Char Char Char Char Char Char Char Char Char Char Char1"/>
    <w:basedOn w:val="1"/>
    <w:qFormat/>
    <w:uiPriority w:val="0"/>
  </w:style>
  <w:style w:type="paragraph" w:customStyle="1" w:styleId="252">
    <w:name w:val="样式 标题 1Level 1Level 11h1II+IHeading1H1-Heading 1Header 1..."/>
    <w:basedOn w:val="3"/>
    <w:qFormat/>
    <w:uiPriority w:val="0"/>
    <w:pPr>
      <w:keepLines/>
      <w:pageBreakBefore/>
      <w:spacing w:before="100" w:after="100" w:line="360" w:lineRule="auto"/>
      <w:ind w:left="1680" w:hanging="420"/>
      <w:jc w:val="left"/>
    </w:pPr>
    <w:rPr>
      <w:rFonts w:ascii="Arial" w:hAnsi="Arial" w:cs="宋体"/>
      <w:bCs/>
      <w:kern w:val="44"/>
      <w:sz w:val="44"/>
    </w:rPr>
  </w:style>
  <w:style w:type="paragraph" w:customStyle="1" w:styleId="253">
    <w:name w:val="样式 标题 3 + 黑色 段前: 5 磅 段后: 5 磅 行距: 1.5 倍行距"/>
    <w:basedOn w:val="1"/>
    <w:qFormat/>
    <w:uiPriority w:val="0"/>
    <w:pPr>
      <w:ind w:left="855" w:hanging="855"/>
    </w:pPr>
    <w:rPr>
      <w:sz w:val="24"/>
      <w:szCs w:val="20"/>
    </w:rPr>
  </w:style>
  <w:style w:type="paragraph" w:customStyle="1" w:styleId="254">
    <w:name w:val="button"/>
    <w:basedOn w:val="1"/>
    <w:qFormat/>
    <w:uiPriority w:val="0"/>
    <w:pPr>
      <w:widowControl/>
      <w:autoSpaceDE w:val="0"/>
      <w:autoSpaceDN w:val="0"/>
      <w:adjustRightInd w:val="0"/>
      <w:spacing w:before="100" w:beforeAutospacing="1" w:after="100" w:afterAutospacing="1"/>
      <w:jc w:val="left"/>
    </w:pPr>
    <w:rPr>
      <w:rFonts w:ascii="Arial Unicode MS" w:hAnsi="Arial Unicode MS"/>
      <w:color w:val="000000"/>
      <w:kern w:val="0"/>
      <w:sz w:val="24"/>
      <w:szCs w:val="20"/>
    </w:rPr>
  </w:style>
  <w:style w:type="paragraph" w:customStyle="1" w:styleId="255">
    <w:name w:val="ÕýÎÄÊ×ÐÐËõ½ø"/>
    <w:basedOn w:val="1"/>
    <w:qFormat/>
    <w:uiPriority w:val="0"/>
    <w:pPr>
      <w:widowControl/>
      <w:overflowPunct w:val="0"/>
      <w:autoSpaceDE w:val="0"/>
      <w:autoSpaceDN w:val="0"/>
      <w:adjustRightInd w:val="0"/>
      <w:spacing w:line="360" w:lineRule="auto"/>
      <w:ind w:left="1134"/>
      <w:jc w:val="left"/>
      <w:textAlignment w:val="baseline"/>
    </w:pPr>
    <w:rPr>
      <w:rFonts w:eastAsia="Times New Roman"/>
      <w:kern w:val="0"/>
      <w:sz w:val="20"/>
      <w:szCs w:val="20"/>
    </w:rPr>
  </w:style>
  <w:style w:type="paragraph" w:customStyle="1" w:styleId="256">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57">
    <w:name w:val="xl9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58">
    <w:name w:val="标书正文带编号"/>
    <w:basedOn w:val="1"/>
    <w:qFormat/>
    <w:uiPriority w:val="0"/>
    <w:pPr>
      <w:tabs>
        <w:tab w:val="left" w:pos="397"/>
      </w:tabs>
      <w:autoSpaceDE w:val="0"/>
      <w:autoSpaceDN w:val="0"/>
      <w:adjustRightInd w:val="0"/>
      <w:ind w:firstLine="397"/>
      <w:jc w:val="left"/>
    </w:pPr>
    <w:rPr>
      <w:rFonts w:cs="宋体"/>
      <w:kern w:val="0"/>
      <w:sz w:val="20"/>
      <w:szCs w:val="21"/>
    </w:rPr>
  </w:style>
  <w:style w:type="paragraph" w:customStyle="1" w:styleId="259">
    <w:name w:val="表格文字（大）"/>
    <w:basedOn w:val="1"/>
    <w:qFormat/>
    <w:uiPriority w:val="0"/>
    <w:pPr>
      <w:autoSpaceDE w:val="0"/>
      <w:autoSpaceDN w:val="0"/>
      <w:adjustRightInd w:val="0"/>
      <w:spacing w:before="20" w:after="20"/>
      <w:jc w:val="left"/>
    </w:pPr>
    <w:rPr>
      <w:rFonts w:ascii="Century Gothic" w:hAnsi="Century Gothic" w:cs="Century Gothic"/>
      <w:kern w:val="0"/>
      <w:sz w:val="24"/>
      <w:szCs w:val="20"/>
    </w:rPr>
  </w:style>
  <w:style w:type="paragraph" w:customStyle="1" w:styleId="260">
    <w:name w:val="排列"/>
    <w:basedOn w:val="1"/>
    <w:qFormat/>
    <w:uiPriority w:val="0"/>
    <w:pPr>
      <w:widowControl/>
      <w:autoSpaceDE w:val="0"/>
      <w:autoSpaceDN w:val="0"/>
      <w:adjustRightInd w:val="0"/>
      <w:spacing w:line="360" w:lineRule="auto"/>
      <w:jc w:val="left"/>
    </w:pPr>
    <w:rPr>
      <w:rFonts w:ascii="宋体" w:hAnsi="宋体"/>
      <w:kern w:val="0"/>
      <w:sz w:val="20"/>
      <w:szCs w:val="20"/>
      <w:lang w:val="zh-CN"/>
    </w:rPr>
  </w:style>
  <w:style w:type="paragraph" w:customStyle="1" w:styleId="261">
    <w:name w:val="Char Char1 Char Char Char Char Char Char Char Char Char Char Char Char Char Char"/>
    <w:basedOn w:val="1"/>
    <w:qFormat/>
    <w:uiPriority w:val="0"/>
    <w:pPr>
      <w:widowControl/>
      <w:autoSpaceDE w:val="0"/>
      <w:autoSpaceDN w:val="0"/>
      <w:adjustRightInd w:val="0"/>
      <w:spacing w:after="160" w:line="240" w:lineRule="exact"/>
      <w:jc w:val="left"/>
    </w:pPr>
    <w:rPr>
      <w:kern w:val="0"/>
      <w:sz w:val="20"/>
      <w:szCs w:val="20"/>
    </w:rPr>
  </w:style>
  <w:style w:type="paragraph" w:customStyle="1" w:styleId="262">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新宋体" w:hAnsi="新宋体" w:eastAsia="新宋体" w:cs="宋体"/>
      <w:color w:val="000000"/>
      <w:kern w:val="0"/>
      <w:sz w:val="24"/>
    </w:rPr>
  </w:style>
  <w:style w:type="paragraph" w:customStyle="1" w:styleId="263">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64">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65">
    <w:name w:val="tabletext"/>
    <w:basedOn w:val="1"/>
    <w:qFormat/>
    <w:uiPriority w:val="0"/>
    <w:pPr>
      <w:widowControl/>
      <w:spacing w:line="300" w:lineRule="atLeast"/>
      <w:jc w:val="left"/>
    </w:pPr>
    <w:rPr>
      <w:rFonts w:ascii="宋体" w:hAnsi="宋体" w:cs="宋体"/>
      <w:kern w:val="0"/>
      <w:sz w:val="18"/>
      <w:szCs w:val="18"/>
    </w:rPr>
  </w:style>
  <w:style w:type="paragraph" w:customStyle="1" w:styleId="266">
    <w:name w:val="1.1.1"/>
    <w:basedOn w:val="1"/>
    <w:qFormat/>
    <w:uiPriority w:val="0"/>
    <w:pPr>
      <w:tabs>
        <w:tab w:val="left" w:pos="0"/>
        <w:tab w:val="left" w:pos="1134"/>
        <w:tab w:val="left" w:pos="8505"/>
      </w:tabs>
      <w:autoSpaceDE w:val="0"/>
      <w:autoSpaceDN w:val="0"/>
      <w:adjustRightInd w:val="0"/>
      <w:spacing w:before="240" w:after="60" w:line="360" w:lineRule="atLeast"/>
    </w:pPr>
    <w:rPr>
      <w:rFonts w:ascii="宋体"/>
      <w:b/>
      <w:kern w:val="0"/>
      <w:sz w:val="24"/>
      <w:szCs w:val="20"/>
    </w:rPr>
  </w:style>
  <w:style w:type="paragraph" w:customStyle="1" w:styleId="267">
    <w:name w:val="TOC 标题1"/>
    <w:basedOn w:val="3"/>
    <w:next w:val="1"/>
    <w:unhideWhenUsed/>
    <w:qFormat/>
    <w:uiPriority w:val="39"/>
    <w:pPr>
      <w:widowControl/>
      <w:spacing w:before="480" w:line="276" w:lineRule="auto"/>
      <w:jc w:val="left"/>
      <w:outlineLvl w:val="9"/>
    </w:pPr>
    <w:rPr>
      <w:rFonts w:ascii="Cambria" w:hAnsi="Cambria" w:eastAsia="宋体"/>
      <w:color w:val="366091"/>
      <w:kern w:val="0"/>
      <w:sz w:val="28"/>
      <w:szCs w:val="28"/>
    </w:rPr>
  </w:style>
  <w:style w:type="paragraph" w:customStyle="1" w:styleId="268">
    <w:name w:val="xl55"/>
    <w:basedOn w:val="1"/>
    <w:qFormat/>
    <w:uiPriority w:val="0"/>
    <w:pPr>
      <w:widowControl/>
      <w:spacing w:before="100" w:beforeAutospacing="1" w:after="100" w:afterAutospacing="1"/>
      <w:jc w:val="center"/>
      <w:textAlignment w:val="center"/>
    </w:pPr>
    <w:rPr>
      <w:rFonts w:ascii="Arial Unicode MS" w:hAnsi="Arial Unicode MS"/>
      <w:kern w:val="0"/>
      <w:sz w:val="24"/>
    </w:rPr>
  </w:style>
  <w:style w:type="paragraph" w:customStyle="1" w:styleId="269">
    <w:name w:val="xl89"/>
    <w:basedOn w:val="1"/>
    <w:qFormat/>
    <w:uiPriority w:val="0"/>
    <w:pPr>
      <w:widowControl/>
      <w:spacing w:before="100" w:beforeAutospacing="1" w:after="100" w:afterAutospacing="1"/>
      <w:jc w:val="left"/>
    </w:pPr>
    <w:rPr>
      <w:rFonts w:ascii="宋体" w:hAnsi="宋体" w:cs="宋体"/>
      <w:kern w:val="0"/>
      <w:sz w:val="24"/>
    </w:rPr>
  </w:style>
  <w:style w:type="paragraph" w:customStyle="1" w:styleId="270">
    <w:name w:val="WW-正文文字缩进 2"/>
    <w:basedOn w:val="1"/>
    <w:qFormat/>
    <w:uiPriority w:val="0"/>
    <w:pPr>
      <w:suppressAutoHyphens/>
      <w:autoSpaceDE w:val="0"/>
      <w:autoSpaceDN w:val="0"/>
      <w:adjustRightInd w:val="0"/>
      <w:ind w:firstLine="420"/>
      <w:jc w:val="left"/>
    </w:pPr>
    <w:rPr>
      <w:kern w:val="1"/>
      <w:sz w:val="20"/>
      <w:szCs w:val="20"/>
    </w:rPr>
  </w:style>
  <w:style w:type="paragraph" w:customStyle="1" w:styleId="271">
    <w:name w:val="xl65"/>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cs="宋体"/>
      <w:b/>
      <w:bCs/>
      <w:color w:val="000000"/>
      <w:kern w:val="0"/>
      <w:sz w:val="24"/>
    </w:rPr>
  </w:style>
  <w:style w:type="paragraph" w:customStyle="1" w:styleId="272">
    <w:name w:val="正文样式 首行缩进:  0.74 厘米"/>
    <w:basedOn w:val="1"/>
    <w:qFormat/>
    <w:uiPriority w:val="0"/>
    <w:pPr>
      <w:autoSpaceDE w:val="0"/>
      <w:autoSpaceDN w:val="0"/>
      <w:adjustRightInd w:val="0"/>
      <w:spacing w:beforeLines="50" w:line="360" w:lineRule="auto"/>
      <w:ind w:firstLine="420"/>
      <w:jc w:val="left"/>
    </w:pPr>
    <w:rPr>
      <w:rFonts w:cs="宋体"/>
      <w:kern w:val="0"/>
      <w:sz w:val="24"/>
      <w:szCs w:val="20"/>
    </w:rPr>
  </w:style>
  <w:style w:type="paragraph" w:customStyle="1" w:styleId="273">
    <w:name w:val="简单回函地址"/>
    <w:basedOn w:val="1"/>
    <w:qFormat/>
    <w:uiPriority w:val="0"/>
  </w:style>
  <w:style w:type="paragraph" w:customStyle="1" w:styleId="274">
    <w:name w:val="前言、引言标题"/>
    <w:next w:val="1"/>
    <w:qFormat/>
    <w:uiPriority w:val="0"/>
    <w:pPr>
      <w:shd w:val="clear" w:color="FFFFFF" w:fill="FFFFFF"/>
      <w:tabs>
        <w:tab w:val="left" w:pos="3349"/>
      </w:tabs>
      <w:spacing w:before="640" w:after="560"/>
      <w:ind w:left="3349" w:hanging="720"/>
      <w:jc w:val="center"/>
      <w:outlineLvl w:val="0"/>
    </w:pPr>
    <w:rPr>
      <w:rFonts w:ascii="黑体" w:hAnsi="Times New Roman" w:eastAsia="黑体" w:cs="Times New Roman"/>
      <w:sz w:val="32"/>
      <w:lang w:val="en-US" w:eastAsia="zh-CN" w:bidi="ar-SA"/>
    </w:rPr>
  </w:style>
  <w:style w:type="paragraph" w:customStyle="1" w:styleId="275">
    <w:name w:val="正文_0"/>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276">
    <w:name w:val="部分1"/>
    <w:basedOn w:val="1"/>
    <w:qFormat/>
    <w:uiPriority w:val="0"/>
    <w:pPr>
      <w:keepNext/>
      <w:pageBreakBefore/>
      <w:tabs>
        <w:tab w:val="left" w:pos="720"/>
      </w:tabs>
      <w:autoSpaceDE w:val="0"/>
      <w:autoSpaceDN w:val="0"/>
      <w:adjustRightInd w:val="0"/>
      <w:spacing w:line="360" w:lineRule="auto"/>
      <w:jc w:val="center"/>
      <w:outlineLvl w:val="0"/>
    </w:pPr>
    <w:rPr>
      <w:rFonts w:eastAsia="黑体"/>
      <w:b/>
      <w:kern w:val="44"/>
      <w:sz w:val="36"/>
      <w:szCs w:val="20"/>
    </w:rPr>
  </w:style>
  <w:style w:type="paragraph" w:customStyle="1" w:styleId="277">
    <w:name w:val="1 Char"/>
    <w:basedOn w:val="9"/>
    <w:qFormat/>
    <w:uiPriority w:val="0"/>
    <w:pPr>
      <w:adjustRightInd/>
      <w:spacing w:line="360" w:lineRule="auto"/>
      <w:ind w:firstLine="200" w:firstLineChars="200"/>
      <w:textAlignment w:val="auto"/>
    </w:pPr>
    <w:rPr>
      <w:kern w:val="2"/>
    </w:rPr>
  </w:style>
  <w:style w:type="paragraph" w:customStyle="1" w:styleId="278">
    <w:name w:val="正文文本 21"/>
    <w:basedOn w:val="1"/>
    <w:qFormat/>
    <w:uiPriority w:val="0"/>
    <w:pPr>
      <w:widowControl/>
      <w:overflowPunct w:val="0"/>
      <w:autoSpaceDE w:val="0"/>
      <w:autoSpaceDN w:val="0"/>
      <w:adjustRightInd w:val="0"/>
      <w:ind w:left="720" w:hanging="720"/>
      <w:jc w:val="left"/>
      <w:textAlignment w:val="baseline"/>
    </w:pPr>
    <w:rPr>
      <w:kern w:val="0"/>
      <w:sz w:val="24"/>
      <w:szCs w:val="20"/>
      <w:lang w:val="en-GB"/>
    </w:rPr>
  </w:style>
  <w:style w:type="paragraph" w:customStyle="1" w:styleId="279">
    <w:name w:val="TOC 标题2"/>
    <w:basedOn w:val="3"/>
    <w:next w:val="1"/>
    <w:qFormat/>
    <w:uiPriority w:val="0"/>
    <w:pPr>
      <w:keepLines/>
      <w:widowControl/>
      <w:spacing w:before="480" w:line="276" w:lineRule="auto"/>
      <w:jc w:val="left"/>
      <w:outlineLvl w:val="9"/>
    </w:pPr>
    <w:rPr>
      <w:rFonts w:ascii="Cambria" w:hAnsi="Cambria" w:eastAsia="宋体"/>
      <w:bCs/>
      <w:color w:val="365F91"/>
      <w:kern w:val="0"/>
      <w:sz w:val="28"/>
      <w:szCs w:val="28"/>
    </w:rPr>
  </w:style>
  <w:style w:type="paragraph" w:customStyle="1" w:styleId="280">
    <w:name w:val="Char Char"/>
    <w:basedOn w:val="1"/>
    <w:qFormat/>
    <w:uiPriority w:val="0"/>
    <w:rPr>
      <w:rFonts w:ascii="仿宋_GB2312" w:eastAsia="仿宋_GB2312"/>
      <w:b/>
      <w:sz w:val="32"/>
      <w:szCs w:val="32"/>
    </w:rPr>
  </w:style>
  <w:style w:type="paragraph" w:customStyle="1" w:styleId="281">
    <w:name w:val="l正文"/>
    <w:basedOn w:val="1"/>
    <w:qFormat/>
    <w:uiPriority w:val="0"/>
    <w:pPr>
      <w:spacing w:line="360" w:lineRule="auto"/>
      <w:ind w:firstLine="200" w:firstLineChars="200"/>
    </w:pPr>
    <w:rPr>
      <w:rFonts w:ascii="宋体" w:hAnsi="宋体"/>
      <w:sz w:val="24"/>
    </w:rPr>
  </w:style>
  <w:style w:type="paragraph" w:customStyle="1" w:styleId="282">
    <w:name w:val="xl78"/>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新宋体" w:hAnsi="新宋体" w:eastAsia="新宋体" w:cs="宋体"/>
      <w:b/>
      <w:bCs/>
      <w:color w:val="FF0000"/>
      <w:kern w:val="0"/>
      <w:sz w:val="24"/>
    </w:rPr>
  </w:style>
  <w:style w:type="paragraph" w:customStyle="1" w:styleId="283">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84">
    <w:name w:val="Item List in Table"/>
    <w:qFormat/>
    <w:uiPriority w:val="0"/>
    <w:pPr>
      <w:tabs>
        <w:tab w:val="left" w:pos="284"/>
        <w:tab w:val="left" w:pos="720"/>
      </w:tabs>
      <w:spacing w:before="40" w:after="40"/>
      <w:ind w:left="720" w:hanging="720"/>
      <w:jc w:val="both"/>
    </w:pPr>
    <w:rPr>
      <w:rFonts w:ascii="Times New Roman" w:hAnsi="Times New Roman" w:eastAsia="宋体" w:cs="Arial"/>
      <w:kern w:val="2"/>
      <w:sz w:val="18"/>
      <w:szCs w:val="18"/>
      <w:lang w:val="en-US" w:eastAsia="zh-CN" w:bidi="ar-SA"/>
    </w:rPr>
  </w:style>
  <w:style w:type="paragraph" w:customStyle="1" w:styleId="285">
    <w:name w:val="Char Char Char Char Char Char Char Char Char Char Char Char Char Char Char Char Char Char Char1"/>
    <w:basedOn w:val="1"/>
    <w:qFormat/>
    <w:uiPriority w:val="0"/>
    <w:rPr>
      <w:rFonts w:ascii="仿宋_GB2312" w:eastAsia="仿宋_GB2312"/>
      <w:b/>
      <w:sz w:val="32"/>
      <w:szCs w:val="32"/>
    </w:rPr>
  </w:style>
  <w:style w:type="paragraph" w:customStyle="1" w:styleId="286">
    <w:name w:val="xl29"/>
    <w:basedOn w:val="1"/>
    <w:qFormat/>
    <w:uiPriority w:val="0"/>
    <w:pPr>
      <w:widowControl/>
      <w:autoSpaceDE w:val="0"/>
      <w:autoSpaceDN w:val="0"/>
      <w:adjustRightInd w:val="0"/>
      <w:spacing w:before="100" w:beforeAutospacing="1" w:after="100" w:afterAutospacing="1"/>
      <w:jc w:val="center"/>
    </w:pPr>
    <w:rPr>
      <w:rFonts w:ascii="Arial Unicode MS" w:hAnsi="Arial Unicode MS" w:eastAsia="Arial Unicode MS"/>
      <w:kern w:val="0"/>
      <w:sz w:val="24"/>
      <w:szCs w:val="20"/>
    </w:rPr>
  </w:style>
  <w:style w:type="paragraph" w:customStyle="1" w:styleId="287">
    <w:name w:val="Char Char Char Char Char Char Char1"/>
    <w:basedOn w:val="1"/>
    <w:qFormat/>
    <w:uiPriority w:val="0"/>
    <w:rPr>
      <w:rFonts w:ascii="仿宋_GB2312" w:eastAsia="仿宋_GB2312"/>
      <w:b/>
      <w:sz w:val="32"/>
      <w:szCs w:val="32"/>
    </w:rPr>
  </w:style>
  <w:style w:type="paragraph" w:customStyle="1" w:styleId="288">
    <w:name w:val="xl9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89">
    <w:name w:val="xl8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90">
    <w:name w:val="标题2"/>
    <w:basedOn w:val="4"/>
    <w:qFormat/>
    <w:uiPriority w:val="0"/>
    <w:pPr>
      <w:tabs>
        <w:tab w:val="left" w:pos="709"/>
      </w:tabs>
    </w:pPr>
    <w:rPr>
      <w:rFonts w:ascii="宋体" w:hAnsi="宋体"/>
      <w:sz w:val="36"/>
      <w:szCs w:val="36"/>
    </w:rPr>
  </w:style>
  <w:style w:type="paragraph" w:customStyle="1" w:styleId="291">
    <w:name w:val="xl91"/>
    <w:basedOn w:val="1"/>
    <w:qFormat/>
    <w:uiPriority w:val="0"/>
    <w:pPr>
      <w:widowControl/>
      <w:pBdr>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92">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4"/>
    </w:rPr>
  </w:style>
  <w:style w:type="paragraph" w:customStyle="1" w:styleId="293">
    <w:name w:val="Char1"/>
    <w:basedOn w:val="1"/>
    <w:qFormat/>
    <w:uiPriority w:val="0"/>
    <w:rPr>
      <w:rFonts w:ascii="仿宋_GB2312" w:eastAsia="仿宋_GB2312"/>
      <w:b/>
      <w:sz w:val="32"/>
      <w:szCs w:val="32"/>
    </w:rPr>
  </w:style>
  <w:style w:type="paragraph" w:customStyle="1" w:styleId="294">
    <w:name w:val="正文字缩2字"/>
    <w:basedOn w:val="1"/>
    <w:qFormat/>
    <w:uiPriority w:val="0"/>
    <w:pPr>
      <w:spacing w:before="60" w:after="60" w:line="360" w:lineRule="auto"/>
      <w:ind w:left="200" w:leftChars="200" w:firstLine="200" w:firstLineChars="200"/>
    </w:pPr>
    <w:rPr>
      <w:sz w:val="24"/>
    </w:rPr>
  </w:style>
  <w:style w:type="paragraph" w:customStyle="1" w:styleId="295">
    <w:name w:val="正文2"/>
    <w:basedOn w:val="1"/>
    <w:qFormat/>
    <w:uiPriority w:val="0"/>
    <w:pPr>
      <w:autoSpaceDE w:val="0"/>
      <w:autoSpaceDN w:val="0"/>
      <w:adjustRightInd w:val="0"/>
      <w:spacing w:before="156" w:line="360" w:lineRule="auto"/>
      <w:ind w:firstLine="510" w:firstLineChars="200"/>
      <w:jc w:val="left"/>
    </w:pPr>
    <w:rPr>
      <w:kern w:val="0"/>
      <w:sz w:val="24"/>
      <w:szCs w:val="20"/>
    </w:rPr>
  </w:style>
  <w:style w:type="paragraph" w:customStyle="1" w:styleId="296">
    <w:name w:val="保留正文"/>
    <w:basedOn w:val="21"/>
    <w:qFormat/>
    <w:uiPriority w:val="0"/>
    <w:pPr>
      <w:keepNext/>
      <w:spacing w:after="160"/>
    </w:pPr>
    <w:rPr>
      <w:szCs w:val="20"/>
    </w:rPr>
  </w:style>
  <w:style w:type="paragraph" w:customStyle="1" w:styleId="297">
    <w:name w:val="xl76"/>
    <w:basedOn w:val="1"/>
    <w:qFormat/>
    <w:uiPriority w:val="0"/>
    <w:pPr>
      <w:widowControl/>
      <w:pBdr>
        <w:top w:val="single" w:color="auto" w:sz="4" w:space="0"/>
        <w:bottom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98">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top"/>
    </w:pPr>
    <w:rPr>
      <w:rFonts w:ascii="新宋体" w:hAnsi="新宋体" w:eastAsia="新宋体" w:cs="宋体"/>
      <w:color w:val="000000"/>
      <w:kern w:val="0"/>
      <w:sz w:val="24"/>
    </w:rPr>
  </w:style>
  <w:style w:type="paragraph" w:customStyle="1" w:styleId="299">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00">
    <w:name w:val="Char"/>
    <w:basedOn w:val="1"/>
    <w:qFormat/>
    <w:uiPriority w:val="0"/>
    <w:rPr>
      <w:rFonts w:ascii="仿宋_GB2312" w:eastAsia="仿宋_GB2312"/>
      <w:b/>
      <w:sz w:val="32"/>
      <w:szCs w:val="32"/>
    </w:rPr>
  </w:style>
  <w:style w:type="paragraph" w:customStyle="1" w:styleId="301">
    <w:name w:val="Char21"/>
    <w:basedOn w:val="1"/>
    <w:qFormat/>
    <w:uiPriority w:val="0"/>
    <w:pPr>
      <w:autoSpaceDE w:val="0"/>
      <w:autoSpaceDN w:val="0"/>
      <w:adjustRightInd w:val="0"/>
      <w:jc w:val="left"/>
    </w:pPr>
    <w:rPr>
      <w:rFonts w:ascii="仿宋_GB2312" w:eastAsia="仿宋_GB2312"/>
      <w:b/>
      <w:kern w:val="0"/>
      <w:sz w:val="32"/>
      <w:szCs w:val="32"/>
    </w:rPr>
  </w:style>
  <w:style w:type="paragraph" w:customStyle="1" w:styleId="302">
    <w:name w:val="正文文字表格居中"/>
    <w:basedOn w:val="1"/>
    <w:next w:val="47"/>
    <w:qFormat/>
    <w:uiPriority w:val="0"/>
    <w:pPr>
      <w:autoSpaceDE w:val="0"/>
      <w:autoSpaceDN w:val="0"/>
      <w:adjustRightInd w:val="0"/>
      <w:snapToGrid w:val="0"/>
      <w:spacing w:line="360" w:lineRule="auto"/>
      <w:jc w:val="left"/>
    </w:pPr>
    <w:rPr>
      <w:rFonts w:ascii="宋体"/>
      <w:b/>
      <w:kern w:val="0"/>
      <w:sz w:val="24"/>
      <w:szCs w:val="20"/>
    </w:rPr>
  </w:style>
  <w:style w:type="paragraph" w:customStyle="1" w:styleId="303">
    <w:name w:val="Table Contents"/>
    <w:basedOn w:val="1"/>
    <w:qFormat/>
    <w:uiPriority w:val="0"/>
    <w:pPr>
      <w:suppressAutoHyphens/>
      <w:autoSpaceDE w:val="0"/>
      <w:autoSpaceDN w:val="0"/>
      <w:adjustRightInd w:val="0"/>
      <w:spacing w:after="120"/>
      <w:jc w:val="left"/>
    </w:pPr>
    <w:rPr>
      <w:rFonts w:ascii="Helvetica" w:hAnsi="Helvetica"/>
      <w:kern w:val="1"/>
      <w:sz w:val="20"/>
      <w:szCs w:val="20"/>
    </w:rPr>
  </w:style>
  <w:style w:type="paragraph" w:customStyle="1" w:styleId="304">
    <w:name w:val="Char1 Char Char Char Char Char Char"/>
    <w:basedOn w:val="1"/>
    <w:qFormat/>
    <w:uiPriority w:val="0"/>
    <w:rPr>
      <w:rFonts w:ascii="宋体" w:hAnsi="宋体"/>
      <w:color w:val="000000"/>
      <w:sz w:val="24"/>
    </w:rPr>
  </w:style>
  <w:style w:type="paragraph" w:customStyle="1" w:styleId="305">
    <w:name w:val="此正文"/>
    <w:basedOn w:val="1"/>
    <w:qFormat/>
    <w:uiPriority w:val="0"/>
    <w:pPr>
      <w:autoSpaceDE w:val="0"/>
      <w:autoSpaceDN w:val="0"/>
      <w:adjustRightInd w:val="0"/>
      <w:spacing w:line="360" w:lineRule="auto"/>
      <w:ind w:firstLine="200" w:firstLineChars="200"/>
      <w:jc w:val="left"/>
    </w:pPr>
    <w:rPr>
      <w:kern w:val="0"/>
      <w:sz w:val="24"/>
      <w:szCs w:val="20"/>
    </w:rPr>
  </w:style>
  <w:style w:type="paragraph" w:customStyle="1" w:styleId="306">
    <w:name w:val="Char11"/>
    <w:basedOn w:val="1"/>
    <w:qFormat/>
    <w:uiPriority w:val="0"/>
    <w:pPr>
      <w:autoSpaceDE w:val="0"/>
      <w:autoSpaceDN w:val="0"/>
      <w:adjustRightInd w:val="0"/>
      <w:jc w:val="left"/>
    </w:pPr>
    <w:rPr>
      <w:rFonts w:ascii="仿宋_GB2312" w:eastAsia="仿宋_GB2312"/>
      <w:b/>
      <w:kern w:val="0"/>
      <w:sz w:val="32"/>
      <w:szCs w:val="32"/>
    </w:rPr>
  </w:style>
  <w:style w:type="paragraph" w:customStyle="1" w:styleId="307">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Cs w:val="22"/>
    </w:rPr>
  </w:style>
  <w:style w:type="paragraph" w:customStyle="1" w:styleId="308">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309">
    <w:name w:val="图"/>
    <w:basedOn w:val="1"/>
    <w:qFormat/>
    <w:uiPriority w:val="0"/>
    <w:pPr>
      <w:keepNext/>
      <w:adjustRightInd w:val="0"/>
      <w:spacing w:before="60" w:after="60" w:line="300" w:lineRule="auto"/>
      <w:jc w:val="center"/>
      <w:textAlignment w:val="center"/>
    </w:pPr>
    <w:rPr>
      <w:snapToGrid w:val="0"/>
      <w:spacing w:val="20"/>
      <w:kern w:val="0"/>
      <w:sz w:val="24"/>
      <w:szCs w:val="20"/>
      <w:lang w:val="zh-CN"/>
    </w:rPr>
  </w:style>
  <w:style w:type="paragraph" w:customStyle="1" w:styleId="310">
    <w:name w:val="xl83"/>
    <w:basedOn w:val="1"/>
    <w:qFormat/>
    <w:uiPriority w:val="0"/>
    <w:pPr>
      <w:widowControl/>
      <w:pBdr>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311">
    <w:name w:val="Char Char13"/>
    <w:basedOn w:val="1"/>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31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313">
    <w:name w:val="features1"/>
    <w:basedOn w:val="1"/>
    <w:qFormat/>
    <w:uiPriority w:val="0"/>
    <w:pPr>
      <w:widowControl/>
      <w:spacing w:before="100" w:beforeAutospacing="1" w:after="100" w:afterAutospacing="1"/>
      <w:jc w:val="left"/>
    </w:pPr>
    <w:rPr>
      <w:rFonts w:ascii="宋体" w:hAnsi="宋体" w:cs="宋体"/>
      <w:b/>
      <w:bCs/>
      <w:kern w:val="0"/>
      <w:sz w:val="18"/>
      <w:szCs w:val="18"/>
    </w:rPr>
  </w:style>
  <w:style w:type="paragraph" w:customStyle="1" w:styleId="314">
    <w:name w:val="xl25"/>
    <w:basedOn w:val="1"/>
    <w:qFormat/>
    <w:uiPriority w:val="0"/>
    <w:pPr>
      <w:widowControl/>
      <w:autoSpaceDE w:val="0"/>
      <w:autoSpaceDN w:val="0"/>
      <w:adjustRightInd w:val="0"/>
      <w:spacing w:before="100" w:beforeAutospacing="1" w:after="100" w:afterAutospacing="1"/>
      <w:jc w:val="center"/>
      <w:textAlignment w:val="center"/>
    </w:pPr>
    <w:rPr>
      <w:rFonts w:hint="eastAsia" w:ascii="楷体_GB2312" w:hAnsi="宋体" w:eastAsia="楷体_GB2312"/>
      <w:kern w:val="0"/>
      <w:sz w:val="24"/>
      <w:szCs w:val="20"/>
    </w:rPr>
  </w:style>
  <w:style w:type="paragraph" w:customStyle="1" w:styleId="315">
    <w:name w:val="章标题"/>
    <w:next w:val="1"/>
    <w:qFormat/>
    <w:uiPriority w:val="0"/>
    <w:pPr>
      <w:tabs>
        <w:tab w:val="left" w:pos="3469"/>
      </w:tabs>
      <w:spacing w:beforeLines="50" w:afterLines="50"/>
      <w:ind w:left="3469" w:hanging="420"/>
      <w:jc w:val="both"/>
      <w:outlineLvl w:val="1"/>
    </w:pPr>
    <w:rPr>
      <w:rFonts w:ascii="黑体" w:hAnsi="Times New Roman" w:eastAsia="黑体" w:cs="Times New Roman"/>
      <w:sz w:val="21"/>
      <w:lang w:val="en-US" w:eastAsia="zh-CN" w:bidi="ar-SA"/>
    </w:rPr>
  </w:style>
  <w:style w:type="paragraph" w:customStyle="1" w:styleId="316">
    <w:name w:val="样式 标题 3 + 黑体 小四 非加粗"/>
    <w:basedOn w:val="5"/>
    <w:qFormat/>
    <w:uiPriority w:val="0"/>
    <w:pPr>
      <w:spacing w:before="260" w:after="260" w:line="413" w:lineRule="auto"/>
    </w:pPr>
    <w:rPr>
      <w:rFonts w:ascii="黑体" w:hAnsi="黑体"/>
      <w:b w:val="0"/>
      <w:kern w:val="0"/>
      <w:sz w:val="24"/>
      <w:szCs w:val="32"/>
    </w:rPr>
  </w:style>
  <w:style w:type="paragraph" w:customStyle="1" w:styleId="317">
    <w:name w:val="正文_0_0"/>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318">
    <w:name w:val="xl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
      <w:bCs/>
      <w:kern w:val="0"/>
      <w:sz w:val="28"/>
      <w:szCs w:val="28"/>
    </w:rPr>
  </w:style>
  <w:style w:type="paragraph" w:customStyle="1" w:styleId="319">
    <w:name w:val="样式 左侧:  0.85 厘米 首行缩进:  0.85 厘米"/>
    <w:basedOn w:val="1"/>
    <w:qFormat/>
    <w:uiPriority w:val="0"/>
    <w:pPr>
      <w:autoSpaceDE w:val="0"/>
      <w:autoSpaceDN w:val="0"/>
      <w:adjustRightInd w:val="0"/>
      <w:spacing w:line="360" w:lineRule="auto"/>
      <w:ind w:firstLine="482"/>
      <w:jc w:val="left"/>
    </w:pPr>
    <w:rPr>
      <w:rFonts w:cs="宋体"/>
      <w:kern w:val="0"/>
      <w:sz w:val="24"/>
      <w:szCs w:val="20"/>
    </w:rPr>
  </w:style>
  <w:style w:type="paragraph" w:customStyle="1" w:styleId="320">
    <w:name w:val="font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321">
    <w:name w:val="VIT-Text"/>
    <w:basedOn w:val="1"/>
    <w:qFormat/>
    <w:uiPriority w:val="0"/>
    <w:pPr>
      <w:widowControl/>
      <w:tabs>
        <w:tab w:val="left" w:pos="709"/>
        <w:tab w:val="left" w:pos="3402"/>
        <w:tab w:val="left" w:pos="4536"/>
        <w:tab w:val="left" w:pos="5670"/>
        <w:tab w:val="decimal" w:pos="6804"/>
        <w:tab w:val="right" w:pos="9072"/>
      </w:tabs>
      <w:jc w:val="left"/>
    </w:pPr>
    <w:rPr>
      <w:rFonts w:ascii="Arial" w:hAnsi="Arial" w:eastAsia="PMingLiU"/>
      <w:kern w:val="0"/>
      <w:sz w:val="22"/>
      <w:szCs w:val="20"/>
      <w:lang w:val="de-DE" w:eastAsia="zh-TW"/>
    </w:rPr>
  </w:style>
  <w:style w:type="paragraph" w:customStyle="1" w:styleId="322">
    <w:name w:val="文档正文"/>
    <w:basedOn w:val="1"/>
    <w:qFormat/>
    <w:uiPriority w:val="0"/>
    <w:pPr>
      <w:adjustRightInd w:val="0"/>
      <w:spacing w:line="300" w:lineRule="auto"/>
      <w:ind w:firstLine="567"/>
      <w:textAlignment w:val="baseline"/>
    </w:pPr>
    <w:rPr>
      <w:kern w:val="0"/>
      <w:sz w:val="24"/>
      <w:szCs w:val="20"/>
    </w:rPr>
  </w:style>
  <w:style w:type="paragraph" w:customStyle="1" w:styleId="323">
    <w:name w:val="列出段落2"/>
    <w:basedOn w:val="1"/>
    <w:qFormat/>
    <w:uiPriority w:val="0"/>
    <w:pPr>
      <w:ind w:firstLine="420" w:firstLineChars="200"/>
    </w:pPr>
  </w:style>
  <w:style w:type="paragraph" w:customStyle="1" w:styleId="324">
    <w:name w:val="标题五"/>
    <w:basedOn w:val="1"/>
    <w:qFormat/>
    <w:uiPriority w:val="0"/>
    <w:pPr>
      <w:tabs>
        <w:tab w:val="left" w:pos="1440"/>
      </w:tabs>
      <w:autoSpaceDE w:val="0"/>
      <w:autoSpaceDN w:val="0"/>
      <w:adjustRightInd w:val="0"/>
      <w:spacing w:beforeLines="50" w:line="360" w:lineRule="auto"/>
      <w:ind w:left="1440" w:hanging="420"/>
      <w:jc w:val="left"/>
    </w:pPr>
    <w:rPr>
      <w:b/>
      <w:kern w:val="0"/>
      <w:sz w:val="24"/>
      <w:szCs w:val="20"/>
    </w:rPr>
  </w:style>
  <w:style w:type="paragraph" w:customStyle="1" w:styleId="325">
    <w:name w:val="È±Ê¡ÎÄ±¾ Char"/>
    <w:basedOn w:val="1"/>
    <w:qFormat/>
    <w:uiPriority w:val="0"/>
    <w:pPr>
      <w:widowControl/>
      <w:overflowPunct w:val="0"/>
      <w:autoSpaceDE w:val="0"/>
      <w:autoSpaceDN w:val="0"/>
      <w:adjustRightInd w:val="0"/>
      <w:textAlignment w:val="baseline"/>
    </w:pPr>
    <w:rPr>
      <w:szCs w:val="21"/>
      <w:lang w:val="zh-CN"/>
    </w:rPr>
  </w:style>
  <w:style w:type="paragraph" w:customStyle="1" w:styleId="326">
    <w:name w:val="p0"/>
    <w:basedOn w:val="1"/>
    <w:qFormat/>
    <w:uiPriority w:val="0"/>
    <w:pPr>
      <w:widowControl/>
    </w:pPr>
    <w:rPr>
      <w:kern w:val="0"/>
      <w:szCs w:val="21"/>
    </w:rPr>
  </w:style>
  <w:style w:type="paragraph" w:customStyle="1" w:styleId="327">
    <w:name w:val="xl88"/>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table" w:customStyle="1" w:styleId="328">
    <w:name w:val="TableGrid"/>
    <w:qFormat/>
    <w:uiPriority w:val="0"/>
    <w:tblPr>
      <w:tblCellMar>
        <w:top w:w="0" w:type="dxa"/>
        <w:left w:w="0" w:type="dxa"/>
        <w:bottom w:w="0" w:type="dxa"/>
        <w:right w:w="0" w:type="dxa"/>
      </w:tblCellMar>
    </w:tblPr>
  </w:style>
  <w:style w:type="paragraph" w:styleId="329">
    <w:name w:val="List Paragraph"/>
    <w:basedOn w:val="1"/>
    <w:qFormat/>
    <w:uiPriority w:val="99"/>
    <w:pPr>
      <w:ind w:firstLine="420" w:firstLineChars="200"/>
    </w:pPr>
  </w:style>
  <w:style w:type="paragraph" w:customStyle="1" w:styleId="330">
    <w:name w:val="正文段"/>
    <w:basedOn w:val="1"/>
    <w:qFormat/>
    <w:uiPriority w:val="0"/>
    <w:pPr>
      <w:widowControl/>
      <w:snapToGrid w:val="0"/>
      <w:spacing w:afterLines="50"/>
      <w:ind w:firstLine="200" w:firstLineChars="200"/>
    </w:pPr>
    <w:rPr>
      <w:sz w:val="24"/>
      <w:szCs w:val="20"/>
    </w:rPr>
  </w:style>
  <w:style w:type="paragraph" w:customStyle="1" w:styleId="331">
    <w:name w:val="_Style 3"/>
    <w:basedOn w:val="1"/>
    <w:next w:val="1"/>
    <w:qFormat/>
    <w:uiPriority w:val="34"/>
    <w:pPr>
      <w:spacing w:line="360" w:lineRule="auto"/>
      <w:ind w:firstLine="420" w:firstLineChars="200"/>
    </w:pPr>
  </w:style>
  <w:style w:type="paragraph" w:customStyle="1" w:styleId="332">
    <w:name w:val="_Style 2"/>
    <w:basedOn w:val="1"/>
    <w:next w:val="1"/>
    <w:qFormat/>
    <w:uiPriority w:val="0"/>
    <w:pPr>
      <w:pBdr>
        <w:bottom w:val="single" w:color="auto" w:sz="6" w:space="1"/>
      </w:pBdr>
      <w:jc w:val="center"/>
    </w:pPr>
    <w:rPr>
      <w:rFonts w:ascii="Arial"/>
      <w:vanish/>
      <w:sz w:val="16"/>
    </w:rPr>
  </w:style>
  <w:style w:type="character" w:customStyle="1" w:styleId="333">
    <w:name w:val="font31"/>
    <w:basedOn w:val="55"/>
    <w:qFormat/>
    <w:uiPriority w:val="0"/>
    <w:rPr>
      <w:rFonts w:hint="eastAsia" w:ascii="宋体" w:hAnsi="宋体" w:eastAsia="宋体" w:cs="宋体"/>
      <w:color w:val="000000"/>
      <w:sz w:val="24"/>
      <w:szCs w:val="24"/>
      <w:u w:val="single"/>
    </w:rPr>
  </w:style>
  <w:style w:type="paragraph" w:customStyle="1" w:styleId="334">
    <w:name w:val="表格文字"/>
    <w:basedOn w:val="1"/>
    <w:next w:val="21"/>
    <w:qFormat/>
    <w:uiPriority w:val="0"/>
    <w:pPr>
      <w:adjustRightInd w:val="0"/>
      <w:spacing w:line="420" w:lineRule="atLeast"/>
      <w:jc w:val="left"/>
      <w:textAlignment w:val="baseline"/>
    </w:pPr>
    <w:rPr>
      <w:kern w:val="0"/>
    </w:rPr>
  </w:style>
  <w:style w:type="character" w:customStyle="1" w:styleId="335">
    <w:name w:val="font01"/>
    <w:basedOn w:val="55"/>
    <w:qFormat/>
    <w:uiPriority w:val="0"/>
    <w:rPr>
      <w:rFonts w:ascii="Arial" w:hAnsi="Arial" w:cs="Arial"/>
      <w:color w:val="000000"/>
      <w:sz w:val="18"/>
      <w:szCs w:val="18"/>
      <w:u w:val="none"/>
    </w:rPr>
  </w:style>
  <w:style w:type="paragraph" w:customStyle="1" w:styleId="336">
    <w:name w:val="列出段落3"/>
    <w:basedOn w:val="1"/>
    <w:qFormat/>
    <w:uiPriority w:val="34"/>
    <w:pPr>
      <w:adjustRightInd w:val="0"/>
      <w:snapToGrid w:val="0"/>
      <w:spacing w:after="200"/>
      <w:ind w:firstLine="420" w:firstLineChars="200"/>
    </w:pPr>
    <w:rPr>
      <w:rFonts w:ascii="Tahoma" w:hAnsi="Tahoma" w:eastAsia="微软雅黑"/>
      <w:sz w:val="22"/>
    </w:rPr>
  </w:style>
  <w:style w:type="paragraph" w:customStyle="1" w:styleId="337">
    <w:name w:val="标题3 附件1"/>
    <w:basedOn w:val="1"/>
    <w:qFormat/>
    <w:uiPriority w:val="0"/>
    <w:pPr>
      <w:keepNext/>
      <w:keepLines/>
      <w:spacing w:before="340" w:after="330" w:line="360" w:lineRule="exact"/>
      <w:jc w:val="left"/>
      <w:outlineLvl w:val="2"/>
    </w:pPr>
    <w:rPr>
      <w:b/>
      <w:bCs/>
      <w:kern w:val="44"/>
      <w:szCs w:val="21"/>
    </w:rPr>
  </w:style>
  <w:style w:type="character" w:customStyle="1" w:styleId="338">
    <w:name w:val="font61"/>
    <w:basedOn w:val="55"/>
    <w:qFormat/>
    <w:uiPriority w:val="0"/>
    <w:rPr>
      <w:rFonts w:hint="eastAsia" w:ascii="宋体" w:hAnsi="宋体" w:eastAsia="宋体" w:cs="宋体"/>
      <w:color w:val="000000"/>
      <w:sz w:val="20"/>
      <w:szCs w:val="20"/>
      <w:u w:val="none"/>
    </w:rPr>
  </w:style>
  <w:style w:type="character" w:customStyle="1" w:styleId="339">
    <w:name w:val="font81"/>
    <w:basedOn w:val="55"/>
    <w:qFormat/>
    <w:uiPriority w:val="0"/>
    <w:rPr>
      <w:rFonts w:ascii="Calibri" w:hAnsi="Calibri" w:cs="Calibri"/>
      <w:color w:val="000000"/>
      <w:sz w:val="20"/>
      <w:szCs w:val="20"/>
      <w:u w:val="none"/>
    </w:rPr>
  </w:style>
  <w:style w:type="character" w:customStyle="1" w:styleId="340">
    <w:name w:val="font71"/>
    <w:basedOn w:val="55"/>
    <w:qFormat/>
    <w:uiPriority w:val="0"/>
    <w:rPr>
      <w:rFonts w:hint="eastAsia" w:ascii="宋体" w:hAnsi="宋体" w:eastAsia="宋体" w:cs="宋体"/>
      <w:color w:val="000000"/>
      <w:sz w:val="22"/>
      <w:szCs w:val="22"/>
      <w:u w:val="none"/>
    </w:rPr>
  </w:style>
  <w:style w:type="paragraph" w:customStyle="1" w:styleId="341">
    <w:name w:val="列出段落51"/>
    <w:basedOn w:val="1"/>
    <w:qFormat/>
    <w:uiPriority w:val="34"/>
    <w:pPr>
      <w:ind w:firstLine="420" w:firstLineChars="200"/>
    </w:pPr>
    <w:rPr>
      <w:rFonts w:ascii="Calibri" w:hAnsi="Calibri"/>
      <w:sz w:val="24"/>
    </w:rPr>
  </w:style>
  <w:style w:type="table" w:customStyle="1" w:styleId="342">
    <w:name w:val="Table Normal"/>
    <w:semiHidden/>
    <w:unhideWhenUsed/>
    <w:qFormat/>
    <w:uiPriority w:val="0"/>
    <w:tblPr>
      <w:tblCellMar>
        <w:top w:w="0" w:type="dxa"/>
        <w:left w:w="0" w:type="dxa"/>
        <w:bottom w:w="0" w:type="dxa"/>
        <w:right w:w="0" w:type="dxa"/>
      </w:tblCellMar>
    </w:tblPr>
  </w:style>
  <w:style w:type="paragraph" w:customStyle="1" w:styleId="343">
    <w:name w:val="正文文本首行缩进1"/>
    <w:basedOn w:val="21"/>
    <w:qFormat/>
    <w:uiPriority w:val="0"/>
    <w:pPr>
      <w:spacing w:line="500" w:lineRule="exact"/>
      <w:ind w:firstLine="420"/>
    </w:pPr>
    <w:rPr>
      <w:sz w:val="28"/>
    </w:rPr>
  </w:style>
  <w:style w:type="paragraph" w:styleId="344">
    <w:name w:val="No Spacing"/>
    <w:qFormat/>
    <w:uiPriority w:val="1"/>
    <w:rPr>
      <w:rFonts w:asciiTheme="minorHAnsi" w:hAnsiTheme="minorHAnsi" w:eastAsiaTheme="minorEastAsia" w:cstheme="minorBidi"/>
      <w:kern w:val="2"/>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中国远东国际贸易总公司</Company>
  <Pages>60</Pages>
  <Words>20560</Words>
  <Characters>21500</Characters>
  <Lines>434</Lines>
  <Paragraphs>122</Paragraphs>
  <TotalTime>2</TotalTime>
  <ScaleCrop>false</ScaleCrop>
  <LinksUpToDate>false</LinksUpToDate>
  <CharactersWithSpaces>22636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2020-10-14T14:50:00Z</dcterms:created>
  <dc:creator>zyq</dc:creator>
  <cp:lastModifiedBy>乐圣天</cp:lastModifiedBy>
  <cp:lastPrinted>2021-03-23T15:00:00Z</cp:lastPrinted>
  <dcterms:modified xsi:type="dcterms:W3CDTF">2025-02-28T06:08:18Z</dcterms:modified>
  <dc:title>招标文件目录</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01E1F71B005A4FEB97565C2F7E5626CF_13</vt:lpwstr>
  </property>
  <property fmtid="{D5CDD505-2E9C-101B-9397-08002B2CF9AE}" pid="4" name="KSOTemplateDocerSaveRecord">
    <vt:lpwstr>eyJoZGlkIjoiNzZiODFlYjE5OTExZGFjMDU4MzMwY2I4NzJlM2I5NzUiLCJ1c2VySWQiOiIxMzg0MTA1MjE1In0=</vt:lpwstr>
  </property>
</Properties>
</file>