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C65DB">
      <w:pPr>
        <w:spacing w:line="460" w:lineRule="exact"/>
        <w:ind w:firstLine="420"/>
        <w:jc w:val="center"/>
        <w:rPr>
          <w:rFonts w:ascii="新宋体" w:hAnsi="新宋体" w:eastAsia="新宋体" w:cs="新宋体"/>
          <w:b/>
          <w:bCs/>
          <w:color w:val="auto"/>
          <w:sz w:val="72"/>
          <w:szCs w:val="72"/>
          <w:highlight w:val="none"/>
        </w:rPr>
      </w:pPr>
    </w:p>
    <w:p w14:paraId="7D9623B2">
      <w:pPr>
        <w:jc w:val="center"/>
        <w:rPr>
          <w:rFonts w:ascii="新宋体" w:hAnsi="新宋体" w:eastAsia="新宋体" w:cs="新宋体"/>
          <w:b/>
          <w:bCs/>
          <w:color w:val="auto"/>
          <w:sz w:val="84"/>
          <w:szCs w:val="84"/>
          <w:highlight w:val="none"/>
        </w:rPr>
      </w:pPr>
      <w:r>
        <w:rPr>
          <w:rFonts w:hint="eastAsia" w:ascii="新宋体" w:hAnsi="新宋体" w:eastAsia="新宋体" w:cs="新宋体"/>
          <w:b/>
          <w:bCs/>
          <w:color w:val="auto"/>
          <w:sz w:val="84"/>
          <w:szCs w:val="84"/>
          <w:highlight w:val="none"/>
        </w:rPr>
        <w:t>温州市政府（分散）采购</w:t>
      </w:r>
    </w:p>
    <w:p w14:paraId="1CC2F743">
      <w:pPr>
        <w:spacing w:line="460" w:lineRule="exact"/>
        <w:ind w:firstLine="2357" w:firstLineChars="235"/>
        <w:rPr>
          <w:rFonts w:ascii="新宋体" w:hAnsi="新宋体" w:eastAsia="新宋体" w:cs="新宋体"/>
          <w:b/>
          <w:color w:val="auto"/>
          <w:spacing w:val="140"/>
          <w:sz w:val="72"/>
          <w:highlight w:val="none"/>
        </w:rPr>
      </w:pPr>
    </w:p>
    <w:p w14:paraId="2153847F">
      <w:pPr>
        <w:spacing w:line="460" w:lineRule="exact"/>
        <w:ind w:firstLine="2357" w:firstLineChars="235"/>
        <w:rPr>
          <w:rFonts w:ascii="新宋体" w:hAnsi="新宋体" w:eastAsia="新宋体" w:cs="新宋体"/>
          <w:b/>
          <w:color w:val="auto"/>
          <w:spacing w:val="140"/>
          <w:sz w:val="72"/>
          <w:highlight w:val="none"/>
        </w:rPr>
      </w:pPr>
    </w:p>
    <w:p w14:paraId="793C30A0">
      <w:pPr>
        <w:spacing w:line="460" w:lineRule="exact"/>
        <w:jc w:val="center"/>
        <w:rPr>
          <w:rFonts w:ascii="新宋体" w:hAnsi="新宋体" w:eastAsia="新宋体" w:cs="新宋体"/>
          <w:b/>
          <w:color w:val="auto"/>
          <w:spacing w:val="140"/>
          <w:sz w:val="72"/>
          <w:highlight w:val="none"/>
        </w:rPr>
      </w:pPr>
    </w:p>
    <w:p w14:paraId="3B1EA4BE">
      <w:pPr>
        <w:spacing w:line="460" w:lineRule="exact"/>
        <w:jc w:val="center"/>
        <w:rPr>
          <w:rFonts w:ascii="新宋体" w:hAnsi="新宋体" w:eastAsia="新宋体" w:cs="新宋体"/>
          <w:b/>
          <w:color w:val="auto"/>
          <w:spacing w:val="140"/>
          <w:sz w:val="72"/>
          <w:highlight w:val="none"/>
        </w:rPr>
      </w:pPr>
    </w:p>
    <w:p w14:paraId="6304E5EF">
      <w:pPr>
        <w:spacing w:after="120"/>
        <w:jc w:val="center"/>
        <w:rPr>
          <w:rFonts w:ascii="新宋体" w:hAnsi="新宋体" w:eastAsia="新宋体" w:cs="新宋体"/>
          <w:b/>
          <w:color w:val="auto"/>
          <w:spacing w:val="140"/>
          <w:sz w:val="84"/>
          <w:szCs w:val="84"/>
          <w:highlight w:val="none"/>
        </w:rPr>
      </w:pPr>
      <w:r>
        <w:rPr>
          <w:rFonts w:hint="eastAsia" w:ascii="新宋体" w:hAnsi="新宋体" w:eastAsia="新宋体" w:cs="新宋体"/>
          <w:b/>
          <w:color w:val="auto"/>
          <w:spacing w:val="140"/>
          <w:sz w:val="84"/>
          <w:szCs w:val="84"/>
          <w:highlight w:val="none"/>
        </w:rPr>
        <w:t>招 标 文 件</w:t>
      </w:r>
    </w:p>
    <w:p w14:paraId="045E22E3">
      <w:pPr>
        <w:pStyle w:val="19"/>
        <w:spacing w:before="120"/>
        <w:jc w:val="center"/>
        <w:rPr>
          <w:rFonts w:ascii="新宋体" w:hAnsi="新宋体" w:eastAsia="新宋体" w:cs="新宋体"/>
          <w:color w:val="auto"/>
          <w:sz w:val="52"/>
          <w:szCs w:val="52"/>
          <w:highlight w:val="none"/>
        </w:rPr>
      </w:pPr>
      <w:r>
        <w:rPr>
          <w:rFonts w:hint="eastAsia" w:ascii="新宋体" w:hAnsi="新宋体" w:eastAsia="新宋体" w:cs="新宋体"/>
          <w:b/>
          <w:color w:val="auto"/>
          <w:spacing w:val="140"/>
          <w:sz w:val="52"/>
          <w:szCs w:val="52"/>
          <w:highlight w:val="none"/>
        </w:rPr>
        <w:t>（线上电子招投标）</w:t>
      </w:r>
    </w:p>
    <w:p w14:paraId="46F50162">
      <w:pPr>
        <w:spacing w:line="460" w:lineRule="exact"/>
        <w:jc w:val="center"/>
        <w:rPr>
          <w:rFonts w:ascii="新宋体" w:hAnsi="新宋体" w:eastAsia="新宋体" w:cs="新宋体"/>
          <w:b/>
          <w:color w:val="auto"/>
          <w:sz w:val="32"/>
          <w:highlight w:val="none"/>
        </w:rPr>
      </w:pPr>
    </w:p>
    <w:p w14:paraId="508035F9">
      <w:pPr>
        <w:spacing w:line="460" w:lineRule="exact"/>
        <w:jc w:val="center"/>
        <w:rPr>
          <w:rFonts w:ascii="新宋体" w:hAnsi="新宋体" w:eastAsia="新宋体" w:cs="新宋体"/>
          <w:b/>
          <w:color w:val="auto"/>
          <w:sz w:val="32"/>
          <w:highlight w:val="none"/>
        </w:rPr>
      </w:pPr>
    </w:p>
    <w:p w14:paraId="24EC9E7F">
      <w:pPr>
        <w:spacing w:line="460" w:lineRule="exact"/>
        <w:rPr>
          <w:rFonts w:ascii="新宋体" w:hAnsi="新宋体" w:eastAsia="新宋体" w:cs="新宋体"/>
          <w:b/>
          <w:color w:val="auto"/>
          <w:sz w:val="24"/>
          <w:highlight w:val="none"/>
        </w:rPr>
      </w:pPr>
    </w:p>
    <w:p w14:paraId="66CC5ADA">
      <w:pPr>
        <w:spacing w:line="460" w:lineRule="exact"/>
        <w:rPr>
          <w:rFonts w:ascii="新宋体" w:hAnsi="新宋体" w:eastAsia="新宋体" w:cs="新宋体"/>
          <w:b/>
          <w:color w:val="auto"/>
          <w:sz w:val="24"/>
          <w:highlight w:val="none"/>
        </w:rPr>
      </w:pPr>
    </w:p>
    <w:p w14:paraId="6B0ED2A6">
      <w:pPr>
        <w:spacing w:line="460" w:lineRule="exact"/>
        <w:rPr>
          <w:rFonts w:ascii="新宋体" w:hAnsi="新宋体" w:eastAsia="新宋体" w:cs="新宋体"/>
          <w:b/>
          <w:color w:val="auto"/>
          <w:sz w:val="24"/>
          <w:highlight w:val="none"/>
        </w:rPr>
      </w:pPr>
    </w:p>
    <w:p w14:paraId="3C4D6D00">
      <w:pPr>
        <w:keepNext w:val="0"/>
        <w:keepLines w:val="0"/>
        <w:pageBreakBefore w:val="0"/>
        <w:widowControl w:val="0"/>
        <w:kinsoku/>
        <w:wordWrap/>
        <w:overflowPunct/>
        <w:topLinePunct w:val="0"/>
        <w:autoSpaceDE/>
        <w:autoSpaceDN/>
        <w:bidi w:val="0"/>
        <w:adjustRightInd/>
        <w:snapToGrid/>
        <w:spacing w:line="600" w:lineRule="exact"/>
        <w:ind w:firstLine="1140" w:firstLineChars="300"/>
        <w:textAlignment w:val="auto"/>
        <w:rPr>
          <w:rFonts w:hint="eastAsia" w:ascii="新宋体" w:hAnsi="新宋体" w:eastAsia="新宋体" w:cs="新宋体"/>
          <w:color w:val="auto"/>
          <w:spacing w:val="30"/>
          <w:sz w:val="32"/>
          <w:szCs w:val="32"/>
          <w:highlight w:val="none"/>
          <w:lang w:eastAsia="zh-CN"/>
        </w:rPr>
      </w:pPr>
      <w:r>
        <w:rPr>
          <w:rFonts w:hint="eastAsia" w:ascii="新宋体" w:hAnsi="新宋体" w:eastAsia="新宋体" w:cs="新宋体"/>
          <w:color w:val="auto"/>
          <w:spacing w:val="30"/>
          <w:sz w:val="32"/>
          <w:szCs w:val="32"/>
          <w:highlight w:val="none"/>
        </w:rPr>
        <w:t>项目编号：</w:t>
      </w:r>
      <w:r>
        <w:rPr>
          <w:rFonts w:hint="eastAsia" w:ascii="新宋体" w:hAnsi="新宋体" w:eastAsia="新宋体" w:cs="新宋体"/>
          <w:color w:val="auto"/>
          <w:spacing w:val="30"/>
          <w:sz w:val="32"/>
          <w:szCs w:val="32"/>
          <w:highlight w:val="none"/>
          <w:lang w:eastAsia="zh-CN"/>
        </w:rPr>
        <w:t>WZLCZB（L）-2025-01001</w:t>
      </w:r>
    </w:p>
    <w:p w14:paraId="0F292E3D">
      <w:pPr>
        <w:keepNext w:val="0"/>
        <w:keepLines w:val="0"/>
        <w:pageBreakBefore w:val="0"/>
        <w:widowControl w:val="0"/>
        <w:kinsoku/>
        <w:wordWrap/>
        <w:overflowPunct/>
        <w:topLinePunct w:val="0"/>
        <w:autoSpaceDE/>
        <w:autoSpaceDN/>
        <w:bidi w:val="0"/>
        <w:adjustRightInd/>
        <w:snapToGrid/>
        <w:spacing w:line="600" w:lineRule="exact"/>
        <w:ind w:right="817" w:rightChars="389" w:firstLine="1140" w:firstLineChars="300"/>
        <w:textAlignment w:val="auto"/>
        <w:rPr>
          <w:rFonts w:hint="eastAsia" w:ascii="新宋体" w:hAnsi="新宋体" w:eastAsia="新宋体" w:cs="新宋体"/>
          <w:color w:val="auto"/>
          <w:spacing w:val="30"/>
          <w:sz w:val="32"/>
          <w:szCs w:val="32"/>
          <w:highlight w:val="none"/>
          <w:lang w:eastAsia="zh-CN"/>
        </w:rPr>
      </w:pPr>
      <w:r>
        <w:rPr>
          <w:rFonts w:hint="eastAsia" w:ascii="新宋体" w:hAnsi="新宋体" w:eastAsia="新宋体" w:cs="新宋体"/>
          <w:color w:val="auto"/>
          <w:spacing w:val="30"/>
          <w:sz w:val="32"/>
          <w:szCs w:val="32"/>
          <w:highlight w:val="none"/>
        </w:rPr>
        <w:t>项目名称：</w:t>
      </w:r>
      <w:r>
        <w:rPr>
          <w:rFonts w:hint="eastAsia" w:ascii="新宋体" w:hAnsi="新宋体" w:eastAsia="新宋体" w:cs="新宋体"/>
          <w:color w:val="auto"/>
          <w:spacing w:val="30"/>
          <w:sz w:val="32"/>
          <w:szCs w:val="32"/>
          <w:highlight w:val="none"/>
          <w:lang w:eastAsia="zh-CN"/>
        </w:rPr>
        <w:t>立式加工中心</w:t>
      </w:r>
    </w:p>
    <w:p w14:paraId="4030AA22">
      <w:pPr>
        <w:keepNext w:val="0"/>
        <w:keepLines w:val="0"/>
        <w:pageBreakBefore w:val="0"/>
        <w:widowControl w:val="0"/>
        <w:kinsoku/>
        <w:wordWrap/>
        <w:overflowPunct/>
        <w:topLinePunct w:val="0"/>
        <w:autoSpaceDE/>
        <w:autoSpaceDN/>
        <w:bidi w:val="0"/>
        <w:adjustRightInd/>
        <w:snapToGrid/>
        <w:spacing w:line="600" w:lineRule="exact"/>
        <w:ind w:firstLine="1140" w:firstLineChars="300"/>
        <w:textAlignment w:val="auto"/>
        <w:rPr>
          <w:rFonts w:ascii="新宋体" w:hAnsi="新宋体" w:eastAsia="新宋体" w:cs="新宋体"/>
          <w:color w:val="auto"/>
          <w:spacing w:val="40"/>
          <w:sz w:val="32"/>
          <w:szCs w:val="32"/>
          <w:highlight w:val="none"/>
        </w:rPr>
      </w:pPr>
      <w:r>
        <w:rPr>
          <w:rFonts w:hint="eastAsia" w:ascii="新宋体" w:hAnsi="新宋体" w:eastAsia="新宋体" w:cs="新宋体"/>
          <w:color w:val="auto"/>
          <w:spacing w:val="30"/>
          <w:sz w:val="32"/>
          <w:szCs w:val="32"/>
          <w:highlight w:val="none"/>
        </w:rPr>
        <w:t>采购方式：公开招标</w:t>
      </w:r>
    </w:p>
    <w:p w14:paraId="502F9866">
      <w:pPr>
        <w:spacing w:line="460" w:lineRule="exact"/>
        <w:ind w:firstLine="1140" w:firstLineChars="300"/>
        <w:rPr>
          <w:rFonts w:ascii="新宋体" w:hAnsi="新宋体" w:eastAsia="新宋体" w:cs="新宋体"/>
          <w:color w:val="auto"/>
          <w:spacing w:val="40"/>
          <w:sz w:val="30"/>
          <w:highlight w:val="none"/>
        </w:rPr>
      </w:pPr>
    </w:p>
    <w:p w14:paraId="0175823C">
      <w:pPr>
        <w:spacing w:line="460" w:lineRule="exact"/>
        <w:rPr>
          <w:rFonts w:ascii="新宋体" w:hAnsi="新宋体" w:eastAsia="新宋体" w:cs="新宋体"/>
          <w:color w:val="auto"/>
          <w:spacing w:val="40"/>
          <w:sz w:val="30"/>
          <w:highlight w:val="none"/>
        </w:rPr>
      </w:pPr>
    </w:p>
    <w:p w14:paraId="4ADF44B3">
      <w:pPr>
        <w:spacing w:line="460" w:lineRule="exact"/>
        <w:rPr>
          <w:rFonts w:ascii="新宋体" w:hAnsi="新宋体" w:eastAsia="新宋体" w:cs="新宋体"/>
          <w:color w:val="auto"/>
          <w:spacing w:val="40"/>
          <w:sz w:val="30"/>
          <w:highlight w:val="none"/>
        </w:rPr>
      </w:pPr>
    </w:p>
    <w:p w14:paraId="27064C9A">
      <w:pPr>
        <w:spacing w:line="460" w:lineRule="exact"/>
        <w:jc w:val="center"/>
        <w:rPr>
          <w:rFonts w:ascii="新宋体" w:hAnsi="新宋体" w:eastAsia="新宋体" w:cs="新宋体"/>
          <w:b/>
          <w:color w:val="auto"/>
          <w:kern w:val="11"/>
          <w:sz w:val="30"/>
          <w:highlight w:val="none"/>
        </w:rPr>
      </w:pPr>
    </w:p>
    <w:p w14:paraId="79833A99">
      <w:pPr>
        <w:spacing w:line="460" w:lineRule="exact"/>
        <w:jc w:val="center"/>
        <w:rPr>
          <w:rFonts w:ascii="新宋体" w:hAnsi="新宋体" w:eastAsia="新宋体" w:cs="新宋体"/>
          <w:b/>
          <w:color w:val="auto"/>
          <w:kern w:val="11"/>
          <w:sz w:val="30"/>
          <w:highlight w:val="none"/>
        </w:rPr>
      </w:pPr>
      <w:r>
        <w:rPr>
          <w:rFonts w:hint="eastAsia" w:ascii="新宋体" w:hAnsi="新宋体" w:eastAsia="新宋体" w:cs="新宋体"/>
          <w:b/>
          <w:color w:val="auto"/>
          <w:kern w:val="11"/>
          <w:sz w:val="30"/>
          <w:highlight w:val="none"/>
        </w:rPr>
        <w:t>采购人：温州职业技术学院</w:t>
      </w:r>
    </w:p>
    <w:p w14:paraId="287BC727">
      <w:pPr>
        <w:spacing w:line="460" w:lineRule="exact"/>
        <w:jc w:val="center"/>
        <w:rPr>
          <w:rFonts w:ascii="新宋体" w:hAnsi="新宋体" w:eastAsia="新宋体" w:cs="新宋体"/>
          <w:b/>
          <w:color w:val="auto"/>
          <w:kern w:val="11"/>
          <w:sz w:val="30"/>
          <w:highlight w:val="none"/>
        </w:rPr>
      </w:pPr>
      <w:r>
        <w:rPr>
          <w:rFonts w:hint="eastAsia" w:ascii="新宋体" w:hAnsi="新宋体" w:eastAsia="新宋体" w:cs="新宋体"/>
          <w:b/>
          <w:color w:val="auto"/>
          <w:kern w:val="11"/>
          <w:sz w:val="30"/>
          <w:highlight w:val="none"/>
        </w:rPr>
        <w:t>采购代理机构：温州历程招标有限公司</w:t>
      </w:r>
    </w:p>
    <w:p w14:paraId="37B2BE31">
      <w:pPr>
        <w:spacing w:line="460" w:lineRule="exact"/>
        <w:rPr>
          <w:rFonts w:ascii="新宋体" w:hAnsi="新宋体" w:eastAsia="新宋体" w:cs="新宋体"/>
          <w:b/>
          <w:color w:val="auto"/>
          <w:spacing w:val="40"/>
          <w:sz w:val="28"/>
          <w:highlight w:val="none"/>
        </w:rPr>
      </w:pPr>
    </w:p>
    <w:p w14:paraId="5CEDFD74">
      <w:pPr>
        <w:spacing w:line="460" w:lineRule="exact"/>
        <w:ind w:firstLine="3611" w:firstLineChars="1000"/>
        <w:rPr>
          <w:rFonts w:ascii="新宋体" w:hAnsi="新宋体" w:eastAsia="新宋体" w:cs="新宋体"/>
          <w:color w:val="auto"/>
          <w:spacing w:val="40"/>
          <w:sz w:val="28"/>
          <w:highlight w:val="none"/>
        </w:rPr>
      </w:pPr>
      <w:r>
        <w:rPr>
          <w:rFonts w:hint="eastAsia" w:ascii="新宋体" w:hAnsi="新宋体" w:eastAsia="新宋体" w:cs="新宋体"/>
          <w:b/>
          <w:color w:val="auto"/>
          <w:spacing w:val="40"/>
          <w:sz w:val="28"/>
          <w:highlight w:val="none"/>
        </w:rPr>
        <w:t>二〇二</w:t>
      </w:r>
      <w:r>
        <w:rPr>
          <w:rFonts w:hint="eastAsia" w:ascii="新宋体" w:hAnsi="新宋体" w:eastAsia="新宋体" w:cs="新宋体"/>
          <w:b/>
          <w:color w:val="auto"/>
          <w:spacing w:val="40"/>
          <w:sz w:val="28"/>
          <w:highlight w:val="none"/>
          <w:lang w:val="en-US" w:eastAsia="zh-CN"/>
        </w:rPr>
        <w:t>五</w:t>
      </w:r>
      <w:r>
        <w:rPr>
          <w:rFonts w:hint="eastAsia" w:ascii="新宋体" w:hAnsi="新宋体" w:eastAsia="新宋体" w:cs="新宋体"/>
          <w:b/>
          <w:color w:val="auto"/>
          <w:spacing w:val="40"/>
          <w:sz w:val="28"/>
          <w:highlight w:val="none"/>
        </w:rPr>
        <w:t>年</w:t>
      </w:r>
      <w:r>
        <w:rPr>
          <w:rFonts w:hint="eastAsia" w:ascii="新宋体" w:hAnsi="新宋体" w:eastAsia="新宋体" w:cs="新宋体"/>
          <w:b/>
          <w:color w:val="auto"/>
          <w:spacing w:val="40"/>
          <w:sz w:val="28"/>
          <w:highlight w:val="none"/>
          <w:lang w:val="en-US" w:eastAsia="zh-CN"/>
        </w:rPr>
        <w:t>一</w:t>
      </w:r>
      <w:r>
        <w:rPr>
          <w:rFonts w:hint="eastAsia" w:ascii="新宋体" w:hAnsi="新宋体" w:eastAsia="新宋体" w:cs="新宋体"/>
          <w:b/>
          <w:color w:val="auto"/>
          <w:spacing w:val="40"/>
          <w:sz w:val="28"/>
          <w:highlight w:val="none"/>
        </w:rPr>
        <w:t>月</w:t>
      </w:r>
    </w:p>
    <w:p w14:paraId="2A3CE782">
      <w:pPr>
        <w:spacing w:line="460" w:lineRule="exact"/>
        <w:jc w:val="center"/>
        <w:rPr>
          <w:rFonts w:ascii="新宋体" w:hAnsi="新宋体" w:eastAsia="新宋体" w:cs="新宋体"/>
          <w:color w:val="auto"/>
          <w:sz w:val="36"/>
          <w:szCs w:val="36"/>
          <w:highlight w:val="none"/>
        </w:rPr>
        <w:sectPr>
          <w:headerReference r:id="rId4" w:type="first"/>
          <w:footerReference r:id="rId6" w:type="first"/>
          <w:headerReference r:id="rId3" w:type="default"/>
          <w:footerReference r:id="rId5" w:type="default"/>
          <w:pgSz w:w="11906" w:h="16838"/>
          <w:pgMar w:top="1134" w:right="1134" w:bottom="1134" w:left="1134" w:header="851" w:footer="992" w:gutter="0"/>
          <w:pgNumType w:start="1"/>
          <w:cols w:space="720" w:num="1"/>
          <w:titlePg/>
          <w:docGrid w:linePitch="312" w:charSpace="0"/>
        </w:sectPr>
      </w:pPr>
    </w:p>
    <w:p w14:paraId="426D0168">
      <w:pPr>
        <w:spacing w:line="460" w:lineRule="exact"/>
        <w:jc w:val="center"/>
        <w:outlineLvl w:val="0"/>
        <w:rPr>
          <w:rFonts w:ascii="新宋体" w:hAnsi="新宋体" w:eastAsia="新宋体" w:cs="新宋体"/>
          <w:color w:val="auto"/>
          <w:highlight w:val="none"/>
        </w:rPr>
      </w:pPr>
      <w:bookmarkStart w:id="0" w:name="_Toc5037"/>
      <w:r>
        <w:rPr>
          <w:rFonts w:hint="eastAsia" w:ascii="新宋体" w:hAnsi="新宋体" w:eastAsia="新宋体" w:cs="新宋体"/>
          <w:color w:val="auto"/>
          <w:sz w:val="36"/>
          <w:szCs w:val="36"/>
          <w:highlight w:val="none"/>
        </w:rPr>
        <w:t>目   录</w:t>
      </w:r>
      <w:bookmarkEnd w:id="0"/>
    </w:p>
    <w:p w14:paraId="6744659B">
      <w:pPr>
        <w:pStyle w:val="26"/>
        <w:keepNext w:val="0"/>
        <w:keepLines w:val="0"/>
        <w:pageBreakBefore w:val="0"/>
        <w:widowControl w:val="0"/>
        <w:tabs>
          <w:tab w:val="right" w:leader="dot" w:pos="988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TOC \o "1-3" \h \z \u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HYPERLINK \l _Toc12144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color w:val="auto"/>
          <w:sz w:val="22"/>
          <w:szCs w:val="22"/>
          <w:highlight w:val="none"/>
        </w:rPr>
        <w:t>第一部分</w:t>
      </w:r>
      <w:r>
        <w:rPr>
          <w:rFonts w:hint="eastAsia" w:ascii="新宋体" w:hAnsi="新宋体" w:eastAsia="新宋体" w:cs="新宋体"/>
          <w:b w:val="0"/>
          <w:bCs w:val="0"/>
          <w:color w:val="auto"/>
          <w:sz w:val="22"/>
          <w:szCs w:val="22"/>
          <w:highlight w:val="none"/>
          <w:lang w:val="en-US" w:eastAsia="zh-CN"/>
        </w:rPr>
        <w:t xml:space="preserve">   </w:t>
      </w:r>
      <w:r>
        <w:rPr>
          <w:rFonts w:hint="eastAsia" w:ascii="新宋体" w:hAnsi="新宋体" w:eastAsia="新宋体" w:cs="新宋体"/>
          <w:b w:val="0"/>
          <w:bCs w:val="0"/>
          <w:color w:val="auto"/>
          <w:sz w:val="22"/>
          <w:szCs w:val="22"/>
          <w:highlight w:val="none"/>
        </w:rPr>
        <w:t>招标公告</w:t>
      </w:r>
      <w:r>
        <w:rPr>
          <w:rFonts w:hint="eastAsia" w:ascii="新宋体" w:hAnsi="新宋体" w:eastAsia="新宋体" w:cs="新宋体"/>
          <w:b w:val="0"/>
          <w:bCs w:val="0"/>
          <w:color w:val="auto"/>
          <w:sz w:val="22"/>
          <w:szCs w:val="22"/>
          <w:highlight w:val="none"/>
        </w:rPr>
        <w:tab/>
      </w:r>
      <w:r>
        <w:rPr>
          <w:rFonts w:hint="eastAsia" w:ascii="新宋体" w:hAnsi="新宋体" w:eastAsia="新宋体" w:cs="新宋体"/>
          <w:b w:val="0"/>
          <w:bCs w:val="0"/>
          <w:color w:val="auto"/>
          <w:sz w:val="22"/>
          <w:szCs w:val="22"/>
          <w:highlight w:val="none"/>
        </w:rPr>
        <w:fldChar w:fldCharType="begin"/>
      </w:r>
      <w:r>
        <w:rPr>
          <w:rFonts w:hint="eastAsia" w:ascii="新宋体" w:hAnsi="新宋体" w:eastAsia="新宋体" w:cs="新宋体"/>
          <w:b w:val="0"/>
          <w:bCs w:val="0"/>
          <w:color w:val="auto"/>
          <w:sz w:val="22"/>
          <w:szCs w:val="22"/>
          <w:highlight w:val="none"/>
        </w:rPr>
        <w:instrText xml:space="preserve"> PAGEREF _Toc12144 \h </w:instrText>
      </w:r>
      <w:r>
        <w:rPr>
          <w:rFonts w:hint="eastAsia" w:ascii="新宋体" w:hAnsi="新宋体" w:eastAsia="新宋体" w:cs="新宋体"/>
          <w:b w:val="0"/>
          <w:bCs w:val="0"/>
          <w:color w:val="auto"/>
          <w:sz w:val="22"/>
          <w:szCs w:val="22"/>
          <w:highlight w:val="none"/>
        </w:rPr>
        <w:fldChar w:fldCharType="separate"/>
      </w:r>
      <w:r>
        <w:rPr>
          <w:rFonts w:hint="eastAsia" w:ascii="新宋体" w:hAnsi="新宋体" w:eastAsia="新宋体" w:cs="新宋体"/>
          <w:b w:val="0"/>
          <w:bCs w:val="0"/>
          <w:color w:val="auto"/>
          <w:sz w:val="22"/>
          <w:szCs w:val="22"/>
          <w:highlight w:val="none"/>
        </w:rPr>
        <w:t>2</w:t>
      </w:r>
      <w:r>
        <w:rPr>
          <w:rFonts w:hint="eastAsia" w:ascii="新宋体" w:hAnsi="新宋体" w:eastAsia="新宋体" w:cs="新宋体"/>
          <w:b w:val="0"/>
          <w:bCs w:val="0"/>
          <w:color w:val="auto"/>
          <w:sz w:val="22"/>
          <w:szCs w:val="22"/>
          <w:highlight w:val="none"/>
        </w:rPr>
        <w:fldChar w:fldCharType="end"/>
      </w:r>
      <w:r>
        <w:rPr>
          <w:rFonts w:hint="eastAsia" w:ascii="新宋体" w:hAnsi="新宋体" w:eastAsia="新宋体" w:cs="新宋体"/>
          <w:b w:val="0"/>
          <w:bCs w:val="0"/>
          <w:smallCaps/>
          <w:color w:val="auto"/>
          <w:spacing w:val="40"/>
          <w:sz w:val="22"/>
          <w:szCs w:val="22"/>
          <w:highlight w:val="none"/>
        </w:rPr>
        <w:fldChar w:fldCharType="end"/>
      </w:r>
    </w:p>
    <w:p w14:paraId="7C7B154A">
      <w:pPr>
        <w:pStyle w:val="26"/>
        <w:keepNext w:val="0"/>
        <w:keepLines w:val="0"/>
        <w:pageBreakBefore w:val="0"/>
        <w:widowControl w:val="0"/>
        <w:tabs>
          <w:tab w:val="right" w:leader="dot" w:pos="988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HYPERLINK \l _Toc15185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color w:val="auto"/>
          <w:sz w:val="22"/>
          <w:szCs w:val="22"/>
          <w:highlight w:val="none"/>
        </w:rPr>
        <w:t>第二部分</w:t>
      </w:r>
      <w:r>
        <w:rPr>
          <w:rFonts w:hint="eastAsia" w:ascii="新宋体" w:hAnsi="新宋体" w:eastAsia="新宋体" w:cs="新宋体"/>
          <w:b w:val="0"/>
          <w:bCs w:val="0"/>
          <w:color w:val="auto"/>
          <w:sz w:val="22"/>
          <w:szCs w:val="22"/>
          <w:highlight w:val="none"/>
          <w:lang w:val="en-US" w:eastAsia="zh-CN"/>
        </w:rPr>
        <w:t xml:space="preserve">   </w:t>
      </w:r>
      <w:r>
        <w:rPr>
          <w:rFonts w:hint="eastAsia" w:ascii="新宋体" w:hAnsi="新宋体" w:eastAsia="新宋体" w:cs="新宋体"/>
          <w:b w:val="0"/>
          <w:bCs w:val="0"/>
          <w:color w:val="auto"/>
          <w:sz w:val="22"/>
          <w:szCs w:val="22"/>
          <w:highlight w:val="none"/>
        </w:rPr>
        <w:t>供应商须知</w:t>
      </w:r>
      <w:r>
        <w:rPr>
          <w:rFonts w:hint="eastAsia" w:ascii="新宋体" w:hAnsi="新宋体" w:eastAsia="新宋体" w:cs="新宋体"/>
          <w:b w:val="0"/>
          <w:bCs w:val="0"/>
          <w:color w:val="auto"/>
          <w:sz w:val="22"/>
          <w:szCs w:val="22"/>
          <w:highlight w:val="none"/>
        </w:rPr>
        <w:tab/>
      </w:r>
      <w:r>
        <w:rPr>
          <w:rFonts w:hint="eastAsia" w:ascii="新宋体" w:hAnsi="新宋体" w:eastAsia="新宋体" w:cs="新宋体"/>
          <w:b w:val="0"/>
          <w:bCs w:val="0"/>
          <w:color w:val="auto"/>
          <w:sz w:val="22"/>
          <w:szCs w:val="22"/>
          <w:highlight w:val="none"/>
        </w:rPr>
        <w:fldChar w:fldCharType="begin"/>
      </w:r>
      <w:r>
        <w:rPr>
          <w:rFonts w:hint="eastAsia" w:ascii="新宋体" w:hAnsi="新宋体" w:eastAsia="新宋体" w:cs="新宋体"/>
          <w:b w:val="0"/>
          <w:bCs w:val="0"/>
          <w:color w:val="auto"/>
          <w:sz w:val="22"/>
          <w:szCs w:val="22"/>
          <w:highlight w:val="none"/>
        </w:rPr>
        <w:instrText xml:space="preserve"> PAGEREF _Toc15185 \h </w:instrText>
      </w:r>
      <w:r>
        <w:rPr>
          <w:rFonts w:hint="eastAsia" w:ascii="新宋体" w:hAnsi="新宋体" w:eastAsia="新宋体" w:cs="新宋体"/>
          <w:b w:val="0"/>
          <w:bCs w:val="0"/>
          <w:color w:val="auto"/>
          <w:sz w:val="22"/>
          <w:szCs w:val="22"/>
          <w:highlight w:val="none"/>
        </w:rPr>
        <w:fldChar w:fldCharType="separate"/>
      </w:r>
      <w:r>
        <w:rPr>
          <w:rFonts w:hint="eastAsia" w:ascii="新宋体" w:hAnsi="新宋体" w:eastAsia="新宋体" w:cs="新宋体"/>
          <w:b w:val="0"/>
          <w:bCs w:val="0"/>
          <w:color w:val="auto"/>
          <w:sz w:val="22"/>
          <w:szCs w:val="22"/>
          <w:highlight w:val="none"/>
        </w:rPr>
        <w:t>5</w:t>
      </w:r>
      <w:r>
        <w:rPr>
          <w:rFonts w:hint="eastAsia" w:ascii="新宋体" w:hAnsi="新宋体" w:eastAsia="新宋体" w:cs="新宋体"/>
          <w:b w:val="0"/>
          <w:bCs w:val="0"/>
          <w:color w:val="auto"/>
          <w:sz w:val="22"/>
          <w:szCs w:val="22"/>
          <w:highlight w:val="none"/>
        </w:rPr>
        <w:fldChar w:fldCharType="end"/>
      </w:r>
      <w:r>
        <w:rPr>
          <w:rFonts w:hint="eastAsia" w:ascii="新宋体" w:hAnsi="新宋体" w:eastAsia="新宋体" w:cs="新宋体"/>
          <w:b w:val="0"/>
          <w:bCs w:val="0"/>
          <w:smallCaps/>
          <w:color w:val="auto"/>
          <w:spacing w:val="40"/>
          <w:sz w:val="22"/>
          <w:szCs w:val="22"/>
          <w:highlight w:val="none"/>
        </w:rPr>
        <w:fldChar w:fldCharType="end"/>
      </w:r>
    </w:p>
    <w:p w14:paraId="44EEE076">
      <w:pPr>
        <w:pStyle w:val="32"/>
        <w:keepNext w:val="0"/>
        <w:keepLines w:val="0"/>
        <w:pageBreakBefore w:val="0"/>
        <w:widowControl w:val="0"/>
        <w:tabs>
          <w:tab w:val="right" w:leader="dot" w:pos="988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HYPERLINK \l _Toc15454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color w:val="auto"/>
          <w:sz w:val="22"/>
          <w:szCs w:val="22"/>
          <w:highlight w:val="none"/>
        </w:rPr>
        <w:t>供应商须知前附表</w:t>
      </w:r>
      <w:r>
        <w:rPr>
          <w:rFonts w:hint="eastAsia" w:ascii="新宋体" w:hAnsi="新宋体" w:eastAsia="新宋体" w:cs="新宋体"/>
          <w:b w:val="0"/>
          <w:bCs w:val="0"/>
          <w:color w:val="auto"/>
          <w:sz w:val="22"/>
          <w:szCs w:val="22"/>
          <w:highlight w:val="none"/>
        </w:rPr>
        <w:tab/>
      </w:r>
      <w:r>
        <w:rPr>
          <w:rFonts w:hint="eastAsia" w:ascii="新宋体" w:hAnsi="新宋体" w:eastAsia="新宋体" w:cs="新宋体"/>
          <w:b w:val="0"/>
          <w:bCs w:val="0"/>
          <w:color w:val="auto"/>
          <w:sz w:val="22"/>
          <w:szCs w:val="22"/>
          <w:highlight w:val="none"/>
        </w:rPr>
        <w:fldChar w:fldCharType="begin"/>
      </w:r>
      <w:r>
        <w:rPr>
          <w:rFonts w:hint="eastAsia" w:ascii="新宋体" w:hAnsi="新宋体" w:eastAsia="新宋体" w:cs="新宋体"/>
          <w:b w:val="0"/>
          <w:bCs w:val="0"/>
          <w:color w:val="auto"/>
          <w:sz w:val="22"/>
          <w:szCs w:val="22"/>
          <w:highlight w:val="none"/>
        </w:rPr>
        <w:instrText xml:space="preserve"> PAGEREF _Toc15454 \h </w:instrText>
      </w:r>
      <w:r>
        <w:rPr>
          <w:rFonts w:hint="eastAsia" w:ascii="新宋体" w:hAnsi="新宋体" w:eastAsia="新宋体" w:cs="新宋体"/>
          <w:b w:val="0"/>
          <w:bCs w:val="0"/>
          <w:color w:val="auto"/>
          <w:sz w:val="22"/>
          <w:szCs w:val="22"/>
          <w:highlight w:val="none"/>
        </w:rPr>
        <w:fldChar w:fldCharType="separate"/>
      </w:r>
      <w:r>
        <w:rPr>
          <w:rFonts w:hint="eastAsia" w:ascii="新宋体" w:hAnsi="新宋体" w:eastAsia="新宋体" w:cs="新宋体"/>
          <w:b w:val="0"/>
          <w:bCs w:val="0"/>
          <w:color w:val="auto"/>
          <w:sz w:val="22"/>
          <w:szCs w:val="22"/>
          <w:highlight w:val="none"/>
        </w:rPr>
        <w:t>5</w:t>
      </w:r>
      <w:r>
        <w:rPr>
          <w:rFonts w:hint="eastAsia" w:ascii="新宋体" w:hAnsi="新宋体" w:eastAsia="新宋体" w:cs="新宋体"/>
          <w:b w:val="0"/>
          <w:bCs w:val="0"/>
          <w:color w:val="auto"/>
          <w:sz w:val="22"/>
          <w:szCs w:val="22"/>
          <w:highlight w:val="none"/>
        </w:rPr>
        <w:fldChar w:fldCharType="end"/>
      </w:r>
      <w:r>
        <w:rPr>
          <w:rFonts w:hint="eastAsia" w:ascii="新宋体" w:hAnsi="新宋体" w:eastAsia="新宋体" w:cs="新宋体"/>
          <w:b w:val="0"/>
          <w:bCs w:val="0"/>
          <w:smallCaps/>
          <w:color w:val="auto"/>
          <w:spacing w:val="40"/>
          <w:sz w:val="22"/>
          <w:szCs w:val="22"/>
          <w:highlight w:val="none"/>
        </w:rPr>
        <w:fldChar w:fldCharType="end"/>
      </w:r>
    </w:p>
    <w:p w14:paraId="0EA807BE">
      <w:pPr>
        <w:pStyle w:val="32"/>
        <w:keepNext w:val="0"/>
        <w:keepLines w:val="0"/>
        <w:pageBreakBefore w:val="0"/>
        <w:widowControl w:val="0"/>
        <w:tabs>
          <w:tab w:val="right" w:leader="dot" w:pos="988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HYPERLINK \l _Toc17560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color w:val="auto"/>
          <w:sz w:val="22"/>
          <w:szCs w:val="22"/>
          <w:highlight w:val="none"/>
        </w:rPr>
        <w:t>一、说    明</w:t>
      </w:r>
      <w:r>
        <w:rPr>
          <w:rFonts w:hint="eastAsia" w:ascii="新宋体" w:hAnsi="新宋体" w:eastAsia="新宋体" w:cs="新宋体"/>
          <w:b w:val="0"/>
          <w:bCs w:val="0"/>
          <w:color w:val="auto"/>
          <w:sz w:val="22"/>
          <w:szCs w:val="22"/>
          <w:highlight w:val="none"/>
        </w:rPr>
        <w:tab/>
      </w:r>
      <w:r>
        <w:rPr>
          <w:rFonts w:hint="eastAsia" w:ascii="新宋体" w:hAnsi="新宋体" w:eastAsia="新宋体" w:cs="新宋体"/>
          <w:b w:val="0"/>
          <w:bCs w:val="0"/>
          <w:color w:val="auto"/>
          <w:sz w:val="22"/>
          <w:szCs w:val="22"/>
          <w:highlight w:val="none"/>
        </w:rPr>
        <w:fldChar w:fldCharType="begin"/>
      </w:r>
      <w:r>
        <w:rPr>
          <w:rFonts w:hint="eastAsia" w:ascii="新宋体" w:hAnsi="新宋体" w:eastAsia="新宋体" w:cs="新宋体"/>
          <w:b w:val="0"/>
          <w:bCs w:val="0"/>
          <w:color w:val="auto"/>
          <w:sz w:val="22"/>
          <w:szCs w:val="22"/>
          <w:highlight w:val="none"/>
        </w:rPr>
        <w:instrText xml:space="preserve"> PAGEREF _Toc17560 \h </w:instrText>
      </w:r>
      <w:r>
        <w:rPr>
          <w:rFonts w:hint="eastAsia" w:ascii="新宋体" w:hAnsi="新宋体" w:eastAsia="新宋体" w:cs="新宋体"/>
          <w:b w:val="0"/>
          <w:bCs w:val="0"/>
          <w:color w:val="auto"/>
          <w:sz w:val="22"/>
          <w:szCs w:val="22"/>
          <w:highlight w:val="none"/>
        </w:rPr>
        <w:fldChar w:fldCharType="separate"/>
      </w:r>
      <w:r>
        <w:rPr>
          <w:rFonts w:hint="eastAsia" w:ascii="新宋体" w:hAnsi="新宋体" w:eastAsia="新宋体" w:cs="新宋体"/>
          <w:b w:val="0"/>
          <w:bCs w:val="0"/>
          <w:color w:val="auto"/>
          <w:sz w:val="22"/>
          <w:szCs w:val="22"/>
          <w:highlight w:val="none"/>
        </w:rPr>
        <w:t>11</w:t>
      </w:r>
      <w:r>
        <w:rPr>
          <w:rFonts w:hint="eastAsia" w:ascii="新宋体" w:hAnsi="新宋体" w:eastAsia="新宋体" w:cs="新宋体"/>
          <w:b w:val="0"/>
          <w:bCs w:val="0"/>
          <w:color w:val="auto"/>
          <w:sz w:val="22"/>
          <w:szCs w:val="22"/>
          <w:highlight w:val="none"/>
        </w:rPr>
        <w:fldChar w:fldCharType="end"/>
      </w:r>
      <w:r>
        <w:rPr>
          <w:rFonts w:hint="eastAsia" w:ascii="新宋体" w:hAnsi="新宋体" w:eastAsia="新宋体" w:cs="新宋体"/>
          <w:b w:val="0"/>
          <w:bCs w:val="0"/>
          <w:smallCaps/>
          <w:color w:val="auto"/>
          <w:spacing w:val="40"/>
          <w:sz w:val="22"/>
          <w:szCs w:val="22"/>
          <w:highlight w:val="none"/>
        </w:rPr>
        <w:fldChar w:fldCharType="end"/>
      </w:r>
    </w:p>
    <w:p w14:paraId="4F01449D">
      <w:pPr>
        <w:pStyle w:val="32"/>
        <w:keepNext w:val="0"/>
        <w:keepLines w:val="0"/>
        <w:pageBreakBefore w:val="0"/>
        <w:widowControl w:val="0"/>
        <w:tabs>
          <w:tab w:val="right" w:leader="dot" w:pos="988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HYPERLINK \l _Toc23927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color w:val="auto"/>
          <w:sz w:val="22"/>
          <w:szCs w:val="22"/>
          <w:highlight w:val="none"/>
        </w:rPr>
        <w:t>二、招标文件</w:t>
      </w:r>
      <w:r>
        <w:rPr>
          <w:rFonts w:hint="eastAsia" w:ascii="新宋体" w:hAnsi="新宋体" w:eastAsia="新宋体" w:cs="新宋体"/>
          <w:b w:val="0"/>
          <w:bCs w:val="0"/>
          <w:color w:val="auto"/>
          <w:sz w:val="22"/>
          <w:szCs w:val="22"/>
          <w:highlight w:val="none"/>
        </w:rPr>
        <w:tab/>
      </w:r>
      <w:r>
        <w:rPr>
          <w:rFonts w:hint="eastAsia" w:ascii="新宋体" w:hAnsi="新宋体" w:eastAsia="新宋体" w:cs="新宋体"/>
          <w:b w:val="0"/>
          <w:bCs w:val="0"/>
          <w:color w:val="auto"/>
          <w:sz w:val="22"/>
          <w:szCs w:val="22"/>
          <w:highlight w:val="none"/>
        </w:rPr>
        <w:fldChar w:fldCharType="begin"/>
      </w:r>
      <w:r>
        <w:rPr>
          <w:rFonts w:hint="eastAsia" w:ascii="新宋体" w:hAnsi="新宋体" w:eastAsia="新宋体" w:cs="新宋体"/>
          <w:b w:val="0"/>
          <w:bCs w:val="0"/>
          <w:color w:val="auto"/>
          <w:sz w:val="22"/>
          <w:szCs w:val="22"/>
          <w:highlight w:val="none"/>
        </w:rPr>
        <w:instrText xml:space="preserve"> PAGEREF _Toc23927 \h </w:instrText>
      </w:r>
      <w:r>
        <w:rPr>
          <w:rFonts w:hint="eastAsia" w:ascii="新宋体" w:hAnsi="新宋体" w:eastAsia="新宋体" w:cs="新宋体"/>
          <w:b w:val="0"/>
          <w:bCs w:val="0"/>
          <w:color w:val="auto"/>
          <w:sz w:val="22"/>
          <w:szCs w:val="22"/>
          <w:highlight w:val="none"/>
        </w:rPr>
        <w:fldChar w:fldCharType="separate"/>
      </w:r>
      <w:r>
        <w:rPr>
          <w:rFonts w:hint="eastAsia" w:ascii="新宋体" w:hAnsi="新宋体" w:eastAsia="新宋体" w:cs="新宋体"/>
          <w:b w:val="0"/>
          <w:bCs w:val="0"/>
          <w:color w:val="auto"/>
          <w:sz w:val="22"/>
          <w:szCs w:val="22"/>
          <w:highlight w:val="none"/>
        </w:rPr>
        <w:t>14</w:t>
      </w:r>
      <w:r>
        <w:rPr>
          <w:rFonts w:hint="eastAsia" w:ascii="新宋体" w:hAnsi="新宋体" w:eastAsia="新宋体" w:cs="新宋体"/>
          <w:b w:val="0"/>
          <w:bCs w:val="0"/>
          <w:color w:val="auto"/>
          <w:sz w:val="22"/>
          <w:szCs w:val="22"/>
          <w:highlight w:val="none"/>
        </w:rPr>
        <w:fldChar w:fldCharType="end"/>
      </w:r>
      <w:r>
        <w:rPr>
          <w:rFonts w:hint="eastAsia" w:ascii="新宋体" w:hAnsi="新宋体" w:eastAsia="新宋体" w:cs="新宋体"/>
          <w:b w:val="0"/>
          <w:bCs w:val="0"/>
          <w:smallCaps/>
          <w:color w:val="auto"/>
          <w:spacing w:val="40"/>
          <w:sz w:val="22"/>
          <w:szCs w:val="22"/>
          <w:highlight w:val="none"/>
        </w:rPr>
        <w:fldChar w:fldCharType="end"/>
      </w:r>
    </w:p>
    <w:p w14:paraId="713E8773">
      <w:pPr>
        <w:pStyle w:val="32"/>
        <w:keepNext w:val="0"/>
        <w:keepLines w:val="0"/>
        <w:pageBreakBefore w:val="0"/>
        <w:widowControl w:val="0"/>
        <w:tabs>
          <w:tab w:val="right" w:leader="dot" w:pos="988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HYPERLINK \l _Toc17187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color w:val="auto"/>
          <w:sz w:val="22"/>
          <w:szCs w:val="22"/>
          <w:highlight w:val="none"/>
        </w:rPr>
        <w:t>三、投标文件的编制</w:t>
      </w:r>
      <w:r>
        <w:rPr>
          <w:rFonts w:hint="eastAsia" w:ascii="新宋体" w:hAnsi="新宋体" w:eastAsia="新宋体" w:cs="新宋体"/>
          <w:b w:val="0"/>
          <w:bCs w:val="0"/>
          <w:color w:val="auto"/>
          <w:sz w:val="22"/>
          <w:szCs w:val="22"/>
          <w:highlight w:val="none"/>
        </w:rPr>
        <w:tab/>
      </w:r>
      <w:r>
        <w:rPr>
          <w:rFonts w:hint="eastAsia" w:ascii="新宋体" w:hAnsi="新宋体" w:eastAsia="新宋体" w:cs="新宋体"/>
          <w:b w:val="0"/>
          <w:bCs w:val="0"/>
          <w:color w:val="auto"/>
          <w:sz w:val="22"/>
          <w:szCs w:val="22"/>
          <w:highlight w:val="none"/>
        </w:rPr>
        <w:fldChar w:fldCharType="begin"/>
      </w:r>
      <w:r>
        <w:rPr>
          <w:rFonts w:hint="eastAsia" w:ascii="新宋体" w:hAnsi="新宋体" w:eastAsia="新宋体" w:cs="新宋体"/>
          <w:b w:val="0"/>
          <w:bCs w:val="0"/>
          <w:color w:val="auto"/>
          <w:sz w:val="22"/>
          <w:szCs w:val="22"/>
          <w:highlight w:val="none"/>
        </w:rPr>
        <w:instrText xml:space="preserve"> PAGEREF _Toc17187 \h </w:instrText>
      </w:r>
      <w:r>
        <w:rPr>
          <w:rFonts w:hint="eastAsia" w:ascii="新宋体" w:hAnsi="新宋体" w:eastAsia="新宋体" w:cs="新宋体"/>
          <w:b w:val="0"/>
          <w:bCs w:val="0"/>
          <w:color w:val="auto"/>
          <w:sz w:val="22"/>
          <w:szCs w:val="22"/>
          <w:highlight w:val="none"/>
        </w:rPr>
        <w:fldChar w:fldCharType="separate"/>
      </w:r>
      <w:r>
        <w:rPr>
          <w:rFonts w:hint="eastAsia" w:ascii="新宋体" w:hAnsi="新宋体" w:eastAsia="新宋体" w:cs="新宋体"/>
          <w:b w:val="0"/>
          <w:bCs w:val="0"/>
          <w:color w:val="auto"/>
          <w:sz w:val="22"/>
          <w:szCs w:val="22"/>
          <w:highlight w:val="none"/>
        </w:rPr>
        <w:t>15</w:t>
      </w:r>
      <w:r>
        <w:rPr>
          <w:rFonts w:hint="eastAsia" w:ascii="新宋体" w:hAnsi="新宋体" w:eastAsia="新宋体" w:cs="新宋体"/>
          <w:b w:val="0"/>
          <w:bCs w:val="0"/>
          <w:color w:val="auto"/>
          <w:sz w:val="22"/>
          <w:szCs w:val="22"/>
          <w:highlight w:val="none"/>
        </w:rPr>
        <w:fldChar w:fldCharType="end"/>
      </w:r>
      <w:r>
        <w:rPr>
          <w:rFonts w:hint="eastAsia" w:ascii="新宋体" w:hAnsi="新宋体" w:eastAsia="新宋体" w:cs="新宋体"/>
          <w:b w:val="0"/>
          <w:bCs w:val="0"/>
          <w:smallCaps/>
          <w:color w:val="auto"/>
          <w:spacing w:val="40"/>
          <w:sz w:val="22"/>
          <w:szCs w:val="22"/>
          <w:highlight w:val="none"/>
        </w:rPr>
        <w:fldChar w:fldCharType="end"/>
      </w:r>
    </w:p>
    <w:p w14:paraId="699ECAF8">
      <w:pPr>
        <w:pStyle w:val="32"/>
        <w:keepNext w:val="0"/>
        <w:keepLines w:val="0"/>
        <w:pageBreakBefore w:val="0"/>
        <w:widowControl w:val="0"/>
        <w:tabs>
          <w:tab w:val="right" w:leader="dot" w:pos="988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HYPERLINK \l _Toc29296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color w:val="auto"/>
          <w:sz w:val="22"/>
          <w:szCs w:val="22"/>
          <w:highlight w:val="none"/>
        </w:rPr>
        <w:t>四、投标文件的递交</w:t>
      </w:r>
      <w:r>
        <w:rPr>
          <w:rFonts w:hint="eastAsia" w:ascii="新宋体" w:hAnsi="新宋体" w:eastAsia="新宋体" w:cs="新宋体"/>
          <w:b w:val="0"/>
          <w:bCs w:val="0"/>
          <w:color w:val="auto"/>
          <w:sz w:val="22"/>
          <w:szCs w:val="22"/>
          <w:highlight w:val="none"/>
        </w:rPr>
        <w:tab/>
      </w:r>
      <w:r>
        <w:rPr>
          <w:rFonts w:hint="eastAsia" w:ascii="新宋体" w:hAnsi="新宋体" w:eastAsia="新宋体" w:cs="新宋体"/>
          <w:b w:val="0"/>
          <w:bCs w:val="0"/>
          <w:color w:val="auto"/>
          <w:sz w:val="22"/>
          <w:szCs w:val="22"/>
          <w:highlight w:val="none"/>
        </w:rPr>
        <w:fldChar w:fldCharType="begin"/>
      </w:r>
      <w:r>
        <w:rPr>
          <w:rFonts w:hint="eastAsia" w:ascii="新宋体" w:hAnsi="新宋体" w:eastAsia="新宋体" w:cs="新宋体"/>
          <w:b w:val="0"/>
          <w:bCs w:val="0"/>
          <w:color w:val="auto"/>
          <w:sz w:val="22"/>
          <w:szCs w:val="22"/>
          <w:highlight w:val="none"/>
        </w:rPr>
        <w:instrText xml:space="preserve"> PAGEREF _Toc29296 \h </w:instrText>
      </w:r>
      <w:r>
        <w:rPr>
          <w:rFonts w:hint="eastAsia" w:ascii="新宋体" w:hAnsi="新宋体" w:eastAsia="新宋体" w:cs="新宋体"/>
          <w:b w:val="0"/>
          <w:bCs w:val="0"/>
          <w:color w:val="auto"/>
          <w:sz w:val="22"/>
          <w:szCs w:val="22"/>
          <w:highlight w:val="none"/>
        </w:rPr>
        <w:fldChar w:fldCharType="separate"/>
      </w:r>
      <w:r>
        <w:rPr>
          <w:rFonts w:hint="eastAsia" w:ascii="新宋体" w:hAnsi="新宋体" w:eastAsia="新宋体" w:cs="新宋体"/>
          <w:b w:val="0"/>
          <w:bCs w:val="0"/>
          <w:color w:val="auto"/>
          <w:sz w:val="22"/>
          <w:szCs w:val="22"/>
          <w:highlight w:val="none"/>
        </w:rPr>
        <w:t>18</w:t>
      </w:r>
      <w:r>
        <w:rPr>
          <w:rFonts w:hint="eastAsia" w:ascii="新宋体" w:hAnsi="新宋体" w:eastAsia="新宋体" w:cs="新宋体"/>
          <w:b w:val="0"/>
          <w:bCs w:val="0"/>
          <w:color w:val="auto"/>
          <w:sz w:val="22"/>
          <w:szCs w:val="22"/>
          <w:highlight w:val="none"/>
        </w:rPr>
        <w:fldChar w:fldCharType="end"/>
      </w:r>
      <w:r>
        <w:rPr>
          <w:rFonts w:hint="eastAsia" w:ascii="新宋体" w:hAnsi="新宋体" w:eastAsia="新宋体" w:cs="新宋体"/>
          <w:b w:val="0"/>
          <w:bCs w:val="0"/>
          <w:smallCaps/>
          <w:color w:val="auto"/>
          <w:spacing w:val="40"/>
          <w:sz w:val="22"/>
          <w:szCs w:val="22"/>
          <w:highlight w:val="none"/>
        </w:rPr>
        <w:fldChar w:fldCharType="end"/>
      </w:r>
    </w:p>
    <w:p w14:paraId="7BA690DA">
      <w:pPr>
        <w:pStyle w:val="32"/>
        <w:keepNext w:val="0"/>
        <w:keepLines w:val="0"/>
        <w:pageBreakBefore w:val="0"/>
        <w:widowControl w:val="0"/>
        <w:tabs>
          <w:tab w:val="right" w:leader="dot" w:pos="988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HYPERLINK \l _Toc12296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color w:val="auto"/>
          <w:sz w:val="22"/>
          <w:szCs w:val="22"/>
          <w:highlight w:val="none"/>
        </w:rPr>
        <w:t>五、开标和评标</w:t>
      </w:r>
      <w:r>
        <w:rPr>
          <w:rFonts w:hint="eastAsia" w:ascii="新宋体" w:hAnsi="新宋体" w:eastAsia="新宋体" w:cs="新宋体"/>
          <w:b w:val="0"/>
          <w:bCs w:val="0"/>
          <w:color w:val="auto"/>
          <w:sz w:val="22"/>
          <w:szCs w:val="22"/>
          <w:highlight w:val="none"/>
        </w:rPr>
        <w:tab/>
      </w:r>
      <w:r>
        <w:rPr>
          <w:rFonts w:hint="eastAsia" w:ascii="新宋体" w:hAnsi="新宋体" w:eastAsia="新宋体" w:cs="新宋体"/>
          <w:b w:val="0"/>
          <w:bCs w:val="0"/>
          <w:color w:val="auto"/>
          <w:sz w:val="22"/>
          <w:szCs w:val="22"/>
          <w:highlight w:val="none"/>
        </w:rPr>
        <w:fldChar w:fldCharType="begin"/>
      </w:r>
      <w:r>
        <w:rPr>
          <w:rFonts w:hint="eastAsia" w:ascii="新宋体" w:hAnsi="新宋体" w:eastAsia="新宋体" w:cs="新宋体"/>
          <w:b w:val="0"/>
          <w:bCs w:val="0"/>
          <w:color w:val="auto"/>
          <w:sz w:val="22"/>
          <w:szCs w:val="22"/>
          <w:highlight w:val="none"/>
        </w:rPr>
        <w:instrText xml:space="preserve"> PAGEREF _Toc12296 \h </w:instrText>
      </w:r>
      <w:r>
        <w:rPr>
          <w:rFonts w:hint="eastAsia" w:ascii="新宋体" w:hAnsi="新宋体" w:eastAsia="新宋体" w:cs="新宋体"/>
          <w:b w:val="0"/>
          <w:bCs w:val="0"/>
          <w:color w:val="auto"/>
          <w:sz w:val="22"/>
          <w:szCs w:val="22"/>
          <w:highlight w:val="none"/>
        </w:rPr>
        <w:fldChar w:fldCharType="separate"/>
      </w:r>
      <w:r>
        <w:rPr>
          <w:rFonts w:hint="eastAsia" w:ascii="新宋体" w:hAnsi="新宋体" w:eastAsia="新宋体" w:cs="新宋体"/>
          <w:b w:val="0"/>
          <w:bCs w:val="0"/>
          <w:color w:val="auto"/>
          <w:sz w:val="22"/>
          <w:szCs w:val="22"/>
          <w:highlight w:val="none"/>
        </w:rPr>
        <w:t>18</w:t>
      </w:r>
      <w:r>
        <w:rPr>
          <w:rFonts w:hint="eastAsia" w:ascii="新宋体" w:hAnsi="新宋体" w:eastAsia="新宋体" w:cs="新宋体"/>
          <w:b w:val="0"/>
          <w:bCs w:val="0"/>
          <w:color w:val="auto"/>
          <w:sz w:val="22"/>
          <w:szCs w:val="22"/>
          <w:highlight w:val="none"/>
        </w:rPr>
        <w:fldChar w:fldCharType="end"/>
      </w:r>
      <w:r>
        <w:rPr>
          <w:rFonts w:hint="eastAsia" w:ascii="新宋体" w:hAnsi="新宋体" w:eastAsia="新宋体" w:cs="新宋体"/>
          <w:b w:val="0"/>
          <w:bCs w:val="0"/>
          <w:smallCaps/>
          <w:color w:val="auto"/>
          <w:spacing w:val="40"/>
          <w:sz w:val="22"/>
          <w:szCs w:val="22"/>
          <w:highlight w:val="none"/>
        </w:rPr>
        <w:fldChar w:fldCharType="end"/>
      </w:r>
    </w:p>
    <w:p w14:paraId="78991D12">
      <w:pPr>
        <w:pStyle w:val="32"/>
        <w:keepNext w:val="0"/>
        <w:keepLines w:val="0"/>
        <w:pageBreakBefore w:val="0"/>
        <w:widowControl w:val="0"/>
        <w:tabs>
          <w:tab w:val="right" w:leader="dot" w:pos="988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HYPERLINK \l _Toc3956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color w:val="auto"/>
          <w:sz w:val="22"/>
          <w:szCs w:val="22"/>
          <w:highlight w:val="none"/>
        </w:rPr>
        <w:t>六、授予合同</w:t>
      </w:r>
      <w:r>
        <w:rPr>
          <w:rFonts w:hint="eastAsia" w:ascii="新宋体" w:hAnsi="新宋体" w:eastAsia="新宋体" w:cs="新宋体"/>
          <w:b w:val="0"/>
          <w:bCs w:val="0"/>
          <w:color w:val="auto"/>
          <w:sz w:val="22"/>
          <w:szCs w:val="22"/>
          <w:highlight w:val="none"/>
        </w:rPr>
        <w:tab/>
      </w:r>
      <w:r>
        <w:rPr>
          <w:rFonts w:hint="eastAsia" w:ascii="新宋体" w:hAnsi="新宋体" w:eastAsia="新宋体" w:cs="新宋体"/>
          <w:b w:val="0"/>
          <w:bCs w:val="0"/>
          <w:color w:val="auto"/>
          <w:sz w:val="22"/>
          <w:szCs w:val="22"/>
          <w:highlight w:val="none"/>
        </w:rPr>
        <w:fldChar w:fldCharType="begin"/>
      </w:r>
      <w:r>
        <w:rPr>
          <w:rFonts w:hint="eastAsia" w:ascii="新宋体" w:hAnsi="新宋体" w:eastAsia="新宋体" w:cs="新宋体"/>
          <w:b w:val="0"/>
          <w:bCs w:val="0"/>
          <w:color w:val="auto"/>
          <w:sz w:val="22"/>
          <w:szCs w:val="22"/>
          <w:highlight w:val="none"/>
        </w:rPr>
        <w:instrText xml:space="preserve"> PAGEREF _Toc3956 \h </w:instrText>
      </w:r>
      <w:r>
        <w:rPr>
          <w:rFonts w:hint="eastAsia" w:ascii="新宋体" w:hAnsi="新宋体" w:eastAsia="新宋体" w:cs="新宋体"/>
          <w:b w:val="0"/>
          <w:bCs w:val="0"/>
          <w:color w:val="auto"/>
          <w:sz w:val="22"/>
          <w:szCs w:val="22"/>
          <w:highlight w:val="none"/>
        </w:rPr>
        <w:fldChar w:fldCharType="separate"/>
      </w:r>
      <w:r>
        <w:rPr>
          <w:rFonts w:hint="eastAsia" w:ascii="新宋体" w:hAnsi="新宋体" w:eastAsia="新宋体" w:cs="新宋体"/>
          <w:b w:val="0"/>
          <w:bCs w:val="0"/>
          <w:color w:val="auto"/>
          <w:sz w:val="22"/>
          <w:szCs w:val="22"/>
          <w:highlight w:val="none"/>
        </w:rPr>
        <w:t>22</w:t>
      </w:r>
      <w:r>
        <w:rPr>
          <w:rFonts w:hint="eastAsia" w:ascii="新宋体" w:hAnsi="新宋体" w:eastAsia="新宋体" w:cs="新宋体"/>
          <w:b w:val="0"/>
          <w:bCs w:val="0"/>
          <w:color w:val="auto"/>
          <w:sz w:val="22"/>
          <w:szCs w:val="22"/>
          <w:highlight w:val="none"/>
        </w:rPr>
        <w:fldChar w:fldCharType="end"/>
      </w:r>
      <w:r>
        <w:rPr>
          <w:rFonts w:hint="eastAsia" w:ascii="新宋体" w:hAnsi="新宋体" w:eastAsia="新宋体" w:cs="新宋体"/>
          <w:b w:val="0"/>
          <w:bCs w:val="0"/>
          <w:smallCaps/>
          <w:color w:val="auto"/>
          <w:spacing w:val="40"/>
          <w:sz w:val="22"/>
          <w:szCs w:val="22"/>
          <w:highlight w:val="none"/>
        </w:rPr>
        <w:fldChar w:fldCharType="end"/>
      </w:r>
    </w:p>
    <w:p w14:paraId="7419B608">
      <w:pPr>
        <w:pStyle w:val="32"/>
        <w:keepNext w:val="0"/>
        <w:keepLines w:val="0"/>
        <w:pageBreakBefore w:val="0"/>
        <w:widowControl w:val="0"/>
        <w:tabs>
          <w:tab w:val="right" w:leader="dot" w:pos="988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HYPERLINK \l _Toc30853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color w:val="auto"/>
          <w:sz w:val="22"/>
          <w:szCs w:val="22"/>
          <w:highlight w:val="none"/>
        </w:rPr>
        <w:t>七、可中止电子交易活动的情形</w:t>
      </w:r>
      <w:r>
        <w:rPr>
          <w:rFonts w:hint="eastAsia" w:ascii="新宋体" w:hAnsi="新宋体" w:eastAsia="新宋体" w:cs="新宋体"/>
          <w:b w:val="0"/>
          <w:bCs w:val="0"/>
          <w:color w:val="auto"/>
          <w:sz w:val="22"/>
          <w:szCs w:val="22"/>
          <w:highlight w:val="none"/>
        </w:rPr>
        <w:tab/>
      </w:r>
      <w:r>
        <w:rPr>
          <w:rFonts w:hint="eastAsia" w:ascii="新宋体" w:hAnsi="新宋体" w:eastAsia="新宋体" w:cs="新宋体"/>
          <w:b w:val="0"/>
          <w:bCs w:val="0"/>
          <w:color w:val="auto"/>
          <w:sz w:val="22"/>
          <w:szCs w:val="22"/>
          <w:highlight w:val="none"/>
        </w:rPr>
        <w:fldChar w:fldCharType="begin"/>
      </w:r>
      <w:r>
        <w:rPr>
          <w:rFonts w:hint="eastAsia" w:ascii="新宋体" w:hAnsi="新宋体" w:eastAsia="新宋体" w:cs="新宋体"/>
          <w:b w:val="0"/>
          <w:bCs w:val="0"/>
          <w:color w:val="auto"/>
          <w:sz w:val="22"/>
          <w:szCs w:val="22"/>
          <w:highlight w:val="none"/>
        </w:rPr>
        <w:instrText xml:space="preserve"> PAGEREF _Toc30853 \h </w:instrText>
      </w:r>
      <w:r>
        <w:rPr>
          <w:rFonts w:hint="eastAsia" w:ascii="新宋体" w:hAnsi="新宋体" w:eastAsia="新宋体" w:cs="新宋体"/>
          <w:b w:val="0"/>
          <w:bCs w:val="0"/>
          <w:color w:val="auto"/>
          <w:sz w:val="22"/>
          <w:szCs w:val="22"/>
          <w:highlight w:val="none"/>
        </w:rPr>
        <w:fldChar w:fldCharType="separate"/>
      </w:r>
      <w:r>
        <w:rPr>
          <w:rFonts w:hint="eastAsia" w:ascii="新宋体" w:hAnsi="新宋体" w:eastAsia="新宋体" w:cs="新宋体"/>
          <w:b w:val="0"/>
          <w:bCs w:val="0"/>
          <w:color w:val="auto"/>
          <w:sz w:val="22"/>
          <w:szCs w:val="22"/>
          <w:highlight w:val="none"/>
        </w:rPr>
        <w:t>23</w:t>
      </w:r>
      <w:r>
        <w:rPr>
          <w:rFonts w:hint="eastAsia" w:ascii="新宋体" w:hAnsi="新宋体" w:eastAsia="新宋体" w:cs="新宋体"/>
          <w:b w:val="0"/>
          <w:bCs w:val="0"/>
          <w:color w:val="auto"/>
          <w:sz w:val="22"/>
          <w:szCs w:val="22"/>
          <w:highlight w:val="none"/>
        </w:rPr>
        <w:fldChar w:fldCharType="end"/>
      </w:r>
      <w:r>
        <w:rPr>
          <w:rFonts w:hint="eastAsia" w:ascii="新宋体" w:hAnsi="新宋体" w:eastAsia="新宋体" w:cs="新宋体"/>
          <w:b w:val="0"/>
          <w:bCs w:val="0"/>
          <w:smallCaps/>
          <w:color w:val="auto"/>
          <w:spacing w:val="40"/>
          <w:sz w:val="22"/>
          <w:szCs w:val="22"/>
          <w:highlight w:val="none"/>
        </w:rPr>
        <w:fldChar w:fldCharType="end"/>
      </w:r>
    </w:p>
    <w:p w14:paraId="5B6F791D">
      <w:pPr>
        <w:pStyle w:val="26"/>
        <w:keepNext w:val="0"/>
        <w:keepLines w:val="0"/>
        <w:pageBreakBefore w:val="0"/>
        <w:widowControl w:val="0"/>
        <w:tabs>
          <w:tab w:val="right" w:leader="dot" w:pos="988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HYPERLINK \l _Toc30591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color w:val="auto"/>
          <w:sz w:val="22"/>
          <w:szCs w:val="22"/>
          <w:highlight w:val="none"/>
        </w:rPr>
        <w:t>第三部分</w:t>
      </w:r>
      <w:r>
        <w:rPr>
          <w:rFonts w:hint="eastAsia" w:ascii="新宋体" w:hAnsi="新宋体" w:eastAsia="新宋体" w:cs="新宋体"/>
          <w:b w:val="0"/>
          <w:bCs w:val="0"/>
          <w:color w:val="auto"/>
          <w:sz w:val="22"/>
          <w:szCs w:val="22"/>
          <w:highlight w:val="none"/>
          <w:lang w:val="en-US" w:eastAsia="zh-CN"/>
        </w:rPr>
        <w:t xml:space="preserve">   </w:t>
      </w:r>
      <w:r>
        <w:rPr>
          <w:rFonts w:hint="eastAsia" w:ascii="新宋体" w:hAnsi="新宋体" w:eastAsia="新宋体" w:cs="新宋体"/>
          <w:b w:val="0"/>
          <w:bCs w:val="0"/>
          <w:color w:val="auto"/>
          <w:sz w:val="22"/>
          <w:szCs w:val="22"/>
          <w:highlight w:val="none"/>
        </w:rPr>
        <w:t>拟签订的合同文本</w:t>
      </w:r>
      <w:r>
        <w:rPr>
          <w:rFonts w:hint="eastAsia" w:ascii="新宋体" w:hAnsi="新宋体" w:eastAsia="新宋体" w:cs="新宋体"/>
          <w:b w:val="0"/>
          <w:bCs w:val="0"/>
          <w:color w:val="auto"/>
          <w:sz w:val="22"/>
          <w:szCs w:val="22"/>
          <w:highlight w:val="none"/>
        </w:rPr>
        <w:tab/>
      </w:r>
      <w:r>
        <w:rPr>
          <w:rFonts w:hint="eastAsia" w:ascii="新宋体" w:hAnsi="新宋体" w:eastAsia="新宋体" w:cs="新宋体"/>
          <w:b w:val="0"/>
          <w:bCs w:val="0"/>
          <w:color w:val="auto"/>
          <w:sz w:val="22"/>
          <w:szCs w:val="22"/>
          <w:highlight w:val="none"/>
        </w:rPr>
        <w:fldChar w:fldCharType="begin"/>
      </w:r>
      <w:r>
        <w:rPr>
          <w:rFonts w:hint="eastAsia" w:ascii="新宋体" w:hAnsi="新宋体" w:eastAsia="新宋体" w:cs="新宋体"/>
          <w:b w:val="0"/>
          <w:bCs w:val="0"/>
          <w:color w:val="auto"/>
          <w:sz w:val="22"/>
          <w:szCs w:val="22"/>
          <w:highlight w:val="none"/>
        </w:rPr>
        <w:instrText xml:space="preserve"> PAGEREF _Toc30591 \h </w:instrText>
      </w:r>
      <w:r>
        <w:rPr>
          <w:rFonts w:hint="eastAsia" w:ascii="新宋体" w:hAnsi="新宋体" w:eastAsia="新宋体" w:cs="新宋体"/>
          <w:b w:val="0"/>
          <w:bCs w:val="0"/>
          <w:color w:val="auto"/>
          <w:sz w:val="22"/>
          <w:szCs w:val="22"/>
          <w:highlight w:val="none"/>
        </w:rPr>
        <w:fldChar w:fldCharType="separate"/>
      </w:r>
      <w:r>
        <w:rPr>
          <w:rFonts w:hint="eastAsia" w:ascii="新宋体" w:hAnsi="新宋体" w:eastAsia="新宋体" w:cs="新宋体"/>
          <w:b w:val="0"/>
          <w:bCs w:val="0"/>
          <w:color w:val="auto"/>
          <w:sz w:val="22"/>
          <w:szCs w:val="22"/>
          <w:highlight w:val="none"/>
        </w:rPr>
        <w:t>24</w:t>
      </w:r>
      <w:r>
        <w:rPr>
          <w:rFonts w:hint="eastAsia" w:ascii="新宋体" w:hAnsi="新宋体" w:eastAsia="新宋体" w:cs="新宋体"/>
          <w:b w:val="0"/>
          <w:bCs w:val="0"/>
          <w:color w:val="auto"/>
          <w:sz w:val="22"/>
          <w:szCs w:val="22"/>
          <w:highlight w:val="none"/>
        </w:rPr>
        <w:fldChar w:fldCharType="end"/>
      </w:r>
      <w:r>
        <w:rPr>
          <w:rFonts w:hint="eastAsia" w:ascii="新宋体" w:hAnsi="新宋体" w:eastAsia="新宋体" w:cs="新宋体"/>
          <w:b w:val="0"/>
          <w:bCs w:val="0"/>
          <w:smallCaps/>
          <w:color w:val="auto"/>
          <w:spacing w:val="40"/>
          <w:sz w:val="22"/>
          <w:szCs w:val="22"/>
          <w:highlight w:val="none"/>
        </w:rPr>
        <w:fldChar w:fldCharType="end"/>
      </w:r>
    </w:p>
    <w:p w14:paraId="75DE8C87">
      <w:pPr>
        <w:pStyle w:val="26"/>
        <w:keepNext w:val="0"/>
        <w:keepLines w:val="0"/>
        <w:pageBreakBefore w:val="0"/>
        <w:widowControl w:val="0"/>
        <w:tabs>
          <w:tab w:val="right" w:leader="dot" w:pos="988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HYPERLINK \l _Toc7034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color w:val="auto"/>
          <w:sz w:val="22"/>
          <w:szCs w:val="22"/>
          <w:highlight w:val="none"/>
        </w:rPr>
        <w:t>第四部分</w:t>
      </w:r>
      <w:r>
        <w:rPr>
          <w:rFonts w:hint="eastAsia" w:ascii="新宋体" w:hAnsi="新宋体" w:eastAsia="新宋体" w:cs="新宋体"/>
          <w:b w:val="0"/>
          <w:bCs w:val="0"/>
          <w:color w:val="auto"/>
          <w:sz w:val="22"/>
          <w:szCs w:val="22"/>
          <w:highlight w:val="none"/>
          <w:lang w:val="en-US" w:eastAsia="zh-CN"/>
        </w:rPr>
        <w:t xml:space="preserve">   </w:t>
      </w:r>
      <w:r>
        <w:rPr>
          <w:rFonts w:hint="eastAsia" w:ascii="新宋体" w:hAnsi="新宋体" w:eastAsia="新宋体" w:cs="新宋体"/>
          <w:b w:val="0"/>
          <w:bCs w:val="0"/>
          <w:color w:val="auto"/>
          <w:sz w:val="22"/>
          <w:szCs w:val="22"/>
          <w:highlight w:val="none"/>
        </w:rPr>
        <w:t>附件</w:t>
      </w:r>
      <w:r>
        <w:rPr>
          <w:rFonts w:hint="eastAsia" w:ascii="新宋体" w:hAnsi="新宋体" w:eastAsia="新宋体" w:cs="新宋体"/>
          <w:b w:val="0"/>
          <w:bCs w:val="0"/>
          <w:color w:val="auto"/>
          <w:sz w:val="22"/>
          <w:szCs w:val="22"/>
          <w:highlight w:val="none"/>
        </w:rPr>
        <w:tab/>
      </w:r>
      <w:r>
        <w:rPr>
          <w:rFonts w:hint="eastAsia" w:ascii="新宋体" w:hAnsi="新宋体" w:eastAsia="新宋体" w:cs="新宋体"/>
          <w:b w:val="0"/>
          <w:bCs w:val="0"/>
          <w:color w:val="auto"/>
          <w:sz w:val="22"/>
          <w:szCs w:val="22"/>
          <w:highlight w:val="none"/>
        </w:rPr>
        <w:fldChar w:fldCharType="begin"/>
      </w:r>
      <w:r>
        <w:rPr>
          <w:rFonts w:hint="eastAsia" w:ascii="新宋体" w:hAnsi="新宋体" w:eastAsia="新宋体" w:cs="新宋体"/>
          <w:b w:val="0"/>
          <w:bCs w:val="0"/>
          <w:color w:val="auto"/>
          <w:sz w:val="22"/>
          <w:szCs w:val="22"/>
          <w:highlight w:val="none"/>
        </w:rPr>
        <w:instrText xml:space="preserve"> PAGEREF _Toc7034 \h </w:instrText>
      </w:r>
      <w:r>
        <w:rPr>
          <w:rFonts w:hint="eastAsia" w:ascii="新宋体" w:hAnsi="新宋体" w:eastAsia="新宋体" w:cs="新宋体"/>
          <w:b w:val="0"/>
          <w:bCs w:val="0"/>
          <w:color w:val="auto"/>
          <w:sz w:val="22"/>
          <w:szCs w:val="22"/>
          <w:highlight w:val="none"/>
        </w:rPr>
        <w:fldChar w:fldCharType="separate"/>
      </w:r>
      <w:r>
        <w:rPr>
          <w:rFonts w:hint="eastAsia" w:ascii="新宋体" w:hAnsi="新宋体" w:eastAsia="新宋体" w:cs="新宋体"/>
          <w:b w:val="0"/>
          <w:bCs w:val="0"/>
          <w:color w:val="auto"/>
          <w:sz w:val="22"/>
          <w:szCs w:val="22"/>
          <w:highlight w:val="none"/>
        </w:rPr>
        <w:t>28</w:t>
      </w:r>
      <w:r>
        <w:rPr>
          <w:rFonts w:hint="eastAsia" w:ascii="新宋体" w:hAnsi="新宋体" w:eastAsia="新宋体" w:cs="新宋体"/>
          <w:b w:val="0"/>
          <w:bCs w:val="0"/>
          <w:color w:val="auto"/>
          <w:sz w:val="22"/>
          <w:szCs w:val="22"/>
          <w:highlight w:val="none"/>
        </w:rPr>
        <w:fldChar w:fldCharType="end"/>
      </w:r>
      <w:r>
        <w:rPr>
          <w:rFonts w:hint="eastAsia" w:ascii="新宋体" w:hAnsi="新宋体" w:eastAsia="新宋体" w:cs="新宋体"/>
          <w:b w:val="0"/>
          <w:bCs w:val="0"/>
          <w:smallCaps/>
          <w:color w:val="auto"/>
          <w:spacing w:val="40"/>
          <w:sz w:val="22"/>
          <w:szCs w:val="22"/>
          <w:highlight w:val="none"/>
        </w:rPr>
        <w:fldChar w:fldCharType="end"/>
      </w:r>
    </w:p>
    <w:p w14:paraId="17092402">
      <w:pPr>
        <w:pStyle w:val="26"/>
        <w:keepNext w:val="0"/>
        <w:keepLines w:val="0"/>
        <w:pageBreakBefore w:val="0"/>
        <w:widowControl w:val="0"/>
        <w:tabs>
          <w:tab w:val="right" w:leader="dot" w:pos="988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HYPERLINK \l _Toc32584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color w:val="auto"/>
          <w:sz w:val="22"/>
          <w:szCs w:val="22"/>
          <w:highlight w:val="none"/>
        </w:rPr>
        <w:t>第五部分</w:t>
      </w:r>
      <w:r>
        <w:rPr>
          <w:rFonts w:hint="eastAsia" w:ascii="新宋体" w:hAnsi="新宋体" w:eastAsia="新宋体" w:cs="新宋体"/>
          <w:b w:val="0"/>
          <w:bCs w:val="0"/>
          <w:color w:val="auto"/>
          <w:sz w:val="22"/>
          <w:szCs w:val="22"/>
          <w:highlight w:val="none"/>
          <w:lang w:val="en-US" w:eastAsia="zh-CN"/>
        </w:rPr>
        <w:t xml:space="preserve">   </w:t>
      </w:r>
      <w:r>
        <w:rPr>
          <w:rFonts w:hint="eastAsia" w:ascii="新宋体" w:hAnsi="新宋体" w:eastAsia="新宋体" w:cs="新宋体"/>
          <w:b w:val="0"/>
          <w:bCs w:val="0"/>
          <w:color w:val="auto"/>
          <w:sz w:val="22"/>
          <w:szCs w:val="22"/>
          <w:highlight w:val="none"/>
        </w:rPr>
        <w:t>采购需求</w:t>
      </w:r>
      <w:r>
        <w:rPr>
          <w:rFonts w:hint="eastAsia" w:ascii="新宋体" w:hAnsi="新宋体" w:eastAsia="新宋体" w:cs="新宋体"/>
          <w:b w:val="0"/>
          <w:bCs w:val="0"/>
          <w:color w:val="auto"/>
          <w:sz w:val="22"/>
          <w:szCs w:val="22"/>
          <w:highlight w:val="none"/>
        </w:rPr>
        <w:tab/>
      </w:r>
      <w:r>
        <w:rPr>
          <w:rFonts w:hint="eastAsia" w:ascii="新宋体" w:hAnsi="新宋体" w:eastAsia="新宋体" w:cs="新宋体"/>
          <w:b w:val="0"/>
          <w:bCs w:val="0"/>
          <w:color w:val="auto"/>
          <w:sz w:val="22"/>
          <w:szCs w:val="22"/>
          <w:highlight w:val="none"/>
        </w:rPr>
        <w:fldChar w:fldCharType="begin"/>
      </w:r>
      <w:r>
        <w:rPr>
          <w:rFonts w:hint="eastAsia" w:ascii="新宋体" w:hAnsi="新宋体" w:eastAsia="新宋体" w:cs="新宋体"/>
          <w:b w:val="0"/>
          <w:bCs w:val="0"/>
          <w:color w:val="auto"/>
          <w:sz w:val="22"/>
          <w:szCs w:val="22"/>
          <w:highlight w:val="none"/>
        </w:rPr>
        <w:instrText xml:space="preserve"> PAGEREF _Toc32584 \h </w:instrText>
      </w:r>
      <w:r>
        <w:rPr>
          <w:rFonts w:hint="eastAsia" w:ascii="新宋体" w:hAnsi="新宋体" w:eastAsia="新宋体" w:cs="新宋体"/>
          <w:b w:val="0"/>
          <w:bCs w:val="0"/>
          <w:color w:val="auto"/>
          <w:sz w:val="22"/>
          <w:szCs w:val="22"/>
          <w:highlight w:val="none"/>
        </w:rPr>
        <w:fldChar w:fldCharType="separate"/>
      </w:r>
      <w:r>
        <w:rPr>
          <w:rFonts w:hint="eastAsia" w:ascii="新宋体" w:hAnsi="新宋体" w:eastAsia="新宋体" w:cs="新宋体"/>
          <w:b w:val="0"/>
          <w:bCs w:val="0"/>
          <w:color w:val="auto"/>
          <w:sz w:val="22"/>
          <w:szCs w:val="22"/>
          <w:highlight w:val="none"/>
        </w:rPr>
        <w:t>42</w:t>
      </w:r>
      <w:r>
        <w:rPr>
          <w:rFonts w:hint="eastAsia" w:ascii="新宋体" w:hAnsi="新宋体" w:eastAsia="新宋体" w:cs="新宋体"/>
          <w:b w:val="0"/>
          <w:bCs w:val="0"/>
          <w:color w:val="auto"/>
          <w:sz w:val="22"/>
          <w:szCs w:val="22"/>
          <w:highlight w:val="none"/>
        </w:rPr>
        <w:fldChar w:fldCharType="end"/>
      </w:r>
      <w:r>
        <w:rPr>
          <w:rFonts w:hint="eastAsia" w:ascii="新宋体" w:hAnsi="新宋体" w:eastAsia="新宋体" w:cs="新宋体"/>
          <w:b w:val="0"/>
          <w:bCs w:val="0"/>
          <w:smallCaps/>
          <w:color w:val="auto"/>
          <w:spacing w:val="40"/>
          <w:sz w:val="22"/>
          <w:szCs w:val="22"/>
          <w:highlight w:val="none"/>
        </w:rPr>
        <w:fldChar w:fldCharType="end"/>
      </w:r>
    </w:p>
    <w:p w14:paraId="3B520EDB">
      <w:pPr>
        <w:pStyle w:val="26"/>
        <w:keepNext w:val="0"/>
        <w:keepLines w:val="0"/>
        <w:pageBreakBefore w:val="0"/>
        <w:widowControl w:val="0"/>
        <w:tabs>
          <w:tab w:val="right" w:leader="dot" w:pos="988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begin"/>
      </w:r>
      <w:r>
        <w:rPr>
          <w:rFonts w:hint="eastAsia" w:ascii="新宋体" w:hAnsi="新宋体" w:eastAsia="新宋体" w:cs="新宋体"/>
          <w:b w:val="0"/>
          <w:bCs w:val="0"/>
          <w:smallCaps/>
          <w:color w:val="auto"/>
          <w:spacing w:val="40"/>
          <w:sz w:val="22"/>
          <w:szCs w:val="22"/>
          <w:highlight w:val="none"/>
        </w:rPr>
        <w:instrText xml:space="preserve"> HYPERLINK \l _Toc29161 </w:instrText>
      </w:r>
      <w:r>
        <w:rPr>
          <w:rFonts w:hint="eastAsia" w:ascii="新宋体" w:hAnsi="新宋体" w:eastAsia="新宋体" w:cs="新宋体"/>
          <w:b w:val="0"/>
          <w:bCs w:val="0"/>
          <w:smallCaps/>
          <w:color w:val="auto"/>
          <w:spacing w:val="40"/>
          <w:sz w:val="22"/>
          <w:szCs w:val="22"/>
          <w:highlight w:val="none"/>
        </w:rPr>
        <w:fldChar w:fldCharType="separate"/>
      </w:r>
      <w:r>
        <w:rPr>
          <w:rFonts w:hint="eastAsia" w:ascii="新宋体" w:hAnsi="新宋体" w:eastAsia="新宋体" w:cs="新宋体"/>
          <w:b w:val="0"/>
          <w:bCs w:val="0"/>
          <w:color w:val="auto"/>
          <w:kern w:val="36"/>
          <w:sz w:val="22"/>
          <w:szCs w:val="22"/>
          <w:highlight w:val="none"/>
        </w:rPr>
        <w:t>第六部分</w:t>
      </w:r>
      <w:r>
        <w:rPr>
          <w:rFonts w:hint="eastAsia" w:ascii="新宋体" w:hAnsi="新宋体" w:eastAsia="新宋体" w:cs="新宋体"/>
          <w:b w:val="0"/>
          <w:bCs w:val="0"/>
          <w:color w:val="auto"/>
          <w:kern w:val="36"/>
          <w:sz w:val="22"/>
          <w:szCs w:val="22"/>
          <w:highlight w:val="none"/>
          <w:lang w:val="en-US" w:eastAsia="zh-CN"/>
        </w:rPr>
        <w:t xml:space="preserve">   </w:t>
      </w:r>
      <w:r>
        <w:rPr>
          <w:rFonts w:hint="eastAsia" w:ascii="新宋体" w:hAnsi="新宋体" w:eastAsia="新宋体" w:cs="新宋体"/>
          <w:b w:val="0"/>
          <w:bCs w:val="0"/>
          <w:color w:val="auto"/>
          <w:kern w:val="36"/>
          <w:sz w:val="22"/>
          <w:szCs w:val="22"/>
          <w:highlight w:val="none"/>
        </w:rPr>
        <w:t>评标原则及方法</w:t>
      </w:r>
      <w:r>
        <w:rPr>
          <w:rFonts w:hint="eastAsia" w:ascii="新宋体" w:hAnsi="新宋体" w:eastAsia="新宋体" w:cs="新宋体"/>
          <w:b w:val="0"/>
          <w:bCs w:val="0"/>
          <w:color w:val="auto"/>
          <w:sz w:val="22"/>
          <w:szCs w:val="22"/>
          <w:highlight w:val="none"/>
        </w:rPr>
        <w:tab/>
      </w:r>
      <w:r>
        <w:rPr>
          <w:rFonts w:hint="eastAsia" w:ascii="新宋体" w:hAnsi="新宋体" w:eastAsia="新宋体" w:cs="新宋体"/>
          <w:b w:val="0"/>
          <w:bCs w:val="0"/>
          <w:color w:val="auto"/>
          <w:sz w:val="22"/>
          <w:szCs w:val="22"/>
          <w:highlight w:val="none"/>
        </w:rPr>
        <w:fldChar w:fldCharType="begin"/>
      </w:r>
      <w:r>
        <w:rPr>
          <w:rFonts w:hint="eastAsia" w:ascii="新宋体" w:hAnsi="新宋体" w:eastAsia="新宋体" w:cs="新宋体"/>
          <w:b w:val="0"/>
          <w:bCs w:val="0"/>
          <w:color w:val="auto"/>
          <w:sz w:val="22"/>
          <w:szCs w:val="22"/>
          <w:highlight w:val="none"/>
        </w:rPr>
        <w:instrText xml:space="preserve"> PAGEREF _Toc29161 \h </w:instrText>
      </w:r>
      <w:r>
        <w:rPr>
          <w:rFonts w:hint="eastAsia" w:ascii="新宋体" w:hAnsi="新宋体" w:eastAsia="新宋体" w:cs="新宋体"/>
          <w:b w:val="0"/>
          <w:bCs w:val="0"/>
          <w:color w:val="auto"/>
          <w:sz w:val="22"/>
          <w:szCs w:val="22"/>
          <w:highlight w:val="none"/>
        </w:rPr>
        <w:fldChar w:fldCharType="separate"/>
      </w:r>
      <w:r>
        <w:rPr>
          <w:rFonts w:hint="eastAsia" w:ascii="新宋体" w:hAnsi="新宋体" w:eastAsia="新宋体" w:cs="新宋体"/>
          <w:b w:val="0"/>
          <w:bCs w:val="0"/>
          <w:color w:val="auto"/>
          <w:sz w:val="22"/>
          <w:szCs w:val="22"/>
          <w:highlight w:val="none"/>
        </w:rPr>
        <w:t>70</w:t>
      </w:r>
      <w:r>
        <w:rPr>
          <w:rFonts w:hint="eastAsia" w:ascii="新宋体" w:hAnsi="新宋体" w:eastAsia="新宋体" w:cs="新宋体"/>
          <w:b w:val="0"/>
          <w:bCs w:val="0"/>
          <w:color w:val="auto"/>
          <w:sz w:val="22"/>
          <w:szCs w:val="22"/>
          <w:highlight w:val="none"/>
        </w:rPr>
        <w:fldChar w:fldCharType="end"/>
      </w:r>
      <w:r>
        <w:rPr>
          <w:rFonts w:hint="eastAsia" w:ascii="新宋体" w:hAnsi="新宋体" w:eastAsia="新宋体" w:cs="新宋体"/>
          <w:b w:val="0"/>
          <w:bCs w:val="0"/>
          <w:smallCaps/>
          <w:color w:val="auto"/>
          <w:spacing w:val="40"/>
          <w:sz w:val="22"/>
          <w:szCs w:val="22"/>
          <w:highlight w:val="none"/>
        </w:rPr>
        <w:fldChar w:fldCharType="end"/>
      </w:r>
    </w:p>
    <w:p w14:paraId="3449B77A">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smallCaps/>
          <w:color w:val="auto"/>
          <w:spacing w:val="40"/>
          <w:sz w:val="22"/>
          <w:szCs w:val="22"/>
          <w:highlight w:val="none"/>
        </w:rPr>
      </w:pPr>
      <w:r>
        <w:rPr>
          <w:rFonts w:hint="eastAsia" w:ascii="新宋体" w:hAnsi="新宋体" w:eastAsia="新宋体" w:cs="新宋体"/>
          <w:b w:val="0"/>
          <w:bCs w:val="0"/>
          <w:smallCaps/>
          <w:color w:val="auto"/>
          <w:spacing w:val="40"/>
          <w:sz w:val="22"/>
          <w:szCs w:val="22"/>
          <w:highlight w:val="none"/>
        </w:rPr>
        <w:fldChar w:fldCharType="end"/>
      </w:r>
      <w:bookmarkStart w:id="1" w:name="_Toc25286"/>
      <w:bookmarkStart w:id="2" w:name="_Toc23021"/>
      <w:bookmarkStart w:id="3" w:name="_Toc549"/>
      <w:bookmarkStart w:id="4" w:name="_Toc202085286"/>
      <w:bookmarkStart w:id="5" w:name="_Toc195502576"/>
      <w:bookmarkStart w:id="6" w:name="_Toc12549"/>
      <w:bookmarkStart w:id="7" w:name="_Toc29406"/>
      <w:bookmarkStart w:id="8" w:name="_Toc4245"/>
      <w:bookmarkStart w:id="9" w:name="_Toc195502486"/>
      <w:bookmarkStart w:id="10" w:name="_Toc6791"/>
    </w:p>
    <w:p w14:paraId="74E8FBF7">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注：标“▲且加下划线”为投标的实质性要求和条件，必须作出实质性响应，否则投标无效。加粗部分为着重提醒各供应商注意。各供应商必须认真阅读和理解招标文件中的每一个条款及要求，因误读招标文件而造成的后果，采购人和采购代理机构概不负责。</w:t>
      </w:r>
    </w:p>
    <w:p w14:paraId="6231A423">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ascii="新宋体" w:hAnsi="新宋体" w:eastAsia="新宋体" w:cs="新宋体"/>
          <w:b/>
          <w:bCs/>
          <w:color w:val="auto"/>
          <w:sz w:val="22"/>
          <w:szCs w:val="22"/>
          <w:highlight w:val="none"/>
        </w:rPr>
        <w:sectPr>
          <w:footerReference r:id="rId7" w:type="default"/>
          <w:pgSz w:w="11906" w:h="16838"/>
          <w:pgMar w:top="1134" w:right="915" w:bottom="1134" w:left="1111" w:header="851" w:footer="992" w:gutter="0"/>
          <w:pgNumType w:start="1"/>
          <w:cols w:space="720" w:num="1"/>
          <w:docGrid w:linePitch="312" w:charSpace="0"/>
        </w:sectPr>
      </w:pPr>
    </w:p>
    <w:p w14:paraId="3BAD75D3">
      <w:pPr>
        <w:spacing w:line="460" w:lineRule="exact"/>
        <w:jc w:val="center"/>
        <w:outlineLvl w:val="0"/>
        <w:rPr>
          <w:rFonts w:ascii="新宋体" w:hAnsi="新宋体" w:eastAsia="新宋体" w:cs="新宋体"/>
          <w:b/>
          <w:bCs/>
          <w:color w:val="auto"/>
          <w:sz w:val="28"/>
          <w:szCs w:val="28"/>
          <w:highlight w:val="none"/>
        </w:rPr>
      </w:pPr>
      <w:bookmarkStart w:id="11" w:name="_Toc12144"/>
      <w:r>
        <w:rPr>
          <w:rFonts w:hint="eastAsia" w:ascii="新宋体" w:hAnsi="新宋体" w:eastAsia="新宋体" w:cs="新宋体"/>
          <w:b/>
          <w:bCs/>
          <w:color w:val="auto"/>
          <w:sz w:val="28"/>
          <w:szCs w:val="28"/>
          <w:highlight w:val="none"/>
        </w:rPr>
        <w:t>第一部分</w:t>
      </w:r>
      <w:r>
        <w:rPr>
          <w:rFonts w:hint="eastAsia" w:ascii="新宋体" w:hAnsi="新宋体" w:eastAsia="新宋体" w:cs="新宋体"/>
          <w:b/>
          <w:bCs/>
          <w:color w:val="auto"/>
          <w:sz w:val="28"/>
          <w:szCs w:val="28"/>
          <w:highlight w:val="none"/>
          <w:lang w:val="en-US" w:eastAsia="zh-CN"/>
        </w:rPr>
        <w:t xml:space="preserve">   </w:t>
      </w:r>
      <w:r>
        <w:rPr>
          <w:rFonts w:hint="eastAsia" w:ascii="新宋体" w:hAnsi="新宋体" w:eastAsia="新宋体" w:cs="新宋体"/>
          <w:b/>
          <w:bCs/>
          <w:color w:val="auto"/>
          <w:sz w:val="28"/>
          <w:szCs w:val="28"/>
          <w:highlight w:val="none"/>
        </w:rPr>
        <w:t>招标公告</w:t>
      </w:r>
      <w:bookmarkEnd w:id="11"/>
    </w:p>
    <w:p w14:paraId="4915CFF8">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highlight w:val="none"/>
        </w:rPr>
        <mc:AlternateContent>
          <mc:Choice Requires="wps">
            <w:drawing>
              <wp:anchor distT="0" distB="0" distL="114300" distR="114300" simplePos="0" relativeHeight="251659264" behindDoc="1" locked="0" layoutInCell="1" allowOverlap="1">
                <wp:simplePos x="0" y="0"/>
                <wp:positionH relativeFrom="column">
                  <wp:posOffset>-119380</wp:posOffset>
                </wp:positionH>
                <wp:positionV relativeFrom="paragraph">
                  <wp:posOffset>53340</wp:posOffset>
                </wp:positionV>
                <wp:extent cx="6421755" cy="854075"/>
                <wp:effectExtent l="6350" t="6350" r="10795" b="15875"/>
                <wp:wrapNone/>
                <wp:docPr id="1" name="矩形 1"/>
                <wp:cNvGraphicFramePr/>
                <a:graphic xmlns:a="http://schemas.openxmlformats.org/drawingml/2006/main">
                  <a:graphicData uri="http://schemas.microsoft.com/office/word/2010/wordprocessingShape">
                    <wps:wsp>
                      <wps:cNvSpPr/>
                      <wps:spPr>
                        <a:xfrm>
                          <a:off x="600710" y="1169670"/>
                          <a:ext cx="6421755" cy="854075"/>
                        </a:xfrm>
                        <a:prstGeom prst="rect">
                          <a:avLst/>
                        </a:prstGeom>
                        <a:noFill/>
                        <a:ln w="12700" cap="flat" cmpd="sng">
                          <a:solidFill>
                            <a:srgbClr val="000000"/>
                          </a:solidFill>
                          <a:prstDash val="solid"/>
                          <a:round/>
                          <a:headEnd type="none" w="med" len="med"/>
                          <a:tailEnd type="none" w="med" len="med"/>
                        </a:ln>
                        <a:effectLst/>
                      </wps:spPr>
                      <wps:txbx>
                        <w:txbxContent>
                          <w:p w14:paraId="6FC398D1">
                            <w:pPr>
                              <w:jc w:val="center"/>
                            </w:pPr>
                          </w:p>
                        </w:txbxContent>
                      </wps:txbx>
                      <wps:bodyPr vert="horz" wrap="square" anchor="ctr" anchorCtr="0" upright="1"/>
                    </wps:wsp>
                  </a:graphicData>
                </a:graphic>
              </wp:anchor>
            </w:drawing>
          </mc:Choice>
          <mc:Fallback>
            <w:pict>
              <v:rect id="_x0000_s1026" o:spid="_x0000_s1026" o:spt="1" style="position:absolute;left:0pt;margin-left:-9.4pt;margin-top:4.2pt;height:67.25pt;width:505.65pt;z-index:-251657216;v-text-anchor:middle;mso-width-relative:page;mso-height-relative:page;" filled="f" stroked="t" coordsize="21600,21600" o:gfxdata="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5aGQA1wAAAAkBAAAPAAAAAAAAAAEAIAAAACIAAABkcnMvZG93bnJldi54bWxQSwECFAAU&#10;AAAACACHTuJAPS+ZXSsCAABPBAAADgAAAAAAAAABACAAAAAmAQAAZHJzL2Uyb0RvYy54bWxQSwUG&#10;AAAAAAYABgBZAQAAwwUAAAAA&#10;">
                <v:fill on="f" focussize="0,0"/>
                <v:stroke weight="1pt" color="#000000" joinstyle="round"/>
                <v:imagedata o:title=""/>
                <o:lock v:ext="edit" aspectratio="f"/>
                <v:textbox>
                  <w:txbxContent>
                    <w:p w14:paraId="6FC398D1">
                      <w:pPr>
                        <w:jc w:val="center"/>
                      </w:pPr>
                    </w:p>
                  </w:txbxContent>
                </v:textbox>
              </v:rect>
            </w:pict>
          </mc:Fallback>
        </mc:AlternateContent>
      </w:r>
      <w:r>
        <w:rPr>
          <w:rFonts w:hint="eastAsia" w:ascii="新宋体" w:hAnsi="新宋体" w:eastAsia="新宋体" w:cs="新宋体"/>
          <w:b/>
          <w:bCs/>
          <w:color w:val="auto"/>
          <w:sz w:val="22"/>
          <w:szCs w:val="22"/>
          <w:highlight w:val="none"/>
        </w:rPr>
        <w:t>项目概况</w:t>
      </w:r>
    </w:p>
    <w:p w14:paraId="4C73FFDC">
      <w:p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立式加工中心</w:t>
      </w:r>
      <w:r>
        <w:rPr>
          <w:rFonts w:hint="eastAsia" w:ascii="新宋体" w:hAnsi="新宋体" w:eastAsia="新宋体" w:cs="新宋体"/>
          <w:color w:val="auto"/>
          <w:sz w:val="22"/>
          <w:szCs w:val="22"/>
          <w:highlight w:val="none"/>
        </w:rPr>
        <w:t>项目的潜在投标人应在政采云平台（https://www.zcygov.cn）获取（下载）招标文件，并于202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lang w:val="en-US" w:eastAsia="zh-CN"/>
        </w:rPr>
        <w:t>01</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23</w:t>
      </w:r>
      <w:r>
        <w:rPr>
          <w:rFonts w:hint="eastAsia" w:ascii="新宋体" w:hAnsi="新宋体" w:eastAsia="新宋体" w:cs="新宋体"/>
          <w:color w:val="auto"/>
          <w:sz w:val="22"/>
          <w:szCs w:val="22"/>
          <w:highlight w:val="none"/>
        </w:rPr>
        <w:t>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:30（北京时间）前递交（上传）投标文件。</w:t>
      </w:r>
    </w:p>
    <w:bookmarkEnd w:id="1"/>
    <w:bookmarkEnd w:id="2"/>
    <w:bookmarkEnd w:id="3"/>
    <w:bookmarkEnd w:id="4"/>
    <w:bookmarkEnd w:id="5"/>
    <w:bookmarkEnd w:id="6"/>
    <w:bookmarkEnd w:id="7"/>
    <w:bookmarkEnd w:id="8"/>
    <w:bookmarkEnd w:id="9"/>
    <w:bookmarkEnd w:id="10"/>
    <w:p w14:paraId="12FFAA39">
      <w:pPr>
        <w:numPr>
          <w:ilvl w:val="0"/>
          <w:numId w:val="0"/>
        </w:numPr>
        <w:adjustRightInd w:val="0"/>
        <w:snapToGrid w:val="0"/>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一、</w:t>
      </w:r>
      <w:r>
        <w:rPr>
          <w:rFonts w:hint="eastAsia" w:ascii="新宋体" w:hAnsi="新宋体" w:eastAsia="新宋体" w:cs="新宋体"/>
          <w:b/>
          <w:bCs/>
          <w:color w:val="auto"/>
          <w:sz w:val="22"/>
          <w:szCs w:val="22"/>
          <w:highlight w:val="none"/>
        </w:rPr>
        <w:t>项目基本情况</w:t>
      </w:r>
    </w:p>
    <w:p w14:paraId="56043E4F">
      <w:pPr>
        <w:adjustRightInd w:val="0"/>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WZLCZB（L）-2025-01001</w:t>
      </w:r>
    </w:p>
    <w:p w14:paraId="5B29A472">
      <w:pPr>
        <w:adjustRightInd w:val="0"/>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立式加工中心</w:t>
      </w:r>
    </w:p>
    <w:p w14:paraId="6CCCAA6E">
      <w:pPr>
        <w:adjustRightInd w:val="0"/>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920000</w:t>
      </w:r>
    </w:p>
    <w:p w14:paraId="6E33EEB7">
      <w:pPr>
        <w:adjustRightInd w:val="0"/>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920000</w:t>
      </w:r>
    </w:p>
    <w:p w14:paraId="50B269D8">
      <w:p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2408068B">
      <w:pPr>
        <w:adjustRightInd w:val="0"/>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立式加工中心</w:t>
      </w:r>
    </w:p>
    <w:p w14:paraId="475D1A28">
      <w:p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数量:1</w:t>
      </w:r>
    </w:p>
    <w:p w14:paraId="170AB829">
      <w:pPr>
        <w:adjustRightInd w:val="0"/>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920000</w:t>
      </w:r>
    </w:p>
    <w:p w14:paraId="1979C98F">
      <w:p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简要规格描述或项目基本概况介绍、用途：具体详见招标文件。</w:t>
      </w:r>
    </w:p>
    <w:p w14:paraId="0D1DEC3E">
      <w:pPr>
        <w:adjustRightInd w:val="0"/>
        <w:snapToGrid w:val="0"/>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备注：/</w:t>
      </w:r>
    </w:p>
    <w:p w14:paraId="4449CF7C">
      <w:p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合同履约期限：标项1，详见招标文件</w:t>
      </w:r>
    </w:p>
    <w:p w14:paraId="0E2321B4">
      <w:p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本项目（是）接受联合体投标。</w:t>
      </w:r>
    </w:p>
    <w:p w14:paraId="66D0D2C0">
      <w:pPr>
        <w:numPr>
          <w:ilvl w:val="0"/>
          <w:numId w:val="0"/>
        </w:numPr>
        <w:adjustRightInd w:val="0"/>
        <w:snapToGrid w:val="0"/>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rPr>
        <w:t>申请人的资格要求：</w:t>
      </w:r>
    </w:p>
    <w:p w14:paraId="5FC4B908">
      <w:pPr>
        <w:numPr>
          <w:ilvl w:val="0"/>
          <w:numId w:val="0"/>
        </w:num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1CCCC99D">
      <w:pPr>
        <w:numPr>
          <w:ilvl w:val="0"/>
          <w:numId w:val="0"/>
        </w:numPr>
        <w:adjustRightInd w:val="0"/>
        <w:snapToGrid w:val="0"/>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落实政府采购政策需满足的资格要求：专门面向中小企业采购项目</w:t>
      </w:r>
    </w:p>
    <w:p w14:paraId="0278B5FF">
      <w:pPr>
        <w:numPr>
          <w:ilvl w:val="0"/>
          <w:numId w:val="0"/>
        </w:numPr>
        <w:adjustRightInd w:val="0"/>
        <w:snapToGrid w:val="0"/>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本项目的特定资格要求：无</w:t>
      </w:r>
    </w:p>
    <w:p w14:paraId="619F648A">
      <w:pPr>
        <w:numPr>
          <w:ilvl w:val="0"/>
          <w:numId w:val="0"/>
        </w:numPr>
        <w:adjustRightInd w:val="0"/>
        <w:snapToGrid w:val="0"/>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三、</w:t>
      </w:r>
      <w:r>
        <w:rPr>
          <w:rFonts w:hint="eastAsia" w:ascii="新宋体" w:hAnsi="新宋体" w:eastAsia="新宋体" w:cs="新宋体"/>
          <w:b/>
          <w:bCs/>
          <w:color w:val="auto"/>
          <w:sz w:val="22"/>
          <w:szCs w:val="22"/>
          <w:highlight w:val="none"/>
        </w:rPr>
        <w:t>获取招标文件</w:t>
      </w:r>
    </w:p>
    <w:p w14:paraId="7204F2BB">
      <w:p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至202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lang w:val="en-US" w:eastAsia="zh-CN"/>
        </w:rPr>
        <w:t>01</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23</w:t>
      </w:r>
      <w:r>
        <w:rPr>
          <w:rFonts w:hint="eastAsia" w:ascii="新宋体" w:hAnsi="新宋体" w:eastAsia="新宋体" w:cs="新宋体"/>
          <w:color w:val="auto"/>
          <w:sz w:val="22"/>
          <w:szCs w:val="22"/>
          <w:highlight w:val="none"/>
        </w:rPr>
        <w:t>日，每天上午00:00至12:00，下午12:00至23:59（北京时间，线上获取法定节假日均可，线下获取文件法定节假日除外）</w:t>
      </w:r>
    </w:p>
    <w:p w14:paraId="233B2D11">
      <w:p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地点（网址）：浙江政府采购网（https://zfcg.czt.zj.gov.cn/）</w:t>
      </w:r>
    </w:p>
    <w:p w14:paraId="0C76D2C3">
      <w:p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方式：供应商登录政采云平台https://www.zcygov.cn/在线申请获取采购文件（进入“项目采购”应用，在获取采购文件菜单中选择项目，申请获取采购文件）。</w:t>
      </w:r>
    </w:p>
    <w:p w14:paraId="3478D5C7">
      <w:p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14:paraId="6D8F157C">
      <w:pPr>
        <w:numPr>
          <w:ilvl w:val="0"/>
          <w:numId w:val="0"/>
        </w:numPr>
        <w:adjustRightInd w:val="0"/>
        <w:snapToGrid w:val="0"/>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四、</w:t>
      </w:r>
      <w:r>
        <w:rPr>
          <w:rFonts w:hint="eastAsia" w:ascii="新宋体" w:hAnsi="新宋体" w:eastAsia="新宋体" w:cs="新宋体"/>
          <w:b/>
          <w:bCs/>
          <w:color w:val="auto"/>
          <w:sz w:val="22"/>
          <w:szCs w:val="22"/>
          <w:highlight w:val="none"/>
        </w:rPr>
        <w:t>提交投标文件截止时间、开标时间和地点</w:t>
      </w:r>
    </w:p>
    <w:p w14:paraId="14C8A976">
      <w:p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lang w:val="en-US" w:eastAsia="zh-CN"/>
        </w:rPr>
        <w:t>01</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23</w:t>
      </w:r>
      <w:r>
        <w:rPr>
          <w:rFonts w:hint="eastAsia" w:ascii="新宋体" w:hAnsi="新宋体" w:eastAsia="新宋体" w:cs="新宋体"/>
          <w:color w:val="auto"/>
          <w:sz w:val="22"/>
          <w:szCs w:val="22"/>
          <w:highlight w:val="none"/>
        </w:rPr>
        <w:t>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:30（北京时间）</w:t>
      </w:r>
    </w:p>
    <w:p w14:paraId="0342A32A">
      <w:p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w:t>
      </w:r>
      <w:r>
        <w:rPr>
          <w:rFonts w:hint="eastAsia" w:ascii="新宋体" w:hAnsi="新宋体" w:eastAsia="新宋体" w:cs="新宋体"/>
          <w:color w:val="auto"/>
          <w:sz w:val="22"/>
          <w:szCs w:val="22"/>
          <w:highlight w:val="none"/>
          <w:lang w:val="en-US" w:eastAsia="zh-CN"/>
        </w:rPr>
        <w:t>政采云</w:t>
      </w:r>
      <w:r>
        <w:rPr>
          <w:rFonts w:hint="eastAsia" w:ascii="新宋体" w:hAnsi="新宋体" w:eastAsia="新宋体" w:cs="新宋体"/>
          <w:color w:val="auto"/>
          <w:sz w:val="22"/>
          <w:szCs w:val="22"/>
          <w:highlight w:val="none"/>
        </w:rPr>
        <w:t>投标客户端投标</w:t>
      </w:r>
    </w:p>
    <w:p w14:paraId="12096DAD">
      <w:p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开标时间：202</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lang w:val="en-US" w:eastAsia="zh-CN"/>
        </w:rPr>
        <w:t>01</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23</w:t>
      </w:r>
      <w:r>
        <w:rPr>
          <w:rFonts w:hint="eastAsia" w:ascii="新宋体" w:hAnsi="新宋体" w:eastAsia="新宋体" w:cs="新宋体"/>
          <w:color w:val="auto"/>
          <w:sz w:val="22"/>
          <w:szCs w:val="22"/>
          <w:highlight w:val="none"/>
        </w:rPr>
        <w:t>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:30（北京时间）</w:t>
      </w:r>
    </w:p>
    <w:p w14:paraId="432C889B">
      <w:pPr>
        <w:adjustRightInd w:val="0"/>
        <w:snapToGrid w:val="0"/>
        <w:spacing w:line="460" w:lineRule="exact"/>
        <w:ind w:firstLine="440" w:firstLineChars="200"/>
        <w:rPr>
          <w:rFonts w:ascii="新宋体" w:hAnsi="新宋体" w:eastAsia="新宋体" w:cs="新宋体"/>
          <w:smallCaps w:val="0"/>
          <w:color w:val="auto"/>
          <w:sz w:val="22"/>
          <w:szCs w:val="22"/>
          <w:highlight w:val="none"/>
        </w:rPr>
      </w:pPr>
      <w:r>
        <w:rPr>
          <w:rFonts w:hint="eastAsia" w:ascii="新宋体" w:hAnsi="新宋体" w:eastAsia="新宋体" w:cs="新宋体"/>
          <w:smallCaps w:val="0"/>
          <w:color w:val="auto"/>
          <w:sz w:val="22"/>
          <w:szCs w:val="22"/>
          <w:highlight w:val="none"/>
        </w:rPr>
        <w:t>开标地点（网址）：</w:t>
      </w:r>
      <w:r>
        <w:rPr>
          <w:rFonts w:hint="eastAsia" w:ascii="新宋体" w:hAnsi="新宋体" w:eastAsia="新宋体" w:cs="新宋体"/>
          <w:color w:val="auto"/>
          <w:sz w:val="22"/>
          <w:szCs w:val="22"/>
          <w:highlight w:val="none"/>
        </w:rPr>
        <w:t>政府采购云平台：http：//zfcg.czt.zj.gov.cn</w:t>
      </w:r>
    </w:p>
    <w:p w14:paraId="7BBB330E">
      <w:pPr>
        <w:adjustRightInd w:val="0"/>
        <w:snapToGrid w:val="0"/>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五、公告期限</w:t>
      </w:r>
    </w:p>
    <w:p w14:paraId="5EA4BA38">
      <w:pPr>
        <w:adjustRightInd w:val="0"/>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473AE7F9">
      <w:pPr>
        <w:adjustRightInd w:val="0"/>
        <w:snapToGrid w:val="0"/>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504BD251">
      <w:pPr>
        <w:adjustRightInd w:val="0"/>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C01C8F4">
      <w:pPr>
        <w:adjustRightInd w:val="0"/>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523DD75B">
      <w:pPr>
        <w:adjustRightInd w:val="0"/>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14:paraId="08011EC8">
      <w:pPr>
        <w:adjustRightInd w:val="0"/>
        <w:snapToGrid w:val="0"/>
        <w:spacing w:line="46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七、对本次采购提出询问、质疑、投诉，请按以下方式联系</w:t>
      </w:r>
    </w:p>
    <w:p w14:paraId="7750DBD9">
      <w:pPr>
        <w:adjustRightInd w:val="0"/>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6A8D4682">
      <w:pPr>
        <w:adjustRightInd w:val="0"/>
        <w:snapToGrid w:val="0"/>
        <w:spacing w:line="46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称：温州职业技术学院</w:t>
      </w:r>
    </w:p>
    <w:p w14:paraId="1998FD90">
      <w:pPr>
        <w:adjustRightInd w:val="0"/>
        <w:snapToGrid w:val="0"/>
        <w:spacing w:line="46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址：温州职业技术学院茶山校园</w:t>
      </w:r>
    </w:p>
    <w:p w14:paraId="24717C46">
      <w:pPr>
        <w:adjustRightInd w:val="0"/>
        <w:snapToGrid w:val="0"/>
        <w:spacing w:line="46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真：/</w:t>
      </w:r>
    </w:p>
    <w:p w14:paraId="56D9C8F1">
      <w:pPr>
        <w:adjustRightInd w:val="0"/>
        <w:snapToGrid w:val="0"/>
        <w:spacing w:line="46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val="en-US" w:eastAsia="zh-CN"/>
        </w:rPr>
        <w:t>叶</w:t>
      </w:r>
      <w:r>
        <w:rPr>
          <w:rFonts w:hint="eastAsia" w:ascii="新宋体" w:hAnsi="新宋体" w:eastAsia="新宋体" w:cs="新宋体"/>
          <w:color w:val="auto"/>
          <w:sz w:val="22"/>
          <w:szCs w:val="22"/>
          <w:highlight w:val="none"/>
        </w:rPr>
        <w:t>老师</w:t>
      </w:r>
    </w:p>
    <w:p w14:paraId="156B1AA3">
      <w:pPr>
        <w:adjustRightInd w:val="0"/>
        <w:snapToGrid w:val="0"/>
        <w:spacing w:line="46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项目联系方式（询问）：0577-86680027</w:t>
      </w:r>
    </w:p>
    <w:p w14:paraId="1D58CBC3">
      <w:pPr>
        <w:adjustRightInd w:val="0"/>
        <w:snapToGrid w:val="0"/>
        <w:spacing w:line="46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质疑联系人：高老师</w:t>
      </w:r>
    </w:p>
    <w:p w14:paraId="3CEDCF5F">
      <w:pPr>
        <w:adjustRightInd w:val="0"/>
        <w:snapToGrid w:val="0"/>
        <w:spacing w:line="46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质疑联系方式：0577-86680027</w:t>
      </w:r>
    </w:p>
    <w:p w14:paraId="1935677C">
      <w:pPr>
        <w:adjustRightInd w:val="0"/>
        <w:snapToGrid w:val="0"/>
        <w:spacing w:line="46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39F32ECE">
      <w:pPr>
        <w:adjustRightInd w:val="0"/>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称：温州历程招标有限公司</w:t>
      </w:r>
    </w:p>
    <w:p w14:paraId="40610823">
      <w:pPr>
        <w:adjustRightInd w:val="0"/>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址：温州市鹿城区勤民路鹿城壹号18幢803室</w:t>
      </w:r>
    </w:p>
    <w:p w14:paraId="02F1FCE8">
      <w:pPr>
        <w:adjustRightInd w:val="0"/>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w:t>
      </w:r>
    </w:p>
    <w:p w14:paraId="53FB2431">
      <w:pPr>
        <w:adjustRightInd w:val="0"/>
        <w:snapToGrid w:val="0"/>
        <w:spacing w:line="4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项目联系方式（询问）：0577-89887322、13757727199 </w:t>
      </w:r>
    </w:p>
    <w:p w14:paraId="1EB86CCD">
      <w:pPr>
        <w:adjustRightInd w:val="0"/>
        <w:snapToGrid w:val="0"/>
        <w:spacing w:line="46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质疑联系人：肖忠文 </w:t>
      </w:r>
    </w:p>
    <w:p w14:paraId="57551EB2">
      <w:pPr>
        <w:adjustRightInd w:val="0"/>
        <w:snapToGrid w:val="0"/>
        <w:spacing w:line="460" w:lineRule="exact"/>
        <w:ind w:firstLine="440" w:firstLineChars="200"/>
        <w:jc w:val="left"/>
        <w:rPr>
          <w:rFonts w:ascii="新宋体" w:hAnsi="新宋体" w:eastAsia="新宋体" w:cs="新宋体"/>
          <w:color w:val="auto"/>
          <w:highlight w:val="none"/>
        </w:rPr>
      </w:pPr>
      <w:r>
        <w:rPr>
          <w:rFonts w:hint="eastAsia" w:ascii="宋体" w:hAnsi="宋体" w:cs="宋体"/>
          <w:color w:val="auto"/>
          <w:sz w:val="22"/>
          <w:highlight w:val="none"/>
        </w:rPr>
        <w:t>质疑联系方式：13757727199</w:t>
      </w:r>
    </w:p>
    <w:p w14:paraId="5033B0E6">
      <w:pPr>
        <w:adjustRightInd w:val="0"/>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4D8B505F">
      <w:pPr>
        <w:adjustRightInd w:val="0"/>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称：温州市财政局政府采购监管处</w:t>
      </w:r>
    </w:p>
    <w:p w14:paraId="13F81BAF">
      <w:pPr>
        <w:adjustRightInd w:val="0"/>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址：温州市鹿城区绣山路299号</w:t>
      </w:r>
    </w:p>
    <w:p w14:paraId="1AF1CAC1">
      <w:pPr>
        <w:adjustRightInd w:val="0"/>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联系人：项先生、蔡女士</w:t>
      </w:r>
    </w:p>
    <w:p w14:paraId="5FF426D0">
      <w:pPr>
        <w:adjustRightInd w:val="0"/>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监督投诉电话：0577-88532725、88521948</w:t>
      </w:r>
    </w:p>
    <w:p w14:paraId="36CC432B">
      <w:pPr>
        <w:spacing w:line="460" w:lineRule="exact"/>
        <w:ind w:right="440"/>
        <w:jc w:val="right"/>
        <w:rPr>
          <w:rFonts w:ascii="新宋体" w:hAnsi="新宋体" w:eastAsia="新宋体" w:cs="新宋体"/>
          <w:color w:val="auto"/>
          <w:sz w:val="22"/>
          <w:szCs w:val="22"/>
          <w:highlight w:val="none"/>
        </w:rPr>
      </w:pPr>
    </w:p>
    <w:p w14:paraId="2D18D748">
      <w:pPr>
        <w:widowControl/>
        <w:spacing w:line="460" w:lineRule="exact"/>
        <w:jc w:val="left"/>
        <w:rPr>
          <w:rFonts w:ascii="宋体" w:hAnsi="宋体" w:cs="宋体"/>
          <w:color w:val="auto"/>
          <w:sz w:val="21"/>
          <w:szCs w:val="21"/>
          <w:highlight w:val="none"/>
        </w:rPr>
      </w:pPr>
      <w:r>
        <w:rPr>
          <w:rFonts w:hint="eastAsia" w:ascii="宋体" w:hAnsi="宋体" w:cs="宋体"/>
          <w:color w:val="auto"/>
          <w:kern w:val="0"/>
          <w:sz w:val="21"/>
          <w:szCs w:val="21"/>
          <w:highlight w:val="none"/>
          <w:lang w:bidi="ar"/>
        </w:rPr>
        <w:t>若对项目采购电子交易系统操作有疑问，可登录政采云（https://www.zcygov.cn/），点击右侧咨询小采，获取采小蜜智能服务管家帮助，或拨打政采云服务热线95763获取热线服务帮助。       </w:t>
      </w:r>
    </w:p>
    <w:p w14:paraId="113F593B">
      <w:pPr>
        <w:widowControl/>
        <w:spacing w:line="460" w:lineRule="exact"/>
        <w:jc w:val="left"/>
        <w:rPr>
          <w:rFonts w:ascii="宋体" w:hAnsi="宋体" w:cs="宋体"/>
          <w:color w:val="auto"/>
          <w:sz w:val="21"/>
          <w:szCs w:val="21"/>
          <w:highlight w:val="none"/>
        </w:rPr>
      </w:pPr>
      <w:r>
        <w:rPr>
          <w:rFonts w:hint="eastAsia" w:ascii="宋体" w:hAnsi="宋体" w:cs="宋体"/>
          <w:color w:val="auto"/>
          <w:kern w:val="0"/>
          <w:sz w:val="21"/>
          <w:szCs w:val="21"/>
          <w:highlight w:val="none"/>
          <w:lang w:bidi="ar"/>
        </w:rPr>
        <w:t>CA问题联系电话（人工）：汇信CA 400-888-4636；天谷CA 400-087-8198。</w:t>
      </w:r>
    </w:p>
    <w:p w14:paraId="09C70764">
      <w:pPr>
        <w:pStyle w:val="4"/>
        <w:spacing w:line="460" w:lineRule="exact"/>
        <w:jc w:val="center"/>
        <w:rPr>
          <w:rFonts w:ascii="新宋体" w:hAnsi="新宋体" w:eastAsia="新宋体" w:cs="新宋体"/>
          <w:color w:val="auto"/>
          <w:sz w:val="36"/>
          <w:szCs w:val="36"/>
          <w:highlight w:val="none"/>
        </w:rPr>
      </w:pPr>
      <w:bookmarkStart w:id="12" w:name="_Toc195502577"/>
      <w:bookmarkStart w:id="13" w:name="_Toc195502487"/>
      <w:bookmarkStart w:id="14" w:name="_Toc202085287"/>
      <w:r>
        <w:rPr>
          <w:rFonts w:hint="eastAsia" w:ascii="新宋体" w:hAnsi="新宋体" w:eastAsia="新宋体" w:cs="新宋体"/>
          <w:color w:val="auto"/>
          <w:sz w:val="36"/>
          <w:szCs w:val="36"/>
          <w:highlight w:val="none"/>
        </w:rPr>
        <w:br w:type="page"/>
      </w:r>
      <w:bookmarkStart w:id="15" w:name="_Toc15185"/>
      <w:r>
        <w:rPr>
          <w:rFonts w:hint="eastAsia" w:ascii="新宋体" w:hAnsi="新宋体" w:eastAsia="新宋体" w:cs="新宋体"/>
          <w:color w:val="auto"/>
          <w:sz w:val="36"/>
          <w:szCs w:val="36"/>
          <w:highlight w:val="none"/>
        </w:rPr>
        <w:t>第二部分</w:t>
      </w:r>
      <w:r>
        <w:rPr>
          <w:rFonts w:hint="eastAsia" w:ascii="新宋体" w:hAnsi="新宋体" w:eastAsia="新宋体" w:cs="新宋体"/>
          <w:color w:val="auto"/>
          <w:sz w:val="36"/>
          <w:szCs w:val="36"/>
          <w:highlight w:val="none"/>
          <w:lang w:val="en-US" w:eastAsia="zh-CN"/>
        </w:rPr>
        <w:t xml:space="preserve">   </w:t>
      </w:r>
      <w:r>
        <w:rPr>
          <w:rFonts w:hint="eastAsia" w:ascii="新宋体" w:hAnsi="新宋体" w:eastAsia="新宋体" w:cs="新宋体"/>
          <w:color w:val="auto"/>
          <w:sz w:val="36"/>
          <w:szCs w:val="36"/>
          <w:highlight w:val="none"/>
        </w:rPr>
        <w:t>供应商须知</w:t>
      </w:r>
      <w:bookmarkEnd w:id="12"/>
      <w:bookmarkEnd w:id="13"/>
      <w:bookmarkEnd w:id="14"/>
      <w:bookmarkEnd w:id="15"/>
    </w:p>
    <w:p w14:paraId="3CBCFA65">
      <w:pPr>
        <w:pStyle w:val="5"/>
        <w:spacing w:line="460" w:lineRule="exact"/>
        <w:jc w:val="center"/>
        <w:rPr>
          <w:rFonts w:ascii="新宋体" w:hAnsi="新宋体" w:eastAsia="新宋体" w:cs="新宋体"/>
          <w:color w:val="auto"/>
          <w:sz w:val="28"/>
          <w:szCs w:val="28"/>
          <w:highlight w:val="none"/>
        </w:rPr>
      </w:pPr>
      <w:bookmarkStart w:id="16" w:name="_Toc486600281"/>
      <w:bookmarkStart w:id="17" w:name="_Toc15454"/>
      <w:bookmarkStart w:id="18" w:name="_Toc525993250"/>
      <w:r>
        <w:rPr>
          <w:rFonts w:hint="eastAsia" w:ascii="新宋体" w:hAnsi="新宋体" w:eastAsia="新宋体" w:cs="新宋体"/>
          <w:color w:val="auto"/>
          <w:sz w:val="28"/>
          <w:szCs w:val="28"/>
          <w:highlight w:val="none"/>
        </w:rPr>
        <w:t>供应商须知前附表</w:t>
      </w:r>
      <w:bookmarkEnd w:id="16"/>
      <w:bookmarkEnd w:id="17"/>
      <w:bookmarkEnd w:id="18"/>
    </w:p>
    <w:tbl>
      <w:tblPr>
        <w:tblStyle w:val="39"/>
        <w:tblW w:w="9572" w:type="dxa"/>
        <w:jc w:val="center"/>
        <w:tblLayout w:type="fixed"/>
        <w:tblCellMar>
          <w:top w:w="0" w:type="dxa"/>
          <w:left w:w="108" w:type="dxa"/>
          <w:bottom w:w="0" w:type="dxa"/>
          <w:right w:w="108" w:type="dxa"/>
        </w:tblCellMar>
      </w:tblPr>
      <w:tblGrid>
        <w:gridCol w:w="722"/>
        <w:gridCol w:w="1766"/>
        <w:gridCol w:w="7084"/>
      </w:tblGrid>
      <w:tr w14:paraId="741BDF57">
        <w:tblPrEx>
          <w:tblCellMar>
            <w:top w:w="0" w:type="dxa"/>
            <w:left w:w="108" w:type="dxa"/>
            <w:bottom w:w="0" w:type="dxa"/>
            <w:right w:w="108" w:type="dxa"/>
          </w:tblCellMar>
        </w:tblPrEx>
        <w:trPr>
          <w:trHeight w:val="14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20C16C70">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42972C40">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条款名称</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7AF09444">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编列内容</w:t>
            </w:r>
          </w:p>
        </w:tc>
      </w:tr>
      <w:tr w14:paraId="7EA43D8D">
        <w:tblPrEx>
          <w:tblCellMar>
            <w:top w:w="0" w:type="dxa"/>
            <w:left w:w="108" w:type="dxa"/>
            <w:bottom w:w="0" w:type="dxa"/>
            <w:right w:w="108" w:type="dxa"/>
          </w:tblCellMar>
        </w:tblPrEx>
        <w:trPr>
          <w:trHeight w:val="315"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147296BF">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0DE6283C">
            <w:pPr>
              <w:autoSpaceDE w:val="0"/>
              <w:autoSpaceDN w:val="0"/>
              <w:adjustRightInd w:val="0"/>
              <w:spacing w:line="460" w:lineRule="exac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采购人</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0ADDDF2D">
            <w:pPr>
              <w:autoSpaceDE w:val="0"/>
              <w:autoSpaceDN w:val="0"/>
              <w:adjustRightInd w:val="0"/>
              <w:spacing w:line="460" w:lineRule="exact"/>
              <w:jc w:val="left"/>
              <w:rPr>
                <w:rFonts w:ascii="新宋体" w:hAnsi="新宋体" w:eastAsia="新宋体" w:cs="新宋体"/>
                <w:color w:val="auto"/>
                <w:sz w:val="22"/>
                <w:szCs w:val="22"/>
                <w:highlight w:val="none"/>
                <w:lang w:val="zh-CN"/>
              </w:rPr>
            </w:pPr>
            <w:r>
              <w:rPr>
                <w:rFonts w:hint="eastAsia" w:ascii="新宋体" w:hAnsi="新宋体" w:eastAsia="新宋体" w:cs="新宋体"/>
                <w:color w:val="auto"/>
                <w:kern w:val="0"/>
                <w:sz w:val="22"/>
                <w:szCs w:val="22"/>
                <w:highlight w:val="none"/>
                <w:lang w:val="zh-CN"/>
              </w:rPr>
              <w:t>温州职业技术学院</w:t>
            </w:r>
          </w:p>
        </w:tc>
      </w:tr>
      <w:tr w14:paraId="1027779A">
        <w:tblPrEx>
          <w:tblCellMar>
            <w:top w:w="0" w:type="dxa"/>
            <w:left w:w="108" w:type="dxa"/>
            <w:bottom w:w="0" w:type="dxa"/>
            <w:right w:w="108" w:type="dxa"/>
          </w:tblCellMar>
        </w:tblPrEx>
        <w:trPr>
          <w:trHeight w:val="195"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75C8B12F">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2FA06B6">
            <w:pPr>
              <w:autoSpaceDE w:val="0"/>
              <w:autoSpaceDN w:val="0"/>
              <w:adjustRightInd w:val="0"/>
              <w:spacing w:line="460" w:lineRule="exac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采购代理机构</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31288DEF">
            <w:pPr>
              <w:spacing w:line="46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温州历程招标有限公司</w:t>
            </w:r>
          </w:p>
        </w:tc>
      </w:tr>
      <w:tr w14:paraId="2D37CE00">
        <w:tblPrEx>
          <w:tblCellMar>
            <w:top w:w="0" w:type="dxa"/>
            <w:left w:w="108" w:type="dxa"/>
            <w:bottom w:w="0" w:type="dxa"/>
            <w:right w:w="108" w:type="dxa"/>
          </w:tblCellMar>
        </w:tblPrEx>
        <w:trPr>
          <w:trHeight w:val="36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3FADEDE">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4DD67618">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56A23544">
            <w:pPr>
              <w:autoSpaceDE w:val="0"/>
              <w:autoSpaceDN w:val="0"/>
              <w:adjustRightInd w:val="0"/>
              <w:spacing w:line="46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项目名称：</w:t>
            </w:r>
            <w:r>
              <w:rPr>
                <w:rFonts w:hint="eastAsia" w:ascii="新宋体" w:hAnsi="新宋体" w:eastAsia="新宋体" w:cs="新宋体"/>
                <w:color w:val="auto"/>
                <w:kern w:val="0"/>
                <w:sz w:val="22"/>
                <w:szCs w:val="22"/>
                <w:highlight w:val="none"/>
                <w:lang w:val="zh-CN"/>
              </w:rPr>
              <w:t>立式加工中心</w:t>
            </w:r>
          </w:p>
          <w:p w14:paraId="625C5696">
            <w:pPr>
              <w:autoSpaceDE w:val="0"/>
              <w:autoSpaceDN w:val="0"/>
              <w:adjustRightInd w:val="0"/>
              <w:spacing w:line="46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项目编号：WZLCZB（L）-2025-01001</w:t>
            </w:r>
          </w:p>
        </w:tc>
      </w:tr>
      <w:tr w14:paraId="44672DFC">
        <w:tblPrEx>
          <w:tblCellMar>
            <w:top w:w="0" w:type="dxa"/>
            <w:left w:w="108" w:type="dxa"/>
            <w:bottom w:w="0" w:type="dxa"/>
            <w:right w:w="108" w:type="dxa"/>
          </w:tblCellMar>
        </w:tblPrEx>
        <w:trPr>
          <w:trHeight w:val="5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16F7D2CB">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306A3200">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预算金额</w:t>
            </w:r>
            <w:r>
              <w:rPr>
                <w:rFonts w:hint="eastAsia" w:ascii="新宋体" w:hAnsi="新宋体" w:eastAsia="新宋体" w:cs="新宋体"/>
                <w:color w:val="auto"/>
                <w:kern w:val="0"/>
                <w:sz w:val="22"/>
                <w:szCs w:val="22"/>
                <w:highlight w:val="none"/>
              </w:rPr>
              <w:t>及资金来源</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09106063">
            <w:pPr>
              <w:autoSpaceDE w:val="0"/>
              <w:autoSpaceDN w:val="0"/>
              <w:adjustRightInd w:val="0"/>
              <w:spacing w:line="460" w:lineRule="exact"/>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▲预算金额：</w:t>
            </w:r>
            <w:r>
              <w:rPr>
                <w:rFonts w:hint="eastAsia" w:ascii="新宋体" w:hAnsi="新宋体" w:eastAsia="新宋体" w:cs="新宋体"/>
                <w:color w:val="auto"/>
                <w:sz w:val="22"/>
                <w:szCs w:val="22"/>
                <w:highlight w:val="none"/>
                <w:u w:val="single"/>
                <w:lang w:eastAsia="zh-CN"/>
              </w:rPr>
              <w:t>920000</w:t>
            </w:r>
            <w:r>
              <w:rPr>
                <w:rFonts w:hint="eastAsia" w:ascii="新宋体" w:hAnsi="新宋体" w:eastAsia="新宋体" w:cs="新宋体"/>
                <w:color w:val="auto"/>
                <w:sz w:val="22"/>
                <w:szCs w:val="22"/>
                <w:highlight w:val="none"/>
                <w:u w:val="single"/>
              </w:rPr>
              <w:t>元。报价超过预算金额的投标无效。</w:t>
            </w:r>
          </w:p>
          <w:p w14:paraId="381FAAC0">
            <w:pPr>
              <w:autoSpaceDE w:val="0"/>
              <w:autoSpaceDN w:val="0"/>
              <w:adjustRightInd w:val="0"/>
              <w:spacing w:line="46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采购资金来源：财政拨款。</w:t>
            </w:r>
          </w:p>
        </w:tc>
      </w:tr>
      <w:tr w14:paraId="02AD4DD4">
        <w:tblPrEx>
          <w:tblCellMar>
            <w:top w:w="0" w:type="dxa"/>
            <w:left w:w="108" w:type="dxa"/>
            <w:bottom w:w="0" w:type="dxa"/>
            <w:right w:w="108" w:type="dxa"/>
          </w:tblCellMar>
        </w:tblPrEx>
        <w:trPr>
          <w:trHeight w:val="9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1405ECC2">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29DB7DAF">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采购需求</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5E482262">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详见第五部分</w:t>
            </w:r>
          </w:p>
        </w:tc>
      </w:tr>
      <w:tr w14:paraId="3CCB5C8F">
        <w:tblPrEx>
          <w:tblCellMar>
            <w:top w:w="0" w:type="dxa"/>
            <w:left w:w="108" w:type="dxa"/>
            <w:bottom w:w="0" w:type="dxa"/>
            <w:right w:w="108" w:type="dxa"/>
          </w:tblCellMar>
        </w:tblPrEx>
        <w:trPr>
          <w:trHeight w:val="32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DB25DE6">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89953CC">
            <w:pPr>
              <w:autoSpaceDE w:val="0"/>
              <w:autoSpaceDN w:val="0"/>
              <w:adjustRightInd w:val="0"/>
              <w:spacing w:line="460" w:lineRule="exac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投标报价</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0DB02CAC">
            <w:pPr>
              <w:autoSpaceDE w:val="0"/>
              <w:autoSpaceDN w:val="0"/>
              <w:adjustRightInd w:val="0"/>
              <w:spacing w:line="46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1.投标报价是指一次性报出不得更改的价格；</w:t>
            </w:r>
          </w:p>
          <w:p w14:paraId="395697B6">
            <w:pPr>
              <w:autoSpaceDE w:val="0"/>
              <w:autoSpaceDN w:val="0"/>
              <w:adjustRightInd w:val="0"/>
              <w:spacing w:line="46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w:t>
            </w:r>
            <w:r>
              <w:rPr>
                <w:rFonts w:hint="eastAsia" w:ascii="新宋体" w:hAnsi="新宋体" w:eastAsia="新宋体" w:cs="新宋体"/>
                <w:b/>
                <w:color w:val="auto"/>
                <w:sz w:val="22"/>
                <w:szCs w:val="22"/>
                <w:highlight w:val="none"/>
              </w:rPr>
              <w:t>采用人民币报价。</w:t>
            </w:r>
          </w:p>
        </w:tc>
      </w:tr>
      <w:tr w14:paraId="6777246E">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77EEB4E">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A66F40C">
            <w:pPr>
              <w:autoSpaceDE w:val="0"/>
              <w:autoSpaceDN w:val="0"/>
              <w:adjustRightInd w:val="0"/>
              <w:spacing w:line="460" w:lineRule="exact"/>
              <w:jc w:val="center"/>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投标费用</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5AA8D4D3">
            <w:pPr>
              <w:autoSpaceDE w:val="0"/>
              <w:autoSpaceDN w:val="0"/>
              <w:adjustRightInd w:val="0"/>
              <w:spacing w:line="46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不论投标结果如何，供应商均应自行承担所有与投标有关的全部费用</w:t>
            </w:r>
          </w:p>
        </w:tc>
      </w:tr>
      <w:tr w14:paraId="55754B21">
        <w:tblPrEx>
          <w:tblCellMar>
            <w:top w:w="0" w:type="dxa"/>
            <w:left w:w="108" w:type="dxa"/>
            <w:bottom w:w="0" w:type="dxa"/>
            <w:right w:w="108" w:type="dxa"/>
          </w:tblCellMar>
        </w:tblPrEx>
        <w:trPr>
          <w:trHeight w:val="91"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2D274787">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3ED1B4B2">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供应商资格要求</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707FEC90">
            <w:pPr>
              <w:autoSpaceDE w:val="0"/>
              <w:autoSpaceDN w:val="0"/>
              <w:adjustRightIn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详见招标公告</w:t>
            </w:r>
          </w:p>
        </w:tc>
      </w:tr>
      <w:tr w14:paraId="4DFC4E17">
        <w:tblPrEx>
          <w:tblCellMar>
            <w:top w:w="0" w:type="dxa"/>
            <w:left w:w="108" w:type="dxa"/>
            <w:bottom w:w="0" w:type="dxa"/>
            <w:right w:w="108" w:type="dxa"/>
          </w:tblCellMar>
        </w:tblPrEx>
        <w:trPr>
          <w:trHeight w:val="2596"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2785AA5">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E69E3BF">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68477E7E">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sym w:font="Wingdings 2" w:char="00A3"/>
            </w:r>
            <w:r>
              <w:rPr>
                <w:rFonts w:hint="eastAsia" w:ascii="新宋体" w:hAnsi="新宋体" w:eastAsia="新宋体" w:cs="新宋体"/>
                <w:color w:val="auto"/>
                <w:kern w:val="0"/>
                <w:sz w:val="22"/>
                <w:szCs w:val="22"/>
                <w:highlight w:val="none"/>
              </w:rPr>
              <w:t>不接受</w:t>
            </w:r>
          </w:p>
          <w:p w14:paraId="74F4A5EB">
            <w:pPr>
              <w:adjustRightInd w:val="0"/>
              <w:snapToGrid w:val="0"/>
              <w:spacing w:line="460" w:lineRule="exact"/>
              <w:jc w:val="left"/>
              <w:rPr>
                <w:rFonts w:ascii="宋体" w:hAnsi="宋体" w:cs="宋体"/>
                <w:snapToGrid w:val="0"/>
                <w:color w:val="auto"/>
                <w:sz w:val="22"/>
                <w:szCs w:val="22"/>
                <w:highlight w:val="none"/>
              </w:rPr>
            </w:pPr>
            <w:r>
              <w:rPr>
                <w:rFonts w:hint="eastAsia" w:ascii="新宋体" w:hAnsi="新宋体" w:eastAsia="新宋体" w:cs="新宋体"/>
                <w:color w:val="auto"/>
                <w:kern w:val="0"/>
                <w:sz w:val="22"/>
                <w:szCs w:val="22"/>
                <w:highlight w:val="none"/>
              </w:rPr>
              <w:sym w:font="Wingdings 2" w:char="0052"/>
            </w:r>
            <w:r>
              <w:rPr>
                <w:rFonts w:hint="eastAsia" w:ascii="新宋体" w:hAnsi="新宋体" w:eastAsia="新宋体" w:cs="新宋体"/>
                <w:color w:val="auto"/>
                <w:kern w:val="0"/>
                <w:sz w:val="22"/>
                <w:szCs w:val="22"/>
                <w:highlight w:val="none"/>
              </w:rPr>
              <w:t>接受，</w:t>
            </w:r>
            <w:r>
              <w:rPr>
                <w:rFonts w:hint="eastAsia" w:ascii="宋体" w:hAnsi="宋体" w:cs="宋体"/>
                <w:snapToGrid w:val="0"/>
                <w:color w:val="auto"/>
                <w:sz w:val="22"/>
                <w:szCs w:val="22"/>
                <w:highlight w:val="none"/>
              </w:rPr>
              <w:t>同时必须满足以下条件：</w:t>
            </w:r>
          </w:p>
          <w:p w14:paraId="1837693F">
            <w:pPr>
              <w:adjustRightInd w:val="0"/>
              <w:snapToGrid w:val="0"/>
              <w:spacing w:line="4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1、两个以上的自然人、法人或者其他组织可以组成一个联合体，以一个供应商的身份共同参加政府采购。</w:t>
            </w:r>
          </w:p>
          <w:p w14:paraId="74B27846">
            <w:pPr>
              <w:adjustRightInd w:val="0"/>
              <w:snapToGrid w:val="0"/>
              <w:spacing w:line="4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2、以联合体形式进行政府采购的，参加联合体的投标人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367C38A2">
            <w:pPr>
              <w:adjustRightInd w:val="0"/>
              <w:snapToGrid w:val="0"/>
              <w:spacing w:line="4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 xml:space="preserve">3、投标人以联合体形式参加采购活动的，联合体各方中至少应有一方符合招标文件规定的特定资质条件。如由同一专业的供应商组成的联合体的，评审时应以资质最低的一方为依据。 </w:t>
            </w:r>
          </w:p>
          <w:p w14:paraId="3D872249">
            <w:pPr>
              <w:adjustRightInd w:val="0"/>
              <w:snapToGrid w:val="0"/>
              <w:spacing w:line="4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4、联合体中有同类资质的供应商按照联合体分工承担相同工作的，按照资质等级较低的供应商确定资质等级。</w:t>
            </w:r>
          </w:p>
          <w:p w14:paraId="755570BD">
            <w:pPr>
              <w:adjustRightInd w:val="0"/>
              <w:snapToGrid w:val="0"/>
              <w:spacing w:line="4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5、联合体各方指定其中一家企业为牵头人，由牵头人之法定代表人或其委托代理人为联合体授权代表执行联合体有关的决议，以联合体名义处理与本项目相关的事务。</w:t>
            </w:r>
          </w:p>
          <w:p w14:paraId="12711784">
            <w:pPr>
              <w:adjustRightInd w:val="0"/>
              <w:snapToGrid w:val="0"/>
              <w:spacing w:line="46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6、以联合体形式参加采购活动的，联合体各方不得再单独参加或者与其他供应商另外组成联合体参加同一合同项下的采购活动。</w:t>
            </w:r>
          </w:p>
          <w:p w14:paraId="0D05984D">
            <w:pPr>
              <w:autoSpaceDE w:val="0"/>
              <w:autoSpaceDN w:val="0"/>
              <w:adjustRightInd w:val="0"/>
              <w:spacing w:line="460" w:lineRule="exact"/>
              <w:rPr>
                <w:rFonts w:ascii="新宋体" w:hAnsi="新宋体" w:eastAsia="新宋体" w:cs="新宋体"/>
                <w:color w:val="auto"/>
                <w:kern w:val="0"/>
                <w:sz w:val="22"/>
                <w:szCs w:val="22"/>
                <w:highlight w:val="none"/>
                <w:lang w:val="zh-CN"/>
              </w:rPr>
            </w:pPr>
            <w:r>
              <w:rPr>
                <w:rFonts w:hint="eastAsia" w:ascii="宋体" w:hAnsi="宋体" w:cs="宋体"/>
                <w:snapToGrid w:val="0"/>
                <w:color w:val="auto"/>
                <w:sz w:val="22"/>
                <w:szCs w:val="22"/>
                <w:highlight w:val="none"/>
              </w:rPr>
              <w:t>7、投标文件中需要签章或签字的内容（资格文件等其他另有要求的除外）可只需加盖联合体牵头人有效公章及联合体牵头人授权代表（或其法定代表人）签字或盖章。</w:t>
            </w:r>
          </w:p>
        </w:tc>
      </w:tr>
      <w:tr w14:paraId="21C85471">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4B485F48">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06868595">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4CEC122A">
            <w:pPr>
              <w:autoSpaceDE w:val="0"/>
              <w:autoSpaceDN w:val="0"/>
              <w:adjustRightInd w:val="0"/>
              <w:spacing w:line="46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不</w:t>
            </w:r>
            <w:r>
              <w:rPr>
                <w:rFonts w:hint="eastAsia" w:ascii="新宋体" w:hAnsi="新宋体" w:eastAsia="新宋体" w:cs="新宋体"/>
                <w:color w:val="auto"/>
                <w:kern w:val="0"/>
                <w:sz w:val="22"/>
                <w:szCs w:val="22"/>
                <w:highlight w:val="none"/>
              </w:rPr>
              <w:t>组织</w:t>
            </w:r>
          </w:p>
        </w:tc>
      </w:tr>
      <w:tr w14:paraId="0723B716">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1E6FAB9C">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2C16A97B">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5FB05D9A">
            <w:pPr>
              <w:autoSpaceDE w:val="0"/>
              <w:autoSpaceDN w:val="0"/>
              <w:adjustRightInd w:val="0"/>
              <w:spacing w:line="46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不召开</w:t>
            </w:r>
          </w:p>
        </w:tc>
      </w:tr>
      <w:tr w14:paraId="133007A1">
        <w:tblPrEx>
          <w:tblCellMar>
            <w:top w:w="0" w:type="dxa"/>
            <w:left w:w="108" w:type="dxa"/>
            <w:bottom w:w="0" w:type="dxa"/>
            <w:right w:w="108" w:type="dxa"/>
          </w:tblCellMar>
        </w:tblPrEx>
        <w:trPr>
          <w:trHeight w:val="71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35ADD87B">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025D94CC">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分包和转包</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4304E10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（1）分包：</w:t>
            </w:r>
          </w:p>
          <w:p w14:paraId="4634172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FE"/>
            </w:r>
            <w:r>
              <w:rPr>
                <w:rFonts w:hint="eastAsia" w:ascii="新宋体" w:hAnsi="新宋体" w:eastAsia="新宋体" w:cs="新宋体"/>
                <w:color w:val="auto"/>
                <w:sz w:val="22"/>
                <w:szCs w:val="22"/>
                <w:highlight w:val="none"/>
              </w:rPr>
              <w:t>同意将非主体、非关键性的工作分包。</w:t>
            </w:r>
          </w:p>
          <w:p w14:paraId="78540D3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不同意分包。</w:t>
            </w:r>
          </w:p>
          <w:p w14:paraId="1425080A">
            <w:pPr>
              <w:autoSpaceDE w:val="0"/>
              <w:autoSpaceDN w:val="0"/>
              <w:adjustRightInd w:val="0"/>
              <w:spacing w:line="46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（2）转包：本项目不允许转包。</w:t>
            </w:r>
          </w:p>
        </w:tc>
      </w:tr>
      <w:tr w14:paraId="793A868A">
        <w:tblPrEx>
          <w:tblCellMar>
            <w:top w:w="0" w:type="dxa"/>
            <w:left w:w="108" w:type="dxa"/>
            <w:bottom w:w="0" w:type="dxa"/>
            <w:right w:w="108" w:type="dxa"/>
          </w:tblCellMar>
        </w:tblPrEx>
        <w:trPr>
          <w:trHeight w:val="146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4FAE6A00">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B0F9065">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73A21DA3">
            <w:pPr>
              <w:autoSpaceDE w:val="0"/>
              <w:autoSpaceDN w:val="0"/>
              <w:adjustRightInd w:val="0"/>
              <w:spacing w:line="46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偏差允许幅度及其处理方法：允许细微偏差，不允许重大偏差。由评标委员会判断，细微偏差要求供应商在评标结束前予以澄清、说明或补正，不接受要求进行的，评标委员会有权做投标无效处理，详见评标办法。</w:t>
            </w:r>
          </w:p>
        </w:tc>
      </w:tr>
      <w:tr w14:paraId="0DEBCF1F">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6625902">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859AA4A">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1CC88887">
            <w:pPr>
              <w:widowControl/>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从提交投标文件的截止时间之日起90天。</w:t>
            </w:r>
          </w:p>
        </w:tc>
      </w:tr>
      <w:tr w14:paraId="39F30EDF">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179C78AE">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0A34A399">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04FCEF26">
            <w:pPr>
              <w:autoSpaceDE w:val="0"/>
              <w:autoSpaceDN w:val="0"/>
              <w:adjustRightIn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无</w:t>
            </w:r>
          </w:p>
        </w:tc>
      </w:tr>
      <w:tr w14:paraId="579E8876">
        <w:tblPrEx>
          <w:tblCellMar>
            <w:top w:w="0" w:type="dxa"/>
            <w:left w:w="108" w:type="dxa"/>
            <w:bottom w:w="0" w:type="dxa"/>
            <w:right w:w="108" w:type="dxa"/>
          </w:tblCellMar>
        </w:tblPrEx>
        <w:trPr>
          <w:trHeight w:val="255"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ECBB5C6">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16</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72986FF7">
            <w:pPr>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投标文件形式、制作及组成</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165A77A9">
            <w:pPr>
              <w:pStyle w:val="123"/>
              <w:snapToGrid w:val="0"/>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本项目实行网上电子投标。</w:t>
            </w:r>
          </w:p>
          <w:p w14:paraId="228D9529">
            <w:pPr>
              <w:pStyle w:val="123"/>
              <w:snapToGrid w:val="0"/>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供应商应准备电子投标文件、以介质存储的数据电文形式的备份投标文件二类：</w:t>
            </w:r>
          </w:p>
          <w:p w14:paraId="7A68E8FA">
            <w:pPr>
              <w:pStyle w:val="123"/>
              <w:snapToGrid w:val="0"/>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（1）电子投标文件：通过政采云电子交易客户端（政采云投标客户端）完成投标文件编制后生成并加密的数据电文形式的投标文件（文件扩展名为.jmbs）1份</w:t>
            </w:r>
            <w:r>
              <w:rPr>
                <w:rFonts w:hint="eastAsia" w:ascii="新宋体" w:hAnsi="新宋体" w:eastAsia="新宋体" w:cs="新宋体"/>
                <w:b/>
                <w:bCs/>
                <w:color w:val="auto"/>
                <w:sz w:val="22"/>
                <w:szCs w:val="22"/>
                <w:highlight w:val="none"/>
                <w:lang w:val="zh-CN"/>
              </w:rPr>
              <w:t>。</w:t>
            </w:r>
          </w:p>
          <w:p w14:paraId="348AD0C6">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（2）以介质存储的数据电文形式的备份投标文件（如有）：</w:t>
            </w:r>
            <w:r>
              <w:rPr>
                <w:rStyle w:val="42"/>
                <w:rFonts w:hint="eastAsia" w:ascii="新宋体" w:hAnsi="新宋体" w:eastAsia="新宋体" w:cs="新宋体"/>
                <w:bCs/>
                <w:color w:val="auto"/>
                <w:sz w:val="22"/>
                <w:szCs w:val="22"/>
                <w:highlight w:val="none"/>
              </w:rPr>
              <w:t>与“电子投标文件”同时生成的数据电文形式的备份投标文件(文件扩展名为.bfbs)</w:t>
            </w:r>
            <w:r>
              <w:rPr>
                <w:rFonts w:hint="eastAsia" w:ascii="新宋体" w:hAnsi="新宋体" w:eastAsia="新宋体" w:cs="新宋体"/>
                <w:b/>
                <w:bCs/>
                <w:color w:val="auto"/>
                <w:sz w:val="22"/>
                <w:szCs w:val="22"/>
                <w:highlight w:val="none"/>
              </w:rPr>
              <w:t>，投标文件提交截止时间前以</w:t>
            </w:r>
            <w:r>
              <w:rPr>
                <w:rFonts w:hint="eastAsia" w:ascii="新宋体" w:hAnsi="新宋体" w:eastAsia="新宋体" w:cs="新宋体"/>
                <w:b/>
                <w:bCs/>
                <w:color w:val="auto"/>
                <w:sz w:val="22"/>
                <w:szCs w:val="22"/>
                <w:highlight w:val="none"/>
                <w:lang w:val="zh-CN"/>
              </w:rPr>
              <w:t>电子邮件方式传送至</w:t>
            </w:r>
            <w:r>
              <w:rPr>
                <w:rFonts w:hint="eastAsia" w:ascii="新宋体" w:hAnsi="新宋体" w:eastAsia="新宋体" w:cs="新宋体"/>
                <w:b/>
                <w:bCs/>
                <w:color w:val="auto"/>
                <w:sz w:val="22"/>
                <w:szCs w:val="22"/>
                <w:highlight w:val="none"/>
              </w:rPr>
              <w:t>温州历程招标有限公司</w:t>
            </w:r>
            <w:r>
              <w:rPr>
                <w:rFonts w:hint="eastAsia" w:ascii="新宋体" w:hAnsi="新宋体" w:eastAsia="新宋体" w:cs="新宋体"/>
                <w:b/>
                <w:bCs/>
                <w:color w:val="auto"/>
                <w:sz w:val="22"/>
                <w:szCs w:val="22"/>
                <w:highlight w:val="none"/>
                <w:lang w:val="zh-CN"/>
              </w:rPr>
              <w:t>电子邮箱</w:t>
            </w:r>
            <w:r>
              <w:rPr>
                <w:rFonts w:hint="eastAsia" w:ascii="新宋体" w:hAnsi="新宋体" w:eastAsia="新宋体" w:cs="新宋体"/>
                <w:b/>
                <w:bCs/>
                <w:color w:val="auto"/>
                <w:sz w:val="22"/>
                <w:szCs w:val="22"/>
                <w:highlight w:val="none"/>
              </w:rPr>
              <w:t>3752194390@qq.com，</w:t>
            </w:r>
            <w:r>
              <w:rPr>
                <w:rFonts w:hint="eastAsia" w:ascii="新宋体" w:hAnsi="新宋体" w:eastAsia="新宋体" w:cs="新宋体"/>
                <w:b/>
                <w:bCs/>
                <w:color w:val="auto"/>
                <w:sz w:val="22"/>
                <w:szCs w:val="22"/>
                <w:highlight w:val="none"/>
                <w:lang w:val="zh-CN"/>
              </w:rPr>
              <w:t>递交</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zh-CN"/>
              </w:rPr>
              <w:t>份</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zh-CN"/>
              </w:rPr>
              <w:t>传送的备份投标文件需打包压缩并加密</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lang w:val="zh-CN"/>
              </w:rPr>
              <w:t>加密密码由供应商自行保管</w:t>
            </w:r>
            <w:r>
              <w:rPr>
                <w:rFonts w:hint="eastAsia" w:ascii="新宋体" w:hAnsi="新宋体" w:eastAsia="新宋体" w:cs="新宋体"/>
                <w:b/>
                <w:bCs/>
                <w:color w:val="auto"/>
                <w:sz w:val="22"/>
                <w:szCs w:val="22"/>
                <w:highlight w:val="none"/>
              </w:rPr>
              <w:t>，未加密导致投标信息泄露的风险由供应商自行承担</w:t>
            </w:r>
            <w:r>
              <w:rPr>
                <w:rStyle w:val="42"/>
                <w:rFonts w:hint="eastAsia" w:ascii="新宋体" w:hAnsi="新宋体" w:eastAsia="新宋体" w:cs="新宋体"/>
                <w:bCs/>
                <w:color w:val="auto"/>
                <w:sz w:val="22"/>
                <w:szCs w:val="22"/>
                <w:highlight w:val="none"/>
              </w:rPr>
              <w:t>。</w:t>
            </w:r>
          </w:p>
          <w:p w14:paraId="46E8258E">
            <w:pPr>
              <w:pStyle w:val="123"/>
              <w:snapToGrid w:val="0"/>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投标文件由报价文件、资格文件、商务和技术文件三部分组成。</w:t>
            </w:r>
          </w:p>
          <w:p w14:paraId="71BE96A5">
            <w:pPr>
              <w:pStyle w:val="123"/>
              <w:snapToGri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注：中标供应商在领取中标通知书时按采购人要求提供全套纸质投标文件贰份。</w:t>
            </w:r>
          </w:p>
        </w:tc>
      </w:tr>
      <w:tr w14:paraId="2FEB81FB">
        <w:tblPrEx>
          <w:tblCellMar>
            <w:top w:w="0" w:type="dxa"/>
            <w:left w:w="108" w:type="dxa"/>
            <w:bottom w:w="0" w:type="dxa"/>
            <w:right w:w="108" w:type="dxa"/>
          </w:tblCellMar>
        </w:tblPrEx>
        <w:trPr>
          <w:trHeight w:val="147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147AD428">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17</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92639B4">
            <w:pPr>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电子招投标特殊情况处理方式</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50D32EB8">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本项目原则上采用政采云电子招投标开标及评审程序，但有下情形之一的，按以下情况处理：</w:t>
            </w:r>
          </w:p>
          <w:p w14:paraId="54301914">
            <w:pPr>
              <w:spacing w:line="460" w:lineRule="exact"/>
              <w:jc w:val="left"/>
              <w:rPr>
                <w:rFonts w:ascii="新宋体" w:hAnsi="新宋体" w:eastAsia="新宋体" w:cs="新宋体"/>
                <w:color w:val="auto"/>
                <w:sz w:val="22"/>
                <w:szCs w:val="22"/>
                <w:highlight w:val="none"/>
                <w:lang w:val="zh-CN"/>
              </w:rPr>
            </w:pPr>
            <w:r>
              <w:rPr>
                <w:rFonts w:hint="eastAsia" w:ascii="新宋体" w:hAnsi="新宋体" w:eastAsia="新宋体" w:cs="新宋体"/>
                <w:b/>
                <w:bCs/>
                <w:color w:val="auto"/>
                <w:sz w:val="22"/>
                <w:szCs w:val="22"/>
                <w:highlight w:val="none"/>
              </w:rPr>
              <w:t>若供应商在规定时间内无法解密或解密失败，采购代理机构将开启所有供应商递交的以介质存储的数据电文形式的备份投标文件，上传至政采云平台项目采购模块，以完成开标，电子投标文件自动失效。</w:t>
            </w:r>
          </w:p>
        </w:tc>
      </w:tr>
      <w:tr w14:paraId="19ED2B6F">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27253C65">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18</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FCCCFDE">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评审地点</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7E5103EA">
            <w:pPr>
              <w:autoSpaceDE w:val="0"/>
              <w:autoSpaceDN w:val="0"/>
              <w:adjustRightInd w:val="0"/>
              <w:spacing w:line="460" w:lineRule="exact"/>
              <w:ind w:firstLine="31"/>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详见招标公告</w:t>
            </w:r>
          </w:p>
        </w:tc>
      </w:tr>
      <w:tr w14:paraId="44C396DE">
        <w:tblPrEx>
          <w:tblCellMar>
            <w:top w:w="0" w:type="dxa"/>
            <w:left w:w="108" w:type="dxa"/>
            <w:bottom w:w="0" w:type="dxa"/>
            <w:right w:w="108" w:type="dxa"/>
          </w:tblCellMar>
        </w:tblPrEx>
        <w:trPr>
          <w:trHeight w:val="72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7997DEDC">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0FD0F947">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评标委员会的组建</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7D48B91F">
            <w:pPr>
              <w:autoSpaceDE w:val="0"/>
              <w:autoSpaceDN w:val="0"/>
              <w:adjustRightInd w:val="0"/>
              <w:spacing w:line="460" w:lineRule="exact"/>
              <w:ind w:firstLine="31"/>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评标委员会成员由采购人代表和有关技术、经济等方面的专家组成，有关技术、经济等方面的专家成员人数为5人及以上单数，除采购人代表外的专家将按有关规定随机抽取产生。</w:t>
            </w:r>
          </w:p>
        </w:tc>
      </w:tr>
      <w:tr w14:paraId="5084CA41">
        <w:tblPrEx>
          <w:tblCellMar>
            <w:top w:w="0" w:type="dxa"/>
            <w:left w:w="108" w:type="dxa"/>
            <w:bottom w:w="0" w:type="dxa"/>
            <w:right w:w="108" w:type="dxa"/>
          </w:tblCellMar>
        </w:tblPrEx>
        <w:trPr>
          <w:trHeight w:val="9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2F55D08">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44694F5C">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评标办法及评分标准</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7EBF8704">
            <w:pPr>
              <w:autoSpaceDE w:val="0"/>
              <w:autoSpaceDN w:val="0"/>
              <w:adjustRightInd w:val="0"/>
              <w:spacing w:line="460" w:lineRule="exac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综合评分法，详见第六部分评标原则及方法。</w:t>
            </w:r>
          </w:p>
        </w:tc>
      </w:tr>
      <w:tr w14:paraId="42DC81B7">
        <w:tblPrEx>
          <w:tblCellMar>
            <w:top w:w="0" w:type="dxa"/>
            <w:left w:w="108" w:type="dxa"/>
            <w:bottom w:w="0" w:type="dxa"/>
            <w:right w:w="108" w:type="dxa"/>
          </w:tblCellMar>
        </w:tblPrEx>
        <w:trPr>
          <w:trHeight w:val="343"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DE2F214">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83B8833">
            <w:pPr>
              <w:spacing w:line="460" w:lineRule="exact"/>
              <w:jc w:val="center"/>
              <w:rPr>
                <w:rFonts w:ascii="新宋体" w:hAnsi="新宋体" w:eastAsia="新宋体" w:cs="新宋体"/>
                <w:b/>
                <w:bCs/>
                <w:snapToGrid w:val="0"/>
                <w:color w:val="auto"/>
                <w:sz w:val="22"/>
                <w:szCs w:val="22"/>
                <w:highlight w:val="none"/>
              </w:rPr>
            </w:pPr>
            <w:r>
              <w:rPr>
                <w:rFonts w:hint="eastAsia" w:ascii="新宋体" w:hAnsi="新宋体" w:eastAsia="新宋体" w:cs="新宋体"/>
                <w:color w:val="auto"/>
                <w:sz w:val="22"/>
                <w:szCs w:val="22"/>
                <w:highlight w:val="none"/>
              </w:rPr>
              <w:t>中标公告及中标通知书</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27F91716">
            <w:pPr>
              <w:autoSpaceDE w:val="0"/>
              <w:autoSpaceDN w:val="0"/>
              <w:adjustRightInd w:val="0"/>
              <w:spacing w:line="460" w:lineRule="exact"/>
              <w:ind w:firstLine="31"/>
              <w:rPr>
                <w:rFonts w:ascii="新宋体" w:hAnsi="新宋体" w:eastAsia="新宋体" w:cs="新宋体"/>
                <w:b/>
                <w:bCs/>
                <w:color w:val="auto"/>
                <w:sz w:val="22"/>
                <w:szCs w:val="22"/>
                <w:highlight w:val="none"/>
                <w:lang w:val="zh-CN"/>
              </w:rPr>
            </w:pPr>
            <w:r>
              <w:rPr>
                <w:rFonts w:hint="eastAsia" w:ascii="新宋体" w:hAnsi="新宋体" w:eastAsia="新宋体" w:cs="新宋体"/>
                <w:color w:val="auto"/>
                <w:sz w:val="22"/>
                <w:szCs w:val="22"/>
                <w:highlight w:val="none"/>
              </w:rPr>
              <w:t>评标结束后中标公告发布于浙江政府采购网，并向中标供应商发出中标通知书。</w:t>
            </w:r>
          </w:p>
        </w:tc>
      </w:tr>
      <w:tr w14:paraId="53069B27">
        <w:tblPrEx>
          <w:tblCellMar>
            <w:top w:w="0" w:type="dxa"/>
            <w:left w:w="108" w:type="dxa"/>
            <w:bottom w:w="0" w:type="dxa"/>
            <w:right w:w="108" w:type="dxa"/>
          </w:tblCellMar>
        </w:tblPrEx>
        <w:trPr>
          <w:trHeight w:val="144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14AF33D6">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F09A0B2">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合同备案</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73924063">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中标供应商须在中标通知书发出之日起30日历天内与采购人签订合同。</w:t>
            </w:r>
          </w:p>
          <w:p w14:paraId="4B98292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中标供应商与采购人签订合同后，2日历天内将合同扫描件电子版发给采购代理机构：邮箱：</w:t>
            </w:r>
            <w:r>
              <w:rPr>
                <w:color w:val="auto"/>
                <w:highlight w:val="none"/>
              </w:rPr>
              <w:fldChar w:fldCharType="begin"/>
            </w:r>
            <w:r>
              <w:rPr>
                <w:color w:val="auto"/>
                <w:highlight w:val="none"/>
              </w:rPr>
              <w:instrText xml:space="preserve">HYPERLINK "mailto:1322521566@qq.com。"</w:instrText>
            </w:r>
            <w:r>
              <w:rPr>
                <w:color w:val="auto"/>
                <w:highlight w:val="none"/>
              </w:rPr>
              <w:fldChar w:fldCharType="separate"/>
            </w:r>
            <w:r>
              <w:rPr>
                <w:rFonts w:hint="eastAsia" w:ascii="新宋体" w:hAnsi="新宋体" w:eastAsia="新宋体" w:cs="新宋体"/>
                <w:color w:val="auto"/>
                <w:sz w:val="22"/>
                <w:szCs w:val="22"/>
                <w:highlight w:val="none"/>
              </w:rPr>
              <w:t>3752194390@qq.com</w:t>
            </w:r>
            <w:r>
              <w:rPr>
                <w:rFonts w:hint="eastAsia" w:ascii="新宋体" w:hAnsi="新宋体" w:eastAsia="新宋体" w:cs="新宋体"/>
                <w:color w:val="auto"/>
                <w:kern w:val="0"/>
                <w:sz w:val="22"/>
                <w:szCs w:val="22"/>
                <w:highlight w:val="none"/>
              </w:rPr>
              <w:t>。</w:t>
            </w:r>
            <w:r>
              <w:rPr>
                <w:rFonts w:ascii="新宋体" w:hAnsi="新宋体" w:eastAsia="新宋体" w:cs="新宋体"/>
                <w:color w:val="auto"/>
                <w:kern w:val="0"/>
                <w:sz w:val="22"/>
                <w:szCs w:val="22"/>
                <w:highlight w:val="none"/>
              </w:rPr>
              <w:fldChar w:fldCharType="end"/>
            </w:r>
          </w:p>
        </w:tc>
      </w:tr>
      <w:tr w14:paraId="01D7751A">
        <w:tblPrEx>
          <w:tblCellMar>
            <w:top w:w="0" w:type="dxa"/>
            <w:left w:w="108" w:type="dxa"/>
            <w:bottom w:w="0" w:type="dxa"/>
            <w:right w:w="108" w:type="dxa"/>
          </w:tblCellMar>
        </w:tblPrEx>
        <w:trPr>
          <w:trHeight w:val="56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7DC9CB16">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23</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44C731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落实政府采购支持中小企业、监狱企业及残疾人福利性单位发展政策</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7840192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2" w:char="0052"/>
            </w:r>
            <w:r>
              <w:rPr>
                <w:rFonts w:hint="eastAsia" w:ascii="新宋体" w:hAnsi="新宋体" w:eastAsia="新宋体" w:cs="新宋体"/>
                <w:color w:val="auto"/>
                <w:sz w:val="22"/>
                <w:szCs w:val="22"/>
                <w:highlight w:val="none"/>
              </w:rPr>
              <w:t>专门面向中小企业采购项目</w:t>
            </w:r>
          </w:p>
          <w:p w14:paraId="3AE99B0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2" w:char="00A3"/>
            </w:r>
            <w:r>
              <w:rPr>
                <w:rFonts w:hint="eastAsia" w:ascii="新宋体" w:hAnsi="新宋体" w:eastAsia="新宋体" w:cs="新宋体"/>
                <w:color w:val="auto"/>
                <w:sz w:val="22"/>
                <w:szCs w:val="22"/>
                <w:highlight w:val="none"/>
              </w:rPr>
              <w:t>非专门面向中小企业采购项目。</w:t>
            </w:r>
          </w:p>
          <w:p w14:paraId="7E09FBB6">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1、扶持中小企业（监狱企业、残疾人福利性单位）： </w:t>
            </w:r>
          </w:p>
          <w:p w14:paraId="67EE14F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（1）根据工信部等部委发布的《关于印发中小企业划型标准规定的通知》（工信部联企业〔2011〕300号），本项目属于</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农、林、牧、渔业，</w:t>
            </w:r>
            <w:r>
              <w:rPr>
                <w:rFonts w:hint="eastAsia" w:ascii="新宋体" w:hAnsi="新宋体" w:eastAsia="新宋体" w:cs="新宋体"/>
                <w:b/>
                <w:bCs/>
                <w:color w:val="auto"/>
                <w:sz w:val="22"/>
                <w:szCs w:val="22"/>
                <w:highlight w:val="none"/>
                <w:u w:val="single"/>
              </w:rPr>
              <w:sym w:font="Wingdings" w:char="00FE"/>
            </w:r>
            <w:r>
              <w:rPr>
                <w:rFonts w:hint="eastAsia" w:ascii="新宋体" w:hAnsi="新宋体" w:eastAsia="新宋体" w:cs="新宋体"/>
                <w:b/>
                <w:bCs/>
                <w:color w:val="auto"/>
                <w:sz w:val="22"/>
                <w:szCs w:val="22"/>
                <w:highlight w:val="none"/>
                <w:u w:val="single"/>
              </w:rPr>
              <w:t>工业</w:t>
            </w:r>
            <w:r>
              <w:rPr>
                <w:rFonts w:hint="eastAsia" w:ascii="新宋体" w:hAnsi="新宋体" w:eastAsia="新宋体" w:cs="新宋体"/>
                <w:color w:val="auto"/>
                <w:sz w:val="22"/>
                <w:szCs w:val="22"/>
                <w:highlight w:val="none"/>
                <w:u w:val="single"/>
              </w:rPr>
              <w:t>（包括采矿业，制造业，电力、热力、燃气及水生产和供应业），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建筑业，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批发业，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零售业，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交通运输业（不含铁路运输业），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仓储业，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邮政业，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住宿业，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餐饮业，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信息传输业（包括电信、互联网和相关服务），</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软件和信息技术服务业，</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房地产开发经营，</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物业管理，</w:t>
            </w:r>
            <w:r>
              <w:rPr>
                <w:rFonts w:hint="eastAsia" w:ascii="新宋体" w:hAnsi="新宋体" w:eastAsia="新宋体" w:cs="新宋体"/>
                <w:color w:val="auto"/>
                <w:sz w:val="22"/>
                <w:szCs w:val="22"/>
                <w:highlight w:val="none"/>
                <w:u w:val="single"/>
              </w:rPr>
              <w:sym w:font="Wingdings" w:char="00A8"/>
            </w:r>
            <w:r>
              <w:rPr>
                <w:rFonts w:hint="eastAsia" w:ascii="新宋体" w:hAnsi="新宋体" w:eastAsia="新宋体" w:cs="新宋体"/>
                <w:color w:val="auto"/>
                <w:sz w:val="22"/>
                <w:szCs w:val="22"/>
                <w:highlight w:val="none"/>
                <w:u w:val="single"/>
              </w:rPr>
              <w:t xml:space="preserve">租赁和商务服务业，其他未列明行业（包括科学研究和技术服务业，水利、环境和公共设施管理业，居民服务、修理和其他服务业，社会工作，文化、体育和娱乐业等） </w:t>
            </w:r>
            <w:r>
              <w:rPr>
                <w:rFonts w:hint="eastAsia" w:ascii="新宋体" w:hAnsi="新宋体" w:eastAsia="新宋体" w:cs="新宋体"/>
                <w:color w:val="auto"/>
                <w:sz w:val="22"/>
                <w:szCs w:val="22"/>
                <w:highlight w:val="none"/>
              </w:rPr>
              <w:t xml:space="preserve"> 行业。</w:t>
            </w:r>
          </w:p>
          <w:p w14:paraId="0745E2B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2、根据财政部发布的《政府采购促进中小企业发展管理办法》（财库（2020）46号）、浙财采监〔2022〕3号、浙财采监〔2022〕8号、财库【2022】19号文的相关规定：</w:t>
            </w:r>
          </w:p>
          <w:p w14:paraId="77F7382D">
            <w:pPr>
              <w:spacing w:line="460" w:lineRule="exact"/>
              <w:ind w:firstLine="110" w:firstLine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2.1.是否为预留份额项目：</w:t>
            </w:r>
          </w:p>
          <w:p w14:paraId="509FEF8B">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FE"/>
            </w:r>
            <w:r>
              <w:rPr>
                <w:rFonts w:hint="eastAsia" w:ascii="新宋体" w:hAnsi="新宋体" w:eastAsia="新宋体" w:cs="新宋体"/>
                <w:color w:val="auto"/>
                <w:sz w:val="22"/>
                <w:szCs w:val="22"/>
                <w:highlight w:val="none"/>
              </w:rPr>
              <w:t xml:space="preserve"> 本项目为预留份额项目，专门面向中小企业采购。</w:t>
            </w:r>
          </w:p>
          <w:p w14:paraId="770DB883">
            <w:pPr>
              <w:spacing w:line="460" w:lineRule="exact"/>
              <w:ind w:left="220" w:hanging="220" w:hanging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b/>
                <w:snapToGrid w:val="0"/>
                <w:color w:val="auto"/>
                <w:sz w:val="22"/>
                <w:szCs w:val="22"/>
                <w:highlight w:val="none"/>
              </w:rPr>
              <w:t xml:space="preserve"> </w:t>
            </w:r>
            <w:r>
              <w:rPr>
                <w:rFonts w:hint="eastAsia" w:ascii="新宋体" w:hAnsi="新宋体" w:eastAsia="新宋体" w:cs="新宋体"/>
                <w:color w:val="auto"/>
                <w:sz w:val="22"/>
                <w:szCs w:val="22"/>
                <w:highlight w:val="none"/>
              </w:rPr>
              <w:t>本项目为非预留份额项目、非专门面向中小企业的项目</w:t>
            </w:r>
          </w:p>
          <w:p w14:paraId="719A8F85">
            <w:pPr>
              <w:spacing w:line="460" w:lineRule="exact"/>
              <w:ind w:left="220" w:hanging="220" w:hanging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b/>
                <w:snapToGrid w:val="0"/>
                <w:color w:val="auto"/>
                <w:sz w:val="22"/>
                <w:szCs w:val="22"/>
                <w:highlight w:val="none"/>
              </w:rPr>
              <w:t xml:space="preserve"> </w:t>
            </w:r>
            <w:r>
              <w:rPr>
                <w:rFonts w:hint="eastAsia" w:ascii="新宋体" w:hAnsi="新宋体" w:eastAsia="新宋体" w:cs="新宋体"/>
                <w:color w:val="auto"/>
                <w:sz w:val="22"/>
                <w:szCs w:val="22"/>
                <w:highlight w:val="none"/>
              </w:rPr>
              <w:t>在评审时对小型和微型企业报价给予</w:t>
            </w:r>
            <w:r>
              <w:rPr>
                <w:rFonts w:hint="eastAsia" w:ascii="新宋体" w:hAnsi="新宋体" w:eastAsia="新宋体" w:cs="新宋体"/>
                <w:color w:val="auto"/>
                <w:sz w:val="22"/>
                <w:szCs w:val="22"/>
                <w:highlight w:val="none"/>
                <w:u w:val="single"/>
              </w:rPr>
              <w:t xml:space="preserve"> 10% </w:t>
            </w:r>
            <w:r>
              <w:rPr>
                <w:rFonts w:hint="eastAsia" w:ascii="新宋体" w:hAnsi="新宋体" w:eastAsia="新宋体" w:cs="新宋体"/>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hint="eastAsia" w:ascii="新宋体" w:hAnsi="新宋体" w:eastAsia="新宋体" w:cs="新宋体"/>
                <w:color w:val="auto"/>
                <w:sz w:val="22"/>
                <w:szCs w:val="22"/>
                <w:highlight w:val="none"/>
                <w:u w:val="single"/>
              </w:rPr>
              <w:t xml:space="preserve"> /  </w:t>
            </w:r>
            <w:r>
              <w:rPr>
                <w:rFonts w:hint="eastAsia" w:ascii="新宋体" w:hAnsi="新宋体" w:eastAsia="新宋体" w:cs="新宋体"/>
                <w:color w:val="auto"/>
                <w:sz w:val="22"/>
                <w:szCs w:val="22"/>
                <w:highlight w:val="none"/>
              </w:rPr>
              <w:t>%（3%-5%）作为其价格分。</w:t>
            </w:r>
          </w:p>
          <w:p w14:paraId="4C4B7EB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本项目为</w:t>
            </w: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接受大中型企业与小微企业组成联合体、</w:t>
            </w: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新宋体" w:hAnsi="新宋体" w:eastAsia="新宋体" w:cs="新宋体"/>
                <w:color w:val="auto"/>
                <w:sz w:val="22"/>
                <w:szCs w:val="22"/>
                <w:highlight w:val="none"/>
                <w:u w:val="single"/>
              </w:rPr>
              <w:t xml:space="preserve"> 4  </w:t>
            </w:r>
            <w:r>
              <w:rPr>
                <w:rFonts w:hint="eastAsia" w:ascii="新宋体" w:hAnsi="新宋体" w:eastAsia="新宋体" w:cs="新宋体"/>
                <w:color w:val="auto"/>
                <w:sz w:val="22"/>
                <w:szCs w:val="22"/>
                <w:highlight w:val="none"/>
              </w:rPr>
              <w:t>%（4%-6%），工程项目为</w:t>
            </w:r>
            <w:r>
              <w:rPr>
                <w:rFonts w:hint="eastAsia" w:ascii="新宋体" w:hAnsi="新宋体" w:eastAsia="新宋体" w:cs="新宋体"/>
                <w:color w:val="auto"/>
                <w:sz w:val="22"/>
                <w:szCs w:val="22"/>
                <w:highlight w:val="none"/>
                <w:u w:val="single"/>
              </w:rPr>
              <w:t xml:space="preserve"> / %（1%—2%）</w:t>
            </w:r>
            <w:r>
              <w:rPr>
                <w:rFonts w:hint="eastAsia" w:ascii="新宋体" w:hAnsi="新宋体" w:eastAsia="新宋体" w:cs="新宋体"/>
                <w:color w:val="auto"/>
                <w:sz w:val="22"/>
                <w:szCs w:val="22"/>
                <w:highlight w:val="none"/>
              </w:rPr>
              <w:t>的扣除，用扣除后的价格参加评审。</w:t>
            </w:r>
            <w:r>
              <w:rPr>
                <w:rFonts w:hint="eastAsia" w:ascii="新宋体" w:hAnsi="新宋体" w:eastAsia="新宋体" w:cs="新宋体"/>
                <w:color w:val="auto"/>
                <w:sz w:val="22"/>
                <w:szCs w:val="22"/>
                <w:highlight w:val="none"/>
              </w:rPr>
              <w:sym w:font="Wingdings" w:char="00A8"/>
            </w:r>
            <w:r>
              <w:rPr>
                <w:rFonts w:hint="eastAsia" w:ascii="新宋体" w:hAnsi="新宋体" w:eastAsia="新宋体" w:cs="新宋体"/>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%（1%—2%）作为其价格分。</w:t>
            </w:r>
          </w:p>
          <w:p w14:paraId="003926E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2.2组成联合体或者接受分包的小微企业与联合体内其他企业、分包企业之间存在直接控股、管理关系的，不享受价格扣除优惠政策。</w:t>
            </w:r>
          </w:p>
          <w:p w14:paraId="7AF0D20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2.3价格扣除比例或者价格分加分比例对小型企业和微型企业同等对待，不作区分。</w:t>
            </w:r>
          </w:p>
          <w:p w14:paraId="0E1D168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5C1DF12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2.5接受分包的项目，享受扶持政策获得政府采购合同的，小微企业不得将合同分包给大中型企业，中型企业不得将合同分包给大型企业。</w:t>
            </w:r>
          </w:p>
          <w:p w14:paraId="08FE204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679E7EF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1ACEB722">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(注：未提供以上材料的，均不给予价格扣除，以上优惠政策只享受一次)。</w:t>
            </w:r>
          </w:p>
        </w:tc>
      </w:tr>
      <w:tr w14:paraId="49C05C01">
        <w:tblPrEx>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430D00F0">
            <w:pPr>
              <w:autoSpaceDE w:val="0"/>
              <w:autoSpaceDN w:val="0"/>
              <w:adjustRightInd w:val="0"/>
              <w:snapToGrid w:val="0"/>
              <w:spacing w:line="460" w:lineRule="exact"/>
              <w:jc w:val="center"/>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24</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36BDDEA0">
            <w:pPr>
              <w:spacing w:line="460" w:lineRule="exact"/>
              <w:jc w:val="center"/>
              <w:rPr>
                <w:rFonts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采购标的及其对应的中小企业划分标准所属行业</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52F540B8">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1.采购标的：</w:t>
            </w:r>
            <w:r>
              <w:rPr>
                <w:rFonts w:hint="eastAsia" w:ascii="新宋体" w:hAnsi="新宋体" w:eastAsia="新宋体" w:cs="新宋体"/>
                <w:color w:val="auto"/>
                <w:sz w:val="22"/>
                <w:szCs w:val="22"/>
                <w:highlight w:val="none"/>
                <w:lang w:eastAsia="zh-CN"/>
              </w:rPr>
              <w:t>立式加工中心</w:t>
            </w:r>
          </w:p>
          <w:p w14:paraId="1A927909">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2.中小企业划分标准所属行业（具体根据《中小企业划型标准规定》执行）</w:t>
            </w:r>
          </w:p>
          <w:p w14:paraId="4B473772">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所属行业：</w:t>
            </w:r>
            <w:r>
              <w:rPr>
                <w:rFonts w:hint="eastAsia" w:ascii="新宋体" w:hAnsi="新宋体" w:eastAsia="新宋体" w:cs="新宋体"/>
                <w:b/>
                <w:bCs/>
                <w:strike w:val="0"/>
                <w:dstrike w:val="0"/>
                <w:color w:val="auto"/>
                <w:sz w:val="22"/>
                <w:szCs w:val="22"/>
                <w:highlight w:val="none"/>
              </w:rPr>
              <w:t>工业</w:t>
            </w:r>
            <w:r>
              <w:rPr>
                <w:rFonts w:hint="eastAsia" w:ascii="新宋体" w:hAnsi="新宋体" w:eastAsia="新宋体" w:cs="新宋体"/>
                <w:b/>
                <w:bCs/>
                <w:strike w:val="0"/>
                <w:dstrike w:val="0"/>
                <w:color w:val="auto"/>
                <w:sz w:val="22"/>
                <w:szCs w:val="22"/>
                <w:highlight w:val="none"/>
                <w:lang w:eastAsia="zh-CN"/>
              </w:rPr>
              <w:t>。</w:t>
            </w:r>
            <w:r>
              <w:rPr>
                <w:rFonts w:hint="eastAsia" w:ascii="新宋体" w:hAnsi="新宋体" w:eastAsia="新宋体" w:cs="新宋体"/>
                <w:b/>
                <w:bCs/>
                <w:strike w:val="0"/>
                <w:dstrike w:val="0"/>
                <w:color w:val="auto"/>
                <w:sz w:val="22"/>
                <w:szCs w:val="22"/>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8A397E2">
        <w:tblPrEx>
          <w:tblCellMar>
            <w:top w:w="0" w:type="dxa"/>
            <w:left w:w="108" w:type="dxa"/>
            <w:bottom w:w="0" w:type="dxa"/>
            <w:right w:w="108" w:type="dxa"/>
          </w:tblCellMar>
        </w:tblPrEx>
        <w:trPr>
          <w:trHeight w:val="278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9D81F1E">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25</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4ECE0EB1">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解释权</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3FEE850B">
            <w:pPr>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供应商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14:paraId="64A9D0FD">
        <w:tblPrEx>
          <w:tblCellMar>
            <w:top w:w="0" w:type="dxa"/>
            <w:left w:w="108" w:type="dxa"/>
            <w:bottom w:w="0" w:type="dxa"/>
            <w:right w:w="108" w:type="dxa"/>
          </w:tblCellMar>
        </w:tblPrEx>
        <w:trPr>
          <w:cantSplit/>
          <w:trHeight w:val="405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D8CB35A">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26</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0362F09F">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6FC0B681">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1.公开招标公告属于本招标文件的一部分</w:t>
            </w:r>
          </w:p>
          <w:p w14:paraId="0A2A2CFD">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2.请务必确保投标文件制作客户端为最新版本，旧版本可能导致投标文件解密失败。</w:t>
            </w:r>
          </w:p>
          <w:p w14:paraId="2FD34477">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3.请务必确保投标文件制作时所用的 CA 锁与投标文件解密时的 CA 锁为同一把，否则可能导致投标文件解密失败。</w:t>
            </w:r>
          </w:p>
          <w:p w14:paraId="3A263599">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4.在投标文件解密前，请务必检验 CA 锁与所用电脑的兼容性，部分电脑因 CA 驱动未正常安装、USB 接口兼容性差等原因可能造成投标文件解密失败。</w:t>
            </w:r>
          </w:p>
          <w:p w14:paraId="44964B04">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5.供应商未按招标文件规定及提醒操作的，引起的一切后果由供应商自行负责。</w:t>
            </w:r>
          </w:p>
          <w:p w14:paraId="7E135FCA">
            <w:pPr>
              <w:pStyle w:val="121"/>
              <w:spacing w:line="460" w:lineRule="exact"/>
              <w:rPr>
                <w:rFonts w:ascii="新宋体" w:hAnsi="新宋体" w:eastAsia="新宋体" w:cs="新宋体"/>
                <w:color w:val="auto"/>
                <w:sz w:val="22"/>
                <w:highlight w:val="none"/>
                <w:lang w:val="en-US"/>
              </w:rPr>
            </w:pPr>
            <w:r>
              <w:rPr>
                <w:rFonts w:hint="eastAsia" w:ascii="新宋体" w:hAnsi="新宋体" w:eastAsia="新宋体" w:cs="新宋体"/>
                <w:b/>
                <w:color w:val="auto"/>
                <w:sz w:val="22"/>
                <w:highlight w:val="none"/>
                <w:lang w:val="en-US"/>
              </w:rPr>
              <w:t>6.投标截止时间同</w:t>
            </w:r>
            <w:r>
              <w:rPr>
                <w:rStyle w:val="42"/>
                <w:rFonts w:hint="eastAsia" w:ascii="新宋体" w:hAnsi="新宋体" w:eastAsia="新宋体" w:cs="新宋体"/>
                <w:color w:val="auto"/>
                <w:sz w:val="22"/>
                <w:highlight w:val="none"/>
              </w:rPr>
              <w:t>提交投标文件截止时间。</w:t>
            </w:r>
          </w:p>
        </w:tc>
      </w:tr>
      <w:tr w14:paraId="07ABF7EF">
        <w:tblPrEx>
          <w:tblCellMar>
            <w:top w:w="0" w:type="dxa"/>
            <w:left w:w="108" w:type="dxa"/>
            <w:bottom w:w="0" w:type="dxa"/>
            <w:right w:w="108" w:type="dxa"/>
          </w:tblCellMar>
        </w:tblPrEx>
        <w:trPr>
          <w:trHeight w:val="35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6B20E41E">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27</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41B3CC74">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t>采购代理服务费</w:t>
            </w:r>
          </w:p>
        </w:tc>
        <w:tc>
          <w:tcPr>
            <w:tcW w:w="7084" w:type="dxa"/>
            <w:tcBorders>
              <w:top w:val="single" w:color="auto" w:sz="4" w:space="0"/>
              <w:left w:val="single" w:color="auto" w:sz="4" w:space="0"/>
              <w:bottom w:val="single" w:color="auto" w:sz="4" w:space="0"/>
              <w:right w:val="single" w:color="auto" w:sz="4" w:space="0"/>
            </w:tcBorders>
            <w:noWrap w:val="0"/>
            <w:vAlign w:val="top"/>
          </w:tcPr>
          <w:p w14:paraId="2341869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代理服务费：根据国家计委印发的《招标代理服务收费管理暂行办法》计价格【2002】1980号文的规定按标准计算后下浮30%收取，由中标人在领取中标通知书时支付，采购代理服务费包含在投标报价中，采购代理费不足3000元的，按3000计收。</w:t>
            </w:r>
          </w:p>
          <w:p w14:paraId="3D631087">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w:t>
            </w:r>
          </w:p>
          <w:p w14:paraId="6672773F">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号：33050162870409101001</w:t>
            </w:r>
          </w:p>
          <w:p w14:paraId="55C6D010">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6171BA81">
            <w:pPr>
              <w:keepNext w:val="0"/>
              <w:keepLines w:val="0"/>
              <w:pageBreakBefore w:val="0"/>
              <w:kinsoku/>
              <w:wordWrap/>
              <w:overflowPunct/>
              <w:topLinePunct w:val="0"/>
              <w:autoSpaceDE/>
              <w:autoSpaceDN/>
              <w:bidi w:val="0"/>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号：105333000038</w:t>
            </w:r>
          </w:p>
          <w:p w14:paraId="4FFF1204">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采购代理服务收费标准</w:t>
            </w:r>
          </w:p>
          <w:tbl>
            <w:tblPr>
              <w:tblStyle w:val="39"/>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07"/>
              <w:gridCol w:w="1166"/>
              <w:gridCol w:w="1415"/>
              <w:gridCol w:w="1277"/>
            </w:tblGrid>
            <w:tr w14:paraId="1270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7" w:hRule="atLeast"/>
                <w:tblCellSpacing w:w="0" w:type="dxa"/>
                <w:jc w:val="center"/>
              </w:trPr>
              <w:tc>
                <w:tcPr>
                  <w:tcW w:w="2707" w:type="dxa"/>
                  <w:tcBorders>
                    <w:top w:val="single" w:color="auto" w:sz="4" w:space="0"/>
                    <w:left w:val="single" w:color="auto" w:sz="4" w:space="0"/>
                    <w:bottom w:val="single" w:color="auto" w:sz="4" w:space="0"/>
                    <w:right w:val="single" w:color="auto" w:sz="4" w:space="0"/>
                  </w:tcBorders>
                  <w:noWrap w:val="0"/>
                  <w:vAlign w:val="center"/>
                </w:tcPr>
                <w:p w14:paraId="1B90545B">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mc:AlternateContent>
                      <mc:Choice Requires="wpg">
                        <w:drawing>
                          <wp:anchor distT="0" distB="0" distL="114300" distR="114300" simplePos="0" relativeHeight="251661312" behindDoc="0" locked="0" layoutInCell="1" allowOverlap="1">
                            <wp:simplePos x="0" y="0"/>
                            <wp:positionH relativeFrom="column">
                              <wp:posOffset>-26035</wp:posOffset>
                            </wp:positionH>
                            <wp:positionV relativeFrom="paragraph">
                              <wp:posOffset>3175</wp:posOffset>
                            </wp:positionV>
                            <wp:extent cx="1756410" cy="889000"/>
                            <wp:effectExtent l="1905" t="3810" r="13335" b="21590"/>
                            <wp:wrapNone/>
                            <wp:docPr id="5" name="组合 5"/>
                            <wp:cNvGraphicFramePr/>
                            <a:graphic xmlns:a="http://schemas.openxmlformats.org/drawingml/2006/main">
                              <a:graphicData uri="http://schemas.microsoft.com/office/word/2010/wordprocessingGroup">
                                <wpg:wgp>
                                  <wpg:cNvGrpSpPr/>
                                  <wpg:grpSpPr>
                                    <a:xfrm>
                                      <a:off x="0" y="0"/>
                                      <a:ext cx="1756410" cy="889000"/>
                                      <a:chOff x="1134" y="2331"/>
                                      <a:chExt cx="2415" cy="1299"/>
                                    </a:xfrm>
                                    <a:effectLst/>
                                  </wpg:grpSpPr>
                                  <wps:wsp>
                                    <wps:cNvPr id="2" name="直接连接符 1"/>
                                    <wps:cNvCnPr/>
                                    <wps:spPr>
                                      <a:xfrm>
                                        <a:off x="1134" y="2694"/>
                                        <a:ext cx="2415" cy="936"/>
                                      </a:xfrm>
                                      <a:prstGeom prst="line">
                                        <a:avLst/>
                                      </a:prstGeom>
                                      <a:ln w="9525" cap="flat" cmpd="sng">
                                        <a:solidFill>
                                          <a:srgbClr val="000000"/>
                                        </a:solidFill>
                                        <a:prstDash val="solid"/>
                                        <a:headEnd type="none" w="med" len="med"/>
                                        <a:tailEnd type="none" w="med" len="med"/>
                                      </a:ln>
                                      <a:effectLst/>
                                    </wps:spPr>
                                    <wps:bodyPr/>
                                  </wps:wsp>
                                  <wps:wsp>
                                    <wps:cNvPr id="3" name="直接连接符 3"/>
                                    <wps:cNvCnPr/>
                                    <wps:spPr>
                                      <a:xfrm>
                                        <a:off x="2079" y="2331"/>
                                        <a:ext cx="1470" cy="1299"/>
                                      </a:xfrm>
                                      <a:prstGeom prst="line">
                                        <a:avLst/>
                                      </a:prstGeom>
                                      <a:ln w="9525" cap="flat" cmpd="sng">
                                        <a:solidFill>
                                          <a:srgbClr val="000000"/>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2.05pt;margin-top:0.25pt;height:70pt;width:138.3pt;z-index:251661312;mso-width-relative:page;mso-height-relative:page;" coordorigin="1134,2331" coordsize="2415,1299" o:gfxdata="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4VPlHdcAAAAHAQAADwAAAAAAAAABACAAAAAiAAAAZHJzL2Rvd25yZXYueG1sUEsBAhQAFAAAAAgA&#10;h07iQGwYHwyYAgAANwcAAA4AAAAAAAAAAQAgAAAAJgEAAGRycy9lMm9Eb2MueG1sUEsFBgAAAAAG&#10;AAYAWQEAADAGAAAAAA==&#10;">
                            <o:lock v:ext="edit" aspectratio="f"/>
                            <v:line id="直接连接符 1" o:spid="_x0000_s1026" o:spt="20" style="position:absolute;left:1134;top:2694;height:936;width:2415;"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079;top:2331;height:1299;width:147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28575</wp:posOffset>
                            </wp:positionV>
                            <wp:extent cx="635"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9pt;margin-top:2.25pt;height:0pt;width:0.05pt;z-index:251660288;mso-width-relative:page;mso-height-relative:page;" filled="f" stroked="t" coordsize="21600,21600" o:gfxdata="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u4sd1QAAAAcBAAAPAAAAAAAAAAEAIAAAACIAAABkcnMvZG93bnJldi54bWxQSwECFAAUAAAACACH&#10;TuJA2MWT8+4BAADiAwAADgAAAAAAAAABACAAAAAkAQAAZHJzL2Uyb0RvYy54bWxQSwUGAAAAAAYA&#10;BgBZAQAAhAUAAAAA&#10;">
                            <v:fill on="f" focussize="0,0"/>
                            <v:stroke color="#000000" joinstyle="round"/>
                            <v:imagedata o:title=""/>
                            <o:lock v:ext="edit" aspectratio="f"/>
                          </v:line>
                        </w:pict>
                      </mc:Fallback>
                    </mc:AlternateContent>
                  </w:r>
                  <w:r>
                    <w:rPr>
                      <w:rFonts w:hint="eastAsia" w:ascii="新宋体" w:hAnsi="新宋体" w:eastAsia="新宋体" w:cs="新宋体"/>
                      <w:color w:val="auto"/>
                      <w:sz w:val="22"/>
                      <w:szCs w:val="22"/>
                      <w:highlight w:val="none"/>
                    </w:rPr>
                    <w:t xml:space="preserve">          服务类型</w:t>
                  </w:r>
                </w:p>
                <w:p w14:paraId="552394AC">
                  <w:pPr>
                    <w:spacing w:line="460" w:lineRule="exact"/>
                    <w:ind w:firstLine="1100" w:firstLineChars="5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费率</w:t>
                  </w:r>
                </w:p>
                <w:p w14:paraId="6661D7B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预算金额（万元）</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208FA82">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货物招标</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496CE271">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服务招标</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07339934">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工程招标</w:t>
                  </w:r>
                </w:p>
              </w:tc>
            </w:tr>
            <w:tr w14:paraId="7F29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707" w:type="dxa"/>
                  <w:tcBorders>
                    <w:top w:val="single" w:color="auto" w:sz="4" w:space="0"/>
                    <w:left w:val="single" w:color="auto" w:sz="4" w:space="0"/>
                    <w:bottom w:val="single" w:color="auto" w:sz="4" w:space="0"/>
                    <w:right w:val="single" w:color="auto" w:sz="4" w:space="0"/>
                  </w:tcBorders>
                  <w:noWrap w:val="0"/>
                  <w:vAlign w:val="center"/>
                </w:tcPr>
                <w:p w14:paraId="4EF43AE4">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100以下</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5B8305B">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0B2C4B51">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6B04F8FB">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r>
            <w:tr w14:paraId="3DD9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707" w:type="dxa"/>
                  <w:tcBorders>
                    <w:top w:val="single" w:color="auto" w:sz="4" w:space="0"/>
                    <w:left w:val="single" w:color="auto" w:sz="4" w:space="0"/>
                    <w:bottom w:val="single" w:color="auto" w:sz="4" w:space="0"/>
                    <w:right w:val="single" w:color="auto" w:sz="4" w:space="0"/>
                  </w:tcBorders>
                  <w:noWrap w:val="0"/>
                  <w:vAlign w:val="center"/>
                </w:tcPr>
                <w:p w14:paraId="03A03CEB">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100-500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3B0868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24F2805A">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0.8%</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52D75B8">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0.7%</w:t>
                  </w:r>
                </w:p>
              </w:tc>
            </w:tr>
            <w:tr w14:paraId="59D0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707" w:type="dxa"/>
                  <w:tcBorders>
                    <w:top w:val="single" w:color="auto" w:sz="4" w:space="0"/>
                    <w:left w:val="single" w:color="auto" w:sz="4" w:space="0"/>
                    <w:bottom w:val="single" w:color="auto" w:sz="4" w:space="0"/>
                    <w:right w:val="single" w:color="auto" w:sz="4" w:space="0"/>
                  </w:tcBorders>
                  <w:noWrap w:val="0"/>
                  <w:vAlign w:val="center"/>
                </w:tcPr>
                <w:p w14:paraId="7706DA1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500-1000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299E13B">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0.8%</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642EA75A">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0.45%</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D40626A">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0.55%</w:t>
                  </w:r>
                </w:p>
              </w:tc>
            </w:tr>
            <w:tr w14:paraId="4D43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707" w:type="dxa"/>
                  <w:tcBorders>
                    <w:top w:val="single" w:color="auto" w:sz="4" w:space="0"/>
                    <w:left w:val="single" w:color="auto" w:sz="4" w:space="0"/>
                    <w:bottom w:val="single" w:color="auto" w:sz="4" w:space="0"/>
                    <w:right w:val="single" w:color="auto" w:sz="4" w:space="0"/>
                  </w:tcBorders>
                  <w:noWrap w:val="0"/>
                  <w:vAlign w:val="center"/>
                </w:tcPr>
                <w:p w14:paraId="2C727B1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1000-5000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50778DF">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0.5%</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4B8E570C">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0.25%</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58A5F9B3">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0.35%</w:t>
                  </w:r>
                </w:p>
              </w:tc>
            </w:tr>
            <w:tr w14:paraId="787C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707" w:type="dxa"/>
                  <w:tcBorders>
                    <w:top w:val="single" w:color="auto" w:sz="4" w:space="0"/>
                    <w:left w:val="single" w:color="auto" w:sz="4" w:space="0"/>
                    <w:bottom w:val="single" w:color="auto" w:sz="4" w:space="0"/>
                    <w:right w:val="single" w:color="auto" w:sz="4" w:space="0"/>
                  </w:tcBorders>
                  <w:noWrap w:val="0"/>
                  <w:vAlign w:val="center"/>
                </w:tcPr>
                <w:p w14:paraId="168305CC">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5000-10000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260D834">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0.25%</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2FDAFE8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C72A5C9">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0.2%</w:t>
                  </w:r>
                </w:p>
              </w:tc>
            </w:tr>
            <w:tr w14:paraId="15E1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707" w:type="dxa"/>
                  <w:tcBorders>
                    <w:top w:val="single" w:color="auto" w:sz="4" w:space="0"/>
                    <w:left w:val="single" w:color="auto" w:sz="4" w:space="0"/>
                    <w:bottom w:val="single" w:color="auto" w:sz="4" w:space="0"/>
                    <w:right w:val="single" w:color="auto" w:sz="4" w:space="0"/>
                  </w:tcBorders>
                  <w:noWrap w:val="0"/>
                  <w:vAlign w:val="center"/>
                </w:tcPr>
                <w:p w14:paraId="32D72DC8">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10000-100000</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653E910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0.05%</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41B13B6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0.05%</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7E13EC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0.05%</w:t>
                  </w:r>
                </w:p>
              </w:tc>
            </w:tr>
            <w:tr w14:paraId="53EE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707" w:type="dxa"/>
                  <w:tcBorders>
                    <w:top w:val="single" w:color="auto" w:sz="4" w:space="0"/>
                    <w:left w:val="single" w:color="auto" w:sz="4" w:space="0"/>
                    <w:bottom w:val="single" w:color="auto" w:sz="4" w:space="0"/>
                    <w:right w:val="single" w:color="auto" w:sz="4" w:space="0"/>
                  </w:tcBorders>
                  <w:noWrap w:val="0"/>
                  <w:vAlign w:val="center"/>
                </w:tcPr>
                <w:p w14:paraId="7C7E2E6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1000000以上</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D70E4CC">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0.01%</w:t>
                  </w:r>
                </w:p>
              </w:tc>
              <w:tc>
                <w:tcPr>
                  <w:tcW w:w="1415" w:type="dxa"/>
                  <w:tcBorders>
                    <w:top w:val="single" w:color="auto" w:sz="4" w:space="0"/>
                    <w:left w:val="single" w:color="auto" w:sz="4" w:space="0"/>
                    <w:bottom w:val="single" w:color="auto" w:sz="4" w:space="0"/>
                    <w:right w:val="single" w:color="auto" w:sz="4" w:space="0"/>
                  </w:tcBorders>
                  <w:noWrap w:val="0"/>
                  <w:vAlign w:val="center"/>
                </w:tcPr>
                <w:p w14:paraId="5680E077">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0.01%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13A3200">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0.01%</w:t>
                  </w:r>
                </w:p>
              </w:tc>
            </w:tr>
          </w:tbl>
          <w:p w14:paraId="4FCFEF0A">
            <w:pPr>
              <w:adjustRightInd w:val="0"/>
              <w:snapToGrid w:val="0"/>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b/>
                <w:color w:val="auto"/>
                <w:sz w:val="22"/>
                <w:szCs w:val="22"/>
                <w:highlight w:val="none"/>
              </w:rPr>
              <w:t>注：本次招标为</w:t>
            </w:r>
            <w:r>
              <w:rPr>
                <w:rFonts w:hint="eastAsia" w:ascii="新宋体" w:hAnsi="新宋体" w:eastAsia="新宋体" w:cs="新宋体"/>
                <w:b/>
                <w:color w:val="auto"/>
                <w:sz w:val="22"/>
                <w:szCs w:val="22"/>
                <w:highlight w:val="none"/>
                <w:lang w:val="en-US" w:eastAsia="zh-CN"/>
              </w:rPr>
              <w:t>货物</w:t>
            </w:r>
            <w:r>
              <w:rPr>
                <w:rFonts w:hint="eastAsia" w:ascii="新宋体" w:hAnsi="新宋体" w:eastAsia="新宋体" w:cs="新宋体"/>
                <w:b/>
                <w:color w:val="auto"/>
                <w:sz w:val="22"/>
                <w:szCs w:val="22"/>
                <w:highlight w:val="none"/>
              </w:rPr>
              <w:t>招标，招标代理服务收费按差额定率累进法计算。</w:t>
            </w:r>
          </w:p>
        </w:tc>
      </w:tr>
    </w:tbl>
    <w:p w14:paraId="6505E12E">
      <w:pPr>
        <w:spacing w:line="460" w:lineRule="exact"/>
        <w:rPr>
          <w:rFonts w:ascii="新宋体" w:hAnsi="新宋体" w:eastAsia="新宋体" w:cs="新宋体"/>
          <w:color w:val="auto"/>
          <w:highlight w:val="none"/>
        </w:rPr>
      </w:pPr>
    </w:p>
    <w:p w14:paraId="51948C8B">
      <w:pPr>
        <w:spacing w:line="460" w:lineRule="exact"/>
        <w:rPr>
          <w:rFonts w:ascii="新宋体" w:hAnsi="新宋体" w:eastAsia="新宋体" w:cs="新宋体"/>
          <w:color w:val="auto"/>
          <w:highlight w:val="none"/>
        </w:rPr>
      </w:pPr>
    </w:p>
    <w:p w14:paraId="15463EBB">
      <w:pPr>
        <w:pStyle w:val="3"/>
        <w:spacing w:line="460" w:lineRule="exact"/>
        <w:jc w:val="center"/>
        <w:outlineLvl w:val="1"/>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bookmarkStart w:id="19" w:name="_Toc17560"/>
      <w:r>
        <w:rPr>
          <w:rFonts w:hint="eastAsia" w:ascii="新宋体" w:hAnsi="新宋体" w:eastAsia="新宋体" w:cs="新宋体"/>
          <w:b/>
          <w:bCs/>
          <w:color w:val="auto"/>
          <w:sz w:val="22"/>
          <w:szCs w:val="22"/>
          <w:highlight w:val="none"/>
        </w:rPr>
        <w:t>一、说    明</w:t>
      </w:r>
      <w:bookmarkEnd w:id="19"/>
    </w:p>
    <w:p w14:paraId="620CE6A0">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本次招标是按照《中华人民共和国政府采购法》、《政府采购货物和服务招标投标管理办法》、《中华人民共和国政府采购法实施条例》和《关于进一步规范</w:t>
      </w:r>
      <w:bookmarkStart w:id="154" w:name="_GoBack"/>
      <w:bookmarkEnd w:id="154"/>
      <w:r>
        <w:rPr>
          <w:rFonts w:hint="eastAsia" w:ascii="新宋体" w:hAnsi="新宋体" w:eastAsia="新宋体" w:cs="新宋体"/>
          <w:color w:val="auto"/>
          <w:sz w:val="22"/>
          <w:szCs w:val="22"/>
          <w:highlight w:val="none"/>
        </w:rPr>
        <w:t>政府采购活动的若干意见》等法律及有关法规组织和实施的。</w:t>
      </w:r>
    </w:p>
    <w:p w14:paraId="4AAD365F">
      <w:pPr>
        <w:pStyle w:val="3"/>
        <w:spacing w:line="460" w:lineRule="exact"/>
        <w:rPr>
          <w:rFonts w:ascii="新宋体" w:hAnsi="新宋体" w:eastAsia="新宋体" w:cs="新宋体"/>
          <w:b/>
          <w:bCs/>
          <w:color w:val="auto"/>
          <w:sz w:val="22"/>
          <w:szCs w:val="22"/>
          <w:highlight w:val="none"/>
        </w:rPr>
      </w:pPr>
      <w:bookmarkStart w:id="20" w:name="_Toc19066"/>
      <w:bookmarkStart w:id="21" w:name="_Toc31546"/>
      <w:bookmarkStart w:id="22" w:name="_Toc3235"/>
      <w:bookmarkStart w:id="23" w:name="_Toc195502489"/>
      <w:bookmarkStart w:id="24" w:name="_Toc202085289"/>
      <w:bookmarkStart w:id="25" w:name="_Toc195502579"/>
      <w:r>
        <w:rPr>
          <w:rFonts w:hint="eastAsia" w:ascii="新宋体" w:hAnsi="新宋体" w:eastAsia="新宋体" w:cs="新宋体"/>
          <w:b/>
          <w:bCs/>
          <w:color w:val="auto"/>
          <w:sz w:val="22"/>
          <w:szCs w:val="22"/>
          <w:highlight w:val="none"/>
        </w:rPr>
        <w:t>2.   定义</w:t>
      </w:r>
      <w:bookmarkEnd w:id="20"/>
      <w:bookmarkEnd w:id="21"/>
      <w:bookmarkEnd w:id="22"/>
    </w:p>
    <w:p w14:paraId="3026DF64">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2.1 “采购人”系指招标公告中载明的本项目的采购人。</w:t>
      </w:r>
    </w:p>
    <w:p w14:paraId="11E8AFFB">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2.2 “采购代理机构”系指招标公告中载明的本项目的采购代理机构。</w:t>
      </w:r>
    </w:p>
    <w:p w14:paraId="5D9B96B3">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2.3 “投标人”均系指是指响应招标、参加投标竞争的法人、其他组织或者自然人。</w:t>
      </w:r>
    </w:p>
    <w:p w14:paraId="6B960AB3">
      <w:pPr>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2.4 “联合体”：是指不同的供应商通过签署联合体投标协议，以一个供应商的身份参加投标。</w:t>
      </w:r>
    </w:p>
    <w:p w14:paraId="381B9667">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2.5 “负责人”系指法人企业的法定负责人，或其他组织为法律、行政法规规定代表单位行使职权的主要负责人，或自然人本人。</w:t>
      </w:r>
    </w:p>
    <w:p w14:paraId="0A0C5313">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2.6“电子签名”系指数据电文中以电子形式所含、所附用于识别签名人身份并表明签名人认可其中内容的数据；“公章”系指单位法定名称章。</w:t>
      </w:r>
    </w:p>
    <w:p w14:paraId="67E20C0A">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2.7“电子交易平台”是指本项目政府采购活动所依托的政府采购云平台（https://www.zcygov.cn/）。</w:t>
      </w:r>
    </w:p>
    <w:p w14:paraId="39084641">
      <w:pPr>
        <w:pStyle w:val="3"/>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2.8 “▲”为实质性响应项，不满足则投标无效。“★”是关键技术参数及要求。</w:t>
      </w:r>
    </w:p>
    <w:p w14:paraId="40DFE9F3">
      <w:pPr>
        <w:pStyle w:val="3"/>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3.  </w:t>
      </w:r>
      <w:r>
        <w:rPr>
          <w:rFonts w:hint="eastAsia" w:ascii="宋体" w:hAnsi="宋体" w:cs="宋体"/>
          <w:b/>
          <w:color w:val="auto"/>
          <w:sz w:val="22"/>
          <w:szCs w:val="22"/>
          <w:highlight w:val="none"/>
        </w:rPr>
        <w:t>投标人代表</w:t>
      </w:r>
    </w:p>
    <w:p w14:paraId="4264E34F">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3.1合格的投标人应满足招标文件第一部分“招标公告”对申请人的资格要求。</w:t>
      </w:r>
    </w:p>
    <w:p w14:paraId="7E3F23DB">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3.2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180CC048">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授权书》。</w:t>
      </w:r>
    </w:p>
    <w:p w14:paraId="0FCF25A3">
      <w:pPr>
        <w:pStyle w:val="3"/>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  采购项目需要落实的政府采购政策</w:t>
      </w:r>
    </w:p>
    <w:p w14:paraId="521ACB13">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0D82907">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4.2 支持绿色发展</w:t>
      </w:r>
    </w:p>
    <w:p w14:paraId="02A6685E">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采购人拟采购的产品属于政府强制采购的节能产品品目清单范围的，供应商未按招标文件要求提供国家确定的认证机构出具的、处于有效期之内的节能产品认证证书的，投标无效。</w:t>
      </w:r>
    </w:p>
    <w:p w14:paraId="5401D2B9">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3871A34">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4.3支持中小企业发展</w:t>
      </w:r>
    </w:p>
    <w:p w14:paraId="5910556C">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21F1387A">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符合中小企业划分标准的个体工商户，在政府采购活动中视同中小企业。</w:t>
      </w:r>
    </w:p>
    <w:p w14:paraId="1FD4F44A">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bCs/>
          <w:color w:val="auto"/>
          <w:sz w:val="22"/>
          <w:highlight w:val="none"/>
        </w:rPr>
        <w:t>4.3.2</w:t>
      </w:r>
      <w:r>
        <w:rPr>
          <w:rFonts w:hint="eastAsia" w:ascii="新宋体" w:hAnsi="新宋体" w:eastAsia="新宋体" w:cs="新宋体"/>
          <w:color w:val="auto"/>
          <w:sz w:val="22"/>
          <w:highlight w:val="none"/>
        </w:rPr>
        <w:t>在政府采购活动中，供应商提供的货物、工程或者服务符合下列情形的，享受中小企业扶持政策：</w:t>
      </w:r>
    </w:p>
    <w:p w14:paraId="6FFCD8CB">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4.3.2.1在货物采购项目中，货物由中小企业制造，即货物由中小企业生产且使用该中小企业商号或者注册商标；</w:t>
      </w:r>
    </w:p>
    <w:p w14:paraId="03CF1FFA">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4.3.2.2在工程采购项目中，工程由中小企业承建，即工程施工单位为中小企业；</w:t>
      </w:r>
    </w:p>
    <w:p w14:paraId="12DC4937">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4.3.2.3在服务采购项目中，服务由中小企业承接，即提供服务的人员为中小企业依照《中华人民共和国劳动合同法》订立劳动合同的从业人员。</w:t>
      </w:r>
    </w:p>
    <w:p w14:paraId="15C4FFC0">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在货物采购项目中，供应商提供的货物既有中小企业制造货物，也有大型企业制造货物的，不享受中小企业扶持政策。</w:t>
      </w:r>
    </w:p>
    <w:p w14:paraId="0DAB0372">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以联合体形式参加政府采购活动，联合体各方均为中小企业的，联合体视同中小企业。其中，联合体各方均为小微企业的，联合体视同小微企业。</w:t>
      </w:r>
    </w:p>
    <w:p w14:paraId="743FF099">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扣除，用扣除后的价格参加评审。组成联合体或者接受分包的小微企业与联合体内其他企业、分包企业之间存在直接控股、管理关系的，不享受价格扣除优惠政策。</w:t>
      </w:r>
    </w:p>
    <w:p w14:paraId="0FB6093F">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4.3.4符合《关于促进残疾人就业政府采购政策的通知》（财库〔2017〕141号）规定的条件并提供《残疾人福利性单位声明函》（附件三）的残疾人福利性单位视同小型、微型企业；</w:t>
      </w:r>
    </w:p>
    <w:p w14:paraId="75FDF349">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576CCB">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40CCC2BF">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4.3.7中小企业享受扶持政策获得政府采购合同的，小微企业不得将合同分包给大中型企业，中型企业不得将合同分包给大型企业。</w:t>
      </w:r>
    </w:p>
    <w:p w14:paraId="580D90D6">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4.4支持创新发展</w:t>
      </w:r>
    </w:p>
    <w:p w14:paraId="5096CD56">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4.4.1采购人优先采购被认定为首台套产品和“制造精品”的自主创新产品。</w:t>
      </w:r>
    </w:p>
    <w:p w14:paraId="118C4509">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4.4.2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1E3108F">
      <w:pPr>
        <w:pStyle w:val="3"/>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  询问、质疑、投诉</w:t>
      </w:r>
    </w:p>
    <w:p w14:paraId="39929155">
      <w:pPr>
        <w:spacing w:line="460" w:lineRule="exact"/>
        <w:ind w:firstLine="440" w:firstLineChars="200"/>
        <w:rPr>
          <w:rFonts w:ascii="新宋体" w:hAnsi="新宋体" w:eastAsia="新宋体" w:cs="新宋体"/>
          <w:color w:val="auto"/>
          <w:sz w:val="22"/>
          <w:highlight w:val="none"/>
          <w:lang w:val="zh-CN"/>
        </w:rPr>
      </w:pPr>
      <w:bookmarkStart w:id="26" w:name="_Toc30414"/>
      <w:bookmarkStart w:id="27" w:name="_Toc102115981"/>
      <w:r>
        <w:rPr>
          <w:rFonts w:hint="eastAsia" w:ascii="新宋体" w:hAnsi="新宋体" w:eastAsia="新宋体" w:cs="新宋体"/>
          <w:color w:val="auto"/>
          <w:sz w:val="22"/>
          <w:highlight w:val="none"/>
        </w:rPr>
        <w:t>5</w:t>
      </w:r>
      <w:r>
        <w:rPr>
          <w:rFonts w:hint="eastAsia" w:ascii="新宋体" w:hAnsi="新宋体" w:eastAsia="新宋体" w:cs="新宋体"/>
          <w:color w:val="auto"/>
          <w:sz w:val="22"/>
          <w:highlight w:val="none"/>
          <w:lang w:val="zh-CN"/>
        </w:rPr>
        <w:t>.1供应商询问</w:t>
      </w:r>
    </w:p>
    <w:p w14:paraId="3019B50A">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94CF1C">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rPr>
        <w:t>5</w:t>
      </w:r>
      <w:r>
        <w:rPr>
          <w:rFonts w:hint="eastAsia" w:ascii="新宋体" w:hAnsi="新宋体" w:eastAsia="新宋体" w:cs="新宋体"/>
          <w:color w:val="auto"/>
          <w:sz w:val="22"/>
          <w:highlight w:val="none"/>
          <w:lang w:val="zh-CN"/>
        </w:rPr>
        <w:t>.2供应商质疑</w:t>
      </w:r>
    </w:p>
    <w:p w14:paraId="2E00024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.2</w:t>
      </w:r>
      <w:r>
        <w:rPr>
          <w:rFonts w:hint="eastAsia" w:ascii="新宋体" w:hAnsi="新宋体" w:eastAsia="新宋体" w:cs="新宋体"/>
          <w:color w:val="auto"/>
          <w:sz w:val="22"/>
          <w:szCs w:val="22"/>
          <w:highlight w:val="none"/>
        </w:rPr>
        <w:t>.1提出质疑的供应商应当是参与所质疑项目采购活动的供应商。潜在供应商已依法获取其可质疑的招标文件的，可以对该文件提出质疑。</w:t>
      </w:r>
    </w:p>
    <w:p w14:paraId="62245E55">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.2</w:t>
      </w:r>
      <w:r>
        <w:rPr>
          <w:rFonts w:hint="eastAsia" w:ascii="新宋体" w:hAnsi="新宋体" w:eastAsia="新宋体" w:cs="新宋体"/>
          <w:color w:val="auto"/>
          <w:sz w:val="22"/>
          <w:szCs w:val="22"/>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A52AEF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5.2.2.1质疑提交形式：以书面形式向招标公告中载明的质疑联系人提交或登录政采云平台（https://www.zcygov.cn/）通过“询问质疑投诉”栏向采购机构内设的质疑联系人提交并上传书面质疑材料。</w:t>
      </w:r>
    </w:p>
    <w:p w14:paraId="2147FDB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5.2.2.2对招标文件提出质疑的，质疑期限为供应商获得招标文件之日或者招标文件公告期限届满之日起计算。</w:t>
      </w:r>
    </w:p>
    <w:p w14:paraId="07395B4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5.2.2.3</w:t>
      </w:r>
      <w:r>
        <w:rPr>
          <w:rFonts w:hint="eastAsia" w:ascii="新宋体" w:hAnsi="新宋体" w:eastAsia="新宋体" w:cs="新宋体"/>
          <w:b/>
          <w:bCs/>
          <w:color w:val="auto"/>
          <w:sz w:val="22"/>
          <w:szCs w:val="22"/>
          <w:highlight w:val="none"/>
        </w:rPr>
        <w:t>对采购过程提出质疑的，质疑期限为各采购程序环节结束之日起计算。对同一采购程序环节的质疑，供应商须一次性提出。</w:t>
      </w:r>
    </w:p>
    <w:p w14:paraId="0AC1879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5.2.2.4对采购结果提出质疑的，质疑期限自采购结果公告期限届满之日起计算。</w:t>
      </w:r>
    </w:p>
    <w:p w14:paraId="480CDFA4">
      <w:pPr>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.2.3</w:t>
      </w:r>
      <w:r>
        <w:rPr>
          <w:rFonts w:hint="eastAsia" w:ascii="新宋体" w:hAnsi="新宋体" w:eastAsia="新宋体" w:cs="新宋体"/>
          <w:color w:val="auto"/>
          <w:sz w:val="22"/>
          <w:szCs w:val="22"/>
          <w:highlight w:val="none"/>
        </w:rPr>
        <w:t>供应商提出质疑应当提交质疑函和必要的证明材料。质疑函应当包括下列内容：</w:t>
      </w:r>
    </w:p>
    <w:p w14:paraId="65CED274">
      <w:pPr>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.2.3.1供应商的姓名或者名称、地址、邮编、联系人及联系电话；</w:t>
      </w:r>
    </w:p>
    <w:p w14:paraId="6D823A96">
      <w:pPr>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.2.3.2质疑项目的名称、编号；</w:t>
      </w:r>
    </w:p>
    <w:p w14:paraId="26955F02">
      <w:pPr>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.2.3.3具体、明确的质疑事项和与质疑事项相关的请求；</w:t>
      </w:r>
    </w:p>
    <w:p w14:paraId="62E54382">
      <w:pPr>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.2.3.4事实依据；</w:t>
      </w:r>
    </w:p>
    <w:p w14:paraId="1043DBC0">
      <w:pPr>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.2.3.5必要的法律依据；</w:t>
      </w:r>
    </w:p>
    <w:p w14:paraId="6E54A87F">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rPr>
        <w:t>5</w:t>
      </w:r>
      <w:r>
        <w:rPr>
          <w:rFonts w:hint="eastAsia" w:ascii="新宋体" w:hAnsi="新宋体" w:eastAsia="新宋体" w:cs="新宋体"/>
          <w:color w:val="auto"/>
          <w:sz w:val="22"/>
          <w:highlight w:val="none"/>
          <w:lang w:val="zh-CN"/>
        </w:rPr>
        <w:t>.2.3.6提出质疑的日期。</w:t>
      </w:r>
    </w:p>
    <w:p w14:paraId="7C55DFB0">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供应商为自然人的，应当由本人签字；供应商为法人或者其他组织的，应当由法定代表人、主要负责人，或者其授权代表签字或者盖章，并加盖公章。</w:t>
      </w:r>
    </w:p>
    <w:p w14:paraId="39165CAC">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质疑函范本及制作说明详见浙江政府采购网相关格式内容。</w:t>
      </w:r>
    </w:p>
    <w:p w14:paraId="4874896F">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rPr>
        <w:t>5</w:t>
      </w:r>
      <w:r>
        <w:rPr>
          <w:rFonts w:hint="eastAsia" w:ascii="新宋体" w:hAnsi="新宋体" w:eastAsia="新宋体" w:cs="新宋体"/>
          <w:color w:val="auto"/>
          <w:sz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6853167F">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rPr>
        <w:t>5</w:t>
      </w:r>
      <w:r>
        <w:rPr>
          <w:rFonts w:hint="eastAsia" w:ascii="新宋体" w:hAnsi="新宋体" w:eastAsia="新宋体" w:cs="新宋体"/>
          <w:color w:val="auto"/>
          <w:sz w:val="22"/>
          <w:highlight w:val="none"/>
          <w:lang w:val="zh-CN"/>
        </w:rPr>
        <w:t>.2.5询问或者质疑事项可能影响采购结果的，采购人应当暂停签订合同，已经签订合同的，应当中止履行合同。</w:t>
      </w:r>
    </w:p>
    <w:p w14:paraId="447C8834">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rPr>
        <w:t>5</w:t>
      </w:r>
      <w:r>
        <w:rPr>
          <w:rFonts w:hint="eastAsia" w:ascii="新宋体" w:hAnsi="新宋体" w:eastAsia="新宋体" w:cs="新宋体"/>
          <w:color w:val="auto"/>
          <w:sz w:val="22"/>
          <w:highlight w:val="none"/>
          <w:lang w:val="zh-CN"/>
        </w:rPr>
        <w:t>.3供应商投诉</w:t>
      </w:r>
    </w:p>
    <w:p w14:paraId="2B89EBA0">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77D95A1E">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5.3.2供应商投诉的事项不得超出已质疑事项的范围，基于质疑答复内容提出的投诉事项除外。</w:t>
      </w:r>
    </w:p>
    <w:p w14:paraId="49524CC6">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5.3.3供应商投诉应当有明确的请求和必要的证明材料。</w:t>
      </w:r>
    </w:p>
    <w:p w14:paraId="1688AC0C">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5.3.5 以联合体形式参加政府采购活动的，其投诉应当由组成联合体的所有供应商共同提出。</w:t>
      </w:r>
    </w:p>
    <w:p w14:paraId="5C211AAC">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投诉书范本及制作说明详见浙江政府采购网相关格式内容。</w:t>
      </w:r>
    </w:p>
    <w:p w14:paraId="42601687">
      <w:pPr>
        <w:pStyle w:val="3"/>
        <w:spacing w:line="460" w:lineRule="exact"/>
        <w:jc w:val="center"/>
        <w:outlineLvl w:val="1"/>
        <w:rPr>
          <w:rFonts w:ascii="新宋体" w:hAnsi="新宋体" w:eastAsia="新宋体" w:cs="新宋体"/>
          <w:b/>
          <w:bCs/>
          <w:color w:val="auto"/>
          <w:sz w:val="22"/>
          <w:szCs w:val="22"/>
          <w:highlight w:val="none"/>
        </w:rPr>
      </w:pPr>
      <w:bookmarkStart w:id="28" w:name="_Toc23927"/>
      <w:r>
        <w:rPr>
          <w:rFonts w:hint="eastAsia" w:ascii="新宋体" w:hAnsi="新宋体" w:eastAsia="新宋体" w:cs="新宋体"/>
          <w:b/>
          <w:bCs/>
          <w:color w:val="auto"/>
          <w:sz w:val="22"/>
          <w:szCs w:val="22"/>
          <w:highlight w:val="none"/>
        </w:rPr>
        <w:t>二、</w:t>
      </w:r>
      <w:bookmarkEnd w:id="23"/>
      <w:bookmarkEnd w:id="24"/>
      <w:bookmarkEnd w:id="25"/>
      <w:bookmarkEnd w:id="26"/>
      <w:bookmarkEnd w:id="27"/>
      <w:r>
        <w:rPr>
          <w:rFonts w:hint="eastAsia" w:ascii="新宋体" w:hAnsi="新宋体" w:eastAsia="新宋体" w:cs="新宋体"/>
          <w:b/>
          <w:bCs/>
          <w:color w:val="auto"/>
          <w:sz w:val="22"/>
          <w:szCs w:val="22"/>
          <w:highlight w:val="none"/>
        </w:rPr>
        <w:t>招标文件</w:t>
      </w:r>
      <w:bookmarkEnd w:id="28"/>
    </w:p>
    <w:p w14:paraId="1F05C16F">
      <w:pPr>
        <w:pStyle w:val="3"/>
        <w:spacing w:line="460" w:lineRule="exact"/>
        <w:rPr>
          <w:rFonts w:ascii="新宋体" w:hAnsi="新宋体" w:eastAsia="新宋体" w:cs="新宋体"/>
          <w:color w:val="auto"/>
          <w:sz w:val="22"/>
          <w:szCs w:val="22"/>
          <w:highlight w:val="none"/>
        </w:rPr>
      </w:pPr>
      <w:bookmarkStart w:id="29" w:name="_Toc195502580"/>
      <w:bookmarkStart w:id="30" w:name="_Toc195502490"/>
      <w:bookmarkStart w:id="31" w:name="_Toc202085290"/>
      <w:r>
        <w:rPr>
          <w:rFonts w:hint="eastAsia" w:ascii="新宋体" w:hAnsi="新宋体" w:eastAsia="新宋体" w:cs="新宋体"/>
          <w:color w:val="auto"/>
          <w:sz w:val="22"/>
          <w:szCs w:val="22"/>
          <w:highlight w:val="none"/>
        </w:rPr>
        <w:t>1． 招标文件由招标文件目录所列内容及相关资料组成。</w:t>
      </w:r>
    </w:p>
    <w:p w14:paraId="5001D850">
      <w:pPr>
        <w:pStyle w:val="3"/>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2． </w:t>
      </w:r>
      <w:r>
        <w:rPr>
          <w:rFonts w:hint="eastAsia" w:ascii="新宋体" w:hAnsi="新宋体" w:eastAsia="新宋体" w:cs="新宋体"/>
          <w:b/>
          <w:bCs/>
          <w:color w:val="auto"/>
          <w:sz w:val="22"/>
          <w:szCs w:val="22"/>
          <w:highlight w:val="none"/>
        </w:rPr>
        <w:t>招标文件的澄清和修改</w:t>
      </w:r>
    </w:p>
    <w:p w14:paraId="760EDFD9">
      <w:pPr>
        <w:spacing w:line="460" w:lineRule="exact"/>
        <w:ind w:firstLine="440" w:firstLineChars="200"/>
        <w:rPr>
          <w:rFonts w:ascii="新宋体" w:hAnsi="新宋体" w:eastAsia="新宋体" w:cs="新宋体"/>
          <w:color w:val="auto"/>
          <w:sz w:val="22"/>
          <w:highlight w:val="none"/>
          <w:lang w:val="zh-CN"/>
        </w:rPr>
      </w:pPr>
      <w:bookmarkStart w:id="32" w:name="_Toc3210"/>
      <w:bookmarkStart w:id="33" w:name="_Toc102115982"/>
      <w:r>
        <w:rPr>
          <w:rFonts w:hint="eastAsia" w:ascii="新宋体" w:hAnsi="新宋体" w:eastAsia="新宋体" w:cs="新宋体"/>
          <w:color w:val="auto"/>
          <w:sz w:val="22"/>
          <w:highlight w:val="none"/>
          <w:lang w:val="zh-CN"/>
        </w:rPr>
        <w:t>2.1  采购人或者采购代理机构可以对已发出的招标文件进行必要的澄清或者修改。澄清或者修改应当在原公告发布媒体上发布澄清公告。澄清或者修改的内容为招标文件的组成部分。</w:t>
      </w:r>
    </w:p>
    <w:p w14:paraId="3CE24F0B">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2.2  澄清或者修改的内容可能影响投标文件编制的，采购人或者采购代理机构应当在投标截止时间至少15日前，以书面形式通知所有获取招标文件的潜在供应商；不足15日的，采购人或者采购代理机构应当顺延提交投标文件的截止时间。潜在供应商在收到该书面通知后，应立即书面回复确认已收到该通知。</w:t>
      </w:r>
    </w:p>
    <w:p w14:paraId="43E51C2B">
      <w:pPr>
        <w:pStyle w:val="3"/>
        <w:spacing w:line="460" w:lineRule="exact"/>
        <w:jc w:val="center"/>
        <w:outlineLvl w:val="1"/>
        <w:rPr>
          <w:rFonts w:ascii="新宋体" w:hAnsi="新宋体" w:eastAsia="新宋体" w:cs="新宋体"/>
          <w:b/>
          <w:bCs/>
          <w:color w:val="auto"/>
          <w:sz w:val="22"/>
          <w:szCs w:val="22"/>
          <w:highlight w:val="none"/>
        </w:rPr>
      </w:pPr>
      <w:bookmarkStart w:id="34" w:name="_Toc17187"/>
      <w:r>
        <w:rPr>
          <w:rFonts w:hint="eastAsia" w:ascii="新宋体" w:hAnsi="新宋体" w:eastAsia="新宋体" w:cs="新宋体"/>
          <w:b/>
          <w:bCs/>
          <w:color w:val="auto"/>
          <w:sz w:val="22"/>
          <w:szCs w:val="22"/>
          <w:highlight w:val="none"/>
        </w:rPr>
        <w:t>三、</w:t>
      </w:r>
      <w:bookmarkEnd w:id="29"/>
      <w:bookmarkEnd w:id="30"/>
      <w:bookmarkEnd w:id="31"/>
      <w:bookmarkEnd w:id="32"/>
      <w:bookmarkEnd w:id="33"/>
      <w:r>
        <w:rPr>
          <w:rFonts w:hint="eastAsia" w:ascii="新宋体" w:hAnsi="新宋体" w:eastAsia="新宋体" w:cs="新宋体"/>
          <w:b/>
          <w:bCs/>
          <w:color w:val="auto"/>
          <w:sz w:val="22"/>
          <w:szCs w:val="22"/>
          <w:highlight w:val="none"/>
        </w:rPr>
        <w:t>投标文件的编制</w:t>
      </w:r>
      <w:bookmarkEnd w:id="34"/>
    </w:p>
    <w:p w14:paraId="42F1A7F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应认真阅读招标文件中所有事项、格式、条款和技术规范等。供应商没有按照招标文件要求提交全部资料，或者没有对招标文件各个方面做出实质性响应，是供应商的风险，由此造成的一切后果由供应商自行承担。</w:t>
      </w:r>
    </w:p>
    <w:p w14:paraId="4C5F5C1B">
      <w:pPr>
        <w:spacing w:line="460" w:lineRule="exact"/>
        <w:ind w:firstLine="440" w:firstLineChars="200"/>
        <w:rPr>
          <w:rFonts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b/>
          <w:color w:val="auto"/>
          <w:sz w:val="22"/>
          <w:szCs w:val="22"/>
          <w:highlight w:val="none"/>
        </w:rPr>
        <w:t>供应商应保证所提供文件资料的真实性，所有文件资料必须是针对本次投标的。如发现供应商提供了虚假文件资料，其投标文件将被拒绝，并承担相应的法律责任。</w:t>
      </w:r>
    </w:p>
    <w:p w14:paraId="40E607CB">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 投标文件分为电子投标文件以及备份投标文件。</w:t>
      </w:r>
    </w:p>
    <w:p w14:paraId="55766B05">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3.1  电子投标文件：供应商根据“政采云供应商项目采购-电子招投标操作指南”及本招标文件规定的格式和顺序编制电子投标文件关联定位、加密并递交。</w:t>
      </w:r>
    </w:p>
    <w:p w14:paraId="3A129100">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3.2  备份投标文件：供应商在政采云平台传输递交投标文件后，还可以在投标截止时间前提交以介质存储的数据电文形式的备份投标文件。电子投标文件按“政采云平台项目采购-电子招投标操作指南”上传。</w:t>
      </w:r>
    </w:p>
    <w:p w14:paraId="1528AE7F">
      <w:pPr>
        <w:pStyle w:val="3"/>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    投标文件的效力</w:t>
      </w:r>
    </w:p>
    <w:p w14:paraId="64D0F61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投标文件的启用，按先后顺位分别为电子投标文件和备份投标文件。在下一顺位的投标文件启用时，前一顺位的投标文件自动失效。</w:t>
      </w:r>
    </w:p>
    <w:p w14:paraId="470A16F7">
      <w:pPr>
        <w:pStyle w:val="3"/>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   投标文件的组成：</w:t>
      </w:r>
    </w:p>
    <w:p w14:paraId="699C4564">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5.1  投标文件由资格响应文件、商务技术响应文件、报价响应文件三部分组成：</w:t>
      </w:r>
    </w:p>
    <w:p w14:paraId="1CDC3530">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5.1.1资格响应文件</w:t>
      </w:r>
    </w:p>
    <w:tbl>
      <w:tblPr>
        <w:tblStyle w:val="3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621"/>
        <w:gridCol w:w="1227"/>
      </w:tblGrid>
      <w:tr w14:paraId="7B98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top"/>
          </w:tcPr>
          <w:p w14:paraId="7BFDED3B">
            <w:pPr>
              <w:pStyle w:val="3"/>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序号</w:t>
            </w:r>
          </w:p>
        </w:tc>
        <w:tc>
          <w:tcPr>
            <w:tcW w:w="7621" w:type="dxa"/>
            <w:noWrap w:val="0"/>
            <w:vAlign w:val="top"/>
          </w:tcPr>
          <w:p w14:paraId="5C844D06">
            <w:pPr>
              <w:pStyle w:val="3"/>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内容</w:t>
            </w:r>
          </w:p>
        </w:tc>
        <w:tc>
          <w:tcPr>
            <w:tcW w:w="1227" w:type="dxa"/>
            <w:noWrap w:val="0"/>
            <w:vAlign w:val="top"/>
          </w:tcPr>
          <w:p w14:paraId="563AD8AD">
            <w:pPr>
              <w:pStyle w:val="3"/>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说明</w:t>
            </w:r>
          </w:p>
        </w:tc>
      </w:tr>
      <w:tr w14:paraId="13B7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noWrap w:val="0"/>
            <w:vAlign w:val="center"/>
          </w:tcPr>
          <w:p w14:paraId="0DF342EC">
            <w:pPr>
              <w:pStyle w:val="3"/>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1</w:t>
            </w:r>
          </w:p>
        </w:tc>
        <w:tc>
          <w:tcPr>
            <w:tcW w:w="7621" w:type="dxa"/>
            <w:noWrap w:val="0"/>
            <w:vAlign w:val="top"/>
          </w:tcPr>
          <w:p w14:paraId="4594075C">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有效的法人或者其他组织的营业执照等证明文件，自然人的身份证明（五选一）</w:t>
            </w:r>
          </w:p>
        </w:tc>
        <w:tc>
          <w:tcPr>
            <w:tcW w:w="1227" w:type="dxa"/>
            <w:noWrap w:val="0"/>
            <w:vAlign w:val="top"/>
          </w:tcPr>
          <w:p w14:paraId="14EA15FA">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附件二-1</w:t>
            </w:r>
          </w:p>
        </w:tc>
      </w:tr>
      <w:tr w14:paraId="1B59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noWrap w:val="0"/>
            <w:vAlign w:val="center"/>
          </w:tcPr>
          <w:p w14:paraId="2058F248">
            <w:pPr>
              <w:pStyle w:val="3"/>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621" w:type="dxa"/>
            <w:noWrap w:val="0"/>
            <w:vAlign w:val="top"/>
          </w:tcPr>
          <w:p w14:paraId="436B93D6">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关于符合《中华人民共和国政府采购法》第二十二条规定的承诺函</w:t>
            </w:r>
          </w:p>
        </w:tc>
        <w:tc>
          <w:tcPr>
            <w:tcW w:w="1227" w:type="dxa"/>
            <w:noWrap w:val="0"/>
            <w:vAlign w:val="top"/>
          </w:tcPr>
          <w:p w14:paraId="5FE68960">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附件二-2</w:t>
            </w:r>
          </w:p>
        </w:tc>
      </w:tr>
      <w:tr w14:paraId="007E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noWrap w:val="0"/>
            <w:vAlign w:val="center"/>
          </w:tcPr>
          <w:p w14:paraId="1415C3C4">
            <w:pPr>
              <w:pStyle w:val="3"/>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621" w:type="dxa"/>
            <w:noWrap w:val="0"/>
            <w:vAlign w:val="top"/>
          </w:tcPr>
          <w:p w14:paraId="26B63D8D">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中小企业声明函</w:t>
            </w:r>
          </w:p>
        </w:tc>
        <w:tc>
          <w:tcPr>
            <w:tcW w:w="1227" w:type="dxa"/>
            <w:noWrap w:val="0"/>
            <w:vAlign w:val="top"/>
          </w:tcPr>
          <w:p w14:paraId="58CFE876">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附件二-3</w:t>
            </w:r>
          </w:p>
        </w:tc>
      </w:tr>
      <w:tr w14:paraId="0761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noWrap w:val="0"/>
            <w:vAlign w:val="center"/>
          </w:tcPr>
          <w:p w14:paraId="60BDCA8D">
            <w:pPr>
              <w:pStyle w:val="3"/>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621" w:type="dxa"/>
            <w:noWrap w:val="0"/>
            <w:vAlign w:val="center"/>
          </w:tcPr>
          <w:p w14:paraId="020B39C7">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残疾人福利性单位声明函（如有）</w:t>
            </w:r>
          </w:p>
        </w:tc>
        <w:tc>
          <w:tcPr>
            <w:tcW w:w="1227" w:type="dxa"/>
            <w:noWrap w:val="0"/>
            <w:vAlign w:val="top"/>
          </w:tcPr>
          <w:p w14:paraId="41C34CBB">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附件二-4</w:t>
            </w:r>
          </w:p>
        </w:tc>
      </w:tr>
      <w:tr w14:paraId="3A67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noWrap w:val="0"/>
            <w:vAlign w:val="center"/>
          </w:tcPr>
          <w:p w14:paraId="331AD9BD">
            <w:pPr>
              <w:pStyle w:val="3"/>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621" w:type="dxa"/>
            <w:noWrap w:val="0"/>
            <w:vAlign w:val="center"/>
          </w:tcPr>
          <w:p w14:paraId="78FA3FEE">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监狱企业声明函（如有）</w:t>
            </w:r>
          </w:p>
        </w:tc>
        <w:tc>
          <w:tcPr>
            <w:tcW w:w="1227" w:type="dxa"/>
            <w:noWrap w:val="0"/>
            <w:vAlign w:val="top"/>
          </w:tcPr>
          <w:p w14:paraId="4A3A0850">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附件二-5</w:t>
            </w:r>
          </w:p>
        </w:tc>
      </w:tr>
      <w:tr w14:paraId="09BE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noWrap w:val="0"/>
            <w:vAlign w:val="center"/>
          </w:tcPr>
          <w:p w14:paraId="0F1A678A">
            <w:pPr>
              <w:pStyle w:val="3"/>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621" w:type="dxa"/>
            <w:noWrap w:val="0"/>
            <w:vAlign w:val="center"/>
          </w:tcPr>
          <w:p w14:paraId="4A86DB94">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联合体协议书（如联合体需提供）</w:t>
            </w:r>
          </w:p>
        </w:tc>
        <w:tc>
          <w:tcPr>
            <w:tcW w:w="1227" w:type="dxa"/>
            <w:noWrap w:val="0"/>
            <w:vAlign w:val="top"/>
          </w:tcPr>
          <w:p w14:paraId="5EE8CB31">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附件二-6</w:t>
            </w:r>
          </w:p>
        </w:tc>
      </w:tr>
      <w:tr w14:paraId="561C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noWrap w:val="0"/>
            <w:vAlign w:val="center"/>
          </w:tcPr>
          <w:p w14:paraId="60D55A09">
            <w:pPr>
              <w:pStyle w:val="3"/>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621" w:type="dxa"/>
            <w:noWrap w:val="0"/>
            <w:vAlign w:val="top"/>
          </w:tcPr>
          <w:p w14:paraId="6CC58100">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供应商认为需要提供的其他资格证明文件</w:t>
            </w:r>
          </w:p>
        </w:tc>
        <w:tc>
          <w:tcPr>
            <w:tcW w:w="1227" w:type="dxa"/>
            <w:noWrap w:val="0"/>
            <w:vAlign w:val="top"/>
          </w:tcPr>
          <w:p w14:paraId="0F56B271">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r>
      <w:tr w14:paraId="0BCB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20" w:type="dxa"/>
            <w:gridSpan w:val="3"/>
            <w:noWrap w:val="0"/>
            <w:vAlign w:val="center"/>
          </w:tcPr>
          <w:p w14:paraId="2FB53A87">
            <w:pPr>
              <w:pStyle w:val="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说明：</w:t>
            </w:r>
            <w:r>
              <w:rPr>
                <w:rFonts w:hint="eastAsia" w:ascii="新宋体" w:hAnsi="新宋体" w:eastAsia="新宋体" w:cs="新宋体"/>
                <w:color w:val="auto"/>
                <w:sz w:val="22"/>
                <w:szCs w:val="22"/>
                <w:highlight w:val="none"/>
              </w:rPr>
              <w:t>以上所需的各种实物照片、证书、证件、证明、执照需提供复印件或扫描件加盖电子公章，上述资格条件审查材料有一项不提供的，视为资格审查不通过。</w:t>
            </w:r>
          </w:p>
        </w:tc>
      </w:tr>
    </w:tbl>
    <w:p w14:paraId="7D4E5F74">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5.1.2商务技术响应文件</w:t>
      </w:r>
    </w:p>
    <w:tbl>
      <w:tblPr>
        <w:tblStyle w:val="3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455"/>
        <w:gridCol w:w="1393"/>
      </w:tblGrid>
      <w:tr w14:paraId="190B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top"/>
          </w:tcPr>
          <w:p w14:paraId="73647CF1">
            <w:pPr>
              <w:pStyle w:val="3"/>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序号</w:t>
            </w:r>
          </w:p>
        </w:tc>
        <w:tc>
          <w:tcPr>
            <w:tcW w:w="7455" w:type="dxa"/>
            <w:noWrap w:val="0"/>
            <w:vAlign w:val="top"/>
          </w:tcPr>
          <w:p w14:paraId="2C46C8CE">
            <w:pPr>
              <w:pStyle w:val="3"/>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内容</w:t>
            </w:r>
          </w:p>
        </w:tc>
        <w:tc>
          <w:tcPr>
            <w:tcW w:w="1393" w:type="dxa"/>
            <w:noWrap w:val="0"/>
            <w:vAlign w:val="top"/>
          </w:tcPr>
          <w:p w14:paraId="586A4679">
            <w:pPr>
              <w:pStyle w:val="3"/>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说明</w:t>
            </w:r>
          </w:p>
        </w:tc>
      </w:tr>
      <w:tr w14:paraId="2025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top"/>
          </w:tcPr>
          <w:p w14:paraId="52A0E0D6">
            <w:pPr>
              <w:pStyle w:val="3"/>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455" w:type="dxa"/>
            <w:noWrap w:val="0"/>
            <w:vAlign w:val="top"/>
          </w:tcPr>
          <w:p w14:paraId="7AA8A4AC">
            <w:pPr>
              <w:pStyle w:val="3"/>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投标函</w:t>
            </w:r>
          </w:p>
        </w:tc>
        <w:tc>
          <w:tcPr>
            <w:tcW w:w="1393" w:type="dxa"/>
            <w:noWrap w:val="0"/>
            <w:vAlign w:val="top"/>
          </w:tcPr>
          <w:p w14:paraId="24838D69">
            <w:pPr>
              <w:pStyle w:val="3"/>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附件三-1</w:t>
            </w:r>
          </w:p>
        </w:tc>
      </w:tr>
      <w:tr w14:paraId="7D8E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top"/>
          </w:tcPr>
          <w:p w14:paraId="250096C4">
            <w:pPr>
              <w:pStyle w:val="3"/>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455" w:type="dxa"/>
            <w:noWrap w:val="0"/>
            <w:vAlign w:val="top"/>
          </w:tcPr>
          <w:p w14:paraId="18DAE177">
            <w:pPr>
              <w:pStyle w:val="3"/>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法定代表人身份证明</w:t>
            </w:r>
          </w:p>
        </w:tc>
        <w:tc>
          <w:tcPr>
            <w:tcW w:w="1393" w:type="dxa"/>
            <w:noWrap w:val="0"/>
            <w:vAlign w:val="top"/>
          </w:tcPr>
          <w:p w14:paraId="5E9F8376">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附件三-2</w:t>
            </w:r>
          </w:p>
        </w:tc>
      </w:tr>
      <w:tr w14:paraId="4235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6E62C926">
            <w:pPr>
              <w:pStyle w:val="3"/>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455" w:type="dxa"/>
            <w:noWrap w:val="0"/>
            <w:vAlign w:val="top"/>
          </w:tcPr>
          <w:p w14:paraId="1B35EB8F">
            <w:pPr>
              <w:pStyle w:val="3"/>
              <w:spacing w:line="460" w:lineRule="exact"/>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法定代表人授权书</w:t>
            </w:r>
          </w:p>
        </w:tc>
        <w:tc>
          <w:tcPr>
            <w:tcW w:w="1393" w:type="dxa"/>
            <w:noWrap w:val="0"/>
            <w:vAlign w:val="top"/>
          </w:tcPr>
          <w:p w14:paraId="3D087359">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附件三-3</w:t>
            </w:r>
          </w:p>
        </w:tc>
      </w:tr>
      <w:tr w14:paraId="4593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shd w:val="clear" w:color="auto" w:fill="auto"/>
            <w:noWrap w:val="0"/>
            <w:vAlign w:val="center"/>
          </w:tcPr>
          <w:p w14:paraId="3A23156E">
            <w:pPr>
              <w:pStyle w:val="3"/>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4</w:t>
            </w:r>
          </w:p>
        </w:tc>
        <w:tc>
          <w:tcPr>
            <w:tcW w:w="7455" w:type="dxa"/>
            <w:noWrap w:val="0"/>
            <w:vAlign w:val="top"/>
          </w:tcPr>
          <w:p w14:paraId="727D073D">
            <w:pPr>
              <w:pStyle w:val="3"/>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详细供货清单说明一览表</w:t>
            </w:r>
          </w:p>
        </w:tc>
        <w:tc>
          <w:tcPr>
            <w:tcW w:w="1393" w:type="dxa"/>
            <w:shd w:val="clear" w:color="auto" w:fill="auto"/>
            <w:noWrap w:val="0"/>
            <w:vAlign w:val="top"/>
          </w:tcPr>
          <w:p w14:paraId="36C1DD89">
            <w:pPr>
              <w:pStyle w:val="3"/>
              <w:spacing w:line="460" w:lineRule="exact"/>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附件三-4</w:t>
            </w:r>
          </w:p>
        </w:tc>
      </w:tr>
      <w:tr w14:paraId="7884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shd w:val="clear" w:color="auto" w:fill="auto"/>
            <w:noWrap w:val="0"/>
            <w:vAlign w:val="center"/>
          </w:tcPr>
          <w:p w14:paraId="45EDFD6B">
            <w:pPr>
              <w:pStyle w:val="3"/>
              <w:spacing w:line="460" w:lineRule="exact"/>
              <w:jc w:val="center"/>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5</w:t>
            </w:r>
          </w:p>
        </w:tc>
        <w:tc>
          <w:tcPr>
            <w:tcW w:w="7455" w:type="dxa"/>
            <w:noWrap w:val="0"/>
            <w:vAlign w:val="top"/>
          </w:tcPr>
          <w:p w14:paraId="72513986">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商务条款、技术规格偏离表</w:t>
            </w:r>
          </w:p>
        </w:tc>
        <w:tc>
          <w:tcPr>
            <w:tcW w:w="1393" w:type="dxa"/>
            <w:shd w:val="clear" w:color="auto" w:fill="auto"/>
            <w:noWrap w:val="0"/>
            <w:vAlign w:val="top"/>
          </w:tcPr>
          <w:p w14:paraId="52E691F3">
            <w:pPr>
              <w:pStyle w:val="3"/>
              <w:spacing w:line="460" w:lineRule="exact"/>
              <w:rPr>
                <w:rFonts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rPr>
              <w:t>附件三-5</w:t>
            </w:r>
          </w:p>
        </w:tc>
      </w:tr>
      <w:tr w14:paraId="60FC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21C73322">
            <w:pPr>
              <w:pStyle w:val="3"/>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7455" w:type="dxa"/>
            <w:noWrap w:val="0"/>
            <w:vAlign w:val="top"/>
          </w:tcPr>
          <w:p w14:paraId="4AD1BED7">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技术评分所需提供的其他资料（根据招标文件中的采购内容与技术要求、评标细则，需要提供的其它文件和资料。）</w:t>
            </w:r>
          </w:p>
        </w:tc>
        <w:tc>
          <w:tcPr>
            <w:tcW w:w="1393" w:type="dxa"/>
            <w:noWrap w:val="0"/>
            <w:vAlign w:val="top"/>
          </w:tcPr>
          <w:p w14:paraId="508A4A86">
            <w:pPr>
              <w:pStyle w:val="3"/>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附件三-</w:t>
            </w:r>
            <w:r>
              <w:rPr>
                <w:rFonts w:hint="eastAsia" w:ascii="新宋体" w:hAnsi="新宋体" w:eastAsia="新宋体" w:cs="新宋体"/>
                <w:color w:val="auto"/>
                <w:sz w:val="22"/>
                <w:szCs w:val="22"/>
                <w:highlight w:val="none"/>
                <w:lang w:val="en-US" w:eastAsia="zh-CN"/>
              </w:rPr>
              <w:t>6</w:t>
            </w:r>
          </w:p>
        </w:tc>
      </w:tr>
      <w:tr w14:paraId="2184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noWrap w:val="0"/>
            <w:vAlign w:val="center"/>
          </w:tcPr>
          <w:p w14:paraId="6295449F">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说明：以上所需的各种实物照片、证书、证件、证明、执照需提供复印件或扫描件加盖电子公章。</w:t>
            </w:r>
          </w:p>
        </w:tc>
      </w:tr>
    </w:tbl>
    <w:p w14:paraId="51717AB7">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lang w:val="zh-CN"/>
        </w:rPr>
        <w:t>5.1.3报价要求响应文件</w:t>
      </w:r>
    </w:p>
    <w:tbl>
      <w:tblPr>
        <w:tblStyle w:val="3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470"/>
        <w:gridCol w:w="1378"/>
      </w:tblGrid>
      <w:tr w14:paraId="2185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noWrap w:val="0"/>
            <w:vAlign w:val="center"/>
          </w:tcPr>
          <w:p w14:paraId="2417CC4B">
            <w:pPr>
              <w:pStyle w:val="3"/>
              <w:spacing w:line="460" w:lineRule="exact"/>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序号</w:t>
            </w:r>
          </w:p>
        </w:tc>
        <w:tc>
          <w:tcPr>
            <w:tcW w:w="7470" w:type="dxa"/>
            <w:noWrap w:val="0"/>
            <w:vAlign w:val="top"/>
          </w:tcPr>
          <w:p w14:paraId="17EB2B39">
            <w:pPr>
              <w:pStyle w:val="3"/>
              <w:spacing w:line="460" w:lineRule="exact"/>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内容</w:t>
            </w:r>
          </w:p>
        </w:tc>
        <w:tc>
          <w:tcPr>
            <w:tcW w:w="1378" w:type="dxa"/>
            <w:noWrap w:val="0"/>
            <w:vAlign w:val="top"/>
          </w:tcPr>
          <w:p w14:paraId="3450A567">
            <w:pPr>
              <w:pStyle w:val="3"/>
              <w:spacing w:line="460" w:lineRule="exact"/>
              <w:jc w:val="center"/>
              <w:rPr>
                <w:rFonts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说明</w:t>
            </w:r>
          </w:p>
        </w:tc>
      </w:tr>
      <w:tr w14:paraId="285C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2" w:type="dxa"/>
            <w:noWrap w:val="0"/>
            <w:vAlign w:val="center"/>
          </w:tcPr>
          <w:p w14:paraId="0B01C031">
            <w:pPr>
              <w:pStyle w:val="3"/>
              <w:spacing w:line="460" w:lineRule="exact"/>
              <w:jc w:val="center"/>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1</w:t>
            </w:r>
          </w:p>
        </w:tc>
        <w:tc>
          <w:tcPr>
            <w:tcW w:w="7470" w:type="dxa"/>
            <w:noWrap w:val="0"/>
            <w:vAlign w:val="top"/>
          </w:tcPr>
          <w:p w14:paraId="6EDCAAB3">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投标报价一览表</w:t>
            </w:r>
          </w:p>
        </w:tc>
        <w:tc>
          <w:tcPr>
            <w:tcW w:w="1378" w:type="dxa"/>
            <w:noWrap w:val="0"/>
            <w:vAlign w:val="top"/>
          </w:tcPr>
          <w:p w14:paraId="32F6FE07">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附件一-1</w:t>
            </w:r>
          </w:p>
        </w:tc>
      </w:tr>
      <w:tr w14:paraId="032D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2" w:type="dxa"/>
            <w:noWrap w:val="0"/>
            <w:vAlign w:val="center"/>
          </w:tcPr>
          <w:p w14:paraId="6A29F809">
            <w:pPr>
              <w:pStyle w:val="3"/>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7470" w:type="dxa"/>
            <w:noWrap w:val="0"/>
            <w:vAlign w:val="top"/>
          </w:tcPr>
          <w:p w14:paraId="523A33A4">
            <w:pPr>
              <w:pStyle w:val="3"/>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分项报价表</w:t>
            </w:r>
          </w:p>
        </w:tc>
        <w:tc>
          <w:tcPr>
            <w:tcW w:w="1378" w:type="dxa"/>
            <w:noWrap w:val="0"/>
            <w:vAlign w:val="top"/>
          </w:tcPr>
          <w:p w14:paraId="649DD319">
            <w:pPr>
              <w:pStyle w:val="3"/>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lang w:val="en-US" w:eastAsia="zh-CN"/>
              </w:rPr>
              <w:t>2</w:t>
            </w:r>
          </w:p>
        </w:tc>
      </w:tr>
    </w:tbl>
    <w:p w14:paraId="73B43114">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  投标文件格式</w:t>
      </w:r>
    </w:p>
    <w:p w14:paraId="634B6298">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供应商应根据招标文件中所提供的格式，内容按顺序填写并制作投标文件。</w:t>
      </w:r>
      <w:r>
        <w:rPr>
          <w:rFonts w:hint="eastAsia" w:ascii="新宋体" w:hAnsi="新宋体" w:eastAsia="新宋体" w:cs="新宋体"/>
          <w:b/>
          <w:color w:val="auto"/>
          <w:sz w:val="22"/>
          <w:szCs w:val="22"/>
          <w:highlight w:val="none"/>
        </w:rPr>
        <w:t>任何未按招标文件要求制作投标文件均可能会导致对其不利的评定，该风险由供应商自行承担。</w:t>
      </w:r>
    </w:p>
    <w:p w14:paraId="3999A359">
      <w:pPr>
        <w:pStyle w:val="3"/>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  投标报价</w:t>
      </w:r>
    </w:p>
    <w:p w14:paraId="79518A8D">
      <w:pPr>
        <w:spacing w:line="460" w:lineRule="exact"/>
        <w:ind w:firstLine="442" w:firstLineChars="200"/>
        <w:rPr>
          <w:rFonts w:ascii="新宋体" w:hAnsi="新宋体" w:eastAsia="新宋体" w:cs="新宋体"/>
          <w:b/>
          <w:bCs/>
          <w:color w:val="auto"/>
          <w:sz w:val="22"/>
          <w:highlight w:val="none"/>
          <w:lang w:val="zh-CN"/>
        </w:rPr>
      </w:pPr>
      <w:bookmarkStart w:id="35" w:name="_Toc195502582"/>
      <w:bookmarkStart w:id="36" w:name="_Toc195502492"/>
      <w:bookmarkStart w:id="37" w:name="_Toc202085292"/>
      <w:r>
        <w:rPr>
          <w:rFonts w:hint="eastAsia" w:ascii="新宋体" w:hAnsi="新宋体" w:eastAsia="新宋体" w:cs="新宋体"/>
          <w:b/>
          <w:bCs/>
          <w:color w:val="auto"/>
          <w:sz w:val="22"/>
          <w:highlight w:val="none"/>
          <w:lang w:val="zh-CN"/>
        </w:rPr>
        <w:t>6.1 投标报价包括：完成本项目所需的所有费用，</w:t>
      </w:r>
      <w:r>
        <w:rPr>
          <w:rFonts w:hint="eastAsia" w:ascii="新宋体" w:hAnsi="新宋体" w:eastAsia="新宋体" w:cs="新宋体"/>
          <w:b/>
          <w:bCs/>
          <w:color w:val="auto"/>
          <w:sz w:val="22"/>
          <w:highlight w:val="none"/>
          <w:lang w:val="en-US" w:eastAsia="zh-CN"/>
        </w:rPr>
        <w:t>包括但不限于</w:t>
      </w:r>
      <w:r>
        <w:rPr>
          <w:rFonts w:hint="eastAsia" w:ascii="新宋体" w:hAnsi="新宋体" w:eastAsia="新宋体" w:cs="新宋体"/>
          <w:b/>
          <w:bCs/>
          <w:color w:val="auto"/>
          <w:sz w:val="22"/>
          <w:highlight w:val="none"/>
          <w:lang w:val="zh-CN"/>
        </w:rPr>
        <w:t>设备供货、税金、包装、运输、保险、装卸、检验、安装、调试、验收（含第三方验收）、技术服务、售后服务、质保期保障、材料等直至达到使用要求及质量标准、政策性文件规定及合同包含的所有风险、责任等各项应有费用，实行固定费用总包干。供应商应根据上述因素自行考虑含入投标总价。</w:t>
      </w:r>
    </w:p>
    <w:p w14:paraId="417299BE">
      <w:pPr>
        <w:spacing w:line="460" w:lineRule="exact"/>
        <w:ind w:firstLine="440" w:firstLineChars="200"/>
        <w:rPr>
          <w:rFonts w:ascii="新宋体" w:hAnsi="新宋体" w:eastAsia="新宋体" w:cs="新宋体"/>
          <w:color w:val="auto"/>
          <w:sz w:val="22"/>
          <w:highlight w:val="none"/>
          <w:lang w:val="zh-CN"/>
        </w:rPr>
      </w:pPr>
      <w:bookmarkStart w:id="38" w:name="_Toc195502491"/>
      <w:bookmarkStart w:id="39" w:name="_Toc195502581"/>
      <w:bookmarkStart w:id="40" w:name="_Toc202085291"/>
      <w:r>
        <w:rPr>
          <w:rFonts w:hint="eastAsia" w:ascii="新宋体" w:hAnsi="新宋体" w:eastAsia="新宋体" w:cs="新宋体"/>
          <w:color w:val="auto"/>
          <w:sz w:val="22"/>
          <w:highlight w:val="none"/>
        </w:rPr>
        <w:t>6</w:t>
      </w:r>
      <w:r>
        <w:rPr>
          <w:rFonts w:hint="eastAsia" w:ascii="新宋体" w:hAnsi="新宋体" w:eastAsia="新宋体" w:cs="新宋体"/>
          <w:color w:val="auto"/>
          <w:sz w:val="22"/>
          <w:highlight w:val="none"/>
          <w:lang w:val="zh-CN"/>
        </w:rPr>
        <w:t>.2投标人必须按附件中的投标报价一览表、投标分项报价表内容填写价格，并由投标人代表签署。</w:t>
      </w:r>
    </w:p>
    <w:p w14:paraId="6534BA9E">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rPr>
        <w:t>6</w:t>
      </w:r>
      <w:r>
        <w:rPr>
          <w:rFonts w:hint="eastAsia" w:ascii="新宋体" w:hAnsi="新宋体" w:eastAsia="新宋体" w:cs="新宋体"/>
          <w:color w:val="auto"/>
          <w:sz w:val="22"/>
          <w:highlight w:val="none"/>
          <w:lang w:val="zh-CN"/>
        </w:rPr>
        <w:t>.3投标货币以人民币进行投标。</w:t>
      </w:r>
    </w:p>
    <w:p w14:paraId="6AB7783A">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rPr>
        <w:t>6</w:t>
      </w:r>
      <w:r>
        <w:rPr>
          <w:rFonts w:hint="eastAsia" w:ascii="新宋体" w:hAnsi="新宋体" w:eastAsia="新宋体" w:cs="新宋体"/>
          <w:color w:val="auto"/>
          <w:sz w:val="22"/>
          <w:highlight w:val="none"/>
          <w:lang w:val="zh-CN"/>
        </w:rPr>
        <w:t>.4采购人和招标代理机构不接受任何选择投标，对任何服务只允许一个价格。</w:t>
      </w:r>
    </w:p>
    <w:p w14:paraId="27E53C07">
      <w:pPr>
        <w:spacing w:line="460" w:lineRule="exact"/>
        <w:ind w:firstLine="440" w:firstLineChars="200"/>
        <w:rPr>
          <w:rFonts w:ascii="新宋体" w:hAnsi="新宋体" w:eastAsia="新宋体" w:cs="新宋体"/>
          <w:color w:val="auto"/>
          <w:sz w:val="22"/>
          <w:highlight w:val="none"/>
          <w:lang w:val="zh-CN"/>
        </w:rPr>
      </w:pPr>
      <w:r>
        <w:rPr>
          <w:rFonts w:hint="eastAsia" w:ascii="新宋体" w:hAnsi="新宋体" w:eastAsia="新宋体" w:cs="新宋体"/>
          <w:color w:val="auto"/>
          <w:sz w:val="22"/>
          <w:highlight w:val="none"/>
        </w:rPr>
        <w:t>6</w:t>
      </w:r>
      <w:r>
        <w:rPr>
          <w:rFonts w:hint="eastAsia" w:ascii="新宋体" w:hAnsi="新宋体" w:eastAsia="新宋体" w:cs="新宋体"/>
          <w:color w:val="auto"/>
          <w:sz w:val="22"/>
          <w:highlight w:val="none"/>
          <w:lang w:val="zh-CN"/>
        </w:rPr>
        <w:t>.5采购人和招标代理机构要求分类报价是为了方便评标，但在任何情况下不限制采购人以其认为最合适的条款、条件签订合同的权利。</w:t>
      </w:r>
    </w:p>
    <w:p w14:paraId="77706267">
      <w:pPr>
        <w:spacing w:line="460" w:lineRule="exact"/>
        <w:ind w:firstLine="442" w:firstLineChars="200"/>
        <w:rPr>
          <w:rFonts w:ascii="新宋体" w:hAnsi="新宋体" w:eastAsia="新宋体" w:cs="新宋体"/>
          <w:b/>
          <w:bCs/>
          <w:color w:val="auto"/>
          <w:sz w:val="22"/>
          <w:highlight w:val="none"/>
          <w:lang w:val="zh-CN"/>
        </w:rPr>
      </w:pPr>
      <w:r>
        <w:rPr>
          <w:rFonts w:hint="eastAsia" w:ascii="新宋体" w:hAnsi="新宋体" w:eastAsia="新宋体" w:cs="新宋体"/>
          <w:b/>
          <w:bCs/>
          <w:color w:val="auto"/>
          <w:sz w:val="22"/>
          <w:highlight w:val="none"/>
        </w:rPr>
        <w:t>6</w:t>
      </w:r>
      <w:r>
        <w:rPr>
          <w:rFonts w:hint="eastAsia" w:ascii="新宋体" w:hAnsi="新宋体" w:eastAsia="新宋体" w:cs="新宋体"/>
          <w:b/>
          <w:bCs/>
          <w:color w:val="auto"/>
          <w:sz w:val="22"/>
          <w:highlight w:val="none"/>
          <w:lang w:val="zh-CN"/>
        </w:rPr>
        <w:t>.6投标报价报出后，投标人不得以任何理由予以变更。任何包含价格调整的要求，将被认为是非实质性响应投标而予以否决。</w:t>
      </w:r>
    </w:p>
    <w:p w14:paraId="335A8062">
      <w:pPr>
        <w:spacing w:line="460" w:lineRule="exact"/>
        <w:ind w:firstLine="442" w:firstLineChars="200"/>
        <w:rPr>
          <w:rFonts w:ascii="新宋体" w:hAnsi="新宋体" w:eastAsia="新宋体" w:cs="新宋体"/>
          <w:b/>
          <w:bCs/>
          <w:color w:val="auto"/>
          <w:sz w:val="22"/>
          <w:highlight w:val="none"/>
          <w:lang w:val="zh-CN"/>
        </w:rPr>
      </w:pPr>
      <w:r>
        <w:rPr>
          <w:rFonts w:hint="eastAsia" w:ascii="新宋体" w:hAnsi="新宋体" w:eastAsia="新宋体" w:cs="新宋体"/>
          <w:b/>
          <w:bCs/>
          <w:color w:val="auto"/>
          <w:sz w:val="22"/>
          <w:highlight w:val="none"/>
        </w:rPr>
        <w:t>6</w:t>
      </w:r>
      <w:r>
        <w:rPr>
          <w:rFonts w:hint="eastAsia" w:ascii="新宋体" w:hAnsi="新宋体" w:eastAsia="新宋体" w:cs="新宋体"/>
          <w:b/>
          <w:bCs/>
          <w:color w:val="auto"/>
          <w:sz w:val="22"/>
          <w:highlight w:val="none"/>
          <w:lang w:val="zh-CN"/>
        </w:rPr>
        <w:t>.7最低报价不能作为中标的保证。</w:t>
      </w:r>
    </w:p>
    <w:p w14:paraId="23F1076B">
      <w:pPr>
        <w:spacing w:line="460" w:lineRule="exact"/>
        <w:rPr>
          <w:rFonts w:ascii="宋体" w:hAnsi="宋体" w:cs="宋体"/>
          <w:b/>
          <w:color w:val="auto"/>
          <w:sz w:val="22"/>
          <w:szCs w:val="22"/>
          <w:highlight w:val="none"/>
        </w:rPr>
      </w:pPr>
      <w:r>
        <w:rPr>
          <w:rFonts w:hint="eastAsia" w:ascii="宋体" w:hAnsi="宋体" w:cs="宋体"/>
          <w:b/>
          <w:bCs/>
          <w:color w:val="auto"/>
          <w:sz w:val="22"/>
          <w:szCs w:val="22"/>
          <w:highlight w:val="none"/>
        </w:rPr>
        <w:t>7、投标有效期</w:t>
      </w:r>
    </w:p>
    <w:p w14:paraId="65C244D0">
      <w:pPr>
        <w:spacing w:line="460" w:lineRule="exact"/>
        <w:ind w:firstLine="442" w:firstLineChars="200"/>
        <w:rPr>
          <w:rFonts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7.1自开标之日起 90天内投标应保持有效。</w:t>
      </w:r>
    </w:p>
    <w:p w14:paraId="44F23D85">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7.2特殊情况下，在原投标有效期截止前，采购人、招标代理机构可与投标人协商延长投标有效期，这种要求和答复均以书面形式进行。投标人可拒绝接受延期要求。同意延长投标有效期的投标人不得修改投标文件。</w:t>
      </w:r>
    </w:p>
    <w:p w14:paraId="0CA7CBF4">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8、投标保证金</w:t>
      </w:r>
    </w:p>
    <w:p w14:paraId="567EA3A2">
      <w:pPr>
        <w:spacing w:line="460" w:lineRule="exact"/>
        <w:ind w:firstLine="440" w:firstLineChars="200"/>
        <w:rPr>
          <w:rFonts w:ascii="宋体" w:hAnsi="宋体" w:cs="宋体"/>
          <w:color w:val="auto"/>
          <w:sz w:val="22"/>
          <w:szCs w:val="22"/>
          <w:highlight w:val="none"/>
        </w:rPr>
      </w:pPr>
      <w:r>
        <w:rPr>
          <w:rFonts w:hint="eastAsia" w:ascii="新宋体" w:hAnsi="新宋体" w:eastAsia="新宋体" w:cs="新宋体"/>
          <w:color w:val="auto"/>
          <w:sz w:val="22"/>
          <w:szCs w:val="22"/>
          <w:highlight w:val="none"/>
        </w:rPr>
        <w:t xml:space="preserve">8.1 </w:t>
      </w:r>
      <w:r>
        <w:rPr>
          <w:rFonts w:hint="eastAsia" w:ascii="宋体" w:hAnsi="宋体" w:cs="宋体"/>
          <w:color w:val="auto"/>
          <w:sz w:val="22"/>
          <w:szCs w:val="22"/>
          <w:highlight w:val="none"/>
        </w:rPr>
        <w:t>无。</w:t>
      </w:r>
    </w:p>
    <w:p w14:paraId="276D1710">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9． </w:t>
      </w:r>
      <w:r>
        <w:rPr>
          <w:rFonts w:hint="eastAsia" w:ascii="新宋体" w:hAnsi="新宋体" w:eastAsia="新宋体" w:cs="新宋体"/>
          <w:b/>
          <w:bCs/>
          <w:color w:val="auto"/>
          <w:sz w:val="22"/>
          <w:highlight w:val="none"/>
        </w:rPr>
        <w:t>投标文件的签署和规定</w:t>
      </w:r>
    </w:p>
    <w:p w14:paraId="08C1C77F">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9.1本项目通过“政府采购云平台（http://zfcg.czt.zj.gov.cn）”实行在线投标响应（电子投标）。供应商应通过“政采云电子交易客户端”，并按照本招标文件和“政府采购云平台”的要求编制并加密投标文件。</w:t>
      </w:r>
    </w:p>
    <w:p w14:paraId="1C6C63B6">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9.2投标人应当按照本章节 “投标文件的构成”规定的内容及顺序在“政采云电子交易客户端”编制投标文件。其中《资格文件》和《商务技术文件》中不得出现本项目投标报价。</w:t>
      </w:r>
    </w:p>
    <w:p w14:paraId="3E945874">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9.3本文件《附件》中有提供格式的，投标人须参照格式进行编制（格式中要求提供相关证明材料的还需后附相关证明材料），并按格式要求在指定位置根据要求进行签章，否则视为未提供；本文件《附件》未提供格式的，请各投标人自行拟定格式，并加盖单位公章并由法定代表人或其授权代表签署（签字或盖章），否则视为未提供。</w:t>
      </w:r>
    </w:p>
    <w:p w14:paraId="27F21A28">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9.4《投标文件》内容不完整、编排混乱导致《投标文件》被误读、漏读或者查找不到相关内容的，投标人自行负责。</w:t>
      </w:r>
    </w:p>
    <w:p w14:paraId="047D84F0">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9.5《投标文件》因字迹潦草或表达不清所引起的后果由投标人负责。</w:t>
      </w:r>
    </w:p>
    <w:p w14:paraId="13FD697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9.6投标人没有按照本章节 “投标文件的构成”要求提供全部资料，或者没有仔细阅读招标文件，或者没有对招标文件在各方面的要求作出实质性响应是投标人的风险，由此造成的一切后果由投标人自行承担。</w:t>
      </w:r>
    </w:p>
    <w:p w14:paraId="7A1CFD6E">
      <w:pPr>
        <w:pStyle w:val="3"/>
        <w:spacing w:line="460" w:lineRule="exact"/>
        <w:jc w:val="center"/>
        <w:outlineLvl w:val="1"/>
        <w:rPr>
          <w:rFonts w:ascii="新宋体" w:hAnsi="新宋体" w:eastAsia="新宋体" w:cs="新宋体"/>
          <w:b/>
          <w:bCs/>
          <w:color w:val="auto"/>
          <w:sz w:val="22"/>
          <w:szCs w:val="22"/>
          <w:highlight w:val="none"/>
        </w:rPr>
      </w:pPr>
      <w:bookmarkStart w:id="41" w:name="_Toc47884461"/>
      <w:bookmarkStart w:id="42" w:name="_Toc29296"/>
      <w:bookmarkStart w:id="43" w:name="_Toc26264"/>
      <w:bookmarkStart w:id="44" w:name="_Toc102115983"/>
      <w:r>
        <w:rPr>
          <w:rFonts w:hint="eastAsia" w:ascii="新宋体" w:hAnsi="新宋体" w:eastAsia="新宋体" w:cs="新宋体"/>
          <w:b/>
          <w:bCs/>
          <w:color w:val="auto"/>
          <w:sz w:val="22"/>
          <w:szCs w:val="22"/>
          <w:highlight w:val="none"/>
        </w:rPr>
        <w:t>四、投标文件的递交</w:t>
      </w:r>
      <w:bookmarkEnd w:id="38"/>
      <w:bookmarkEnd w:id="39"/>
      <w:bookmarkEnd w:id="40"/>
      <w:bookmarkEnd w:id="41"/>
      <w:bookmarkEnd w:id="42"/>
      <w:bookmarkEnd w:id="43"/>
      <w:bookmarkEnd w:id="44"/>
    </w:p>
    <w:bookmarkEnd w:id="35"/>
    <w:bookmarkEnd w:id="36"/>
    <w:bookmarkEnd w:id="37"/>
    <w:p w14:paraId="2EA2A26D">
      <w:pPr>
        <w:spacing w:line="460" w:lineRule="exact"/>
        <w:ind w:firstLine="440" w:firstLineChars="200"/>
        <w:rPr>
          <w:rFonts w:ascii="宋体" w:hAnsi="宋体" w:cs="宋体"/>
          <w:color w:val="auto"/>
          <w:sz w:val="22"/>
          <w:szCs w:val="22"/>
          <w:highlight w:val="none"/>
        </w:rPr>
      </w:pPr>
      <w:bookmarkStart w:id="45" w:name="_Toc102115984"/>
      <w:bookmarkStart w:id="46" w:name="_Toc47884462"/>
      <w:bookmarkStart w:id="47" w:name="_Toc12442"/>
      <w:r>
        <w:rPr>
          <w:rFonts w:hint="eastAsia" w:ascii="宋体" w:hAnsi="宋体" w:cs="宋体"/>
          <w:color w:val="auto"/>
          <w:sz w:val="22"/>
          <w:szCs w:val="22"/>
          <w:highlight w:val="none"/>
        </w:rPr>
        <w:t>1、投标文件的上传和递交</w:t>
      </w:r>
    </w:p>
    <w:p w14:paraId="31CBF6A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1.1投标人应在投标截止时间前将“电子加密投标文件 ”成功上传递交至“政府采购云平台”，否则投标无效。</w:t>
      </w:r>
    </w:p>
    <w:p w14:paraId="5E73A1DB">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1.2“电子加密投标文件”成功上传递交后，供应商可自行打印投标文件接收回执。</w:t>
      </w:r>
    </w:p>
    <w:p w14:paraId="07CF1FF4">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2、“电子加密投标文件”解密和异常情况处理</w:t>
      </w:r>
    </w:p>
    <w:p w14:paraId="64C686F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2.1“电子加密投标文件”解密：</w:t>
      </w:r>
    </w:p>
    <w:p w14:paraId="40EB81E2">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2.1.1开标后，采购组织机构将向各投标人发出“电子加密投标文件”的解密通知，各投标人代表应当在接到解密通知后按系统规定的时间内自行完成“电子加密投标文件”的在线解密。</w:t>
      </w:r>
    </w:p>
    <w:p w14:paraId="2502D6A7">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B3E0734">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2.1.3投标文件递交截止时间前，投标人仅递交了“备份投标文件”而未将电子加密投标文件上传至“政府采购云平台”的，投标文件无效。</w:t>
      </w:r>
    </w:p>
    <w:p w14:paraId="07CC5A97">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3、投标文件的补充、修改或撤回</w:t>
      </w:r>
    </w:p>
    <w:p w14:paraId="143A9F4A">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C2F0126">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3.2投标截止时间后，投标人不得撤回、修改《投标文件》。</w:t>
      </w:r>
    </w:p>
    <w:p w14:paraId="049CC931">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4、投标文件的备选方案</w:t>
      </w:r>
    </w:p>
    <w:p w14:paraId="567CAE2B">
      <w:pPr>
        <w:spacing w:line="460" w:lineRule="exact"/>
        <w:ind w:firstLine="440" w:firstLineChars="200"/>
        <w:rPr>
          <w:rFonts w:ascii="宋体" w:hAnsi="宋体" w:cs="宋体"/>
          <w:b/>
          <w:bCs/>
          <w:color w:val="auto"/>
          <w:sz w:val="22"/>
          <w:szCs w:val="22"/>
          <w:highlight w:val="none"/>
        </w:rPr>
      </w:pPr>
      <w:r>
        <w:rPr>
          <w:rFonts w:hint="eastAsia" w:ascii="宋体" w:hAnsi="宋体" w:cs="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1F9B1A3E">
      <w:pPr>
        <w:pStyle w:val="3"/>
        <w:spacing w:line="460" w:lineRule="exact"/>
        <w:jc w:val="center"/>
        <w:outlineLvl w:val="1"/>
        <w:rPr>
          <w:rFonts w:ascii="新宋体" w:hAnsi="新宋体" w:eastAsia="新宋体" w:cs="新宋体"/>
          <w:b/>
          <w:bCs/>
          <w:color w:val="auto"/>
          <w:sz w:val="22"/>
          <w:szCs w:val="22"/>
          <w:highlight w:val="none"/>
        </w:rPr>
      </w:pPr>
      <w:bookmarkStart w:id="48" w:name="_Toc12296"/>
      <w:r>
        <w:rPr>
          <w:rFonts w:hint="eastAsia" w:ascii="新宋体" w:hAnsi="新宋体" w:eastAsia="新宋体" w:cs="新宋体"/>
          <w:b/>
          <w:bCs/>
          <w:color w:val="auto"/>
          <w:sz w:val="22"/>
          <w:szCs w:val="22"/>
          <w:highlight w:val="none"/>
        </w:rPr>
        <w:t>五、</w:t>
      </w:r>
      <w:bookmarkEnd w:id="45"/>
      <w:bookmarkEnd w:id="46"/>
      <w:bookmarkEnd w:id="47"/>
      <w:r>
        <w:rPr>
          <w:rFonts w:hint="eastAsia" w:ascii="新宋体" w:hAnsi="新宋体" w:eastAsia="新宋体" w:cs="新宋体"/>
          <w:b/>
          <w:bCs/>
          <w:color w:val="auto"/>
          <w:sz w:val="22"/>
          <w:szCs w:val="22"/>
          <w:highlight w:val="none"/>
        </w:rPr>
        <w:t>开标和评标</w:t>
      </w:r>
      <w:bookmarkEnd w:id="48"/>
    </w:p>
    <w:p w14:paraId="2D70609E">
      <w:pPr>
        <w:spacing w:line="460" w:lineRule="exact"/>
        <w:ind w:firstLine="442" w:firstLineChars="200"/>
        <w:rPr>
          <w:rFonts w:ascii="宋体" w:hAnsi="宋体" w:cs="宋体"/>
          <w:b/>
          <w:color w:val="auto"/>
          <w:sz w:val="22"/>
          <w:szCs w:val="22"/>
          <w:highlight w:val="none"/>
        </w:rPr>
      </w:pPr>
      <w:bookmarkStart w:id="49" w:name="_Toc102115985"/>
      <w:bookmarkStart w:id="50" w:name="_Toc202085293"/>
      <w:bookmarkStart w:id="51" w:name="_Toc195502493"/>
      <w:bookmarkStart w:id="52" w:name="_Toc195502583"/>
      <w:bookmarkStart w:id="53" w:name="_Toc3139"/>
      <w:bookmarkStart w:id="54" w:name="_Toc47884463"/>
      <w:r>
        <w:rPr>
          <w:rFonts w:hint="eastAsia" w:ascii="宋体" w:hAnsi="宋体" w:cs="宋体"/>
          <w:b/>
          <w:bCs/>
          <w:color w:val="auto"/>
          <w:sz w:val="22"/>
          <w:szCs w:val="22"/>
          <w:highlight w:val="none"/>
        </w:rPr>
        <w:t>1、评标委员会</w:t>
      </w:r>
    </w:p>
    <w:p w14:paraId="71E8C127">
      <w:pPr>
        <w:spacing w:line="460" w:lineRule="exact"/>
        <w:ind w:firstLine="440" w:firstLineChars="200"/>
        <w:rPr>
          <w:rFonts w:ascii="宋体" w:hAnsi="宋体" w:cs="宋体"/>
          <w:b/>
          <w:color w:val="auto"/>
          <w:sz w:val="22"/>
          <w:szCs w:val="22"/>
          <w:highlight w:val="none"/>
        </w:rPr>
      </w:pPr>
      <w:r>
        <w:rPr>
          <w:rFonts w:hint="eastAsia" w:ascii="宋体" w:hAnsi="宋体" w:cs="宋体"/>
          <w:bCs/>
          <w:color w:val="auto"/>
          <w:sz w:val="22"/>
          <w:szCs w:val="22"/>
          <w:highlight w:val="none"/>
        </w:rPr>
        <w:t>1.1采购人和招标代理机构组建评标委员会。评标委员会的成员在评标过程中必须严格遵守《政府采购法》等有关法律、法规的规定。</w:t>
      </w:r>
    </w:p>
    <w:p w14:paraId="336A7143">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2、评标过程的保密性</w:t>
      </w:r>
    </w:p>
    <w:p w14:paraId="21089203">
      <w:pPr>
        <w:spacing w:line="460" w:lineRule="exact"/>
        <w:ind w:firstLine="440" w:firstLineChars="200"/>
        <w:rPr>
          <w:rFonts w:ascii="宋体" w:hAnsi="宋体" w:cs="宋体"/>
          <w:color w:val="auto"/>
          <w:sz w:val="22"/>
          <w:szCs w:val="22"/>
          <w:highlight w:val="none"/>
        </w:rPr>
      </w:pPr>
      <w:r>
        <w:rPr>
          <w:rFonts w:hint="eastAsia" w:ascii="宋体" w:hAnsi="宋体" w:cs="宋体"/>
          <w:bCs/>
          <w:color w:val="auto"/>
          <w:sz w:val="22"/>
          <w:szCs w:val="22"/>
          <w:highlight w:val="none"/>
        </w:rPr>
        <w:t>2.1开标后直至向中标人授予合同时止，凡与评审有关的资料均不得向投标人及与评标无关人员透露。如果投标人在评标过程中试图向采购人和招标代理机构施加影响，其投标将被拒绝。</w:t>
      </w:r>
    </w:p>
    <w:p w14:paraId="4B3637AE">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3、开标形式</w:t>
      </w:r>
    </w:p>
    <w:p w14:paraId="2BC63E38">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3.1采购组织机构将按照招标文件规定的时间通过“政府采购云平台”组织开标、开启投标文件，所有供应商均应当准时(在线)参加。</w:t>
      </w:r>
    </w:p>
    <w:p w14:paraId="50A9517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4、开标准备</w:t>
      </w:r>
    </w:p>
    <w:p w14:paraId="768CD823">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4.1开标的准备工作由采购组织机构负责落实；</w:t>
      </w:r>
    </w:p>
    <w:p w14:paraId="26AF5FB8">
      <w:pPr>
        <w:spacing w:line="460" w:lineRule="exact"/>
        <w:ind w:firstLine="442" w:firstLineChars="200"/>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4.2</w:t>
      </w:r>
      <w:r>
        <w:rPr>
          <w:rFonts w:hint="eastAsia" w:ascii="宋体" w:hAnsi="宋体" w:cs="宋体"/>
          <w:b/>
          <w:bCs/>
          <w:color w:val="auto"/>
          <w:sz w:val="22"/>
          <w:szCs w:val="22"/>
          <w:highlight w:val="none"/>
        </w:rPr>
        <w:t>采</w:t>
      </w:r>
      <w:r>
        <w:rPr>
          <w:rFonts w:hint="eastAsia" w:ascii="宋体" w:hAnsi="宋体" w:cs="宋体"/>
          <w:b/>
          <w:color w:val="auto"/>
          <w:sz w:val="22"/>
          <w:szCs w:val="22"/>
          <w:highlight w:val="none"/>
        </w:rPr>
        <w:t>购组织机构将按照招标文件规定的时间通过“政府采购云平台”组织开标、开启投标文件，所有供应商均应当准时(在线)参加。</w:t>
      </w:r>
      <w:r>
        <w:rPr>
          <w:rFonts w:hint="eastAsia" w:ascii="宋体" w:hAnsi="宋体" w:cs="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582968DC">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5、开标流程</w:t>
      </w:r>
    </w:p>
    <w:p w14:paraId="6708C007">
      <w:pPr>
        <w:spacing w:line="4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5.1开标、评标</w:t>
      </w:r>
    </w:p>
    <w:p w14:paraId="15B5A07B">
      <w:pPr>
        <w:spacing w:line="46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rPr>
        <w:t>5.1.1向各投标人发出电子加密投标文件【开始解密】通知，由供应商按招标文件规定的时间内自行进行投标文件解密。投标人在规定的时间内无法完成已递交的“电子加密投标文件”解密的，如已按规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133FD818">
      <w:pPr>
        <w:spacing w:line="460" w:lineRule="exact"/>
        <w:ind w:firstLine="440" w:firstLineChars="200"/>
        <w:rPr>
          <w:rFonts w:ascii="宋体" w:hAnsi="宋体" w:cs="宋体"/>
          <w:color w:val="auto"/>
          <w:highlight w:val="none"/>
        </w:rPr>
      </w:pPr>
      <w:r>
        <w:rPr>
          <w:rFonts w:hint="eastAsia" w:ascii="宋体" w:hAnsi="宋体" w:cs="宋体"/>
          <w:bCs/>
          <w:color w:val="auto"/>
          <w:sz w:val="22"/>
          <w:szCs w:val="22"/>
          <w:highlight w:val="none"/>
        </w:rPr>
        <w:t>投标人不足3家的，不得开标。</w:t>
      </w:r>
    </w:p>
    <w:p w14:paraId="54EFFA7B">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5.1.2解密成功后，开启投标人的《报价文件》，由供应商对自己报价文件相关内容进行签字确认，（不予确认的应说明理由，否则视为无异议）。</w:t>
      </w:r>
    </w:p>
    <w:p w14:paraId="28D2FC76">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5.1.3开启《投标文件》，进入资格审查；</w:t>
      </w:r>
      <w:r>
        <w:rPr>
          <w:rFonts w:hint="eastAsia" w:ascii="宋体" w:hAnsi="宋体" w:cs="宋体"/>
          <w:bCs/>
          <w:color w:val="auto"/>
          <w:sz w:val="22"/>
          <w:szCs w:val="22"/>
          <w:highlight w:val="none"/>
        </w:rPr>
        <w:t>合格投标人不足3家的，不得评标。</w:t>
      </w:r>
    </w:p>
    <w:p w14:paraId="05119EAC">
      <w:pPr>
        <w:spacing w:line="4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备注：开标大会的结束后，采购人或采购代理机构将对依法对投标人的资格进行审查，资格审查结束后进入符合性审查和商务技术的评审工作，具体见本章节“投标人资格审查”相关规定。</w:t>
      </w:r>
    </w:p>
    <w:p w14:paraId="18147D73">
      <w:pPr>
        <w:spacing w:line="460" w:lineRule="exact"/>
        <w:ind w:firstLine="440" w:firstLineChars="200"/>
        <w:rPr>
          <w:rFonts w:ascii="宋体" w:hAnsi="宋体" w:cs="宋体"/>
          <w:bCs/>
          <w:color w:val="auto"/>
          <w:sz w:val="22"/>
          <w:szCs w:val="22"/>
          <w:highlight w:val="none"/>
        </w:rPr>
      </w:pPr>
      <w:r>
        <w:rPr>
          <w:rFonts w:hint="eastAsia" w:ascii="宋体" w:hAnsi="宋体" w:cs="宋体"/>
          <w:color w:val="auto"/>
          <w:kern w:val="0"/>
          <w:sz w:val="22"/>
          <w:szCs w:val="22"/>
          <w:highlight w:val="none"/>
        </w:rPr>
        <w:t>5.1.4开启资格审查通过的投标人的商务技术文件进入符合性审查，</w:t>
      </w:r>
      <w:r>
        <w:rPr>
          <w:rFonts w:hint="eastAsia" w:ascii="宋体" w:hAnsi="宋体" w:cs="宋体"/>
          <w:bCs/>
          <w:color w:val="auto"/>
          <w:sz w:val="22"/>
          <w:szCs w:val="22"/>
          <w:highlight w:val="none"/>
        </w:rPr>
        <w:t>以确定其是否满足招标文件的实质性要求，合格投标人不足3家的，不得评标。</w:t>
      </w:r>
    </w:p>
    <w:p w14:paraId="6F3C74C5">
      <w:pPr>
        <w:spacing w:line="460" w:lineRule="exact"/>
        <w:ind w:firstLine="442" w:firstLineChars="200"/>
        <w:rPr>
          <w:rFonts w:ascii="宋体" w:hAnsi="宋体" w:cs="宋体"/>
          <w:bCs/>
          <w:color w:val="auto"/>
          <w:sz w:val="22"/>
          <w:szCs w:val="22"/>
          <w:highlight w:val="none"/>
        </w:rPr>
      </w:pPr>
      <w:r>
        <w:rPr>
          <w:rFonts w:hint="eastAsia" w:ascii="宋体" w:hAnsi="宋体" w:cs="宋体"/>
          <w:b/>
          <w:color w:val="auto"/>
          <w:sz w:val="22"/>
          <w:szCs w:val="22"/>
          <w:highlight w:val="none"/>
        </w:rPr>
        <w:t>没有满足招标文件的实质性要求的投标作无效标处理。</w:t>
      </w:r>
      <w:r>
        <w:rPr>
          <w:rFonts w:hint="eastAsia" w:ascii="宋体" w:hAnsi="宋体" w:cs="宋体"/>
          <w:bCs/>
          <w:color w:val="auto"/>
          <w:sz w:val="22"/>
          <w:szCs w:val="22"/>
          <w:highlight w:val="none"/>
        </w:rPr>
        <w:t>评标委员会决定投标的实质性要求只根据投标文件本身的内容，而不寻求外部的证据。投标人不得通过修正或撤消不合要求的偏离或保留从而使其投标成为实质上响应的投标。</w:t>
      </w:r>
    </w:p>
    <w:p w14:paraId="69DC9533">
      <w:pPr>
        <w:spacing w:line="460" w:lineRule="exact"/>
        <w:ind w:firstLine="440" w:firstLineChars="200"/>
        <w:rPr>
          <w:rFonts w:ascii="宋体" w:hAnsi="宋体" w:cs="宋体"/>
          <w:color w:val="auto"/>
          <w:highlight w:val="none"/>
        </w:rPr>
      </w:pPr>
      <w:r>
        <w:rPr>
          <w:rFonts w:hint="eastAsia" w:ascii="宋体" w:hAnsi="宋体" w:cs="宋体"/>
          <w:bCs/>
          <w:color w:val="auto"/>
          <w:sz w:val="22"/>
          <w:szCs w:val="22"/>
          <w:highlight w:val="none"/>
        </w:rPr>
        <w:t>5.1.5对通过资格审查、符合性审查的合格供应商进行商务技术部分的评审。</w:t>
      </w:r>
    </w:p>
    <w:p w14:paraId="79560A70">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5.1.6评标委员会对报价的合理性、准确性等进行审查核实。</w:t>
      </w:r>
    </w:p>
    <w:p w14:paraId="0C4A6260">
      <w:pPr>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5.1.7评审结束后，公布中标（成交）候选供应商名单及采购人最终确定中标或中标人名单的时间和公告方式等，未在场的投标人通过发送邮件形式通知。</w:t>
      </w:r>
    </w:p>
    <w:p w14:paraId="35BA835A">
      <w:pPr>
        <w:spacing w:line="460" w:lineRule="exact"/>
        <w:ind w:firstLine="442" w:firstLineChars="200"/>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特别说明：如遇“政府采购云平台”电子化开标或评审程序调整的，按调整后程序执行。</w:t>
      </w:r>
    </w:p>
    <w:p w14:paraId="4CF0CE06">
      <w:pPr>
        <w:spacing w:line="460" w:lineRule="exact"/>
        <w:ind w:firstLine="440" w:firstLineChars="200"/>
        <w:rPr>
          <w:rFonts w:ascii="宋体" w:hAnsi="宋体" w:cs="宋体"/>
          <w:color w:val="auto"/>
          <w:sz w:val="22"/>
          <w:szCs w:val="22"/>
          <w:highlight w:val="none"/>
        </w:rPr>
      </w:pPr>
      <w:bookmarkStart w:id="55" w:name="_Toc33194393"/>
      <w:bookmarkStart w:id="56" w:name="_Toc24550037"/>
      <w:r>
        <w:rPr>
          <w:rFonts w:hint="eastAsia" w:ascii="宋体" w:hAnsi="宋体" w:cs="宋体"/>
          <w:color w:val="auto"/>
          <w:sz w:val="22"/>
          <w:szCs w:val="22"/>
          <w:highlight w:val="none"/>
        </w:rPr>
        <w:t>6、投标人资格审查</w:t>
      </w:r>
      <w:bookmarkEnd w:id="55"/>
      <w:bookmarkEnd w:id="56"/>
    </w:p>
    <w:p w14:paraId="66896E38">
      <w:pPr>
        <w:spacing w:line="460" w:lineRule="exact"/>
        <w:ind w:firstLine="440" w:firstLineChars="200"/>
        <w:rPr>
          <w:rFonts w:ascii="宋体" w:hAnsi="宋体" w:cs="宋体"/>
          <w:color w:val="auto"/>
          <w:sz w:val="22"/>
          <w:szCs w:val="22"/>
          <w:highlight w:val="none"/>
        </w:rPr>
      </w:pPr>
      <w:r>
        <w:rPr>
          <w:rFonts w:hint="eastAsia" w:ascii="宋体" w:hAnsi="宋体" w:cs="宋体"/>
          <w:bCs/>
          <w:color w:val="auto"/>
          <w:sz w:val="22"/>
          <w:szCs w:val="22"/>
          <w:highlight w:val="none"/>
        </w:rPr>
        <w:t>6.1开标大会结束后，采购人或采购代理机构首先依法对各投标人的资格进行审查，审查各投标人的资格是否满足招标文件的要求。采购人</w:t>
      </w:r>
      <w:r>
        <w:rPr>
          <w:rFonts w:hint="eastAsia" w:ascii="宋体" w:hAnsi="宋体" w:cs="宋体"/>
          <w:color w:val="auto"/>
          <w:sz w:val="22"/>
          <w:szCs w:val="22"/>
          <w:highlight w:val="none"/>
        </w:rPr>
        <w:t>或采购代理机构对投标人所提交的资格证明材料仅负审核的责任。如发现投标人所提交的资格证明材料不合法或与事实不符，采购人可取消其中标资格并追究投标人的法律责任。</w:t>
      </w:r>
    </w:p>
    <w:p w14:paraId="6171E790">
      <w:pPr>
        <w:spacing w:line="460" w:lineRule="exact"/>
        <w:ind w:firstLine="440" w:firstLineChars="200"/>
        <w:rPr>
          <w:rFonts w:ascii="宋体" w:hAnsi="宋体" w:cs="宋体"/>
          <w:bCs/>
          <w:color w:val="auto"/>
          <w:kern w:val="0"/>
          <w:sz w:val="22"/>
          <w:szCs w:val="22"/>
          <w:highlight w:val="none"/>
        </w:rPr>
      </w:pPr>
      <w:r>
        <w:rPr>
          <w:rFonts w:hint="eastAsia" w:ascii="宋体" w:hAnsi="宋体" w:cs="宋体"/>
          <w:bCs/>
          <w:color w:val="auto"/>
          <w:sz w:val="22"/>
          <w:szCs w:val="22"/>
          <w:highlight w:val="none"/>
        </w:rPr>
        <w:t>6.2投标人提交的资格证明材料无法证明其符合招标文件规定的“投标人资格要求”的，采购人或采购代理机构</w:t>
      </w:r>
      <w:r>
        <w:rPr>
          <w:rFonts w:hint="eastAsia" w:ascii="宋体" w:hAnsi="宋体" w:cs="宋体"/>
          <w:bCs/>
          <w:color w:val="auto"/>
          <w:kern w:val="0"/>
          <w:sz w:val="22"/>
          <w:szCs w:val="22"/>
          <w:highlight w:val="none"/>
        </w:rPr>
        <w:t>将对其作资格审查不通过处理（无效投标），并不再将其投标提交评标委员会进行后续评审。</w:t>
      </w:r>
    </w:p>
    <w:p w14:paraId="159036C7">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6</w:t>
      </w:r>
      <w:r>
        <w:rPr>
          <w:rFonts w:hint="eastAsia" w:ascii="宋体" w:hAnsi="宋体" w:cs="宋体"/>
          <w:bCs/>
          <w:color w:val="auto"/>
          <w:kern w:val="0"/>
          <w:sz w:val="22"/>
          <w:szCs w:val="22"/>
          <w:highlight w:val="none"/>
        </w:rPr>
        <w:t>.3单位负责人为同一人或者存在直接控股、管理关系的不同供应商参加同一合同项下的政府采购活动的，相关投标人均作资格无效处理。</w:t>
      </w:r>
    </w:p>
    <w:p w14:paraId="494BA503">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7、评标委员按照招标文件中规定的评标方法和标准，对投标文件进行商务和技术评估，综合比较与评价。</w:t>
      </w:r>
    </w:p>
    <w:p w14:paraId="61D9AADC">
      <w:pPr>
        <w:spacing w:line="460" w:lineRule="exact"/>
        <w:ind w:firstLine="442" w:firstLineChars="200"/>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8、投标人存在下列情况之一的，投标无效：</w:t>
      </w:r>
    </w:p>
    <w:p w14:paraId="598BDEB6">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（1）投标文件未按招标文件要求签署、盖章的；</w:t>
      </w:r>
    </w:p>
    <w:p w14:paraId="00D3853A">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（2）不具备招标文件中规定的资格要求的； </w:t>
      </w:r>
    </w:p>
    <w:p w14:paraId="0E07BE95">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（3）明显不符合招标文件中主要技术规格、技术标准的；</w:t>
      </w:r>
    </w:p>
    <w:p w14:paraId="57B9B493">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（4）“▲”标记条款负偏离或不响应的；</w:t>
      </w:r>
    </w:p>
    <w:p w14:paraId="4336BFA5">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）投标文件内容不全或关键字迹模糊无法辨认的；</w:t>
      </w:r>
    </w:p>
    <w:p w14:paraId="3E0EE893">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6</w:t>
      </w:r>
      <w:r>
        <w:rPr>
          <w:rFonts w:hint="eastAsia" w:ascii="宋体" w:hAnsi="宋体" w:eastAsia="宋体" w:cs="宋体"/>
          <w:bCs/>
          <w:color w:val="auto"/>
          <w:sz w:val="22"/>
          <w:szCs w:val="22"/>
          <w:highlight w:val="none"/>
        </w:rPr>
        <w:t>）报价超过招标文件中规定的预算金额的；</w:t>
      </w:r>
    </w:p>
    <w:p w14:paraId="67CFC8D1">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rPr>
        <w:t>）投标人代表没有法定代表人合法、有效委托的；</w:t>
      </w:r>
    </w:p>
    <w:p w14:paraId="43462F99">
      <w:pPr>
        <w:spacing w:line="460" w:lineRule="exact"/>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）投标文件存在一个或一个以上备选（替代）投标方案的；</w:t>
      </w:r>
    </w:p>
    <w:p w14:paraId="4F045E07">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9</w:t>
      </w:r>
      <w:r>
        <w:rPr>
          <w:rFonts w:hint="eastAsia" w:ascii="宋体" w:hAnsi="宋体" w:cs="宋体"/>
          <w:bCs/>
          <w:color w:val="auto"/>
          <w:sz w:val="22"/>
          <w:szCs w:val="22"/>
          <w:highlight w:val="none"/>
        </w:rPr>
        <w:t>）仅提交“备份投标文件”的；</w:t>
      </w:r>
    </w:p>
    <w:p w14:paraId="6325CED1">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10</w:t>
      </w:r>
      <w:r>
        <w:rPr>
          <w:rFonts w:hint="eastAsia" w:ascii="宋体" w:hAnsi="宋体" w:cs="宋体"/>
          <w:bCs/>
          <w:color w:val="auto"/>
          <w:sz w:val="22"/>
          <w:szCs w:val="22"/>
          <w:highlight w:val="none"/>
        </w:rPr>
        <w:t>）投标文件含有采购人不能接受的附加条件的；</w:t>
      </w:r>
    </w:p>
    <w:p w14:paraId="3170E138">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）联合体没有提交联合体协议；</w:t>
      </w:r>
    </w:p>
    <w:p w14:paraId="5C22E41A">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）法律、法规和招标文件规定的其他无效情形。</w:t>
      </w:r>
    </w:p>
    <w:p w14:paraId="26B48C52">
      <w:pPr>
        <w:spacing w:line="460" w:lineRule="exact"/>
        <w:ind w:firstLine="442"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9、有下列情形之一的，视为投标人串通投标，其投标无效</w:t>
      </w:r>
    </w:p>
    <w:p w14:paraId="71F96797">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（1）不同投标人的投标文件由同一单位或者个人编制；</w:t>
      </w:r>
    </w:p>
    <w:p w14:paraId="53B14725">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（2）不同投标人委托同一单位或者个人办理投标事宜；</w:t>
      </w:r>
    </w:p>
    <w:p w14:paraId="0EDEE672">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（3）不同投标人的投标文件载明的项目管理成员或者联系人员为同一人；</w:t>
      </w:r>
    </w:p>
    <w:p w14:paraId="33AAB1D7">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（4）不同投标人的投标文件异常一致或者投标报价呈规律性差异；</w:t>
      </w:r>
    </w:p>
    <w:p w14:paraId="4088C72E">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（5）不同投标人的投标文件相互混装</w:t>
      </w:r>
      <w:r>
        <w:rPr>
          <w:rFonts w:hint="eastAsia" w:ascii="宋体" w:hAnsi="宋体" w:eastAsia="宋体" w:cs="宋体"/>
          <w:color w:val="auto"/>
          <w:sz w:val="22"/>
          <w:szCs w:val="22"/>
          <w:highlight w:val="none"/>
          <w:lang w:eastAsia="zh-CN"/>
        </w:rPr>
        <w:t>；</w:t>
      </w:r>
    </w:p>
    <w:p w14:paraId="7EB8DB50">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不同投标</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的 IP、MAC、硬件信息相同、响应文件细节错误一致且无合理解释等情形</w:t>
      </w:r>
      <w:r>
        <w:rPr>
          <w:rFonts w:hint="eastAsia" w:ascii="宋体" w:hAnsi="宋体" w:eastAsia="宋体" w:cs="宋体"/>
          <w:color w:val="auto"/>
          <w:sz w:val="22"/>
          <w:szCs w:val="22"/>
          <w:highlight w:val="none"/>
          <w:lang w:eastAsia="zh-CN"/>
        </w:rPr>
        <w:t>；</w:t>
      </w:r>
    </w:p>
    <w:p w14:paraId="794FC60D">
      <w:pPr>
        <w:spacing w:line="4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）不同供应商的电子投标(响应)文件上传时的手机号信息相同且无法合理解释的。</w:t>
      </w:r>
    </w:p>
    <w:p w14:paraId="063704AE">
      <w:pPr>
        <w:spacing w:line="460" w:lineRule="exact"/>
        <w:ind w:firstLine="442" w:firstLineChars="200"/>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10、投标文件报价出现前后不一致的，按照下列规定修正：</w:t>
      </w:r>
    </w:p>
    <w:p w14:paraId="27089D35">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1E4A9157">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（2）大写金额和小写金额不一致的，以大写金额为准；</w:t>
      </w:r>
    </w:p>
    <w:p w14:paraId="63E44687">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（3）单价金额小数点或者百分比有明显错位的，以开标一览表的总价为准，并修改单价；</w:t>
      </w:r>
    </w:p>
    <w:p w14:paraId="3FA15775">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（4）总价金额与按单价汇总金额不一致的，以单价金额计算结果为准。</w:t>
      </w:r>
    </w:p>
    <w:p w14:paraId="298D6318">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E7064C7">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6CFCDDC1">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12、投标文件的澄清</w:t>
      </w:r>
    </w:p>
    <w:p w14:paraId="43E6C42A">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5439170C">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7E107C02">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拒不按要求对其投标文件进行澄清，说明或补正的投标人，评标委员会可以否决其投标。</w:t>
      </w:r>
    </w:p>
    <w:p w14:paraId="0FA0CC5D">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12.2经澄清后，若偏差仍存在，且不可接受，投标人则被认为是“没有实质性响应招标文件要求”，其投标将被拒绝。</w:t>
      </w:r>
    </w:p>
    <w:p w14:paraId="386A8BE9">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13、评审结果的修改</w:t>
      </w:r>
    </w:p>
    <w:p w14:paraId="64E02D22">
      <w:pPr>
        <w:spacing w:line="46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13.1评标结果汇总完成后，除下列情形外，任何人不得修改评标结果：</w:t>
      </w:r>
    </w:p>
    <w:p w14:paraId="2BEED5C6">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（1）分值汇总计算错误的；</w:t>
      </w:r>
    </w:p>
    <w:p w14:paraId="6B544784">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（2）分项评分超出评分标准范围的；</w:t>
      </w:r>
    </w:p>
    <w:p w14:paraId="34446295">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（3）评标委员会成员对客观评审因素评分不一致的；</w:t>
      </w:r>
    </w:p>
    <w:p w14:paraId="3FA2158C">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（4）经评标委员会认定评分畸高、畸低的。</w:t>
      </w:r>
    </w:p>
    <w:p w14:paraId="3864044C">
      <w:pPr>
        <w:spacing w:line="460" w:lineRule="exact"/>
        <w:ind w:firstLine="440" w:firstLineChars="200"/>
        <w:rPr>
          <w:rFonts w:ascii="宋体" w:hAnsi="宋体" w:cs="宋体"/>
          <w:color w:val="auto"/>
          <w:highlight w:val="none"/>
        </w:rPr>
      </w:pPr>
      <w:r>
        <w:rPr>
          <w:rFonts w:hint="eastAsia" w:ascii="宋体" w:hAnsi="宋体" w:cs="宋体"/>
          <w:bCs/>
          <w:color w:val="auto"/>
          <w:sz w:val="22"/>
          <w:szCs w:val="22"/>
          <w:highlight w:val="none"/>
        </w:rPr>
        <w:t>13.2书面评标报告签署前，经复核发现存在以上情形之一的，评标委员会将当场修改评标结果，并在评标报告中记载。</w:t>
      </w:r>
    </w:p>
    <w:p w14:paraId="175C0CD7">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14</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14:paraId="0395DBCF">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14.1由评标委员会确定中标候选人。</w:t>
      </w:r>
    </w:p>
    <w:p w14:paraId="402D9F4D">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采购人推荐。</w:t>
      </w:r>
    </w:p>
    <w:p w14:paraId="1BBC1D9A">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15、确定中标人</w:t>
      </w:r>
    </w:p>
    <w:p w14:paraId="2E44C656">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15.1采购人按照书面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1CB345A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15.2如中标人放弃中标；或未能在规定时间内与采购人签订合同的；或者经质疑，采购人审查后，确因排名第一的候选人在本次采购活动中存在违法违规行为或其他原因使质疑成立的，采购人可以视情况直接确定排名第二的候选人为中标人或重新组织招标。</w:t>
      </w:r>
    </w:p>
    <w:p w14:paraId="19615AF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16、起草、签署评审报告</w:t>
      </w:r>
    </w:p>
    <w:p w14:paraId="1FF25916">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430D186E">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17</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中标人确定后，采购人将在政府指定媒体公告中标结果，采购人向中标人发出中标通知书。</w:t>
      </w:r>
    </w:p>
    <w:p w14:paraId="5597BDDB">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18、采购人对决标结果不做任何解释，也不保证最低价中标。</w:t>
      </w:r>
    </w:p>
    <w:p w14:paraId="467DBB9C">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19、评标细则详见“评标原则及方法”</w:t>
      </w:r>
      <w:r>
        <w:rPr>
          <w:rFonts w:hint="eastAsia" w:ascii="宋体" w:hAnsi="宋体" w:cs="宋体"/>
          <w:b/>
          <w:color w:val="auto"/>
          <w:sz w:val="22"/>
          <w:szCs w:val="22"/>
          <w:highlight w:val="none"/>
        </w:rPr>
        <w:t>。</w:t>
      </w:r>
    </w:p>
    <w:p w14:paraId="3ED8B7E8">
      <w:pPr>
        <w:pStyle w:val="3"/>
        <w:spacing w:line="460" w:lineRule="exact"/>
        <w:jc w:val="center"/>
        <w:outlineLvl w:val="1"/>
        <w:rPr>
          <w:rFonts w:ascii="新宋体" w:hAnsi="新宋体" w:eastAsia="新宋体" w:cs="新宋体"/>
          <w:b/>
          <w:bCs/>
          <w:color w:val="auto"/>
          <w:sz w:val="22"/>
          <w:szCs w:val="22"/>
          <w:highlight w:val="none"/>
        </w:rPr>
      </w:pPr>
      <w:bookmarkStart w:id="57" w:name="_Toc3956"/>
      <w:r>
        <w:rPr>
          <w:rFonts w:hint="eastAsia" w:ascii="新宋体" w:hAnsi="新宋体" w:eastAsia="新宋体" w:cs="新宋体"/>
          <w:b/>
          <w:bCs/>
          <w:color w:val="auto"/>
          <w:sz w:val="22"/>
          <w:szCs w:val="22"/>
          <w:highlight w:val="none"/>
        </w:rPr>
        <w:t>六、授予合同</w:t>
      </w:r>
      <w:bookmarkEnd w:id="49"/>
      <w:bookmarkEnd w:id="50"/>
      <w:bookmarkEnd w:id="51"/>
      <w:bookmarkEnd w:id="52"/>
      <w:bookmarkEnd w:id="53"/>
      <w:bookmarkEnd w:id="54"/>
      <w:bookmarkEnd w:id="57"/>
    </w:p>
    <w:p w14:paraId="78B35325">
      <w:pPr>
        <w:spacing w:line="460" w:lineRule="exact"/>
        <w:ind w:firstLine="440" w:firstLineChars="200"/>
        <w:rPr>
          <w:rFonts w:ascii="宋体" w:hAnsi="宋体" w:cs="宋体"/>
          <w:bCs/>
          <w:color w:val="auto"/>
          <w:sz w:val="22"/>
          <w:szCs w:val="22"/>
          <w:highlight w:val="none"/>
        </w:rPr>
      </w:pPr>
      <w:bookmarkStart w:id="58" w:name="_Toc95395551"/>
      <w:bookmarkStart w:id="59" w:name="_Toc102115986"/>
      <w:bookmarkStart w:id="60" w:name="_Toc99389644"/>
      <w:bookmarkStart w:id="61" w:name="_Toc17832"/>
      <w:r>
        <w:rPr>
          <w:rFonts w:hint="eastAsia" w:ascii="宋体" w:hAnsi="宋体" w:cs="宋体"/>
          <w:bCs/>
          <w:color w:val="auto"/>
          <w:sz w:val="22"/>
          <w:highlight w:val="none"/>
        </w:rPr>
        <w:t>1、中标通知书</w:t>
      </w:r>
    </w:p>
    <w:p w14:paraId="7DC2E47B">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1.1中标人确定后，采购人将向中标人发出中标通知书。 </w:t>
      </w:r>
    </w:p>
    <w:p w14:paraId="49DEDF75">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1.2中标通知书是合同的一个组成部分,对采购人和中标人均具有同等法律效力。</w:t>
      </w:r>
    </w:p>
    <w:p w14:paraId="0B4616B2">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highlight w:val="none"/>
        </w:rPr>
        <w:t>2、授标时更改采购货物数量的权力</w:t>
      </w:r>
    </w:p>
    <w:p w14:paraId="3A7372F1">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2.1采购人在授予合同时有权对采购货物的数量和服务在一定幅度范围内予以增加或减少,但不得对单价和其他的条款和条件作任何改变。</w:t>
      </w:r>
    </w:p>
    <w:p w14:paraId="7F6E48C3">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highlight w:val="none"/>
        </w:rPr>
        <w:t>3、签订合同</w:t>
      </w:r>
    </w:p>
    <w:p w14:paraId="7AC4710D">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3.1中标人应按中标通知书规定的时间、地点与采购人签订合同。</w:t>
      </w:r>
    </w:p>
    <w:p w14:paraId="3D1066AB">
      <w:pPr>
        <w:spacing w:line="460" w:lineRule="exact"/>
        <w:ind w:firstLine="440" w:firstLineChars="200"/>
        <w:rPr>
          <w:rFonts w:ascii="宋体" w:hAnsi="宋体" w:cs="宋体"/>
          <w:bCs/>
          <w:color w:val="auto"/>
          <w:sz w:val="22"/>
          <w:szCs w:val="22"/>
          <w:highlight w:val="none"/>
        </w:rPr>
      </w:pPr>
      <w:r>
        <w:rPr>
          <w:rFonts w:hint="eastAsia" w:ascii="宋体" w:hAnsi="宋体" w:cs="宋体"/>
          <w:bCs/>
          <w:color w:val="auto"/>
          <w:sz w:val="22"/>
          <w:szCs w:val="22"/>
          <w:highlight w:val="none"/>
        </w:rPr>
        <w:t>3.2</w:t>
      </w:r>
      <w:r>
        <w:rPr>
          <w:rFonts w:hint="eastAsia" w:ascii="宋体" w:hAnsi="宋体" w:cs="宋体"/>
          <w:bCs/>
          <w:color w:val="auto"/>
          <w:spacing w:val="6"/>
          <w:sz w:val="22"/>
          <w:szCs w:val="22"/>
          <w:highlight w:val="none"/>
        </w:rPr>
        <w:t>在签订合同前，采购人有权在中标总价不变的前提下要求中标人对商务报价中的不平衡报价和缺漏项进行调整，如果中标人无合理理由拒绝调整，其中投标资格将被取消，保证金将不予退还，且将导致其它进一步的赔偿和处罚。</w:t>
      </w:r>
    </w:p>
    <w:p w14:paraId="5F89091C">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3.3招标文件、中标人的投标文件、投标修改文件、评标过程中有关澄清文件及经投标人和评委双方签字的询标纪要和中标通知书均作为合同附件。</w:t>
      </w:r>
    </w:p>
    <w:p w14:paraId="47178D86">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3.4拒签合同的违约责任</w:t>
      </w:r>
    </w:p>
    <w:p w14:paraId="0D3D1971">
      <w:pPr>
        <w:spacing w:line="460" w:lineRule="exact"/>
        <w:ind w:firstLine="464" w:firstLineChars="200"/>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中标人接到中标通知书后，在规定时间内借故否认已经承诺的条件而拒签合同的，以违约处理。</w:t>
      </w:r>
    </w:p>
    <w:p w14:paraId="5CAB3F7B">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 合同一式五份，其中采购人二份，中标供应商二份，采购代理机构备案一份。中标供应商在采购合同签订后应及时提交壹份交采购代理机构备案。同时提交一份投标文件正式版的扫描件（PDF格式）供采购人备案用。</w:t>
      </w:r>
    </w:p>
    <w:p w14:paraId="79FD968A">
      <w:pPr>
        <w:pStyle w:val="3"/>
        <w:spacing w:line="460" w:lineRule="exact"/>
        <w:jc w:val="center"/>
        <w:outlineLvl w:val="1"/>
        <w:rPr>
          <w:rFonts w:ascii="新宋体" w:hAnsi="新宋体" w:eastAsia="新宋体" w:cs="新宋体"/>
          <w:b/>
          <w:bCs/>
          <w:color w:val="auto"/>
          <w:sz w:val="22"/>
          <w:szCs w:val="22"/>
          <w:highlight w:val="none"/>
        </w:rPr>
      </w:pPr>
      <w:bookmarkStart w:id="62" w:name="_Toc30853"/>
      <w:r>
        <w:rPr>
          <w:rFonts w:hint="eastAsia" w:ascii="新宋体" w:hAnsi="新宋体" w:eastAsia="新宋体" w:cs="新宋体"/>
          <w:b/>
          <w:bCs/>
          <w:color w:val="auto"/>
          <w:sz w:val="22"/>
          <w:szCs w:val="22"/>
          <w:highlight w:val="none"/>
        </w:rPr>
        <w:t>七、可中止电子交易活动的情形</w:t>
      </w:r>
      <w:bookmarkEnd w:id="58"/>
      <w:bookmarkEnd w:id="59"/>
      <w:bookmarkEnd w:id="60"/>
      <w:bookmarkEnd w:id="61"/>
      <w:bookmarkEnd w:id="62"/>
    </w:p>
    <w:p w14:paraId="7F27EC1F">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采购过程中出现以下情形，导致电子交易平台无法正常运行，或者无法保证电子交易的公平、公正和安全时，采购代理机构可中止电子交易活动：</w:t>
      </w:r>
    </w:p>
    <w:p w14:paraId="4F219850">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电子交易平台发生故障而无法登录访问的；</w:t>
      </w:r>
    </w:p>
    <w:p w14:paraId="014B65C9">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电子交易平台应用或数据库出现错误，不能进行正常操作的；</w:t>
      </w:r>
    </w:p>
    <w:p w14:paraId="58B2E7B8">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电子交易平台发现严重安全漏洞，有潜在泄密危险的；</w:t>
      </w:r>
    </w:p>
    <w:p w14:paraId="33542BA0">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病毒发作导致不能进行正常操作的；</w:t>
      </w:r>
    </w:p>
    <w:p w14:paraId="0002EC5E">
      <w:pPr>
        <w:pStyle w:val="3"/>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   其他无法保证电子交易的公平、公正和安全的情况。</w:t>
      </w:r>
    </w:p>
    <w:p w14:paraId="0C969723">
      <w:pPr>
        <w:pStyle w:val="3"/>
        <w:spacing w:line="460" w:lineRule="exact"/>
        <w:rPr>
          <w:rFonts w:ascii="新宋体" w:hAnsi="新宋体" w:eastAsia="新宋体" w:cs="新宋体"/>
          <w:color w:val="auto"/>
          <w:sz w:val="22"/>
          <w:szCs w:val="22"/>
          <w:highlight w:val="none"/>
        </w:rPr>
      </w:pPr>
      <w:bookmarkStart w:id="63" w:name="_Toc29091"/>
      <w:bookmarkStart w:id="64" w:name="_Toc4008"/>
      <w:bookmarkStart w:id="65" w:name="_Toc13187"/>
      <w:bookmarkStart w:id="66" w:name="_Toc2054"/>
      <w:r>
        <w:rPr>
          <w:rFonts w:hint="eastAsia" w:ascii="新宋体" w:hAnsi="新宋体" w:eastAsia="新宋体" w:cs="新宋体"/>
          <w:color w:val="auto"/>
          <w:sz w:val="22"/>
          <w:szCs w:val="22"/>
          <w:highlight w:val="none"/>
        </w:rPr>
        <w:t>出现前款规定情形，不影响采购公平、公正性的，采购代理机构可以待上述情形消除后继续组织电子交易活动；影响或可能影响采购公平、公正性的，应当重新采购。</w:t>
      </w:r>
      <w:bookmarkEnd w:id="63"/>
      <w:bookmarkEnd w:id="64"/>
      <w:bookmarkEnd w:id="65"/>
      <w:bookmarkEnd w:id="66"/>
    </w:p>
    <w:p w14:paraId="635B171A">
      <w:pPr>
        <w:spacing w:line="460" w:lineRule="exact"/>
        <w:jc w:val="center"/>
        <w:outlineLvl w:val="0"/>
        <w:rPr>
          <w:rFonts w:ascii="新宋体" w:hAnsi="新宋体" w:eastAsia="新宋体" w:cs="新宋体"/>
          <w:b/>
          <w:bCs/>
          <w:color w:val="auto"/>
          <w:szCs w:val="21"/>
          <w:highlight w:val="none"/>
        </w:rPr>
      </w:pPr>
      <w:r>
        <w:rPr>
          <w:rFonts w:hint="eastAsia" w:ascii="新宋体" w:hAnsi="新宋体" w:eastAsia="新宋体" w:cs="新宋体"/>
          <w:b/>
          <w:color w:val="auto"/>
          <w:sz w:val="32"/>
          <w:highlight w:val="none"/>
        </w:rPr>
        <w:br w:type="page"/>
      </w:r>
      <w:bookmarkStart w:id="67" w:name="_Toc30591"/>
      <w:r>
        <w:rPr>
          <w:rFonts w:hint="eastAsia" w:ascii="新宋体" w:hAnsi="新宋体" w:eastAsia="新宋体" w:cs="新宋体"/>
          <w:b/>
          <w:color w:val="auto"/>
          <w:sz w:val="32"/>
          <w:highlight w:val="none"/>
        </w:rPr>
        <w:t>第三部分</w:t>
      </w:r>
      <w:r>
        <w:rPr>
          <w:rFonts w:hint="eastAsia" w:ascii="新宋体" w:hAnsi="新宋体" w:eastAsia="新宋体" w:cs="新宋体"/>
          <w:b/>
          <w:color w:val="auto"/>
          <w:sz w:val="32"/>
          <w:highlight w:val="none"/>
          <w:lang w:val="en-US" w:eastAsia="zh-CN"/>
        </w:rPr>
        <w:t xml:space="preserve">   </w:t>
      </w:r>
      <w:r>
        <w:rPr>
          <w:rFonts w:hint="eastAsia" w:ascii="新宋体" w:hAnsi="新宋体" w:eastAsia="新宋体" w:cs="新宋体"/>
          <w:b/>
          <w:color w:val="auto"/>
          <w:sz w:val="32"/>
          <w:highlight w:val="none"/>
        </w:rPr>
        <w:t>拟签订的合同文本</w:t>
      </w:r>
      <w:bookmarkEnd w:id="67"/>
    </w:p>
    <w:p w14:paraId="3A6F3E10">
      <w:pPr>
        <w:spacing w:line="460" w:lineRule="exact"/>
        <w:jc w:val="center"/>
        <w:rPr>
          <w:rFonts w:ascii="新宋体" w:hAnsi="新宋体" w:eastAsia="新宋体" w:cs="新宋体"/>
          <w:b/>
          <w:bCs/>
          <w:color w:val="auto"/>
          <w:sz w:val="22"/>
          <w:highlight w:val="none"/>
        </w:rPr>
      </w:pPr>
      <w:r>
        <w:rPr>
          <w:rFonts w:hint="eastAsia" w:ascii="新宋体" w:hAnsi="新宋体" w:eastAsia="新宋体" w:cs="新宋体"/>
          <w:color w:val="auto"/>
          <w:sz w:val="22"/>
          <w:highlight w:val="none"/>
        </w:rPr>
        <w:t>（本合同为样稿，最终稿由买卖双方协商后确定）</w:t>
      </w:r>
    </w:p>
    <w:p w14:paraId="0F10BDF4">
      <w:pPr>
        <w:keepNext w:val="0"/>
        <w:keepLines w:val="0"/>
        <w:pageBreakBefore w:val="0"/>
        <w:widowControl w:val="0"/>
        <w:kinsoku/>
        <w:wordWrap/>
        <w:overflowPunct/>
        <w:topLinePunct w:val="0"/>
        <w:autoSpaceDE/>
        <w:autoSpaceDN/>
        <w:bidi w:val="0"/>
        <w:adjustRightInd/>
        <w:snapToGrid/>
        <w:spacing w:line="460" w:lineRule="exact"/>
        <w:ind w:firstLine="437" w:firstLineChars="198"/>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特别提示：以下为温州职业技术学院的合同范本，仅供参考，不宜照搬。合同条款的具体内容应严格按照招标文件、投标文件、采购结果及中标供应商的承诺来拟订。</w:t>
      </w:r>
    </w:p>
    <w:p w14:paraId="5CA05A7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温州职业技术学院</w:t>
      </w:r>
      <w:r>
        <w:rPr>
          <w:rFonts w:hint="eastAsia" w:ascii="新宋体" w:hAnsi="新宋体" w:eastAsia="新宋体" w:cs="新宋体"/>
          <w:color w:val="auto"/>
          <w:sz w:val="28"/>
          <w:szCs w:val="28"/>
          <w:highlight w:val="none"/>
          <w:u w:val="single"/>
          <w:lang w:val="en-US" w:eastAsia="zh-CN"/>
        </w:rPr>
        <w:t xml:space="preserve">           </w:t>
      </w:r>
      <w:r>
        <w:rPr>
          <w:rFonts w:hint="eastAsia" w:ascii="新宋体" w:hAnsi="新宋体" w:eastAsia="新宋体" w:cs="新宋体"/>
          <w:color w:val="auto"/>
          <w:sz w:val="28"/>
          <w:szCs w:val="28"/>
          <w:highlight w:val="none"/>
        </w:rPr>
        <w:t>采购合同</w:t>
      </w:r>
    </w:p>
    <w:p w14:paraId="3C5234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rPr>
        <w:t xml:space="preserve">                       </w:t>
      </w:r>
    </w:p>
    <w:p w14:paraId="4B6F287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买方：</w:t>
      </w:r>
      <w:r>
        <w:rPr>
          <w:rFonts w:hint="eastAsia" w:ascii="新宋体" w:hAnsi="新宋体" w:eastAsia="新宋体" w:cs="新宋体"/>
          <w:color w:val="auto"/>
          <w:sz w:val="22"/>
          <w:szCs w:val="22"/>
          <w:highlight w:val="none"/>
          <w:u w:val="single"/>
        </w:rPr>
        <w:t xml:space="preserve"> 温州职业技术学院 </w:t>
      </w:r>
      <w:r>
        <w:rPr>
          <w:rFonts w:hint="eastAsia" w:ascii="新宋体" w:hAnsi="新宋体" w:eastAsia="新宋体" w:cs="新宋体"/>
          <w:color w:val="auto"/>
          <w:sz w:val="22"/>
          <w:szCs w:val="22"/>
          <w:highlight w:val="none"/>
        </w:rPr>
        <w:t>卖方：</w:t>
      </w:r>
      <w:r>
        <w:rPr>
          <w:rFonts w:hint="eastAsia" w:ascii="新宋体" w:hAnsi="新宋体" w:eastAsia="新宋体" w:cs="新宋体"/>
          <w:color w:val="auto"/>
          <w:sz w:val="22"/>
          <w:szCs w:val="22"/>
          <w:highlight w:val="none"/>
          <w:u w:val="single"/>
        </w:rPr>
        <w:t xml:space="preserve">                 </w:t>
      </w:r>
    </w:p>
    <w:p w14:paraId="4489A6B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日在温州职业技术学院的</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采购中，买方接受卖对本次</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的报价，买卖双方及采购方根据《中华人民共和国民法典》等法规和本合同的承诺，经双方协商，同意签订本合同，共同遵守。</w:t>
      </w:r>
    </w:p>
    <w:p w14:paraId="123E450B">
      <w:pPr>
        <w:keepNext w:val="0"/>
        <w:keepLines w:val="0"/>
        <w:pageBreakBefore w:val="0"/>
        <w:widowControl w:val="0"/>
        <w:kinsoku/>
        <w:wordWrap/>
        <w:overflowPunct/>
        <w:topLinePunct w:val="0"/>
        <w:autoSpaceDE/>
        <w:autoSpaceDN/>
        <w:bidi w:val="0"/>
        <w:adjustRightInd/>
        <w:snapToGrid/>
        <w:spacing w:line="460" w:lineRule="exact"/>
        <w:ind w:left="270"/>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1.采购</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 xml:space="preserve">内容及价格（详细清单可附后）                      单位： </w:t>
      </w:r>
      <w:r>
        <w:rPr>
          <w:rFonts w:hint="eastAsia" w:ascii="新宋体" w:hAnsi="新宋体" w:eastAsia="新宋体" w:cs="新宋体"/>
          <w:color w:val="auto"/>
          <w:sz w:val="22"/>
          <w:szCs w:val="22"/>
          <w:highlight w:val="none"/>
          <w:u w:val="single"/>
        </w:rPr>
        <w:t xml:space="preserve"> 人民币（元） </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87"/>
        <w:gridCol w:w="1089"/>
        <w:gridCol w:w="825"/>
        <w:gridCol w:w="188"/>
        <w:gridCol w:w="1579"/>
        <w:gridCol w:w="145"/>
        <w:gridCol w:w="716"/>
        <w:gridCol w:w="758"/>
        <w:gridCol w:w="440"/>
        <w:gridCol w:w="421"/>
        <w:gridCol w:w="1491"/>
      </w:tblGrid>
      <w:tr w14:paraId="71F3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379" w:type="pct"/>
            <w:noWrap w:val="0"/>
            <w:vAlign w:val="center"/>
          </w:tcPr>
          <w:p w14:paraId="6213A28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189" w:type="pct"/>
            <w:gridSpan w:val="2"/>
            <w:noWrap w:val="0"/>
            <w:vAlign w:val="center"/>
          </w:tcPr>
          <w:p w14:paraId="6E7EC9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p>
        </w:tc>
        <w:tc>
          <w:tcPr>
            <w:tcW w:w="529" w:type="pct"/>
            <w:gridSpan w:val="2"/>
            <w:noWrap w:val="0"/>
            <w:vAlign w:val="center"/>
          </w:tcPr>
          <w:p w14:paraId="695042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w:t>
            </w:r>
          </w:p>
        </w:tc>
        <w:tc>
          <w:tcPr>
            <w:tcW w:w="825" w:type="pct"/>
            <w:noWrap w:val="0"/>
            <w:vAlign w:val="center"/>
          </w:tcPr>
          <w:p w14:paraId="5263F21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规格型号</w:t>
            </w:r>
          </w:p>
        </w:tc>
        <w:tc>
          <w:tcPr>
            <w:tcW w:w="450" w:type="pct"/>
            <w:gridSpan w:val="2"/>
            <w:noWrap w:val="0"/>
            <w:vAlign w:val="center"/>
          </w:tcPr>
          <w:p w14:paraId="49ACF72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396" w:type="pct"/>
            <w:noWrap w:val="0"/>
            <w:vAlign w:val="center"/>
          </w:tcPr>
          <w:p w14:paraId="78C6AB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450" w:type="pct"/>
            <w:gridSpan w:val="2"/>
            <w:noWrap w:val="0"/>
            <w:vAlign w:val="center"/>
          </w:tcPr>
          <w:p w14:paraId="3522F6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w:t>
            </w:r>
          </w:p>
        </w:tc>
        <w:tc>
          <w:tcPr>
            <w:tcW w:w="778" w:type="pct"/>
            <w:noWrap w:val="0"/>
            <w:vAlign w:val="center"/>
          </w:tcPr>
          <w:p w14:paraId="505AE9C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金额</w:t>
            </w:r>
          </w:p>
        </w:tc>
      </w:tr>
      <w:tr w14:paraId="145D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379" w:type="pct"/>
            <w:noWrap w:val="0"/>
            <w:vAlign w:val="center"/>
          </w:tcPr>
          <w:p w14:paraId="75E785D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189" w:type="pct"/>
            <w:gridSpan w:val="2"/>
            <w:noWrap w:val="0"/>
            <w:vAlign w:val="center"/>
          </w:tcPr>
          <w:p w14:paraId="666769A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529" w:type="pct"/>
            <w:gridSpan w:val="2"/>
            <w:noWrap w:val="0"/>
            <w:vAlign w:val="center"/>
          </w:tcPr>
          <w:p w14:paraId="431ADD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825" w:type="pct"/>
            <w:noWrap w:val="0"/>
            <w:vAlign w:val="center"/>
          </w:tcPr>
          <w:p w14:paraId="5DC469A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450" w:type="pct"/>
            <w:gridSpan w:val="2"/>
            <w:noWrap w:val="0"/>
            <w:vAlign w:val="center"/>
          </w:tcPr>
          <w:p w14:paraId="5BD25D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396" w:type="pct"/>
            <w:noWrap w:val="0"/>
            <w:vAlign w:val="center"/>
          </w:tcPr>
          <w:p w14:paraId="3EDEB77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450" w:type="pct"/>
            <w:gridSpan w:val="2"/>
            <w:noWrap w:val="0"/>
            <w:vAlign w:val="center"/>
          </w:tcPr>
          <w:p w14:paraId="0A5C0EA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778" w:type="pct"/>
            <w:noWrap w:val="0"/>
            <w:vAlign w:val="center"/>
          </w:tcPr>
          <w:p w14:paraId="026CA0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r>
      <w:tr w14:paraId="0866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379" w:type="pct"/>
            <w:noWrap w:val="0"/>
            <w:vAlign w:val="center"/>
          </w:tcPr>
          <w:p w14:paraId="6E7D57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189" w:type="pct"/>
            <w:gridSpan w:val="2"/>
            <w:noWrap w:val="0"/>
            <w:vAlign w:val="center"/>
          </w:tcPr>
          <w:p w14:paraId="676C069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529" w:type="pct"/>
            <w:gridSpan w:val="2"/>
            <w:noWrap w:val="0"/>
            <w:vAlign w:val="center"/>
          </w:tcPr>
          <w:p w14:paraId="23BDBF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825" w:type="pct"/>
            <w:noWrap w:val="0"/>
            <w:vAlign w:val="center"/>
          </w:tcPr>
          <w:p w14:paraId="1EC94C2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450" w:type="pct"/>
            <w:gridSpan w:val="2"/>
            <w:noWrap w:val="0"/>
            <w:vAlign w:val="center"/>
          </w:tcPr>
          <w:p w14:paraId="13AC694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396" w:type="pct"/>
            <w:noWrap w:val="0"/>
            <w:vAlign w:val="center"/>
          </w:tcPr>
          <w:p w14:paraId="1A792CE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450" w:type="pct"/>
            <w:gridSpan w:val="2"/>
            <w:noWrap w:val="0"/>
            <w:vAlign w:val="center"/>
          </w:tcPr>
          <w:p w14:paraId="49479B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778" w:type="pct"/>
            <w:noWrap w:val="0"/>
            <w:vAlign w:val="center"/>
          </w:tcPr>
          <w:p w14:paraId="126F46E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r>
      <w:tr w14:paraId="6E85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379" w:type="pct"/>
            <w:noWrap w:val="0"/>
            <w:vAlign w:val="center"/>
          </w:tcPr>
          <w:p w14:paraId="4D398AF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189" w:type="pct"/>
            <w:gridSpan w:val="2"/>
            <w:noWrap w:val="0"/>
            <w:vAlign w:val="center"/>
          </w:tcPr>
          <w:p w14:paraId="1CCE274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529" w:type="pct"/>
            <w:gridSpan w:val="2"/>
            <w:noWrap w:val="0"/>
            <w:vAlign w:val="center"/>
          </w:tcPr>
          <w:p w14:paraId="11B011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825" w:type="pct"/>
            <w:noWrap w:val="0"/>
            <w:vAlign w:val="center"/>
          </w:tcPr>
          <w:p w14:paraId="4C5431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450" w:type="pct"/>
            <w:gridSpan w:val="2"/>
            <w:noWrap w:val="0"/>
            <w:vAlign w:val="center"/>
          </w:tcPr>
          <w:p w14:paraId="7B72ED2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396" w:type="pct"/>
            <w:noWrap w:val="0"/>
            <w:vAlign w:val="center"/>
          </w:tcPr>
          <w:p w14:paraId="6DB754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450" w:type="pct"/>
            <w:gridSpan w:val="2"/>
            <w:noWrap w:val="0"/>
            <w:vAlign w:val="center"/>
          </w:tcPr>
          <w:p w14:paraId="10A0DD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778" w:type="pct"/>
            <w:noWrap w:val="0"/>
            <w:vAlign w:val="center"/>
          </w:tcPr>
          <w:p w14:paraId="1E07C3C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r>
      <w:tr w14:paraId="3456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rPr>
        <w:tc>
          <w:tcPr>
            <w:tcW w:w="379" w:type="pct"/>
            <w:noWrap w:val="0"/>
            <w:vAlign w:val="center"/>
          </w:tcPr>
          <w:p w14:paraId="2B1277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189" w:type="pct"/>
            <w:gridSpan w:val="2"/>
            <w:noWrap w:val="0"/>
            <w:vAlign w:val="center"/>
          </w:tcPr>
          <w:p w14:paraId="73306C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529" w:type="pct"/>
            <w:gridSpan w:val="2"/>
            <w:noWrap w:val="0"/>
            <w:vAlign w:val="center"/>
          </w:tcPr>
          <w:p w14:paraId="48D238C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825" w:type="pct"/>
            <w:noWrap w:val="0"/>
            <w:vAlign w:val="center"/>
          </w:tcPr>
          <w:p w14:paraId="27FA971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450" w:type="pct"/>
            <w:gridSpan w:val="2"/>
            <w:noWrap w:val="0"/>
            <w:vAlign w:val="center"/>
          </w:tcPr>
          <w:p w14:paraId="12CFA98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396" w:type="pct"/>
            <w:noWrap w:val="0"/>
            <w:vAlign w:val="center"/>
          </w:tcPr>
          <w:p w14:paraId="77FA7AB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450" w:type="pct"/>
            <w:gridSpan w:val="2"/>
            <w:noWrap w:val="0"/>
            <w:vAlign w:val="center"/>
          </w:tcPr>
          <w:p w14:paraId="7E770C2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c>
          <w:tcPr>
            <w:tcW w:w="778" w:type="pct"/>
            <w:noWrap w:val="0"/>
            <w:vAlign w:val="center"/>
          </w:tcPr>
          <w:p w14:paraId="566F6C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p>
        </w:tc>
      </w:tr>
      <w:tr w14:paraId="38DA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 w:hRule="atLeast"/>
        </w:trPr>
        <w:tc>
          <w:tcPr>
            <w:tcW w:w="999" w:type="pct"/>
            <w:gridSpan w:val="2"/>
            <w:noWrap w:val="0"/>
            <w:vAlign w:val="center"/>
          </w:tcPr>
          <w:p w14:paraId="672E021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合同总价：</w:t>
            </w:r>
          </w:p>
        </w:tc>
        <w:tc>
          <w:tcPr>
            <w:tcW w:w="1000" w:type="pct"/>
            <w:gridSpan w:val="2"/>
            <w:noWrap w:val="0"/>
            <w:vAlign w:val="center"/>
          </w:tcPr>
          <w:p w14:paraId="4C6F2E1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（人民币大写）：</w:t>
            </w:r>
          </w:p>
        </w:tc>
        <w:tc>
          <w:tcPr>
            <w:tcW w:w="999" w:type="pct"/>
            <w:gridSpan w:val="3"/>
            <w:noWrap w:val="0"/>
            <w:vAlign w:val="center"/>
          </w:tcPr>
          <w:p w14:paraId="569070AB">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元整</w:t>
            </w:r>
          </w:p>
        </w:tc>
        <w:tc>
          <w:tcPr>
            <w:tcW w:w="1000" w:type="pct"/>
            <w:gridSpan w:val="3"/>
            <w:noWrap w:val="0"/>
            <w:vAlign w:val="center"/>
          </w:tcPr>
          <w:p w14:paraId="47AB75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（人民币小写）：</w:t>
            </w:r>
          </w:p>
        </w:tc>
        <w:tc>
          <w:tcPr>
            <w:tcW w:w="999" w:type="pct"/>
            <w:gridSpan w:val="2"/>
            <w:noWrap w:val="0"/>
            <w:vAlign w:val="center"/>
          </w:tcPr>
          <w:p w14:paraId="2EE63237">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.00</w:t>
            </w:r>
          </w:p>
        </w:tc>
      </w:tr>
    </w:tbl>
    <w:p w14:paraId="61AA3C2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现场承诺内容：</w:t>
      </w:r>
      <w:r>
        <w:rPr>
          <w:rFonts w:hint="eastAsia" w:ascii="新宋体" w:hAnsi="新宋体" w:eastAsia="新宋体" w:cs="新宋体"/>
          <w:color w:val="auto"/>
          <w:sz w:val="22"/>
          <w:szCs w:val="22"/>
          <w:highlight w:val="none"/>
          <w:u w:val="single"/>
        </w:rPr>
        <w:t xml:space="preserve">                                                                            </w:t>
      </w:r>
    </w:p>
    <w:p w14:paraId="176A4C8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2.本合同总价为</w:t>
      </w:r>
      <w:r>
        <w:rPr>
          <w:rFonts w:hint="eastAsia" w:ascii="新宋体" w:hAnsi="新宋体" w:eastAsia="新宋体" w:cs="新宋体"/>
          <w:color w:val="auto"/>
          <w:sz w:val="22"/>
          <w:szCs w:val="22"/>
          <w:highlight w:val="none"/>
          <w:lang w:val="zh-CN"/>
        </w:rPr>
        <w:t>完成本项目所需的所有费用，</w:t>
      </w:r>
      <w:r>
        <w:rPr>
          <w:rFonts w:hint="eastAsia" w:ascii="新宋体" w:hAnsi="新宋体" w:eastAsia="新宋体" w:cs="新宋体"/>
          <w:color w:val="auto"/>
          <w:sz w:val="22"/>
          <w:szCs w:val="22"/>
          <w:highlight w:val="none"/>
          <w:lang w:val="en-US" w:eastAsia="zh-CN"/>
        </w:rPr>
        <w:t>包括但不限于</w:t>
      </w:r>
      <w:r>
        <w:rPr>
          <w:rFonts w:hint="eastAsia" w:ascii="新宋体" w:hAnsi="新宋体" w:eastAsia="新宋体" w:cs="新宋体"/>
          <w:color w:val="auto"/>
          <w:sz w:val="22"/>
          <w:szCs w:val="22"/>
          <w:highlight w:val="none"/>
          <w:lang w:val="zh-CN"/>
        </w:rPr>
        <w:t>设备供货、税金、包装、运输、保险、装卸、检验、安装、调试、验收（含第三方验收）、技术服务、售后服务、质保期保障、材料等直至达到使用要求及质量标准、政策性文件规定及合同包含的所有风险、责任等各项应有费用，实行固定费用总包干。供应商应根据上述因素自行考虑含入投标总价。</w:t>
      </w:r>
      <w:r>
        <w:rPr>
          <w:rFonts w:hint="eastAsia" w:ascii="新宋体" w:hAnsi="新宋体" w:eastAsia="新宋体" w:cs="新宋体"/>
          <w:color w:val="auto"/>
          <w:sz w:val="22"/>
          <w:szCs w:val="22"/>
          <w:highlight w:val="none"/>
        </w:rPr>
        <w:t>除发生下列因素可调整合同价外，不得以任何其他理由调整任何费用。</w:t>
      </w:r>
    </w:p>
    <w:p w14:paraId="63FFD3A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3.买方提出的</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变更或由卖方提出的合理化建议，经买方同意采纳的</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型号、规格等各方面的变更，可根据原合同单价计算变更费用。但属卖方投标漏项少算的</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及服务费用不得追补。</w:t>
      </w:r>
    </w:p>
    <w:p w14:paraId="0E85265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、材料供应</w:t>
      </w:r>
    </w:p>
    <w:p w14:paraId="4E187DB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本合同范围所需的</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均由卖方提供。采购供应的材料、</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均须有合格证、质保书等相关技术资料。如发现不合格的</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材料，由卖方承担全部的经济损失和责任。</w:t>
      </w:r>
    </w:p>
    <w:p w14:paraId="5D4E162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5.产品包装</w:t>
      </w:r>
    </w:p>
    <w:p w14:paraId="7959BA5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5.1为了保证</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在长途运输和装卸过程中的安全，产品包装应符合国家或专业（部）标准规定。由于包装不善导致</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锈蚀、失缺或损坏，由卖方承担一切责任。</w:t>
      </w:r>
    </w:p>
    <w:p w14:paraId="75C0F8A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5.2每一包装箱内必须附有装箱清单。</w:t>
      </w:r>
    </w:p>
    <w:p w14:paraId="0D8CF20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6.唛头</w:t>
      </w:r>
    </w:p>
    <w:p w14:paraId="3016A76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6.1卖方应在每件包装箱上,明显地标注下列标记：</w:t>
      </w:r>
    </w:p>
    <w:p w14:paraId="634A65C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①收货人；②产品名称；③合同号；④品目号和箱号；⑤到达站或到货地点；⑥外形尺寸(长宽高</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，以厘米计；⑦毛重、净重(公斤</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t>
      </w:r>
    </w:p>
    <w:p w14:paraId="11B476D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6.2卖方应根据</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特点，在包装箱上标明“小心轻放”、“请勿倒置”、“防潮”等字样和吊装标记。</w:t>
      </w:r>
    </w:p>
    <w:p w14:paraId="392214F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7.本合同产品的免费保修期限为</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验收合格交付使用后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p>
    <w:p w14:paraId="1289DA1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在产品质量保证期限内，卖方对由于产品设计、工艺、材料、配套件的缺陷而造成的任何产品质量问题或故障负责。</w:t>
      </w:r>
    </w:p>
    <w:p w14:paraId="05E1A45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8.产品资料</w:t>
      </w:r>
    </w:p>
    <w:p w14:paraId="5F1DF53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档案资料，包括：</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的数量、型号、规格，</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生产厂家的产品检测证书，出厂检验报告，合格证书，产品说明书等有关资料。如发现不合格的</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材料，由卖方承担全部的经济损失的责任。</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开箱后的全部随机资料所有权归买方所有。开箱验收后由买方保管。</w:t>
      </w:r>
    </w:p>
    <w:p w14:paraId="7EAF935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9.交付验收使用时间：</w:t>
      </w:r>
      <w:r>
        <w:rPr>
          <w:rFonts w:hint="eastAsia" w:ascii="新宋体" w:hAnsi="新宋体" w:eastAsia="新宋体" w:cs="新宋体"/>
          <w:color w:val="auto"/>
          <w:sz w:val="22"/>
          <w:szCs w:val="22"/>
          <w:highlight w:val="none"/>
          <w:u w:val="single"/>
        </w:rPr>
        <w:t xml:space="preserve"> 合同签订后  天内 </w:t>
      </w:r>
      <w:r>
        <w:rPr>
          <w:rFonts w:hint="eastAsia" w:ascii="新宋体" w:hAnsi="新宋体" w:eastAsia="新宋体" w:cs="新宋体"/>
          <w:color w:val="auto"/>
          <w:sz w:val="22"/>
          <w:szCs w:val="22"/>
          <w:highlight w:val="none"/>
        </w:rPr>
        <w:t>，交货地点：</w:t>
      </w:r>
      <w:r>
        <w:rPr>
          <w:rFonts w:hint="eastAsia" w:ascii="新宋体" w:hAnsi="新宋体" w:eastAsia="新宋体" w:cs="新宋体"/>
          <w:color w:val="auto"/>
          <w:sz w:val="22"/>
          <w:szCs w:val="22"/>
          <w:highlight w:val="none"/>
          <w:u w:val="single"/>
        </w:rPr>
        <w:t xml:space="preserve"> 温州职业技术学院指定地点 </w:t>
      </w:r>
      <w:r>
        <w:rPr>
          <w:rFonts w:hint="eastAsia" w:ascii="新宋体" w:hAnsi="新宋体" w:eastAsia="新宋体" w:cs="新宋体"/>
          <w:color w:val="auto"/>
          <w:sz w:val="22"/>
          <w:szCs w:val="22"/>
          <w:highlight w:val="none"/>
        </w:rPr>
        <w:t>。</w:t>
      </w:r>
    </w:p>
    <w:p w14:paraId="197FA35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10.付款方式与结算</w:t>
      </w:r>
    </w:p>
    <w:p w14:paraId="2E042FF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rPr>
        <w:t>.1本项目不收取履约保证金。</w:t>
      </w:r>
    </w:p>
    <w:p w14:paraId="0A3AC9B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rPr>
        <w:t>.2买方在合同生效、具备实施条件以及卖方向买方提交合同金额40%的保函后，7日内完成预付款（合同金额40%，卖方必须先开具合同金额40%的正式发票）。卖方完成全部供货及安装、调试、培训等服务并通过买方验收，买方入库报销后7个工作日内，买方向卖方支付60%合同价款（卖方必须先开具合同金额60%的正式发票），同时退还保函。</w:t>
      </w:r>
    </w:p>
    <w:p w14:paraId="3E1FB2D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在签订合同时，卖方明确表示无需预付款或者主动要求降低预付款比例的，按实际比例计。</w:t>
      </w:r>
    </w:p>
    <w:p w14:paraId="079D07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买方对于满足合同约定支付条件的，自收到发票后7日内将资金支付到合同约定的供应商账户。</w:t>
      </w:r>
    </w:p>
    <w:p w14:paraId="21D6F7B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11.违约责任</w:t>
      </w:r>
    </w:p>
    <w:p w14:paraId="147E430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11.1</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质量责任</w:t>
      </w:r>
    </w:p>
    <w:p w14:paraId="4BC400D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11.1.1在</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质量保证期内，如产品有功能原理性错误或者</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在开箱检验、安装调试、</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试运行过程中发现的</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质量问题，由卖方负责处理，实行包修、包换、包退、直至产品符合质量要求。卖方承担修理、调换、退货发生的一切费用和买方的直接经济损失。</w:t>
      </w:r>
    </w:p>
    <w:p w14:paraId="0888962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11.1.2接到买方通知后，温州及附近地区4小时内，外地24小时内派人赴现场处理</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质量问题。</w:t>
      </w:r>
    </w:p>
    <w:p w14:paraId="5BBFACF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11.1.3由于买方保管不善或使用不当造成</w:t>
      </w:r>
      <w:r>
        <w:rPr>
          <w:rFonts w:hint="eastAsia" w:ascii="新宋体" w:hAnsi="新宋体" w:eastAsia="新宋体" w:cs="新宋体"/>
          <w:color w:val="auto"/>
          <w:sz w:val="22"/>
          <w:szCs w:val="22"/>
          <w:highlight w:val="none"/>
          <w:lang w:eastAsia="zh-CN"/>
        </w:rPr>
        <w:t>货物</w:t>
      </w:r>
      <w:r>
        <w:rPr>
          <w:rFonts w:hint="eastAsia" w:ascii="新宋体" w:hAnsi="新宋体" w:eastAsia="新宋体" w:cs="新宋体"/>
          <w:color w:val="auto"/>
          <w:sz w:val="22"/>
          <w:szCs w:val="22"/>
          <w:highlight w:val="none"/>
        </w:rPr>
        <w:t>短缺、故障或损坏，由买方负责。但卖方保证及时给予补齐和修复。</w:t>
      </w:r>
    </w:p>
    <w:p w14:paraId="6E7CEB6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11.2违约赔偿</w:t>
      </w:r>
    </w:p>
    <w:p w14:paraId="21D04D1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除不可抗力外，如卖方发生不能按期交货验收或提供服务，买方发生中途退货等情况，应及时以书面形式通知对方。双方应本着友好的态度进行协商，妥善解决。</w:t>
      </w:r>
    </w:p>
    <w:p w14:paraId="5A82E8B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如协商无效，按下列规定处以罚金。</w:t>
      </w:r>
    </w:p>
    <w:p w14:paraId="379884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11.2.1逾期交货验收</w:t>
      </w:r>
    </w:p>
    <w:p w14:paraId="647FFBC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卖方逾期交货验收，应向买方偿付违约金，每逾一周违约罚款按合同总价的1%计收，直至交货验收为止。（一周按7天计算，不足一周按一周计算）。逾期交货验收的违约赔偿最高限额为合同总价的10%，如违约金达到最高限额时卖方仍不能交货验收，买方可考虑终止合同。</w:t>
      </w:r>
    </w:p>
    <w:p w14:paraId="0F1C6F4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11.2.2卖方不能交货验收或买方中途退货。</w:t>
      </w:r>
    </w:p>
    <w:p w14:paraId="03F20A2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卖方不能交货验收，应向买方偿付违约金。违约金按合同总价的10%计算。</w:t>
      </w:r>
    </w:p>
    <w:p w14:paraId="42B5ACA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买方中途退货，应向卖方偿付违约金。违约金的计算方法与卖方违约相同。</w:t>
      </w:r>
    </w:p>
    <w:p w14:paraId="523478D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11.2.3经双方协商同意延期交货验收和经双方友好协商同意退货且无需罚款者不在此例。</w:t>
      </w:r>
    </w:p>
    <w:p w14:paraId="480456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12.不可抗力</w:t>
      </w:r>
    </w:p>
    <w:p w14:paraId="69B2982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12.1在合同执行期间发生地震等双方不可预料、不能避免、不能控制的情况，导致合同不能或不能全部履行。双方可以按以下各项执行：</w:t>
      </w:r>
    </w:p>
    <w:p w14:paraId="36C28A9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12.1.1任何一方可以书面形式终止合同无需做出任何赔偿。</w:t>
      </w:r>
    </w:p>
    <w:p w14:paraId="52E4AB4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12.1.2因不可抗力导致合同终止，并不影响任何一方对不可抗力先前发生的违约行为合法追偿。</w:t>
      </w:r>
    </w:p>
    <w:p w14:paraId="60112ED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12.1.3买方不负责因不可抗力造成合同不能正常履行的责任。</w:t>
      </w:r>
    </w:p>
    <w:p w14:paraId="162E926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12.1.4买卖双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14:paraId="24FD677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12.2当事人一方因不可抗力不能履行合同的，应当在事件发生后15日内通知对方，以减轻可能给对方造成的损失，向其提交全部或部分不能履行本合同义务以及需要延期履行的理由的报告。</w:t>
      </w:r>
    </w:p>
    <w:p w14:paraId="057601C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13.转让和分包</w:t>
      </w:r>
    </w:p>
    <w:p w14:paraId="56807F7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未经买方事先书面同意，卖方不得部分转让或分包或全部转让其应履行的合同义务。</w:t>
      </w:r>
    </w:p>
    <w:p w14:paraId="0E4FC21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14.争端的解决</w:t>
      </w:r>
    </w:p>
    <w:p w14:paraId="4AEE8C1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14.1合同实施或与合同有关的一切争端，买卖双方首先应通过友好协商解决，如果协商仍得不到解决，任何一方可向买方所在地申请仲裁或诉讼。</w:t>
      </w:r>
    </w:p>
    <w:p w14:paraId="187668E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14.2仲裁裁决应为最终裁决，对双方均有约束力。</w:t>
      </w:r>
    </w:p>
    <w:p w14:paraId="0F3F58B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14.3仲裁费用除仲裁机构另有裁决外应由败诉方承担。</w:t>
      </w:r>
    </w:p>
    <w:p w14:paraId="7935CC8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28</w:t>
      </w:r>
      <w:r>
        <w:rPr>
          <w:rFonts w:hint="eastAsia" w:ascii="新宋体" w:hAnsi="新宋体" w:eastAsia="新宋体" w:cs="新宋体"/>
          <w:color w:val="auto"/>
          <w:sz w:val="22"/>
          <w:szCs w:val="22"/>
          <w:highlight w:val="none"/>
        </w:rPr>
        <w:t>在仲裁期间，除正在执行仲裁部分外本合同的其他部分应继续执行。</w:t>
      </w:r>
    </w:p>
    <w:p w14:paraId="1026F17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15.约定事项：</w:t>
      </w:r>
    </w:p>
    <w:p w14:paraId="44CEB14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15.1本合同一式伍份，买方、卖方各执两份，代理公司一份。</w:t>
      </w:r>
    </w:p>
    <w:p w14:paraId="46ABF37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15.2合同经买卖双方签字盖章后生效。</w:t>
      </w:r>
    </w:p>
    <w:p w14:paraId="115DB36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15.3如需修改或补充合同内容，经协商，双方应签署书面修改或补充协议，该协议将作为本合同的一个组成部分。</w:t>
      </w:r>
    </w:p>
    <w:p w14:paraId="67F3E9C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15.4</w:t>
      </w:r>
      <w:r>
        <w:rPr>
          <w:rFonts w:hint="eastAsia" w:ascii="新宋体" w:hAnsi="新宋体" w:eastAsia="新宋体" w:cs="新宋体"/>
          <w:b/>
          <w:color w:val="auto"/>
          <w:sz w:val="22"/>
          <w:szCs w:val="22"/>
          <w:highlight w:val="none"/>
        </w:rPr>
        <w:t>本合同未尽事宜及对合同内容如有异议，以买方招标文件，卖方投标文件和在招标现场承诺为准，</w:t>
      </w:r>
      <w:r>
        <w:rPr>
          <w:rFonts w:hint="eastAsia" w:ascii="新宋体" w:hAnsi="新宋体" w:eastAsia="新宋体" w:cs="新宋体"/>
          <w:color w:val="auto"/>
          <w:sz w:val="22"/>
          <w:szCs w:val="22"/>
          <w:highlight w:val="none"/>
        </w:rPr>
        <w:t>如遇国家法律、法规及政策另有规定的，从其规定。</w:t>
      </w:r>
    </w:p>
    <w:p w14:paraId="6B50C11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1AE3C53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买方（盖章）： 温州职业技术学院                      卖方（盖章）:</w:t>
      </w:r>
    </w:p>
    <w:p w14:paraId="630E320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法人代表：                                           法人代表：</w:t>
      </w:r>
    </w:p>
    <w:p w14:paraId="6376EDE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委托代理人（签字）：                                 委托代理人（签字）： </w:t>
      </w:r>
    </w:p>
    <w:p w14:paraId="55A4B8E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联系电话：0577-86680027                              联系电话：</w:t>
      </w:r>
    </w:p>
    <w:p w14:paraId="73370F1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真：0577-86680000                              传    真：</w:t>
      </w:r>
    </w:p>
    <w:p w14:paraId="336FED8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    址：浙江省温州市瓯海区茶山高教园区             地    址： </w:t>
      </w:r>
    </w:p>
    <w:p w14:paraId="230BC56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统一社会信用代码：12330300470510558K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社会信用代码：</w:t>
      </w:r>
    </w:p>
    <w:p w14:paraId="00544F5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营业地址：温州市茶山高教园区及温州蒋家桥81号        营业地址：</w:t>
      </w:r>
    </w:p>
    <w:p w14:paraId="2DDD715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电话号码：0577-86680012                              电话号码：</w:t>
      </w:r>
    </w:p>
    <w:p w14:paraId="0183FBD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开户行：农行温州分行营业部                           开户行：</w:t>
      </w:r>
    </w:p>
    <w:p w14:paraId="6A0AB26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号：19299901040029331                            账  号：</w:t>
      </w:r>
    </w:p>
    <w:p w14:paraId="58BC5A1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签订日期：                                           签订日期：</w:t>
      </w:r>
    </w:p>
    <w:p w14:paraId="48699C78">
      <w:pPr>
        <w:spacing w:line="460" w:lineRule="exact"/>
        <w:rPr>
          <w:rFonts w:ascii="新宋体" w:hAnsi="新宋体" w:eastAsia="新宋体" w:cs="新宋体"/>
          <w:color w:val="auto"/>
          <w:highlight w:val="none"/>
        </w:rPr>
      </w:pPr>
    </w:p>
    <w:p w14:paraId="0E452203">
      <w:pPr>
        <w:spacing w:line="460" w:lineRule="exact"/>
        <w:jc w:val="center"/>
        <w:outlineLvl w:val="0"/>
        <w:rPr>
          <w:rFonts w:ascii="新宋体" w:hAnsi="新宋体" w:eastAsia="新宋体" w:cs="新宋体"/>
          <w:color w:val="auto"/>
          <w:sz w:val="36"/>
          <w:szCs w:val="36"/>
          <w:highlight w:val="none"/>
        </w:rPr>
      </w:pPr>
      <w:bookmarkStart w:id="68" w:name="_Toc195502496"/>
      <w:bookmarkStart w:id="69" w:name="_Toc202085296"/>
      <w:bookmarkStart w:id="70" w:name="_Toc195502586"/>
      <w:bookmarkStart w:id="71" w:name="_Toc28793"/>
      <w:bookmarkStart w:id="72" w:name="_Toc14682749"/>
      <w:bookmarkStart w:id="73" w:name="_Toc30488974"/>
      <w:bookmarkStart w:id="74" w:name="_Toc195502495"/>
      <w:bookmarkStart w:id="75" w:name="_Toc195502585"/>
      <w:bookmarkStart w:id="76" w:name="_Toc202085295"/>
      <w:r>
        <w:rPr>
          <w:rFonts w:hint="eastAsia" w:ascii="新宋体" w:hAnsi="新宋体" w:eastAsia="新宋体" w:cs="新宋体"/>
          <w:b/>
          <w:bCs/>
          <w:color w:val="auto"/>
          <w:sz w:val="36"/>
          <w:szCs w:val="36"/>
          <w:highlight w:val="none"/>
        </w:rPr>
        <w:br w:type="page"/>
      </w:r>
      <w:bookmarkStart w:id="77" w:name="_Toc7034"/>
      <w:r>
        <w:rPr>
          <w:rFonts w:hint="eastAsia" w:ascii="新宋体" w:hAnsi="新宋体" w:eastAsia="新宋体" w:cs="新宋体"/>
          <w:b/>
          <w:bCs/>
          <w:color w:val="auto"/>
          <w:sz w:val="36"/>
          <w:szCs w:val="36"/>
          <w:highlight w:val="none"/>
        </w:rPr>
        <w:t>第四部分</w:t>
      </w:r>
      <w:r>
        <w:rPr>
          <w:rFonts w:hint="eastAsia" w:ascii="新宋体" w:hAnsi="新宋体" w:eastAsia="新宋体" w:cs="新宋体"/>
          <w:b/>
          <w:bCs/>
          <w:color w:val="auto"/>
          <w:sz w:val="36"/>
          <w:szCs w:val="36"/>
          <w:highlight w:val="none"/>
          <w:lang w:val="en-US" w:eastAsia="zh-CN"/>
        </w:rPr>
        <w:t xml:space="preserve">   </w:t>
      </w:r>
      <w:r>
        <w:rPr>
          <w:rFonts w:hint="eastAsia" w:ascii="新宋体" w:hAnsi="新宋体" w:eastAsia="新宋体" w:cs="新宋体"/>
          <w:b/>
          <w:bCs/>
          <w:color w:val="auto"/>
          <w:sz w:val="36"/>
          <w:szCs w:val="36"/>
          <w:highlight w:val="none"/>
        </w:rPr>
        <w:t>附件</w:t>
      </w:r>
      <w:bookmarkEnd w:id="68"/>
      <w:bookmarkEnd w:id="69"/>
      <w:bookmarkEnd w:id="70"/>
      <w:bookmarkEnd w:id="77"/>
    </w:p>
    <w:p w14:paraId="735A1E87">
      <w:pPr>
        <w:spacing w:line="460" w:lineRule="exact"/>
        <w:outlineLvl w:val="1"/>
        <w:rPr>
          <w:rFonts w:ascii="新宋体" w:hAnsi="新宋体" w:eastAsia="新宋体" w:cs="新宋体"/>
          <w:b/>
          <w:bCs/>
          <w:color w:val="auto"/>
          <w:sz w:val="24"/>
          <w:highlight w:val="none"/>
        </w:rPr>
      </w:pPr>
      <w:bookmarkStart w:id="78" w:name="_Toc7807"/>
      <w:bookmarkStart w:id="79" w:name="_Toc929"/>
      <w:bookmarkStart w:id="80" w:name="_Toc14636"/>
      <w:r>
        <w:rPr>
          <w:rFonts w:hint="eastAsia" w:ascii="新宋体" w:hAnsi="新宋体" w:eastAsia="新宋体" w:cs="新宋体"/>
          <w:b/>
          <w:bCs/>
          <w:color w:val="auto"/>
          <w:sz w:val="24"/>
          <w:highlight w:val="none"/>
        </w:rPr>
        <w:t>附件一</w:t>
      </w:r>
      <w:bookmarkEnd w:id="78"/>
      <w:r>
        <w:rPr>
          <w:rFonts w:hint="eastAsia" w:ascii="新宋体" w:hAnsi="新宋体" w:eastAsia="新宋体" w:cs="新宋体"/>
          <w:b/>
          <w:bCs/>
          <w:color w:val="auto"/>
          <w:sz w:val="24"/>
          <w:highlight w:val="none"/>
        </w:rPr>
        <w:t xml:space="preserve"> </w:t>
      </w:r>
      <w:bookmarkEnd w:id="79"/>
      <w:bookmarkEnd w:id="80"/>
      <w:r>
        <w:rPr>
          <w:rFonts w:hint="eastAsia" w:ascii="新宋体" w:hAnsi="新宋体" w:eastAsia="新宋体" w:cs="新宋体"/>
          <w:b/>
          <w:bCs/>
          <w:color w:val="auto"/>
          <w:sz w:val="24"/>
          <w:highlight w:val="none"/>
        </w:rPr>
        <w:t xml:space="preserve"> </w:t>
      </w:r>
    </w:p>
    <w:p w14:paraId="1F84A2A8">
      <w:pPr>
        <w:spacing w:line="400" w:lineRule="exact"/>
        <w:jc w:val="center"/>
        <w:outlineLvl w:val="2"/>
        <w:rPr>
          <w:rFonts w:ascii="宋体" w:hAnsi="宋体" w:cs="宋体"/>
          <w:b/>
          <w:bCs/>
          <w:color w:val="auto"/>
          <w:sz w:val="28"/>
          <w:szCs w:val="28"/>
          <w:highlight w:val="none"/>
        </w:rPr>
      </w:pPr>
      <w:bookmarkStart w:id="81" w:name="_Toc24731"/>
      <w:bookmarkStart w:id="82" w:name="_Toc30304"/>
      <w:bookmarkStart w:id="83" w:name="_Toc4990"/>
      <w:bookmarkStart w:id="84" w:name="_Toc27810"/>
      <w:bookmarkStart w:id="85" w:name="_Toc20439"/>
      <w:bookmarkStart w:id="86" w:name="_Toc13365"/>
      <w:bookmarkStart w:id="87" w:name="_Toc5430"/>
      <w:r>
        <w:rPr>
          <w:rFonts w:hint="eastAsia" w:ascii="宋体" w:hAnsi="宋体" w:cs="宋体"/>
          <w:b/>
          <w:bCs/>
          <w:color w:val="auto"/>
          <w:sz w:val="28"/>
          <w:szCs w:val="28"/>
          <w:highlight w:val="none"/>
        </w:rPr>
        <w:t>报价文件</w:t>
      </w:r>
      <w:bookmarkEnd w:id="81"/>
      <w:bookmarkEnd w:id="82"/>
      <w:bookmarkEnd w:id="83"/>
      <w:bookmarkEnd w:id="84"/>
      <w:bookmarkEnd w:id="85"/>
      <w:bookmarkEnd w:id="86"/>
      <w:bookmarkEnd w:id="87"/>
    </w:p>
    <w:p w14:paraId="2A3458A1">
      <w:pPr>
        <w:spacing w:line="460" w:lineRule="exact"/>
        <w:jc w:val="center"/>
        <w:outlineLvl w:val="3"/>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1、投标报价一览表</w:t>
      </w:r>
    </w:p>
    <w:p w14:paraId="3D028877">
      <w:pPr>
        <w:spacing w:line="460" w:lineRule="exact"/>
        <w:jc w:val="center"/>
        <w:rPr>
          <w:rFonts w:ascii="新宋体" w:hAnsi="新宋体" w:eastAsia="新宋体" w:cs="新宋体"/>
          <w:b/>
          <w:bCs/>
          <w:color w:val="auto"/>
          <w:sz w:val="22"/>
          <w:szCs w:val="22"/>
          <w:highlight w:val="none"/>
        </w:rPr>
      </w:pPr>
    </w:p>
    <w:p w14:paraId="531C8BE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                                                     项目编号：</w:t>
      </w:r>
    </w:p>
    <w:tbl>
      <w:tblPr>
        <w:tblStyle w:val="39"/>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522"/>
        <w:gridCol w:w="5413"/>
        <w:gridCol w:w="868"/>
      </w:tblGrid>
      <w:tr w14:paraId="5575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noWrap w:val="0"/>
            <w:vAlign w:val="center"/>
          </w:tcPr>
          <w:p w14:paraId="66C50C09">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522" w:type="dxa"/>
            <w:noWrap w:val="0"/>
            <w:vAlign w:val="center"/>
          </w:tcPr>
          <w:p w14:paraId="1C07AE01">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项目内容</w:t>
            </w:r>
          </w:p>
        </w:tc>
        <w:tc>
          <w:tcPr>
            <w:tcW w:w="5413" w:type="dxa"/>
            <w:noWrap w:val="0"/>
            <w:vAlign w:val="center"/>
          </w:tcPr>
          <w:p w14:paraId="3E8E6833">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报价（人民币）</w:t>
            </w:r>
          </w:p>
        </w:tc>
        <w:tc>
          <w:tcPr>
            <w:tcW w:w="868" w:type="dxa"/>
            <w:noWrap w:val="0"/>
            <w:vAlign w:val="center"/>
          </w:tcPr>
          <w:p w14:paraId="1C8752A4">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347F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noWrap w:val="0"/>
            <w:vAlign w:val="center"/>
          </w:tcPr>
          <w:p w14:paraId="7983D680">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w:t>
            </w:r>
          </w:p>
        </w:tc>
        <w:tc>
          <w:tcPr>
            <w:tcW w:w="2522" w:type="dxa"/>
            <w:vMerge w:val="restart"/>
            <w:noWrap w:val="0"/>
            <w:vAlign w:val="center"/>
          </w:tcPr>
          <w:p w14:paraId="40A2ECCC">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立式加工中心</w:t>
            </w:r>
          </w:p>
        </w:tc>
        <w:tc>
          <w:tcPr>
            <w:tcW w:w="5413" w:type="dxa"/>
            <w:noWrap w:val="0"/>
            <w:vAlign w:val="center"/>
          </w:tcPr>
          <w:p w14:paraId="019652D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大写：</w:t>
            </w:r>
          </w:p>
        </w:tc>
        <w:tc>
          <w:tcPr>
            <w:tcW w:w="868" w:type="dxa"/>
            <w:vMerge w:val="restart"/>
            <w:noWrap w:val="0"/>
            <w:vAlign w:val="center"/>
          </w:tcPr>
          <w:p w14:paraId="7488B804">
            <w:pPr>
              <w:spacing w:line="460" w:lineRule="exact"/>
              <w:jc w:val="center"/>
              <w:rPr>
                <w:rFonts w:ascii="新宋体" w:hAnsi="新宋体" w:eastAsia="新宋体" w:cs="新宋体"/>
                <w:color w:val="auto"/>
                <w:sz w:val="22"/>
                <w:szCs w:val="22"/>
                <w:highlight w:val="none"/>
              </w:rPr>
            </w:pPr>
          </w:p>
        </w:tc>
      </w:tr>
      <w:tr w14:paraId="3D29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noWrap w:val="0"/>
            <w:vAlign w:val="center"/>
          </w:tcPr>
          <w:p w14:paraId="0C0328FE">
            <w:pPr>
              <w:spacing w:line="460" w:lineRule="exact"/>
              <w:jc w:val="center"/>
              <w:rPr>
                <w:rFonts w:ascii="新宋体" w:hAnsi="新宋体" w:eastAsia="新宋体" w:cs="新宋体"/>
                <w:color w:val="auto"/>
                <w:sz w:val="22"/>
                <w:szCs w:val="22"/>
                <w:highlight w:val="none"/>
              </w:rPr>
            </w:pPr>
          </w:p>
        </w:tc>
        <w:tc>
          <w:tcPr>
            <w:tcW w:w="2522" w:type="dxa"/>
            <w:vMerge w:val="continue"/>
            <w:noWrap w:val="0"/>
            <w:vAlign w:val="center"/>
          </w:tcPr>
          <w:p w14:paraId="770F6C4A">
            <w:pPr>
              <w:spacing w:line="460" w:lineRule="exact"/>
              <w:jc w:val="center"/>
              <w:rPr>
                <w:rFonts w:ascii="新宋体" w:hAnsi="新宋体" w:eastAsia="新宋体" w:cs="新宋体"/>
                <w:color w:val="auto"/>
                <w:sz w:val="22"/>
                <w:szCs w:val="22"/>
                <w:highlight w:val="none"/>
              </w:rPr>
            </w:pPr>
          </w:p>
        </w:tc>
        <w:tc>
          <w:tcPr>
            <w:tcW w:w="5413" w:type="dxa"/>
            <w:noWrap w:val="0"/>
            <w:vAlign w:val="center"/>
          </w:tcPr>
          <w:p w14:paraId="15761E7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小写：</w:t>
            </w:r>
          </w:p>
        </w:tc>
        <w:tc>
          <w:tcPr>
            <w:tcW w:w="868" w:type="dxa"/>
            <w:vMerge w:val="continue"/>
            <w:noWrap w:val="0"/>
            <w:vAlign w:val="center"/>
          </w:tcPr>
          <w:p w14:paraId="0E5C0AEC">
            <w:pPr>
              <w:spacing w:line="460" w:lineRule="exact"/>
              <w:jc w:val="center"/>
              <w:rPr>
                <w:rFonts w:ascii="新宋体" w:hAnsi="新宋体" w:eastAsia="新宋体" w:cs="新宋体"/>
                <w:color w:val="auto"/>
                <w:sz w:val="22"/>
                <w:szCs w:val="22"/>
                <w:highlight w:val="none"/>
              </w:rPr>
            </w:pPr>
          </w:p>
        </w:tc>
      </w:tr>
    </w:tbl>
    <w:p w14:paraId="20B57883">
      <w:pPr>
        <w:spacing w:line="40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说明：</w:t>
      </w:r>
    </w:p>
    <w:p w14:paraId="5B8EDEFC">
      <w:pPr>
        <w:numPr>
          <w:ilvl w:val="0"/>
          <w:numId w:val="1"/>
        </w:numPr>
        <w:spacing w:line="450" w:lineRule="exact"/>
        <w:ind w:firstLine="541" w:firstLineChars="245"/>
        <w:rPr>
          <w:rFonts w:ascii="宋体" w:hAnsi="宋体" w:cs="宋体"/>
          <w:b/>
          <w:color w:val="auto"/>
          <w:sz w:val="22"/>
          <w:highlight w:val="none"/>
          <w:lang w:val="zh-CN"/>
        </w:rPr>
      </w:pPr>
      <w:r>
        <w:rPr>
          <w:rFonts w:hint="eastAsia" w:ascii="宋体" w:hAnsi="宋体" w:cs="宋体"/>
          <w:b/>
          <w:color w:val="auto"/>
          <w:sz w:val="22"/>
          <w:highlight w:val="none"/>
          <w:lang w:val="zh-CN"/>
        </w:rPr>
        <w:t>投标报价包括：</w:t>
      </w:r>
      <w:r>
        <w:rPr>
          <w:rFonts w:hint="eastAsia" w:ascii="新宋体" w:hAnsi="新宋体" w:eastAsia="新宋体" w:cs="新宋体"/>
          <w:b/>
          <w:bCs/>
          <w:color w:val="auto"/>
          <w:sz w:val="22"/>
          <w:highlight w:val="none"/>
          <w:lang w:val="zh-CN"/>
        </w:rPr>
        <w:t>完成本项目所需的所有费用，</w:t>
      </w:r>
      <w:r>
        <w:rPr>
          <w:rFonts w:hint="eastAsia" w:ascii="新宋体" w:hAnsi="新宋体" w:eastAsia="新宋体" w:cs="新宋体"/>
          <w:b/>
          <w:bCs/>
          <w:color w:val="auto"/>
          <w:sz w:val="22"/>
          <w:highlight w:val="none"/>
          <w:lang w:val="en-US" w:eastAsia="zh-CN"/>
        </w:rPr>
        <w:t>包括但不限于</w:t>
      </w:r>
      <w:r>
        <w:rPr>
          <w:rFonts w:hint="eastAsia" w:ascii="新宋体" w:hAnsi="新宋体" w:eastAsia="新宋体" w:cs="新宋体"/>
          <w:b/>
          <w:bCs/>
          <w:color w:val="auto"/>
          <w:sz w:val="22"/>
          <w:highlight w:val="none"/>
          <w:lang w:val="zh-CN"/>
        </w:rPr>
        <w:t>设备供货、税金、包装、运输、保险、装卸、检验、安装、调试、验收（含第三方验收）、技术服务、售后服务、质保期保障、材料等直至达到使用要求及质量标准、政策性文件规定及合同包含的所有风险、责任等各项应有费用，实行固定费用总包干。供应商应根据上述因素自行考虑含入投标总价。</w:t>
      </w:r>
    </w:p>
    <w:p w14:paraId="128EFED7">
      <w:pPr>
        <w:numPr>
          <w:ilvl w:val="0"/>
          <w:numId w:val="1"/>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不提供此表格将被视为没有实质性响应招标文件</w:t>
      </w:r>
    </w:p>
    <w:p w14:paraId="4F5EDF47">
      <w:pPr>
        <w:numPr>
          <w:ilvl w:val="0"/>
          <w:numId w:val="1"/>
        </w:numPr>
        <w:spacing w:line="450" w:lineRule="exact"/>
        <w:ind w:firstLine="541" w:firstLineChars="245"/>
        <w:rPr>
          <w:rFonts w:ascii="宋体" w:hAnsi="宋体" w:cs="宋体"/>
          <w:b/>
          <w:color w:val="auto"/>
          <w:sz w:val="22"/>
          <w:highlight w:val="none"/>
        </w:rPr>
      </w:pPr>
      <w:r>
        <w:rPr>
          <w:rFonts w:hint="eastAsia" w:ascii="宋体" w:hAnsi="宋体" w:cs="宋体"/>
          <w:b/>
          <w:color w:val="auto"/>
          <w:sz w:val="22"/>
          <w:highlight w:val="none"/>
        </w:rPr>
        <w:t>客户端填写的报价与以pdf格式上传文件中的报价不一致的，应以Pdf格式上传文件中的报价为准。</w:t>
      </w:r>
    </w:p>
    <w:p w14:paraId="22B0EBA3">
      <w:pPr>
        <w:spacing w:line="460" w:lineRule="exact"/>
        <w:rPr>
          <w:rFonts w:ascii="新宋体" w:hAnsi="新宋体" w:eastAsia="新宋体" w:cs="新宋体"/>
          <w:b/>
          <w:bCs/>
          <w:color w:val="auto"/>
          <w:sz w:val="22"/>
          <w:szCs w:val="22"/>
          <w:highlight w:val="none"/>
        </w:rPr>
      </w:pPr>
    </w:p>
    <w:p w14:paraId="1B1FB7D9">
      <w:pPr>
        <w:spacing w:line="460" w:lineRule="exact"/>
        <w:rPr>
          <w:rFonts w:ascii="新宋体" w:hAnsi="新宋体" w:eastAsia="新宋体" w:cs="新宋体"/>
          <w:b/>
          <w:bCs/>
          <w:color w:val="auto"/>
          <w:sz w:val="22"/>
          <w:szCs w:val="22"/>
          <w:highlight w:val="none"/>
        </w:rPr>
      </w:pPr>
    </w:p>
    <w:p w14:paraId="344E61D4">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8ADFADF">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投标人代表（签字或盖章）：</w:t>
      </w:r>
    </w:p>
    <w:p w14:paraId="4BAE6634">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2EA5BB40">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p>
    <w:p w14:paraId="64FCE865">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p>
    <w:p w14:paraId="593D2C28">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p>
    <w:p w14:paraId="59581238">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p>
    <w:p w14:paraId="418123FF">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p>
    <w:p w14:paraId="19281BEA">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p>
    <w:p w14:paraId="54D15929">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p>
    <w:p w14:paraId="22BD73AC">
      <w:pPr>
        <w:spacing w:line="400" w:lineRule="exact"/>
        <w:jc w:val="center"/>
        <w:outlineLvl w:val="3"/>
        <w:rPr>
          <w:rFonts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br w:type="page"/>
      </w:r>
      <w:r>
        <w:rPr>
          <w:rFonts w:hint="eastAsia" w:ascii="新宋体" w:hAnsi="新宋体" w:eastAsia="新宋体" w:cs="新宋体"/>
          <w:b/>
          <w:bCs/>
          <w:color w:val="auto"/>
          <w:sz w:val="28"/>
          <w:szCs w:val="28"/>
          <w:highlight w:val="none"/>
        </w:rPr>
        <w:t>2</w:t>
      </w:r>
      <w:r>
        <w:rPr>
          <w:rFonts w:hint="eastAsia" w:ascii="新宋体" w:hAnsi="新宋体" w:eastAsia="新宋体" w:cs="新宋体"/>
          <w:b/>
          <w:bCs/>
          <w:color w:val="auto"/>
          <w:sz w:val="28"/>
          <w:szCs w:val="28"/>
          <w:highlight w:val="none"/>
          <w:lang w:val="zh-CN"/>
        </w:rPr>
        <w:t>、分项报价表</w:t>
      </w:r>
    </w:p>
    <w:p w14:paraId="481C3191">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                                                     项目编号：</w:t>
      </w:r>
    </w:p>
    <w:tbl>
      <w:tblPr>
        <w:tblStyle w:val="39"/>
        <w:tblW w:w="10178"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925"/>
        <w:gridCol w:w="1560"/>
        <w:gridCol w:w="1290"/>
        <w:gridCol w:w="780"/>
        <w:gridCol w:w="1140"/>
        <w:gridCol w:w="1005"/>
        <w:gridCol w:w="983"/>
      </w:tblGrid>
      <w:tr w14:paraId="4602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noWrap w:val="0"/>
            <w:vAlign w:val="center"/>
          </w:tcPr>
          <w:p w14:paraId="75F9ECFF">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2925" w:type="dxa"/>
            <w:noWrap w:val="0"/>
            <w:vAlign w:val="center"/>
          </w:tcPr>
          <w:p w14:paraId="6B534EF6">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560" w:type="dxa"/>
            <w:noWrap w:val="0"/>
            <w:vAlign w:val="center"/>
          </w:tcPr>
          <w:p w14:paraId="2A8E8EAE">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290" w:type="dxa"/>
            <w:noWrap w:val="0"/>
            <w:vAlign w:val="center"/>
          </w:tcPr>
          <w:p w14:paraId="1D1B84B2">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80" w:type="dxa"/>
            <w:noWrap w:val="0"/>
            <w:vAlign w:val="center"/>
          </w:tcPr>
          <w:p w14:paraId="395BB53D">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0" w:type="dxa"/>
            <w:noWrap w:val="0"/>
            <w:vAlign w:val="center"/>
          </w:tcPr>
          <w:p w14:paraId="0118EB45">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3D92AFC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5" w:type="dxa"/>
            <w:noWrap w:val="0"/>
            <w:vAlign w:val="center"/>
          </w:tcPr>
          <w:p w14:paraId="3764F3A8">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1A2546C1">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983" w:type="dxa"/>
            <w:noWrap w:val="0"/>
            <w:vAlign w:val="center"/>
          </w:tcPr>
          <w:p w14:paraId="3E4C13AD">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78189251">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0D01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noWrap w:val="0"/>
            <w:vAlign w:val="center"/>
          </w:tcPr>
          <w:p w14:paraId="1CB60A5E">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2925" w:type="dxa"/>
            <w:noWrap w:val="0"/>
            <w:vAlign w:val="top"/>
          </w:tcPr>
          <w:p w14:paraId="1BFB2B0A">
            <w:pPr>
              <w:spacing w:line="460" w:lineRule="exact"/>
              <w:ind w:right="-11"/>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主控制柜</w:t>
            </w:r>
          </w:p>
        </w:tc>
        <w:tc>
          <w:tcPr>
            <w:tcW w:w="1560" w:type="dxa"/>
            <w:noWrap w:val="0"/>
            <w:vAlign w:val="center"/>
          </w:tcPr>
          <w:p w14:paraId="53DE33FB">
            <w:pPr>
              <w:spacing w:line="460" w:lineRule="exact"/>
              <w:jc w:val="center"/>
              <w:rPr>
                <w:rFonts w:ascii="新宋体" w:hAnsi="新宋体" w:eastAsia="新宋体" w:cs="新宋体"/>
                <w:color w:val="auto"/>
                <w:sz w:val="22"/>
                <w:szCs w:val="22"/>
                <w:highlight w:val="none"/>
              </w:rPr>
            </w:pPr>
          </w:p>
        </w:tc>
        <w:tc>
          <w:tcPr>
            <w:tcW w:w="1290" w:type="dxa"/>
            <w:noWrap w:val="0"/>
            <w:vAlign w:val="center"/>
          </w:tcPr>
          <w:p w14:paraId="1AAB6228">
            <w:pPr>
              <w:spacing w:line="460" w:lineRule="exact"/>
              <w:ind w:right="-11"/>
              <w:jc w:val="center"/>
              <w:rPr>
                <w:rFonts w:ascii="新宋体" w:hAnsi="新宋体" w:eastAsia="新宋体" w:cs="新宋体"/>
                <w:color w:val="auto"/>
                <w:sz w:val="22"/>
                <w:szCs w:val="22"/>
                <w:highlight w:val="none"/>
              </w:rPr>
            </w:pPr>
          </w:p>
        </w:tc>
        <w:tc>
          <w:tcPr>
            <w:tcW w:w="780" w:type="dxa"/>
            <w:noWrap w:val="0"/>
            <w:vAlign w:val="center"/>
          </w:tcPr>
          <w:p w14:paraId="2AC7D3F8">
            <w:pPr>
              <w:spacing w:line="460" w:lineRule="exact"/>
              <w:jc w:val="center"/>
              <w:rPr>
                <w:rFonts w:ascii="新宋体" w:hAnsi="新宋体" w:eastAsia="新宋体" w:cs="新宋体"/>
                <w:color w:val="auto"/>
                <w:sz w:val="22"/>
                <w:szCs w:val="22"/>
                <w:highlight w:val="none"/>
              </w:rPr>
            </w:pPr>
          </w:p>
        </w:tc>
        <w:tc>
          <w:tcPr>
            <w:tcW w:w="1140" w:type="dxa"/>
            <w:noWrap w:val="0"/>
            <w:vAlign w:val="center"/>
          </w:tcPr>
          <w:p w14:paraId="5205660B">
            <w:pPr>
              <w:spacing w:line="460" w:lineRule="exact"/>
              <w:ind w:right="-11"/>
              <w:jc w:val="center"/>
              <w:rPr>
                <w:rFonts w:ascii="新宋体" w:hAnsi="新宋体" w:eastAsia="新宋体" w:cs="新宋体"/>
                <w:color w:val="auto"/>
                <w:sz w:val="22"/>
                <w:szCs w:val="22"/>
                <w:highlight w:val="none"/>
              </w:rPr>
            </w:pPr>
          </w:p>
        </w:tc>
        <w:tc>
          <w:tcPr>
            <w:tcW w:w="1005" w:type="dxa"/>
            <w:noWrap w:val="0"/>
            <w:vAlign w:val="center"/>
          </w:tcPr>
          <w:p w14:paraId="3A2F1167">
            <w:pPr>
              <w:spacing w:line="460" w:lineRule="exact"/>
              <w:ind w:right="-11"/>
              <w:jc w:val="center"/>
              <w:rPr>
                <w:rFonts w:ascii="新宋体" w:hAnsi="新宋体" w:eastAsia="新宋体" w:cs="新宋体"/>
                <w:color w:val="auto"/>
                <w:sz w:val="22"/>
                <w:szCs w:val="22"/>
                <w:highlight w:val="none"/>
              </w:rPr>
            </w:pPr>
          </w:p>
        </w:tc>
        <w:tc>
          <w:tcPr>
            <w:tcW w:w="983" w:type="dxa"/>
            <w:noWrap w:val="0"/>
            <w:vAlign w:val="center"/>
          </w:tcPr>
          <w:p w14:paraId="69B9F51D">
            <w:pPr>
              <w:spacing w:line="460" w:lineRule="exact"/>
              <w:ind w:right="-11"/>
              <w:jc w:val="center"/>
              <w:rPr>
                <w:rFonts w:ascii="新宋体" w:hAnsi="新宋体" w:eastAsia="新宋体" w:cs="新宋体"/>
                <w:color w:val="auto"/>
                <w:sz w:val="22"/>
                <w:szCs w:val="22"/>
                <w:highlight w:val="none"/>
              </w:rPr>
            </w:pPr>
          </w:p>
        </w:tc>
      </w:tr>
      <w:tr w14:paraId="4D67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noWrap w:val="0"/>
            <w:vAlign w:val="center"/>
          </w:tcPr>
          <w:p w14:paraId="0DFB716A">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2925" w:type="dxa"/>
            <w:noWrap w:val="0"/>
            <w:vAlign w:val="top"/>
          </w:tcPr>
          <w:p w14:paraId="790D3A28">
            <w:pPr>
              <w:spacing w:line="460" w:lineRule="exact"/>
              <w:ind w:right="-11"/>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副控制柜</w:t>
            </w:r>
          </w:p>
        </w:tc>
        <w:tc>
          <w:tcPr>
            <w:tcW w:w="1560" w:type="dxa"/>
            <w:noWrap w:val="0"/>
            <w:vAlign w:val="center"/>
          </w:tcPr>
          <w:p w14:paraId="6F89C84F">
            <w:pPr>
              <w:spacing w:line="460" w:lineRule="exact"/>
              <w:jc w:val="center"/>
              <w:rPr>
                <w:rFonts w:ascii="新宋体" w:hAnsi="新宋体" w:eastAsia="新宋体" w:cs="新宋体"/>
                <w:color w:val="auto"/>
                <w:sz w:val="22"/>
                <w:szCs w:val="22"/>
                <w:highlight w:val="none"/>
              </w:rPr>
            </w:pPr>
          </w:p>
        </w:tc>
        <w:tc>
          <w:tcPr>
            <w:tcW w:w="1290" w:type="dxa"/>
            <w:noWrap w:val="0"/>
            <w:vAlign w:val="center"/>
          </w:tcPr>
          <w:p w14:paraId="108AF0DE">
            <w:pPr>
              <w:spacing w:line="460" w:lineRule="exact"/>
              <w:ind w:right="-11"/>
              <w:jc w:val="center"/>
              <w:rPr>
                <w:rFonts w:ascii="新宋体" w:hAnsi="新宋体" w:eastAsia="新宋体" w:cs="新宋体"/>
                <w:color w:val="auto"/>
                <w:sz w:val="22"/>
                <w:szCs w:val="22"/>
                <w:highlight w:val="none"/>
              </w:rPr>
            </w:pPr>
          </w:p>
        </w:tc>
        <w:tc>
          <w:tcPr>
            <w:tcW w:w="780" w:type="dxa"/>
            <w:noWrap w:val="0"/>
            <w:vAlign w:val="center"/>
          </w:tcPr>
          <w:p w14:paraId="634B9F8C">
            <w:pPr>
              <w:spacing w:line="460" w:lineRule="exact"/>
              <w:jc w:val="center"/>
              <w:rPr>
                <w:rFonts w:ascii="新宋体" w:hAnsi="新宋体" w:eastAsia="新宋体" w:cs="新宋体"/>
                <w:color w:val="auto"/>
                <w:sz w:val="22"/>
                <w:szCs w:val="22"/>
                <w:highlight w:val="none"/>
              </w:rPr>
            </w:pPr>
          </w:p>
        </w:tc>
        <w:tc>
          <w:tcPr>
            <w:tcW w:w="1140" w:type="dxa"/>
            <w:noWrap w:val="0"/>
            <w:vAlign w:val="center"/>
          </w:tcPr>
          <w:p w14:paraId="24DD9220">
            <w:pPr>
              <w:spacing w:line="460" w:lineRule="exact"/>
              <w:ind w:right="-11"/>
              <w:jc w:val="center"/>
              <w:rPr>
                <w:rFonts w:ascii="新宋体" w:hAnsi="新宋体" w:eastAsia="新宋体" w:cs="新宋体"/>
                <w:color w:val="auto"/>
                <w:sz w:val="22"/>
                <w:szCs w:val="22"/>
                <w:highlight w:val="none"/>
              </w:rPr>
            </w:pPr>
          </w:p>
        </w:tc>
        <w:tc>
          <w:tcPr>
            <w:tcW w:w="1005" w:type="dxa"/>
            <w:noWrap w:val="0"/>
            <w:vAlign w:val="center"/>
          </w:tcPr>
          <w:p w14:paraId="6897E0BB">
            <w:pPr>
              <w:spacing w:line="460" w:lineRule="exact"/>
              <w:ind w:right="-11"/>
              <w:jc w:val="center"/>
              <w:rPr>
                <w:rFonts w:ascii="新宋体" w:hAnsi="新宋体" w:eastAsia="新宋体" w:cs="新宋体"/>
                <w:color w:val="auto"/>
                <w:sz w:val="22"/>
                <w:szCs w:val="22"/>
                <w:highlight w:val="none"/>
              </w:rPr>
            </w:pPr>
          </w:p>
        </w:tc>
        <w:tc>
          <w:tcPr>
            <w:tcW w:w="983" w:type="dxa"/>
            <w:noWrap w:val="0"/>
            <w:vAlign w:val="center"/>
          </w:tcPr>
          <w:p w14:paraId="2C2B8A08">
            <w:pPr>
              <w:spacing w:line="460" w:lineRule="exact"/>
              <w:ind w:right="-11"/>
              <w:jc w:val="center"/>
              <w:rPr>
                <w:rFonts w:ascii="新宋体" w:hAnsi="新宋体" w:eastAsia="新宋体" w:cs="新宋体"/>
                <w:color w:val="auto"/>
                <w:sz w:val="22"/>
                <w:szCs w:val="22"/>
                <w:highlight w:val="none"/>
              </w:rPr>
            </w:pPr>
          </w:p>
        </w:tc>
      </w:tr>
      <w:tr w14:paraId="0837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noWrap w:val="0"/>
            <w:vAlign w:val="center"/>
          </w:tcPr>
          <w:p w14:paraId="7C83E002">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2925" w:type="dxa"/>
            <w:noWrap w:val="0"/>
            <w:vAlign w:val="top"/>
          </w:tcPr>
          <w:p w14:paraId="0D037195">
            <w:pPr>
              <w:spacing w:line="460" w:lineRule="exact"/>
              <w:ind w:right="-11"/>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立式加工中心单元</w:t>
            </w:r>
          </w:p>
        </w:tc>
        <w:tc>
          <w:tcPr>
            <w:tcW w:w="1560" w:type="dxa"/>
            <w:noWrap w:val="0"/>
            <w:vAlign w:val="center"/>
          </w:tcPr>
          <w:p w14:paraId="752AC30D">
            <w:pPr>
              <w:spacing w:line="460" w:lineRule="exact"/>
              <w:jc w:val="center"/>
              <w:rPr>
                <w:rFonts w:ascii="新宋体" w:hAnsi="新宋体" w:eastAsia="新宋体" w:cs="新宋体"/>
                <w:color w:val="auto"/>
                <w:sz w:val="22"/>
                <w:szCs w:val="22"/>
                <w:highlight w:val="none"/>
              </w:rPr>
            </w:pPr>
          </w:p>
        </w:tc>
        <w:tc>
          <w:tcPr>
            <w:tcW w:w="1290" w:type="dxa"/>
            <w:noWrap w:val="0"/>
            <w:vAlign w:val="center"/>
          </w:tcPr>
          <w:p w14:paraId="5D446400">
            <w:pPr>
              <w:spacing w:line="460" w:lineRule="exact"/>
              <w:ind w:right="-11"/>
              <w:jc w:val="center"/>
              <w:rPr>
                <w:rFonts w:ascii="新宋体" w:hAnsi="新宋体" w:eastAsia="新宋体" w:cs="新宋体"/>
                <w:color w:val="auto"/>
                <w:sz w:val="22"/>
                <w:szCs w:val="22"/>
                <w:highlight w:val="none"/>
              </w:rPr>
            </w:pPr>
          </w:p>
        </w:tc>
        <w:tc>
          <w:tcPr>
            <w:tcW w:w="780" w:type="dxa"/>
            <w:noWrap w:val="0"/>
            <w:vAlign w:val="center"/>
          </w:tcPr>
          <w:p w14:paraId="2569F7B3">
            <w:pPr>
              <w:spacing w:line="460" w:lineRule="exact"/>
              <w:jc w:val="center"/>
              <w:rPr>
                <w:rFonts w:ascii="新宋体" w:hAnsi="新宋体" w:eastAsia="新宋体" w:cs="新宋体"/>
                <w:color w:val="auto"/>
                <w:sz w:val="22"/>
                <w:szCs w:val="22"/>
                <w:highlight w:val="none"/>
              </w:rPr>
            </w:pPr>
          </w:p>
        </w:tc>
        <w:tc>
          <w:tcPr>
            <w:tcW w:w="1140" w:type="dxa"/>
            <w:noWrap w:val="0"/>
            <w:vAlign w:val="center"/>
          </w:tcPr>
          <w:p w14:paraId="5D27AAF1">
            <w:pPr>
              <w:spacing w:line="460" w:lineRule="exact"/>
              <w:ind w:right="-11"/>
              <w:jc w:val="center"/>
              <w:rPr>
                <w:rFonts w:ascii="新宋体" w:hAnsi="新宋体" w:eastAsia="新宋体" w:cs="新宋体"/>
                <w:color w:val="auto"/>
                <w:sz w:val="22"/>
                <w:szCs w:val="22"/>
                <w:highlight w:val="none"/>
              </w:rPr>
            </w:pPr>
          </w:p>
        </w:tc>
        <w:tc>
          <w:tcPr>
            <w:tcW w:w="1005" w:type="dxa"/>
            <w:noWrap w:val="0"/>
            <w:vAlign w:val="center"/>
          </w:tcPr>
          <w:p w14:paraId="6A9607A4">
            <w:pPr>
              <w:spacing w:line="460" w:lineRule="exact"/>
              <w:ind w:right="-11"/>
              <w:jc w:val="center"/>
              <w:rPr>
                <w:rFonts w:ascii="新宋体" w:hAnsi="新宋体" w:eastAsia="新宋体" w:cs="新宋体"/>
                <w:color w:val="auto"/>
                <w:sz w:val="22"/>
                <w:szCs w:val="22"/>
                <w:highlight w:val="none"/>
              </w:rPr>
            </w:pPr>
          </w:p>
        </w:tc>
        <w:tc>
          <w:tcPr>
            <w:tcW w:w="983" w:type="dxa"/>
            <w:noWrap w:val="0"/>
            <w:vAlign w:val="center"/>
          </w:tcPr>
          <w:p w14:paraId="70DBDB09">
            <w:pPr>
              <w:spacing w:line="460" w:lineRule="exact"/>
              <w:ind w:right="-11"/>
              <w:jc w:val="center"/>
              <w:rPr>
                <w:rFonts w:ascii="新宋体" w:hAnsi="新宋体" w:eastAsia="新宋体" w:cs="新宋体"/>
                <w:color w:val="auto"/>
                <w:sz w:val="22"/>
                <w:szCs w:val="22"/>
                <w:highlight w:val="none"/>
              </w:rPr>
            </w:pPr>
          </w:p>
        </w:tc>
      </w:tr>
      <w:tr w14:paraId="1A78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noWrap w:val="0"/>
            <w:vAlign w:val="center"/>
          </w:tcPr>
          <w:p w14:paraId="6100670A">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2925" w:type="dxa"/>
            <w:noWrap w:val="0"/>
            <w:vAlign w:val="top"/>
          </w:tcPr>
          <w:p w14:paraId="0F165E56">
            <w:pPr>
              <w:spacing w:line="460" w:lineRule="exact"/>
              <w:ind w:right="-11"/>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加工中心主轴机械拆装单元</w:t>
            </w:r>
          </w:p>
        </w:tc>
        <w:tc>
          <w:tcPr>
            <w:tcW w:w="1560" w:type="dxa"/>
            <w:noWrap w:val="0"/>
            <w:vAlign w:val="center"/>
          </w:tcPr>
          <w:p w14:paraId="119CA17C">
            <w:pPr>
              <w:spacing w:line="460" w:lineRule="exact"/>
              <w:jc w:val="center"/>
              <w:rPr>
                <w:rFonts w:ascii="新宋体" w:hAnsi="新宋体" w:eastAsia="新宋体" w:cs="新宋体"/>
                <w:color w:val="auto"/>
                <w:sz w:val="22"/>
                <w:szCs w:val="22"/>
                <w:highlight w:val="none"/>
              </w:rPr>
            </w:pPr>
          </w:p>
        </w:tc>
        <w:tc>
          <w:tcPr>
            <w:tcW w:w="1290" w:type="dxa"/>
            <w:noWrap w:val="0"/>
            <w:vAlign w:val="center"/>
          </w:tcPr>
          <w:p w14:paraId="08A4ECD1">
            <w:pPr>
              <w:spacing w:line="460" w:lineRule="exact"/>
              <w:ind w:right="-11"/>
              <w:jc w:val="center"/>
              <w:rPr>
                <w:rFonts w:ascii="新宋体" w:hAnsi="新宋体" w:eastAsia="新宋体" w:cs="新宋体"/>
                <w:color w:val="auto"/>
                <w:sz w:val="22"/>
                <w:szCs w:val="22"/>
                <w:highlight w:val="none"/>
              </w:rPr>
            </w:pPr>
          </w:p>
        </w:tc>
        <w:tc>
          <w:tcPr>
            <w:tcW w:w="780" w:type="dxa"/>
            <w:noWrap w:val="0"/>
            <w:vAlign w:val="center"/>
          </w:tcPr>
          <w:p w14:paraId="1CBC6279">
            <w:pPr>
              <w:spacing w:line="460" w:lineRule="exact"/>
              <w:jc w:val="center"/>
              <w:rPr>
                <w:rFonts w:ascii="新宋体" w:hAnsi="新宋体" w:eastAsia="新宋体" w:cs="新宋体"/>
                <w:color w:val="auto"/>
                <w:sz w:val="22"/>
                <w:szCs w:val="22"/>
                <w:highlight w:val="none"/>
              </w:rPr>
            </w:pPr>
          </w:p>
        </w:tc>
        <w:tc>
          <w:tcPr>
            <w:tcW w:w="1140" w:type="dxa"/>
            <w:noWrap w:val="0"/>
            <w:vAlign w:val="center"/>
          </w:tcPr>
          <w:p w14:paraId="30B89AFE">
            <w:pPr>
              <w:spacing w:line="460" w:lineRule="exact"/>
              <w:ind w:right="-11"/>
              <w:jc w:val="center"/>
              <w:rPr>
                <w:rFonts w:ascii="新宋体" w:hAnsi="新宋体" w:eastAsia="新宋体" w:cs="新宋体"/>
                <w:color w:val="auto"/>
                <w:sz w:val="22"/>
                <w:szCs w:val="22"/>
                <w:highlight w:val="none"/>
              </w:rPr>
            </w:pPr>
          </w:p>
        </w:tc>
        <w:tc>
          <w:tcPr>
            <w:tcW w:w="1005" w:type="dxa"/>
            <w:noWrap w:val="0"/>
            <w:vAlign w:val="center"/>
          </w:tcPr>
          <w:p w14:paraId="4C5DF329">
            <w:pPr>
              <w:spacing w:line="460" w:lineRule="exact"/>
              <w:ind w:right="-11"/>
              <w:jc w:val="center"/>
              <w:rPr>
                <w:rFonts w:ascii="新宋体" w:hAnsi="新宋体" w:eastAsia="新宋体" w:cs="新宋体"/>
                <w:color w:val="auto"/>
                <w:sz w:val="22"/>
                <w:szCs w:val="22"/>
                <w:highlight w:val="none"/>
              </w:rPr>
            </w:pPr>
          </w:p>
        </w:tc>
        <w:tc>
          <w:tcPr>
            <w:tcW w:w="983" w:type="dxa"/>
            <w:noWrap w:val="0"/>
            <w:vAlign w:val="center"/>
          </w:tcPr>
          <w:p w14:paraId="7799F2D6">
            <w:pPr>
              <w:spacing w:line="460" w:lineRule="exact"/>
              <w:ind w:right="-11"/>
              <w:jc w:val="center"/>
              <w:rPr>
                <w:rFonts w:ascii="新宋体" w:hAnsi="新宋体" w:eastAsia="新宋体" w:cs="新宋体"/>
                <w:color w:val="auto"/>
                <w:sz w:val="22"/>
                <w:szCs w:val="22"/>
                <w:highlight w:val="none"/>
              </w:rPr>
            </w:pPr>
          </w:p>
        </w:tc>
      </w:tr>
      <w:tr w14:paraId="2596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noWrap w:val="0"/>
            <w:vAlign w:val="center"/>
          </w:tcPr>
          <w:p w14:paraId="66884F87">
            <w:pPr>
              <w:widowControl/>
              <w:spacing w:line="460" w:lineRule="exact"/>
              <w:jc w:val="center"/>
              <w:textAlignment w:val="center"/>
              <w:rPr>
                <w:rFonts w:hint="eastAsia" w:ascii="新宋体" w:hAnsi="新宋体" w:eastAsia="新宋体" w:cs="新宋体"/>
                <w:color w:val="auto"/>
                <w:kern w:val="0"/>
                <w:sz w:val="22"/>
                <w:szCs w:val="22"/>
                <w:highlight w:val="none"/>
                <w:lang w:val="en-US" w:eastAsia="zh-CN" w:bidi="ar"/>
              </w:rPr>
            </w:pPr>
            <w:r>
              <w:rPr>
                <w:rFonts w:hint="eastAsia" w:ascii="新宋体" w:hAnsi="新宋体" w:eastAsia="新宋体" w:cs="新宋体"/>
                <w:color w:val="auto"/>
                <w:kern w:val="0"/>
                <w:sz w:val="22"/>
                <w:szCs w:val="22"/>
                <w:highlight w:val="none"/>
                <w:lang w:val="en-US" w:eastAsia="zh-CN" w:bidi="ar"/>
              </w:rPr>
              <w:t>5</w:t>
            </w:r>
          </w:p>
        </w:tc>
        <w:tc>
          <w:tcPr>
            <w:tcW w:w="2925" w:type="dxa"/>
            <w:noWrap w:val="0"/>
            <w:vAlign w:val="top"/>
          </w:tcPr>
          <w:p w14:paraId="30D35BDD">
            <w:pPr>
              <w:spacing w:line="460" w:lineRule="exact"/>
              <w:ind w:right="-11"/>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智能仓储与工业机器人单元</w:t>
            </w:r>
          </w:p>
        </w:tc>
        <w:tc>
          <w:tcPr>
            <w:tcW w:w="1560" w:type="dxa"/>
            <w:noWrap w:val="0"/>
            <w:vAlign w:val="center"/>
          </w:tcPr>
          <w:p w14:paraId="053C6711">
            <w:pPr>
              <w:spacing w:line="460" w:lineRule="exact"/>
              <w:jc w:val="center"/>
              <w:rPr>
                <w:rFonts w:ascii="新宋体" w:hAnsi="新宋体" w:eastAsia="新宋体" w:cs="新宋体"/>
                <w:color w:val="auto"/>
                <w:sz w:val="22"/>
                <w:szCs w:val="22"/>
                <w:highlight w:val="none"/>
              </w:rPr>
            </w:pPr>
          </w:p>
        </w:tc>
        <w:tc>
          <w:tcPr>
            <w:tcW w:w="1290" w:type="dxa"/>
            <w:noWrap w:val="0"/>
            <w:vAlign w:val="center"/>
          </w:tcPr>
          <w:p w14:paraId="1AC45261">
            <w:pPr>
              <w:spacing w:line="460" w:lineRule="exact"/>
              <w:ind w:right="-11"/>
              <w:jc w:val="center"/>
              <w:rPr>
                <w:rFonts w:ascii="新宋体" w:hAnsi="新宋体" w:eastAsia="新宋体" w:cs="新宋体"/>
                <w:color w:val="auto"/>
                <w:sz w:val="22"/>
                <w:szCs w:val="22"/>
                <w:highlight w:val="none"/>
              </w:rPr>
            </w:pPr>
          </w:p>
        </w:tc>
        <w:tc>
          <w:tcPr>
            <w:tcW w:w="780" w:type="dxa"/>
            <w:noWrap w:val="0"/>
            <w:vAlign w:val="center"/>
          </w:tcPr>
          <w:p w14:paraId="1419EEE2">
            <w:pPr>
              <w:spacing w:line="460" w:lineRule="exact"/>
              <w:jc w:val="center"/>
              <w:rPr>
                <w:rFonts w:ascii="新宋体" w:hAnsi="新宋体" w:eastAsia="新宋体" w:cs="新宋体"/>
                <w:color w:val="auto"/>
                <w:sz w:val="22"/>
                <w:szCs w:val="22"/>
                <w:highlight w:val="none"/>
              </w:rPr>
            </w:pPr>
          </w:p>
        </w:tc>
        <w:tc>
          <w:tcPr>
            <w:tcW w:w="1140" w:type="dxa"/>
            <w:noWrap w:val="0"/>
            <w:vAlign w:val="center"/>
          </w:tcPr>
          <w:p w14:paraId="576B5263">
            <w:pPr>
              <w:spacing w:line="460" w:lineRule="exact"/>
              <w:ind w:right="-11"/>
              <w:jc w:val="center"/>
              <w:rPr>
                <w:rFonts w:ascii="新宋体" w:hAnsi="新宋体" w:eastAsia="新宋体" w:cs="新宋体"/>
                <w:color w:val="auto"/>
                <w:sz w:val="22"/>
                <w:szCs w:val="22"/>
                <w:highlight w:val="none"/>
              </w:rPr>
            </w:pPr>
          </w:p>
        </w:tc>
        <w:tc>
          <w:tcPr>
            <w:tcW w:w="1005" w:type="dxa"/>
            <w:noWrap w:val="0"/>
            <w:vAlign w:val="center"/>
          </w:tcPr>
          <w:p w14:paraId="736575CD">
            <w:pPr>
              <w:spacing w:line="460" w:lineRule="exact"/>
              <w:ind w:right="-11"/>
              <w:jc w:val="center"/>
              <w:rPr>
                <w:rFonts w:ascii="新宋体" w:hAnsi="新宋体" w:eastAsia="新宋体" w:cs="新宋体"/>
                <w:color w:val="auto"/>
                <w:sz w:val="22"/>
                <w:szCs w:val="22"/>
                <w:highlight w:val="none"/>
              </w:rPr>
            </w:pPr>
          </w:p>
        </w:tc>
        <w:tc>
          <w:tcPr>
            <w:tcW w:w="983" w:type="dxa"/>
            <w:noWrap w:val="0"/>
            <w:vAlign w:val="center"/>
          </w:tcPr>
          <w:p w14:paraId="59562FA7">
            <w:pPr>
              <w:spacing w:line="460" w:lineRule="exact"/>
              <w:ind w:right="-11"/>
              <w:jc w:val="center"/>
              <w:rPr>
                <w:rFonts w:ascii="新宋体" w:hAnsi="新宋体" w:eastAsia="新宋体" w:cs="新宋体"/>
                <w:color w:val="auto"/>
                <w:sz w:val="22"/>
                <w:szCs w:val="22"/>
                <w:highlight w:val="none"/>
              </w:rPr>
            </w:pPr>
          </w:p>
        </w:tc>
      </w:tr>
      <w:tr w14:paraId="057F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noWrap w:val="0"/>
            <w:vAlign w:val="center"/>
          </w:tcPr>
          <w:p w14:paraId="485D6F10">
            <w:pPr>
              <w:widowControl/>
              <w:spacing w:line="460" w:lineRule="exact"/>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bidi="ar"/>
              </w:rPr>
              <w:t>6</w:t>
            </w:r>
          </w:p>
        </w:tc>
        <w:tc>
          <w:tcPr>
            <w:tcW w:w="2925" w:type="dxa"/>
            <w:noWrap w:val="0"/>
            <w:vAlign w:val="top"/>
          </w:tcPr>
          <w:p w14:paraId="62651834">
            <w:pPr>
              <w:spacing w:line="460" w:lineRule="exact"/>
              <w:ind w:right="-11"/>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工件测头</w:t>
            </w:r>
          </w:p>
        </w:tc>
        <w:tc>
          <w:tcPr>
            <w:tcW w:w="1560" w:type="dxa"/>
            <w:noWrap w:val="0"/>
            <w:vAlign w:val="center"/>
          </w:tcPr>
          <w:p w14:paraId="546D19F8">
            <w:pPr>
              <w:spacing w:line="460" w:lineRule="exact"/>
              <w:jc w:val="center"/>
              <w:rPr>
                <w:rFonts w:ascii="新宋体" w:hAnsi="新宋体" w:eastAsia="新宋体" w:cs="新宋体"/>
                <w:color w:val="auto"/>
                <w:sz w:val="22"/>
                <w:szCs w:val="22"/>
                <w:highlight w:val="none"/>
              </w:rPr>
            </w:pPr>
          </w:p>
        </w:tc>
        <w:tc>
          <w:tcPr>
            <w:tcW w:w="1290" w:type="dxa"/>
            <w:noWrap w:val="0"/>
            <w:vAlign w:val="center"/>
          </w:tcPr>
          <w:p w14:paraId="3FB37980">
            <w:pPr>
              <w:spacing w:line="460" w:lineRule="exact"/>
              <w:ind w:right="-11"/>
              <w:jc w:val="center"/>
              <w:rPr>
                <w:rFonts w:ascii="新宋体" w:hAnsi="新宋体" w:eastAsia="新宋体" w:cs="新宋体"/>
                <w:color w:val="auto"/>
                <w:sz w:val="22"/>
                <w:szCs w:val="22"/>
                <w:highlight w:val="none"/>
              </w:rPr>
            </w:pPr>
          </w:p>
        </w:tc>
        <w:tc>
          <w:tcPr>
            <w:tcW w:w="780" w:type="dxa"/>
            <w:noWrap w:val="0"/>
            <w:vAlign w:val="center"/>
          </w:tcPr>
          <w:p w14:paraId="023515F9">
            <w:pPr>
              <w:spacing w:line="460" w:lineRule="exact"/>
              <w:jc w:val="center"/>
              <w:rPr>
                <w:rFonts w:ascii="新宋体" w:hAnsi="新宋体" w:eastAsia="新宋体" w:cs="新宋体"/>
                <w:color w:val="auto"/>
                <w:sz w:val="22"/>
                <w:szCs w:val="22"/>
                <w:highlight w:val="none"/>
              </w:rPr>
            </w:pPr>
          </w:p>
        </w:tc>
        <w:tc>
          <w:tcPr>
            <w:tcW w:w="1140" w:type="dxa"/>
            <w:noWrap w:val="0"/>
            <w:vAlign w:val="center"/>
          </w:tcPr>
          <w:p w14:paraId="50D70856">
            <w:pPr>
              <w:spacing w:line="460" w:lineRule="exact"/>
              <w:ind w:right="-11"/>
              <w:jc w:val="center"/>
              <w:rPr>
                <w:rFonts w:ascii="新宋体" w:hAnsi="新宋体" w:eastAsia="新宋体" w:cs="新宋体"/>
                <w:color w:val="auto"/>
                <w:sz w:val="22"/>
                <w:szCs w:val="22"/>
                <w:highlight w:val="none"/>
              </w:rPr>
            </w:pPr>
          </w:p>
        </w:tc>
        <w:tc>
          <w:tcPr>
            <w:tcW w:w="1005" w:type="dxa"/>
            <w:noWrap w:val="0"/>
            <w:vAlign w:val="center"/>
          </w:tcPr>
          <w:p w14:paraId="4D603310">
            <w:pPr>
              <w:spacing w:line="460" w:lineRule="exact"/>
              <w:ind w:right="-11"/>
              <w:jc w:val="center"/>
              <w:rPr>
                <w:rFonts w:ascii="新宋体" w:hAnsi="新宋体" w:eastAsia="新宋体" w:cs="新宋体"/>
                <w:color w:val="auto"/>
                <w:sz w:val="22"/>
                <w:szCs w:val="22"/>
                <w:highlight w:val="none"/>
              </w:rPr>
            </w:pPr>
          </w:p>
        </w:tc>
        <w:tc>
          <w:tcPr>
            <w:tcW w:w="983" w:type="dxa"/>
            <w:noWrap w:val="0"/>
            <w:vAlign w:val="center"/>
          </w:tcPr>
          <w:p w14:paraId="334A0B41">
            <w:pPr>
              <w:spacing w:line="460" w:lineRule="exact"/>
              <w:ind w:right="-11"/>
              <w:jc w:val="center"/>
              <w:rPr>
                <w:rFonts w:ascii="新宋体" w:hAnsi="新宋体" w:eastAsia="新宋体" w:cs="新宋体"/>
                <w:color w:val="auto"/>
                <w:sz w:val="22"/>
                <w:szCs w:val="22"/>
                <w:highlight w:val="none"/>
              </w:rPr>
            </w:pPr>
          </w:p>
        </w:tc>
      </w:tr>
      <w:tr w14:paraId="31E0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noWrap w:val="0"/>
            <w:vAlign w:val="center"/>
          </w:tcPr>
          <w:p w14:paraId="09D3F0AE">
            <w:pPr>
              <w:widowControl/>
              <w:spacing w:line="460" w:lineRule="exact"/>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val="en-US" w:eastAsia="zh-CN" w:bidi="ar"/>
              </w:rPr>
              <w:t>7</w:t>
            </w:r>
          </w:p>
        </w:tc>
        <w:tc>
          <w:tcPr>
            <w:tcW w:w="2925" w:type="dxa"/>
            <w:noWrap w:val="0"/>
            <w:vAlign w:val="top"/>
          </w:tcPr>
          <w:p w14:paraId="1A44942B">
            <w:pPr>
              <w:spacing w:line="460" w:lineRule="exact"/>
              <w:ind w:right="-11"/>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安全防护单元</w:t>
            </w:r>
          </w:p>
        </w:tc>
        <w:tc>
          <w:tcPr>
            <w:tcW w:w="1560" w:type="dxa"/>
            <w:noWrap w:val="0"/>
            <w:vAlign w:val="center"/>
          </w:tcPr>
          <w:p w14:paraId="55D35A97">
            <w:pPr>
              <w:spacing w:line="460" w:lineRule="exact"/>
              <w:jc w:val="center"/>
              <w:rPr>
                <w:rFonts w:ascii="新宋体" w:hAnsi="新宋体" w:eastAsia="新宋体" w:cs="新宋体"/>
                <w:color w:val="auto"/>
                <w:sz w:val="22"/>
                <w:szCs w:val="22"/>
                <w:highlight w:val="none"/>
              </w:rPr>
            </w:pPr>
          </w:p>
        </w:tc>
        <w:tc>
          <w:tcPr>
            <w:tcW w:w="1290" w:type="dxa"/>
            <w:noWrap w:val="0"/>
            <w:vAlign w:val="center"/>
          </w:tcPr>
          <w:p w14:paraId="14B1A1C5">
            <w:pPr>
              <w:spacing w:line="460" w:lineRule="exact"/>
              <w:ind w:right="-11"/>
              <w:jc w:val="center"/>
              <w:rPr>
                <w:rFonts w:ascii="新宋体" w:hAnsi="新宋体" w:eastAsia="新宋体" w:cs="新宋体"/>
                <w:color w:val="auto"/>
                <w:sz w:val="22"/>
                <w:szCs w:val="22"/>
                <w:highlight w:val="none"/>
              </w:rPr>
            </w:pPr>
          </w:p>
        </w:tc>
        <w:tc>
          <w:tcPr>
            <w:tcW w:w="780" w:type="dxa"/>
            <w:noWrap w:val="0"/>
            <w:vAlign w:val="center"/>
          </w:tcPr>
          <w:p w14:paraId="044B0902">
            <w:pPr>
              <w:spacing w:line="460" w:lineRule="exact"/>
              <w:jc w:val="center"/>
              <w:rPr>
                <w:rFonts w:ascii="新宋体" w:hAnsi="新宋体" w:eastAsia="新宋体" w:cs="新宋体"/>
                <w:color w:val="auto"/>
                <w:sz w:val="22"/>
                <w:szCs w:val="22"/>
                <w:highlight w:val="none"/>
              </w:rPr>
            </w:pPr>
          </w:p>
        </w:tc>
        <w:tc>
          <w:tcPr>
            <w:tcW w:w="1140" w:type="dxa"/>
            <w:noWrap w:val="0"/>
            <w:vAlign w:val="center"/>
          </w:tcPr>
          <w:p w14:paraId="185006F6">
            <w:pPr>
              <w:spacing w:line="460" w:lineRule="exact"/>
              <w:ind w:right="-11"/>
              <w:jc w:val="center"/>
              <w:rPr>
                <w:rFonts w:ascii="新宋体" w:hAnsi="新宋体" w:eastAsia="新宋体" w:cs="新宋体"/>
                <w:color w:val="auto"/>
                <w:sz w:val="22"/>
                <w:szCs w:val="22"/>
                <w:highlight w:val="none"/>
              </w:rPr>
            </w:pPr>
          </w:p>
        </w:tc>
        <w:tc>
          <w:tcPr>
            <w:tcW w:w="1005" w:type="dxa"/>
            <w:noWrap w:val="0"/>
            <w:vAlign w:val="center"/>
          </w:tcPr>
          <w:p w14:paraId="2323FD85">
            <w:pPr>
              <w:spacing w:line="460" w:lineRule="exact"/>
              <w:ind w:right="-11"/>
              <w:jc w:val="center"/>
              <w:rPr>
                <w:rFonts w:ascii="新宋体" w:hAnsi="新宋体" w:eastAsia="新宋体" w:cs="新宋体"/>
                <w:color w:val="auto"/>
                <w:sz w:val="22"/>
                <w:szCs w:val="22"/>
                <w:highlight w:val="none"/>
              </w:rPr>
            </w:pPr>
          </w:p>
        </w:tc>
        <w:tc>
          <w:tcPr>
            <w:tcW w:w="983" w:type="dxa"/>
            <w:noWrap w:val="0"/>
            <w:vAlign w:val="center"/>
          </w:tcPr>
          <w:p w14:paraId="7E9A60B4">
            <w:pPr>
              <w:spacing w:line="460" w:lineRule="exact"/>
              <w:ind w:right="-11"/>
              <w:jc w:val="center"/>
              <w:rPr>
                <w:rFonts w:ascii="新宋体" w:hAnsi="新宋体" w:eastAsia="新宋体" w:cs="新宋体"/>
                <w:color w:val="auto"/>
                <w:sz w:val="22"/>
                <w:szCs w:val="22"/>
                <w:highlight w:val="none"/>
              </w:rPr>
            </w:pPr>
          </w:p>
        </w:tc>
      </w:tr>
      <w:tr w14:paraId="606D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 w:type="dxa"/>
            <w:noWrap w:val="0"/>
            <w:vAlign w:val="center"/>
          </w:tcPr>
          <w:p w14:paraId="31E7B5EB">
            <w:pPr>
              <w:widowControl/>
              <w:spacing w:line="460" w:lineRule="exact"/>
              <w:jc w:val="center"/>
              <w:textAlignment w:val="center"/>
              <w:rPr>
                <w:rFonts w:ascii="新宋体" w:hAnsi="新宋体" w:eastAsia="新宋体" w:cs="新宋体"/>
                <w:color w:val="auto"/>
                <w:kern w:val="0"/>
                <w:sz w:val="22"/>
                <w:szCs w:val="22"/>
                <w:highlight w:val="none"/>
                <w:lang w:bidi="ar"/>
              </w:rPr>
            </w:pPr>
          </w:p>
        </w:tc>
        <w:tc>
          <w:tcPr>
            <w:tcW w:w="2925" w:type="dxa"/>
            <w:noWrap w:val="0"/>
            <w:vAlign w:val="center"/>
          </w:tcPr>
          <w:p w14:paraId="5D407564">
            <w:pPr>
              <w:widowControl/>
              <w:spacing w:line="460" w:lineRule="exac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560" w:type="dxa"/>
            <w:noWrap w:val="0"/>
            <w:vAlign w:val="center"/>
          </w:tcPr>
          <w:p w14:paraId="6A45E937">
            <w:pPr>
              <w:spacing w:line="460" w:lineRule="exact"/>
              <w:jc w:val="center"/>
              <w:rPr>
                <w:rFonts w:ascii="新宋体" w:hAnsi="新宋体" w:eastAsia="新宋体" w:cs="新宋体"/>
                <w:color w:val="auto"/>
                <w:sz w:val="22"/>
                <w:szCs w:val="22"/>
                <w:highlight w:val="none"/>
              </w:rPr>
            </w:pPr>
          </w:p>
        </w:tc>
        <w:tc>
          <w:tcPr>
            <w:tcW w:w="1290" w:type="dxa"/>
            <w:noWrap w:val="0"/>
            <w:vAlign w:val="center"/>
          </w:tcPr>
          <w:p w14:paraId="62B10BDA">
            <w:pPr>
              <w:spacing w:line="460" w:lineRule="exact"/>
              <w:ind w:right="-11"/>
              <w:jc w:val="center"/>
              <w:rPr>
                <w:rFonts w:ascii="新宋体" w:hAnsi="新宋体" w:eastAsia="新宋体" w:cs="新宋体"/>
                <w:color w:val="auto"/>
                <w:sz w:val="22"/>
                <w:szCs w:val="22"/>
                <w:highlight w:val="none"/>
              </w:rPr>
            </w:pPr>
          </w:p>
        </w:tc>
        <w:tc>
          <w:tcPr>
            <w:tcW w:w="780" w:type="dxa"/>
            <w:noWrap w:val="0"/>
            <w:vAlign w:val="center"/>
          </w:tcPr>
          <w:p w14:paraId="02265049">
            <w:pPr>
              <w:spacing w:line="460" w:lineRule="exact"/>
              <w:jc w:val="center"/>
              <w:rPr>
                <w:rFonts w:ascii="新宋体" w:hAnsi="新宋体" w:eastAsia="新宋体" w:cs="新宋体"/>
                <w:color w:val="auto"/>
                <w:sz w:val="22"/>
                <w:szCs w:val="22"/>
                <w:highlight w:val="none"/>
              </w:rPr>
            </w:pPr>
          </w:p>
        </w:tc>
        <w:tc>
          <w:tcPr>
            <w:tcW w:w="1140" w:type="dxa"/>
            <w:noWrap w:val="0"/>
            <w:vAlign w:val="center"/>
          </w:tcPr>
          <w:p w14:paraId="022A60EA">
            <w:pPr>
              <w:spacing w:line="460" w:lineRule="exact"/>
              <w:ind w:right="-11"/>
              <w:jc w:val="center"/>
              <w:rPr>
                <w:rFonts w:ascii="新宋体" w:hAnsi="新宋体" w:eastAsia="新宋体" w:cs="新宋体"/>
                <w:color w:val="auto"/>
                <w:sz w:val="22"/>
                <w:szCs w:val="22"/>
                <w:highlight w:val="none"/>
              </w:rPr>
            </w:pPr>
          </w:p>
        </w:tc>
        <w:tc>
          <w:tcPr>
            <w:tcW w:w="1005" w:type="dxa"/>
            <w:noWrap w:val="0"/>
            <w:vAlign w:val="center"/>
          </w:tcPr>
          <w:p w14:paraId="5069A221">
            <w:pPr>
              <w:spacing w:line="460" w:lineRule="exact"/>
              <w:ind w:right="-11"/>
              <w:jc w:val="center"/>
              <w:rPr>
                <w:rFonts w:ascii="新宋体" w:hAnsi="新宋体" w:eastAsia="新宋体" w:cs="新宋体"/>
                <w:color w:val="auto"/>
                <w:sz w:val="22"/>
                <w:szCs w:val="22"/>
                <w:highlight w:val="none"/>
              </w:rPr>
            </w:pPr>
          </w:p>
        </w:tc>
        <w:tc>
          <w:tcPr>
            <w:tcW w:w="983" w:type="dxa"/>
            <w:noWrap w:val="0"/>
            <w:vAlign w:val="center"/>
          </w:tcPr>
          <w:p w14:paraId="7F039ED3">
            <w:pPr>
              <w:spacing w:line="460" w:lineRule="exact"/>
              <w:ind w:right="-11"/>
              <w:jc w:val="center"/>
              <w:rPr>
                <w:rFonts w:ascii="新宋体" w:hAnsi="新宋体" w:eastAsia="新宋体" w:cs="新宋体"/>
                <w:color w:val="auto"/>
                <w:sz w:val="22"/>
                <w:szCs w:val="22"/>
                <w:highlight w:val="none"/>
              </w:rPr>
            </w:pPr>
          </w:p>
        </w:tc>
      </w:tr>
      <w:tr w14:paraId="10A8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0" w:type="dxa"/>
            <w:gridSpan w:val="3"/>
            <w:noWrap w:val="0"/>
            <w:vAlign w:val="center"/>
          </w:tcPr>
          <w:p w14:paraId="43E92A1F">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5198" w:type="dxa"/>
            <w:gridSpan w:val="5"/>
            <w:noWrap w:val="0"/>
            <w:vAlign w:val="top"/>
          </w:tcPr>
          <w:p w14:paraId="340EB1BA">
            <w:pPr>
              <w:spacing w:line="460" w:lineRule="exact"/>
              <w:rPr>
                <w:rFonts w:ascii="新宋体" w:hAnsi="新宋体" w:eastAsia="新宋体" w:cs="新宋体"/>
                <w:color w:val="auto"/>
                <w:sz w:val="22"/>
                <w:szCs w:val="22"/>
                <w:highlight w:val="none"/>
              </w:rPr>
            </w:pPr>
          </w:p>
        </w:tc>
      </w:tr>
      <w:tr w14:paraId="2C9E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0" w:type="dxa"/>
            <w:gridSpan w:val="3"/>
            <w:noWrap w:val="0"/>
            <w:vAlign w:val="center"/>
          </w:tcPr>
          <w:p w14:paraId="63C43338">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5198" w:type="dxa"/>
            <w:gridSpan w:val="5"/>
            <w:noWrap w:val="0"/>
            <w:vAlign w:val="top"/>
          </w:tcPr>
          <w:p w14:paraId="41E57FC8">
            <w:pPr>
              <w:spacing w:line="460" w:lineRule="exact"/>
              <w:rPr>
                <w:rFonts w:ascii="新宋体" w:hAnsi="新宋体" w:eastAsia="新宋体" w:cs="新宋体"/>
                <w:color w:val="auto"/>
                <w:sz w:val="22"/>
                <w:szCs w:val="22"/>
                <w:highlight w:val="none"/>
              </w:rPr>
            </w:pPr>
          </w:p>
        </w:tc>
      </w:tr>
      <w:tr w14:paraId="4ADB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0" w:type="dxa"/>
            <w:gridSpan w:val="3"/>
            <w:noWrap w:val="0"/>
            <w:vAlign w:val="center"/>
          </w:tcPr>
          <w:p w14:paraId="1E174266">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5198" w:type="dxa"/>
            <w:gridSpan w:val="5"/>
            <w:noWrap w:val="0"/>
            <w:vAlign w:val="top"/>
          </w:tcPr>
          <w:p w14:paraId="7E55ABB2">
            <w:pPr>
              <w:spacing w:line="460" w:lineRule="exact"/>
              <w:rPr>
                <w:rFonts w:ascii="新宋体" w:hAnsi="新宋体" w:eastAsia="新宋体" w:cs="新宋体"/>
                <w:color w:val="auto"/>
                <w:sz w:val="22"/>
                <w:szCs w:val="22"/>
                <w:highlight w:val="none"/>
              </w:rPr>
            </w:pPr>
          </w:p>
        </w:tc>
      </w:tr>
      <w:tr w14:paraId="09D9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0" w:type="dxa"/>
            <w:gridSpan w:val="3"/>
            <w:noWrap w:val="0"/>
            <w:vAlign w:val="center"/>
          </w:tcPr>
          <w:p w14:paraId="260336D7">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5198" w:type="dxa"/>
            <w:gridSpan w:val="5"/>
            <w:noWrap w:val="0"/>
            <w:vAlign w:val="top"/>
          </w:tcPr>
          <w:p w14:paraId="0CE71A71">
            <w:pPr>
              <w:spacing w:line="460" w:lineRule="exact"/>
              <w:rPr>
                <w:rFonts w:ascii="新宋体" w:hAnsi="新宋体" w:eastAsia="新宋体" w:cs="新宋体"/>
                <w:color w:val="auto"/>
                <w:sz w:val="22"/>
                <w:szCs w:val="22"/>
                <w:highlight w:val="none"/>
              </w:rPr>
            </w:pPr>
          </w:p>
        </w:tc>
      </w:tr>
      <w:tr w14:paraId="41EF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80" w:type="dxa"/>
            <w:gridSpan w:val="3"/>
            <w:noWrap w:val="0"/>
            <w:vAlign w:val="center"/>
          </w:tcPr>
          <w:p w14:paraId="05C178C0">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5198" w:type="dxa"/>
            <w:gridSpan w:val="5"/>
            <w:noWrap w:val="0"/>
            <w:vAlign w:val="top"/>
          </w:tcPr>
          <w:p w14:paraId="4B8C01C1">
            <w:pPr>
              <w:spacing w:line="460" w:lineRule="exact"/>
              <w:rPr>
                <w:rFonts w:ascii="新宋体" w:hAnsi="新宋体" w:eastAsia="新宋体" w:cs="新宋体"/>
                <w:color w:val="auto"/>
                <w:sz w:val="22"/>
                <w:szCs w:val="22"/>
                <w:highlight w:val="none"/>
              </w:rPr>
            </w:pPr>
          </w:p>
        </w:tc>
      </w:tr>
    </w:tbl>
    <w:p w14:paraId="5AE761E7">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w:t>
      </w:r>
      <w:r>
        <w:rPr>
          <w:rFonts w:hint="eastAsia" w:ascii="新宋体" w:hAnsi="新宋体" w:eastAsia="新宋体" w:cs="新宋体"/>
          <w:b/>
          <w:color w:val="auto"/>
          <w:sz w:val="22"/>
          <w:highlight w:val="none"/>
        </w:rPr>
        <w:t>附件</w:t>
      </w:r>
      <w:r>
        <w:rPr>
          <w:rFonts w:hint="eastAsia" w:ascii="新宋体" w:hAnsi="新宋体" w:eastAsia="新宋体" w:cs="新宋体"/>
          <w:b/>
          <w:color w:val="auto"/>
          <w:sz w:val="22"/>
          <w:highlight w:val="none"/>
          <w:lang w:val="en-US" w:eastAsia="zh-CN"/>
        </w:rPr>
        <w:t>一</w:t>
      </w:r>
      <w:r>
        <w:rPr>
          <w:rFonts w:hint="eastAsia" w:ascii="新宋体" w:hAnsi="新宋体" w:eastAsia="新宋体" w:cs="新宋体"/>
          <w:b/>
          <w:color w:val="auto"/>
          <w:sz w:val="22"/>
          <w:highlight w:val="none"/>
        </w:rPr>
        <w:t>中</w:t>
      </w:r>
      <w:r>
        <w:rPr>
          <w:rFonts w:hint="eastAsia" w:ascii="新宋体" w:hAnsi="新宋体" w:eastAsia="新宋体" w:cs="新宋体"/>
          <w:b/>
          <w:bCs/>
          <w:color w:val="auto"/>
          <w:sz w:val="22"/>
          <w:szCs w:val="22"/>
          <w:highlight w:val="none"/>
        </w:rPr>
        <w:t>“1、报价一览表”中报价相一致。</w:t>
      </w:r>
    </w:p>
    <w:p w14:paraId="06F5A7E0">
      <w:pPr>
        <w:spacing w:line="460" w:lineRule="exact"/>
        <w:ind w:firstLine="663" w:firstLineChars="3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2、不提供详细分项报价将视为没有实质性响应招标文件。</w:t>
      </w:r>
    </w:p>
    <w:p w14:paraId="456E7A0C">
      <w:pPr>
        <w:spacing w:line="460" w:lineRule="exact"/>
        <w:ind w:firstLine="663" w:firstLineChars="3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w:t>
      </w:r>
    </w:p>
    <w:p w14:paraId="425729B5">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5856A29">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投标人代表（签字或盖章）：</w:t>
      </w:r>
    </w:p>
    <w:p w14:paraId="0869C7B6">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958D74F">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p>
    <w:p w14:paraId="642878D7">
      <w:pPr>
        <w:spacing w:line="460" w:lineRule="exact"/>
        <w:outlineLvl w:val="1"/>
        <w:rPr>
          <w:rFonts w:ascii="新宋体" w:hAnsi="新宋体" w:eastAsia="新宋体" w:cs="新宋体"/>
          <w:b/>
          <w:bCs/>
          <w:color w:val="auto"/>
          <w:sz w:val="24"/>
          <w:highlight w:val="none"/>
        </w:rPr>
      </w:pPr>
      <w:bookmarkStart w:id="88" w:name="_Toc24915"/>
      <w:bookmarkStart w:id="89" w:name="_Toc66"/>
      <w:r>
        <w:rPr>
          <w:rFonts w:hint="eastAsia" w:ascii="新宋体" w:hAnsi="新宋体" w:eastAsia="新宋体" w:cs="新宋体"/>
          <w:b/>
          <w:bCs/>
          <w:color w:val="auto"/>
          <w:sz w:val="24"/>
          <w:highlight w:val="none"/>
        </w:rPr>
        <w:br w:type="page"/>
      </w:r>
      <w:bookmarkStart w:id="90" w:name="_Toc6536"/>
      <w:r>
        <w:rPr>
          <w:rFonts w:hint="eastAsia" w:ascii="新宋体" w:hAnsi="新宋体" w:eastAsia="新宋体" w:cs="新宋体"/>
          <w:b/>
          <w:bCs/>
          <w:color w:val="auto"/>
          <w:sz w:val="24"/>
          <w:highlight w:val="none"/>
        </w:rPr>
        <w:t>附件二</w:t>
      </w:r>
      <w:bookmarkEnd w:id="90"/>
      <w:r>
        <w:rPr>
          <w:rFonts w:hint="eastAsia" w:ascii="新宋体" w:hAnsi="新宋体" w:eastAsia="新宋体" w:cs="新宋体"/>
          <w:b/>
          <w:bCs/>
          <w:color w:val="auto"/>
          <w:sz w:val="24"/>
          <w:highlight w:val="none"/>
        </w:rPr>
        <w:t xml:space="preserve">  </w:t>
      </w:r>
      <w:bookmarkEnd w:id="88"/>
      <w:bookmarkEnd w:id="89"/>
    </w:p>
    <w:p w14:paraId="1F34C9B2">
      <w:pPr>
        <w:spacing w:line="460" w:lineRule="exact"/>
        <w:jc w:val="center"/>
        <w:outlineLvl w:val="2"/>
        <w:rPr>
          <w:rFonts w:ascii="新宋体" w:hAnsi="新宋体" w:eastAsia="新宋体" w:cs="新宋体"/>
          <w:b/>
          <w:color w:val="auto"/>
          <w:sz w:val="28"/>
          <w:szCs w:val="28"/>
          <w:highlight w:val="none"/>
        </w:rPr>
      </w:pPr>
      <w:bookmarkStart w:id="91" w:name="_Toc31431"/>
      <w:r>
        <w:rPr>
          <w:rFonts w:hint="eastAsia" w:ascii="新宋体" w:hAnsi="新宋体" w:eastAsia="新宋体" w:cs="新宋体"/>
          <w:b/>
          <w:color w:val="auto"/>
          <w:sz w:val="28"/>
          <w:szCs w:val="28"/>
          <w:highlight w:val="none"/>
        </w:rPr>
        <w:t>资格证明文件</w:t>
      </w:r>
      <w:bookmarkEnd w:id="91"/>
    </w:p>
    <w:p w14:paraId="46AAB29D">
      <w:pPr>
        <w:spacing w:line="460" w:lineRule="exact"/>
        <w:jc w:val="center"/>
        <w:outlineLvl w:val="3"/>
        <w:rPr>
          <w:rFonts w:ascii="新宋体" w:hAnsi="新宋体" w:eastAsia="新宋体" w:cs="新宋体"/>
          <w:b/>
          <w:color w:val="auto"/>
          <w:sz w:val="24"/>
          <w:highlight w:val="none"/>
        </w:rPr>
      </w:pPr>
      <w:bookmarkStart w:id="92" w:name="_Toc202761489"/>
      <w:bookmarkStart w:id="93" w:name="_Toc228784317"/>
      <w:bookmarkStart w:id="94" w:name="_Toc212287212"/>
      <w:r>
        <w:rPr>
          <w:rFonts w:hint="eastAsia" w:ascii="新宋体" w:hAnsi="新宋体" w:eastAsia="新宋体" w:cs="新宋体"/>
          <w:b/>
          <w:color w:val="auto"/>
          <w:sz w:val="24"/>
          <w:highlight w:val="none"/>
        </w:rPr>
        <w:t>1、有效的法人或者其他组织的营业执照等证明文件，自然人的身份证明（五选一）</w:t>
      </w:r>
    </w:p>
    <w:p w14:paraId="6B3F9044">
      <w:pPr>
        <w:spacing w:line="460" w:lineRule="exact"/>
        <w:jc w:val="center"/>
        <w:rPr>
          <w:rFonts w:ascii="新宋体" w:hAnsi="新宋体" w:eastAsia="新宋体" w:cs="新宋体"/>
          <w:b/>
          <w:color w:val="auto"/>
          <w:sz w:val="24"/>
          <w:highlight w:val="none"/>
        </w:rPr>
      </w:pPr>
      <w:r>
        <w:rPr>
          <w:rFonts w:hint="eastAsia" w:ascii="宋体" w:hAnsi="宋体" w:cs="宋体"/>
          <w:b/>
          <w:bCs/>
          <w:color w:val="auto"/>
          <w:sz w:val="22"/>
          <w:highlight w:val="none"/>
          <w:u w:val="single"/>
        </w:rPr>
        <w:t>（如为联合体投标，则联合体各方均须提供）</w:t>
      </w:r>
    </w:p>
    <w:p w14:paraId="16A18A88">
      <w:pPr>
        <w:spacing w:line="460" w:lineRule="exact"/>
        <w:rPr>
          <w:rFonts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说明：</w:t>
      </w:r>
    </w:p>
    <w:p w14:paraId="7BBB2DA3">
      <w:pPr>
        <w:pStyle w:val="28"/>
        <w:spacing w:line="460" w:lineRule="exact"/>
        <w:ind w:left="418" w:hanging="418"/>
        <w:rPr>
          <w:rFonts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1.如供应商是企业（包括合伙企业），提供有效“企业法人营业执照”或“营业执照”；</w:t>
      </w:r>
    </w:p>
    <w:p w14:paraId="06CC8EC3">
      <w:pPr>
        <w:pStyle w:val="28"/>
        <w:spacing w:line="460" w:lineRule="exact"/>
        <w:ind w:left="418" w:hanging="418"/>
        <w:rPr>
          <w:rFonts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2.如供应商是事业单位，提供有效的“事业单位法人证书”；</w:t>
      </w:r>
    </w:p>
    <w:p w14:paraId="40FD1D01">
      <w:pPr>
        <w:pStyle w:val="28"/>
        <w:spacing w:line="460" w:lineRule="exact"/>
        <w:ind w:left="418" w:hanging="418"/>
        <w:rPr>
          <w:rFonts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3.如供应商是非企业专业服务机构的，提供执业许可证等证明文件；</w:t>
      </w:r>
    </w:p>
    <w:p w14:paraId="58EFBB77">
      <w:pPr>
        <w:pStyle w:val="28"/>
        <w:spacing w:line="460" w:lineRule="exact"/>
        <w:ind w:left="418" w:hanging="418"/>
        <w:rPr>
          <w:rFonts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4.如供应商是个体工商户，提供有效的“个体工商户营业执照”；</w:t>
      </w:r>
    </w:p>
    <w:p w14:paraId="6DE0EE91">
      <w:pPr>
        <w:pStyle w:val="28"/>
        <w:spacing w:line="460" w:lineRule="exact"/>
        <w:ind w:left="418" w:hanging="418"/>
        <w:rPr>
          <w:rFonts w:ascii="新宋体" w:hAnsi="新宋体" w:eastAsia="新宋体" w:cs="新宋体"/>
          <w:color w:val="auto"/>
          <w:sz w:val="22"/>
          <w:szCs w:val="22"/>
          <w:highlight w:val="none"/>
        </w:rPr>
      </w:pPr>
      <w:r>
        <w:rPr>
          <w:rFonts w:hint="eastAsia" w:ascii="新宋体" w:hAnsi="新宋体" w:eastAsia="新宋体" w:cs="新宋体"/>
          <w:b/>
          <w:color w:val="auto"/>
          <w:spacing w:val="-6"/>
          <w:sz w:val="22"/>
          <w:szCs w:val="22"/>
          <w:highlight w:val="none"/>
        </w:rPr>
        <w:t>5.如供应商是自然人，提供有效的自然人身份证明（居民身份证正反面或公安机关出具的临时居民身份证正反面或港澳台胞证或证照）。</w:t>
      </w:r>
    </w:p>
    <w:p w14:paraId="0C3F1269">
      <w:pPr>
        <w:spacing w:line="460" w:lineRule="exact"/>
        <w:rPr>
          <w:rFonts w:ascii="新宋体" w:hAnsi="新宋体" w:eastAsia="新宋体" w:cs="新宋体"/>
          <w:b/>
          <w:color w:val="auto"/>
          <w:sz w:val="24"/>
          <w:highlight w:val="none"/>
        </w:rPr>
      </w:pPr>
    </w:p>
    <w:p w14:paraId="49AA7A3C">
      <w:pPr>
        <w:spacing w:line="460" w:lineRule="exact"/>
        <w:rPr>
          <w:rFonts w:ascii="新宋体" w:hAnsi="新宋体" w:eastAsia="新宋体" w:cs="新宋体"/>
          <w:b/>
          <w:color w:val="auto"/>
          <w:sz w:val="24"/>
          <w:highlight w:val="none"/>
        </w:rPr>
      </w:pPr>
    </w:p>
    <w:p w14:paraId="3EE89F72">
      <w:pPr>
        <w:spacing w:line="460" w:lineRule="exact"/>
        <w:rPr>
          <w:rFonts w:ascii="新宋体" w:hAnsi="新宋体" w:eastAsia="新宋体" w:cs="新宋体"/>
          <w:b/>
          <w:color w:val="auto"/>
          <w:sz w:val="24"/>
          <w:highlight w:val="none"/>
        </w:rPr>
      </w:pPr>
    </w:p>
    <w:p w14:paraId="199DAB50">
      <w:pPr>
        <w:spacing w:line="460" w:lineRule="exact"/>
        <w:rPr>
          <w:rFonts w:ascii="新宋体" w:hAnsi="新宋体" w:eastAsia="新宋体" w:cs="新宋体"/>
          <w:b/>
          <w:color w:val="auto"/>
          <w:sz w:val="24"/>
          <w:highlight w:val="none"/>
        </w:rPr>
      </w:pPr>
    </w:p>
    <w:p w14:paraId="0607DA5D">
      <w:pPr>
        <w:spacing w:line="460" w:lineRule="exact"/>
        <w:rPr>
          <w:rFonts w:ascii="新宋体" w:hAnsi="新宋体" w:eastAsia="新宋体" w:cs="新宋体"/>
          <w:b/>
          <w:color w:val="auto"/>
          <w:sz w:val="24"/>
          <w:highlight w:val="none"/>
        </w:rPr>
      </w:pPr>
    </w:p>
    <w:p w14:paraId="07A2D21D">
      <w:pPr>
        <w:spacing w:line="460" w:lineRule="exact"/>
        <w:rPr>
          <w:rFonts w:ascii="新宋体" w:hAnsi="新宋体" w:eastAsia="新宋体" w:cs="新宋体"/>
          <w:b/>
          <w:color w:val="auto"/>
          <w:sz w:val="24"/>
          <w:highlight w:val="none"/>
        </w:rPr>
      </w:pPr>
    </w:p>
    <w:p w14:paraId="17D63E7E">
      <w:pPr>
        <w:spacing w:line="460" w:lineRule="exact"/>
        <w:rPr>
          <w:rFonts w:ascii="新宋体" w:hAnsi="新宋体" w:eastAsia="新宋体" w:cs="新宋体"/>
          <w:b/>
          <w:color w:val="auto"/>
          <w:sz w:val="24"/>
          <w:highlight w:val="none"/>
        </w:rPr>
      </w:pPr>
    </w:p>
    <w:p w14:paraId="1E2C985C">
      <w:pPr>
        <w:spacing w:line="460" w:lineRule="exact"/>
        <w:rPr>
          <w:rFonts w:ascii="新宋体" w:hAnsi="新宋体" w:eastAsia="新宋体" w:cs="新宋体"/>
          <w:b/>
          <w:color w:val="auto"/>
          <w:sz w:val="24"/>
          <w:highlight w:val="none"/>
        </w:rPr>
      </w:pPr>
    </w:p>
    <w:p w14:paraId="4DEBB646">
      <w:pPr>
        <w:spacing w:line="460" w:lineRule="exact"/>
        <w:rPr>
          <w:rFonts w:ascii="新宋体" w:hAnsi="新宋体" w:eastAsia="新宋体" w:cs="新宋体"/>
          <w:b/>
          <w:color w:val="auto"/>
          <w:sz w:val="24"/>
          <w:highlight w:val="none"/>
        </w:rPr>
      </w:pPr>
    </w:p>
    <w:p w14:paraId="132AC1E3">
      <w:pPr>
        <w:spacing w:line="460" w:lineRule="exact"/>
        <w:rPr>
          <w:rFonts w:ascii="新宋体" w:hAnsi="新宋体" w:eastAsia="新宋体" w:cs="新宋体"/>
          <w:b/>
          <w:color w:val="auto"/>
          <w:sz w:val="24"/>
          <w:highlight w:val="none"/>
        </w:rPr>
      </w:pPr>
    </w:p>
    <w:p w14:paraId="38DC8371">
      <w:pPr>
        <w:spacing w:line="460" w:lineRule="exact"/>
        <w:rPr>
          <w:rFonts w:ascii="新宋体" w:hAnsi="新宋体" w:eastAsia="新宋体" w:cs="新宋体"/>
          <w:b/>
          <w:color w:val="auto"/>
          <w:sz w:val="24"/>
          <w:highlight w:val="none"/>
        </w:rPr>
      </w:pPr>
    </w:p>
    <w:p w14:paraId="4416A113">
      <w:pPr>
        <w:spacing w:line="460" w:lineRule="exact"/>
        <w:rPr>
          <w:rFonts w:ascii="新宋体" w:hAnsi="新宋体" w:eastAsia="新宋体" w:cs="新宋体"/>
          <w:b/>
          <w:color w:val="auto"/>
          <w:sz w:val="24"/>
          <w:highlight w:val="none"/>
        </w:rPr>
      </w:pPr>
    </w:p>
    <w:p w14:paraId="24FB8A7B">
      <w:pPr>
        <w:spacing w:line="460" w:lineRule="exact"/>
        <w:rPr>
          <w:rFonts w:ascii="新宋体" w:hAnsi="新宋体" w:eastAsia="新宋体" w:cs="新宋体"/>
          <w:b/>
          <w:color w:val="auto"/>
          <w:sz w:val="24"/>
          <w:highlight w:val="none"/>
        </w:rPr>
      </w:pPr>
    </w:p>
    <w:p w14:paraId="50A3CDF9">
      <w:pPr>
        <w:spacing w:line="460" w:lineRule="exact"/>
        <w:rPr>
          <w:rFonts w:ascii="新宋体" w:hAnsi="新宋体" w:eastAsia="新宋体" w:cs="新宋体"/>
          <w:b/>
          <w:color w:val="auto"/>
          <w:sz w:val="24"/>
          <w:highlight w:val="none"/>
        </w:rPr>
      </w:pPr>
    </w:p>
    <w:p w14:paraId="7FE4ECA1">
      <w:pPr>
        <w:spacing w:line="460" w:lineRule="exact"/>
        <w:rPr>
          <w:rFonts w:ascii="新宋体" w:hAnsi="新宋体" w:eastAsia="新宋体" w:cs="新宋体"/>
          <w:b/>
          <w:color w:val="auto"/>
          <w:sz w:val="24"/>
          <w:highlight w:val="none"/>
        </w:rPr>
      </w:pPr>
    </w:p>
    <w:p w14:paraId="236C6567">
      <w:pPr>
        <w:spacing w:line="460" w:lineRule="exact"/>
        <w:rPr>
          <w:rFonts w:ascii="新宋体" w:hAnsi="新宋体" w:eastAsia="新宋体" w:cs="新宋体"/>
          <w:b/>
          <w:color w:val="auto"/>
          <w:sz w:val="24"/>
          <w:highlight w:val="none"/>
        </w:rPr>
      </w:pPr>
    </w:p>
    <w:p w14:paraId="51D01D06">
      <w:pPr>
        <w:spacing w:line="460" w:lineRule="exact"/>
        <w:rPr>
          <w:rFonts w:ascii="新宋体" w:hAnsi="新宋体" w:eastAsia="新宋体" w:cs="新宋体"/>
          <w:b/>
          <w:color w:val="auto"/>
          <w:sz w:val="24"/>
          <w:highlight w:val="none"/>
        </w:rPr>
      </w:pPr>
    </w:p>
    <w:p w14:paraId="0C6828A8">
      <w:pPr>
        <w:spacing w:line="460" w:lineRule="exact"/>
        <w:rPr>
          <w:rFonts w:ascii="新宋体" w:hAnsi="新宋体" w:eastAsia="新宋体" w:cs="新宋体"/>
          <w:b/>
          <w:color w:val="auto"/>
          <w:sz w:val="24"/>
          <w:highlight w:val="none"/>
        </w:rPr>
      </w:pPr>
    </w:p>
    <w:p w14:paraId="298EF1F3">
      <w:pPr>
        <w:spacing w:line="460" w:lineRule="exact"/>
        <w:rPr>
          <w:rFonts w:ascii="新宋体" w:hAnsi="新宋体" w:eastAsia="新宋体" w:cs="新宋体"/>
          <w:b/>
          <w:color w:val="auto"/>
          <w:sz w:val="24"/>
          <w:highlight w:val="none"/>
        </w:rPr>
      </w:pPr>
    </w:p>
    <w:p w14:paraId="3DCFD5B8">
      <w:pPr>
        <w:spacing w:line="460" w:lineRule="exact"/>
        <w:rPr>
          <w:rFonts w:ascii="新宋体" w:hAnsi="新宋体" w:eastAsia="新宋体" w:cs="新宋体"/>
          <w:b/>
          <w:color w:val="auto"/>
          <w:sz w:val="24"/>
          <w:highlight w:val="none"/>
        </w:rPr>
      </w:pPr>
    </w:p>
    <w:p w14:paraId="354B8EC7">
      <w:pPr>
        <w:spacing w:line="460" w:lineRule="exact"/>
        <w:jc w:val="center"/>
        <w:outlineLvl w:val="3"/>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2、关于符合《中华人民共和国政府采购法》第二十二条规定的承诺函</w:t>
      </w:r>
    </w:p>
    <w:p w14:paraId="79AC734A">
      <w:pPr>
        <w:spacing w:line="460" w:lineRule="exact"/>
        <w:jc w:val="center"/>
        <w:rPr>
          <w:rFonts w:ascii="新宋体" w:hAnsi="新宋体" w:eastAsia="新宋体" w:cs="新宋体"/>
          <w:color w:val="auto"/>
          <w:spacing w:val="-6"/>
          <w:sz w:val="22"/>
          <w:highlight w:val="none"/>
        </w:rPr>
      </w:pPr>
      <w:r>
        <w:rPr>
          <w:rFonts w:hint="eastAsia" w:ascii="宋体" w:hAnsi="宋体" w:cs="宋体"/>
          <w:b/>
          <w:bCs/>
          <w:color w:val="auto"/>
          <w:sz w:val="22"/>
          <w:highlight w:val="none"/>
          <w:u w:val="single"/>
        </w:rPr>
        <w:t>（如为联合体投标，则联合体各方均须提供）</w:t>
      </w:r>
    </w:p>
    <w:p w14:paraId="588724C2">
      <w:pPr>
        <w:spacing w:line="460" w:lineRule="exact"/>
        <w:rPr>
          <w:rFonts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致：</w:t>
      </w:r>
      <w:r>
        <w:rPr>
          <w:rFonts w:hint="eastAsia" w:ascii="新宋体" w:hAnsi="新宋体" w:eastAsia="新宋体" w:cs="新宋体"/>
          <w:color w:val="auto"/>
          <w:sz w:val="22"/>
          <w:highlight w:val="none"/>
        </w:rPr>
        <w:t>温州职业技术学院、温州历程招标有限公司</w:t>
      </w:r>
      <w:r>
        <w:rPr>
          <w:rFonts w:hint="eastAsia" w:ascii="新宋体" w:hAnsi="新宋体" w:eastAsia="新宋体" w:cs="新宋体"/>
          <w:color w:val="auto"/>
          <w:spacing w:val="-6"/>
          <w:sz w:val="22"/>
          <w:highlight w:val="none"/>
        </w:rPr>
        <w:t>：</w:t>
      </w:r>
    </w:p>
    <w:p w14:paraId="067FA31F">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我单位就</w:t>
      </w:r>
      <w:r>
        <w:rPr>
          <w:rFonts w:hint="eastAsia" w:ascii="新宋体" w:hAnsi="新宋体" w:eastAsia="新宋体" w:cs="新宋体"/>
          <w:color w:val="auto"/>
          <w:sz w:val="22"/>
          <w:highlight w:val="none"/>
          <w:u w:val="single"/>
        </w:rPr>
        <w:t xml:space="preserve">            （项目名称）           （项目编号）</w:t>
      </w:r>
      <w:r>
        <w:rPr>
          <w:rFonts w:hint="eastAsia" w:ascii="新宋体" w:hAnsi="新宋体" w:eastAsia="新宋体" w:cs="新宋体"/>
          <w:color w:val="auto"/>
          <w:sz w:val="22"/>
          <w:highlight w:val="none"/>
        </w:rPr>
        <w:t>项目承诺具备下列条件：</w:t>
      </w:r>
    </w:p>
    <w:p w14:paraId="1FBB473C">
      <w:pPr>
        <w:pStyle w:val="35"/>
        <w:spacing w:before="0" w:beforeAutospacing="0" w:after="0" w:afterAutospacing="0" w:line="460" w:lineRule="exact"/>
        <w:ind w:firstLine="440" w:firstLineChars="200"/>
        <w:rPr>
          <w:rFonts w:ascii="新宋体" w:hAnsi="新宋体" w:eastAsia="新宋体" w:cs="新宋体"/>
          <w:bCs/>
          <w:color w:val="auto"/>
          <w:kern w:val="2"/>
          <w:sz w:val="22"/>
          <w:highlight w:val="none"/>
        </w:rPr>
      </w:pPr>
      <w:r>
        <w:rPr>
          <w:rFonts w:hint="eastAsia" w:ascii="新宋体" w:hAnsi="新宋体" w:eastAsia="新宋体" w:cs="新宋体"/>
          <w:bCs/>
          <w:color w:val="auto"/>
          <w:kern w:val="2"/>
          <w:sz w:val="22"/>
          <w:highlight w:val="none"/>
        </w:rPr>
        <w:t>（一）具有独立承担民事责任的能力；</w:t>
      </w:r>
    </w:p>
    <w:p w14:paraId="37CE62E3">
      <w:pPr>
        <w:pStyle w:val="35"/>
        <w:spacing w:before="0" w:beforeAutospacing="0" w:after="0" w:afterAutospacing="0" w:line="460" w:lineRule="exact"/>
        <w:ind w:firstLine="440" w:firstLineChars="200"/>
        <w:rPr>
          <w:rFonts w:ascii="新宋体" w:hAnsi="新宋体" w:eastAsia="新宋体" w:cs="新宋体"/>
          <w:bCs/>
          <w:color w:val="auto"/>
          <w:kern w:val="2"/>
          <w:sz w:val="22"/>
          <w:highlight w:val="none"/>
        </w:rPr>
      </w:pPr>
      <w:r>
        <w:rPr>
          <w:rFonts w:hint="eastAsia" w:ascii="新宋体" w:hAnsi="新宋体" w:eastAsia="新宋体" w:cs="新宋体"/>
          <w:bCs/>
          <w:color w:val="auto"/>
          <w:kern w:val="2"/>
          <w:sz w:val="22"/>
          <w:highlight w:val="none"/>
        </w:rPr>
        <w:t>（二）具有良好的商业信誉和健全的财务会计制度；</w:t>
      </w:r>
    </w:p>
    <w:p w14:paraId="3F11B18B">
      <w:pPr>
        <w:pStyle w:val="35"/>
        <w:spacing w:before="0" w:beforeAutospacing="0" w:after="0" w:afterAutospacing="0" w:line="460" w:lineRule="exact"/>
        <w:ind w:firstLine="440" w:firstLineChars="200"/>
        <w:rPr>
          <w:rFonts w:ascii="新宋体" w:hAnsi="新宋体" w:eastAsia="新宋体" w:cs="新宋体"/>
          <w:bCs/>
          <w:color w:val="auto"/>
          <w:kern w:val="2"/>
          <w:sz w:val="22"/>
          <w:highlight w:val="none"/>
        </w:rPr>
      </w:pPr>
      <w:r>
        <w:rPr>
          <w:rFonts w:hint="eastAsia" w:ascii="新宋体" w:hAnsi="新宋体" w:eastAsia="新宋体" w:cs="新宋体"/>
          <w:bCs/>
          <w:color w:val="auto"/>
          <w:kern w:val="2"/>
          <w:sz w:val="22"/>
          <w:highlight w:val="none"/>
        </w:rPr>
        <w:t>（三）具有履行合同所必需的设备和专业技术能力；</w:t>
      </w:r>
    </w:p>
    <w:p w14:paraId="6F170249">
      <w:pPr>
        <w:pStyle w:val="35"/>
        <w:spacing w:before="0" w:beforeAutospacing="0" w:after="0" w:afterAutospacing="0" w:line="460" w:lineRule="exact"/>
        <w:ind w:firstLine="440" w:firstLineChars="200"/>
        <w:rPr>
          <w:rFonts w:ascii="新宋体" w:hAnsi="新宋体" w:eastAsia="新宋体" w:cs="新宋体"/>
          <w:bCs/>
          <w:color w:val="auto"/>
          <w:kern w:val="2"/>
          <w:sz w:val="22"/>
          <w:highlight w:val="none"/>
        </w:rPr>
      </w:pPr>
      <w:r>
        <w:rPr>
          <w:rFonts w:hint="eastAsia" w:ascii="新宋体" w:hAnsi="新宋体" w:eastAsia="新宋体" w:cs="新宋体"/>
          <w:bCs/>
          <w:color w:val="auto"/>
          <w:kern w:val="2"/>
          <w:sz w:val="22"/>
          <w:highlight w:val="none"/>
        </w:rPr>
        <w:t>（四）有依法缴纳税收和社会保障资金的良好记录；</w:t>
      </w:r>
    </w:p>
    <w:p w14:paraId="29503BAA">
      <w:pPr>
        <w:pStyle w:val="35"/>
        <w:spacing w:before="0" w:beforeAutospacing="0" w:after="0" w:afterAutospacing="0" w:line="460" w:lineRule="exact"/>
        <w:ind w:firstLine="440" w:firstLineChars="200"/>
        <w:rPr>
          <w:rFonts w:ascii="新宋体" w:hAnsi="新宋体" w:eastAsia="新宋体" w:cs="新宋体"/>
          <w:bCs/>
          <w:color w:val="auto"/>
          <w:kern w:val="2"/>
          <w:sz w:val="22"/>
          <w:highlight w:val="none"/>
        </w:rPr>
      </w:pPr>
      <w:r>
        <w:rPr>
          <w:rFonts w:hint="eastAsia" w:ascii="新宋体" w:hAnsi="新宋体" w:eastAsia="新宋体" w:cs="新宋体"/>
          <w:bCs/>
          <w:color w:val="auto"/>
          <w:kern w:val="2"/>
          <w:sz w:val="22"/>
          <w:highlight w:val="none"/>
        </w:rPr>
        <w:t>（五）参加政府采购活动前三年内，在经营活动中没有重大违法记录（重大违法记录是指供应商因违法经营受到刑事处罚或者责令停产停业、吊销许可证或者执照、较大数额罚款等行政处罚。）；</w:t>
      </w:r>
    </w:p>
    <w:p w14:paraId="2666E5E6">
      <w:pPr>
        <w:pStyle w:val="35"/>
        <w:spacing w:before="0" w:beforeAutospacing="0" w:after="0" w:afterAutospacing="0" w:line="460" w:lineRule="exact"/>
        <w:ind w:firstLine="440" w:firstLineChars="200"/>
        <w:rPr>
          <w:rFonts w:ascii="新宋体" w:hAnsi="新宋体" w:eastAsia="新宋体" w:cs="新宋体"/>
          <w:bCs/>
          <w:color w:val="auto"/>
          <w:kern w:val="2"/>
          <w:sz w:val="22"/>
          <w:highlight w:val="none"/>
        </w:rPr>
      </w:pPr>
      <w:r>
        <w:rPr>
          <w:rFonts w:hint="eastAsia" w:ascii="新宋体" w:hAnsi="新宋体" w:eastAsia="新宋体" w:cs="新宋体"/>
          <w:bCs/>
          <w:color w:val="auto"/>
          <w:kern w:val="2"/>
          <w:sz w:val="22"/>
          <w:highlight w:val="none"/>
        </w:rPr>
        <w:t>（六）未被“信用中国”（www.creditchina.gov.cn）、中国政府采购网（www.ccgp.gov.cn）列入失信被执行人、重大税收违法案件当事人名单、政府采购严重违法失信行为记录名单：以采购代理机构在开标当日查询记录为准。</w:t>
      </w:r>
    </w:p>
    <w:p w14:paraId="6D76A693">
      <w:pPr>
        <w:pStyle w:val="35"/>
        <w:spacing w:before="0" w:beforeAutospacing="0" w:after="0" w:afterAutospacing="0" w:line="460" w:lineRule="exact"/>
        <w:ind w:firstLine="442" w:firstLineChars="200"/>
        <w:rPr>
          <w:rStyle w:val="83"/>
          <w:rFonts w:ascii="新宋体" w:hAnsi="新宋体" w:eastAsia="新宋体" w:cs="新宋体"/>
          <w:color w:val="auto"/>
          <w:sz w:val="22"/>
          <w:highlight w:val="none"/>
        </w:rPr>
      </w:pPr>
      <w:r>
        <w:rPr>
          <w:rStyle w:val="83"/>
          <w:rFonts w:hint="eastAsia" w:ascii="新宋体" w:hAnsi="新宋体" w:eastAsia="新宋体" w:cs="新宋体"/>
          <w:b/>
          <w:bCs/>
          <w:color w:val="auto"/>
          <w:sz w:val="22"/>
          <w:highlight w:val="none"/>
        </w:rPr>
        <w:t>本公司对上述承诺的真实性负责。上述承诺如有虚假，将按“提供虚假材料谋取中标、成交”情形，由采购人取消我公司任何资格（投标/中标/签订合同），且由采购单位/采购代理机构报告至政府采购监管部门。</w:t>
      </w:r>
      <w:r>
        <w:rPr>
          <w:rStyle w:val="83"/>
          <w:rFonts w:hint="eastAsia" w:ascii="新宋体" w:hAnsi="新宋体" w:eastAsia="新宋体" w:cs="新宋体"/>
          <w:color w:val="auto"/>
          <w:sz w:val="22"/>
          <w:highlight w:val="none"/>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14:paraId="10ABF235">
      <w:pPr>
        <w:pStyle w:val="35"/>
        <w:spacing w:before="0" w:beforeAutospacing="0" w:after="0" w:afterAutospacing="0" w:line="460" w:lineRule="exact"/>
        <w:ind w:firstLine="440" w:firstLineChars="200"/>
        <w:rPr>
          <w:rStyle w:val="83"/>
          <w:rFonts w:ascii="新宋体" w:hAnsi="新宋体" w:eastAsia="新宋体" w:cs="新宋体"/>
          <w:color w:val="auto"/>
          <w:sz w:val="22"/>
          <w:highlight w:val="none"/>
        </w:rPr>
      </w:pPr>
      <w:r>
        <w:rPr>
          <w:rStyle w:val="83"/>
          <w:rFonts w:hint="eastAsia" w:ascii="新宋体" w:hAnsi="新宋体" w:eastAsia="新宋体" w:cs="新宋体"/>
          <w:color w:val="auto"/>
          <w:sz w:val="22"/>
          <w:highlight w:val="none"/>
        </w:rPr>
        <w:t>《中华人民共和国政府采购法实施条例》第十九条第一款规定的“</w:t>
      </w:r>
      <w:r>
        <w:rPr>
          <w:rFonts w:hint="eastAsia" w:ascii="新宋体" w:hAnsi="新宋体" w:eastAsia="新宋体" w:cs="新宋体"/>
          <w:color w:val="auto"/>
          <w:kern w:val="2"/>
          <w:sz w:val="22"/>
          <w:highlight w:val="none"/>
        </w:rPr>
        <w:t>较大数额罚款</w:t>
      </w:r>
      <w:r>
        <w:rPr>
          <w:rStyle w:val="83"/>
          <w:rFonts w:hint="eastAsia" w:ascii="新宋体" w:hAnsi="新宋体" w:eastAsia="新宋体" w:cs="新宋体"/>
          <w:color w:val="auto"/>
          <w:sz w:val="22"/>
          <w:highlight w:val="none"/>
        </w:rPr>
        <w:t>”认定为200万元以上的罚款，法律、行政法规以及国务院有关部门明确规定相关领域“</w:t>
      </w:r>
      <w:r>
        <w:rPr>
          <w:rFonts w:hint="eastAsia" w:ascii="新宋体" w:hAnsi="新宋体" w:eastAsia="新宋体" w:cs="新宋体"/>
          <w:color w:val="auto"/>
          <w:kern w:val="2"/>
          <w:sz w:val="22"/>
          <w:highlight w:val="none"/>
        </w:rPr>
        <w:t>较大数额罚款</w:t>
      </w:r>
      <w:r>
        <w:rPr>
          <w:rStyle w:val="83"/>
          <w:rFonts w:hint="eastAsia" w:ascii="新宋体" w:hAnsi="新宋体" w:eastAsia="新宋体" w:cs="新宋体"/>
          <w:color w:val="auto"/>
          <w:sz w:val="22"/>
          <w:highlight w:val="none"/>
        </w:rPr>
        <w:t>”标准高于200万元的，从其规定。</w:t>
      </w:r>
    </w:p>
    <w:p w14:paraId="706EA1BD">
      <w:pPr>
        <w:pStyle w:val="35"/>
        <w:spacing w:before="0" w:beforeAutospacing="0" w:after="0" w:afterAutospacing="0" w:line="460" w:lineRule="exact"/>
        <w:ind w:firstLine="440" w:firstLineChars="200"/>
        <w:rPr>
          <w:rStyle w:val="83"/>
          <w:rFonts w:ascii="新宋体" w:hAnsi="新宋体" w:eastAsia="新宋体" w:cs="新宋体"/>
          <w:color w:val="auto"/>
          <w:sz w:val="22"/>
          <w:highlight w:val="none"/>
        </w:rPr>
      </w:pPr>
      <w:r>
        <w:rPr>
          <w:rStyle w:val="83"/>
          <w:rFonts w:hint="eastAsia" w:ascii="新宋体" w:hAnsi="新宋体" w:eastAsia="新宋体" w:cs="新宋体"/>
          <w:color w:val="auto"/>
          <w:sz w:val="22"/>
          <w:highlight w:val="none"/>
        </w:rPr>
        <w:t>我单位已知晓前述法律规定，对此无任何异议。</w:t>
      </w:r>
    </w:p>
    <w:p w14:paraId="0C66665F">
      <w:pPr>
        <w:spacing w:line="460" w:lineRule="exact"/>
        <w:ind w:firstLine="442" w:firstLineChars="200"/>
        <w:rPr>
          <w:rFonts w:ascii="新宋体" w:hAnsi="新宋体" w:eastAsia="新宋体" w:cs="新宋体"/>
          <w:color w:val="auto"/>
          <w:szCs w:val="21"/>
          <w:highlight w:val="none"/>
        </w:rPr>
      </w:pPr>
      <w:r>
        <w:rPr>
          <w:rStyle w:val="83"/>
          <w:rFonts w:hint="eastAsia" w:ascii="新宋体" w:hAnsi="新宋体" w:eastAsia="新宋体" w:cs="新宋体"/>
          <w:b/>
          <w:bCs/>
          <w:color w:val="auto"/>
          <w:sz w:val="22"/>
          <w:highlight w:val="none"/>
        </w:rPr>
        <w:t>注：</w:t>
      </w:r>
      <w:r>
        <w:rPr>
          <w:rStyle w:val="83"/>
          <w:rFonts w:hint="eastAsia" w:ascii="新宋体" w:hAnsi="新宋体" w:eastAsia="新宋体" w:cs="新宋体"/>
          <w:color w:val="auto"/>
          <w:sz w:val="22"/>
          <w:highlight w:val="none"/>
          <w:u w:val="single"/>
        </w:rPr>
        <w:t>▲</w:t>
      </w:r>
      <w:r>
        <w:rPr>
          <w:rStyle w:val="83"/>
          <w:rFonts w:hint="eastAsia" w:ascii="新宋体" w:hAnsi="新宋体" w:eastAsia="新宋体" w:cs="新宋体"/>
          <w:b/>
          <w:bCs/>
          <w:color w:val="auto"/>
          <w:sz w:val="22"/>
          <w:highlight w:val="none"/>
          <w:u w:val="single"/>
        </w:rPr>
        <w:t>本承诺函必须提供。</w:t>
      </w:r>
    </w:p>
    <w:p w14:paraId="1B99038E">
      <w:pPr>
        <w:spacing w:line="460" w:lineRule="exact"/>
        <w:ind w:left="4620" w:leftChars="2200"/>
        <w:rPr>
          <w:rFonts w:ascii="新宋体" w:hAnsi="新宋体" w:eastAsia="新宋体" w:cs="新宋体"/>
          <w:color w:val="auto"/>
          <w:szCs w:val="21"/>
          <w:highlight w:val="none"/>
        </w:rPr>
      </w:pPr>
    </w:p>
    <w:p w14:paraId="2B314BAC">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0CAFEFD">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投标人代表（签字或盖章）：</w:t>
      </w:r>
    </w:p>
    <w:p w14:paraId="0E34A1EC">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6F8E128">
      <w:pPr>
        <w:pStyle w:val="15"/>
        <w:spacing w:line="460" w:lineRule="exact"/>
        <w:rPr>
          <w:rFonts w:ascii="新宋体" w:hAnsi="新宋体" w:eastAsia="新宋体" w:cs="新宋体"/>
          <w:color w:val="auto"/>
          <w:highlight w:val="none"/>
        </w:rPr>
      </w:pPr>
    </w:p>
    <w:p w14:paraId="427D7921">
      <w:pPr>
        <w:spacing w:line="460" w:lineRule="exact"/>
        <w:rPr>
          <w:rFonts w:ascii="新宋体" w:hAnsi="新宋体" w:eastAsia="新宋体" w:cs="新宋体"/>
          <w:color w:val="auto"/>
          <w:highlight w:val="none"/>
        </w:rPr>
      </w:pPr>
    </w:p>
    <w:p w14:paraId="617F12D8">
      <w:pPr>
        <w:spacing w:before="240" w:beforeLines="100" w:after="240" w:afterLines="100" w:line="460" w:lineRule="exact"/>
        <w:jc w:val="center"/>
        <w:outlineLvl w:val="3"/>
        <w:rPr>
          <w:rFonts w:ascii="新宋体" w:hAnsi="新宋体" w:eastAsia="新宋体" w:cs="新宋体"/>
          <w:b/>
          <w:bCs/>
          <w:color w:val="auto"/>
          <w:sz w:val="22"/>
          <w:szCs w:val="22"/>
          <w:highlight w:val="none"/>
        </w:rPr>
      </w:pPr>
      <w:r>
        <w:rPr>
          <w:rFonts w:hint="eastAsia" w:ascii="新宋体" w:hAnsi="新宋体" w:eastAsia="新宋体" w:cs="新宋体"/>
          <w:color w:val="auto"/>
          <w:highlight w:val="none"/>
        </w:rPr>
        <w:br w:type="page"/>
      </w:r>
      <w:r>
        <w:rPr>
          <w:rFonts w:hint="eastAsia" w:ascii="新宋体" w:hAnsi="新宋体" w:eastAsia="新宋体" w:cs="新宋体"/>
          <w:b/>
          <w:color w:val="auto"/>
          <w:sz w:val="24"/>
          <w:highlight w:val="none"/>
        </w:rPr>
        <w:t>3、</w:t>
      </w:r>
      <w:r>
        <w:rPr>
          <w:rFonts w:hint="eastAsia" w:ascii="新宋体" w:hAnsi="新宋体" w:eastAsia="新宋体" w:cs="新宋体"/>
          <w:b/>
          <w:bCs/>
          <w:color w:val="auto"/>
          <w:spacing w:val="20"/>
          <w:sz w:val="22"/>
          <w:szCs w:val="22"/>
          <w:highlight w:val="none"/>
        </w:rPr>
        <w:t>中小企业声明函（货物）</w:t>
      </w:r>
    </w:p>
    <w:p w14:paraId="684D858F">
      <w:pPr>
        <w:spacing w:line="460" w:lineRule="exact"/>
        <w:ind w:firstLine="637" w:firstLineChars="245"/>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3A5A60BB">
      <w:pPr>
        <w:spacing w:line="460" w:lineRule="exact"/>
        <w:ind w:firstLine="539" w:firstLineChars="245"/>
        <w:rPr>
          <w:rFonts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0436DCE2">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pacing w:val="20"/>
          <w:sz w:val="22"/>
          <w:szCs w:val="22"/>
          <w:highlight w:val="none"/>
          <w:u w:val="single"/>
        </w:rPr>
        <w:t>（采购文件中明确的所属行业）</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万元，属于（中型企业、小型企业、微型企业）；</w:t>
      </w:r>
    </w:p>
    <w:p w14:paraId="2EAF497A">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3004A695">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10BFBBCC">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11FA62BA">
      <w:pPr>
        <w:spacing w:line="460" w:lineRule="exact"/>
        <w:ind w:firstLine="5460" w:firstLineChars="2100"/>
        <w:rPr>
          <w:rFonts w:eastAsia="新宋体"/>
          <w:color w:val="auto"/>
          <w:spacing w:val="20"/>
          <w:sz w:val="22"/>
          <w:szCs w:val="22"/>
          <w:highlight w:val="none"/>
        </w:rPr>
      </w:pPr>
      <w:r>
        <w:rPr>
          <w:rFonts w:eastAsia="新宋体"/>
          <w:color w:val="auto"/>
          <w:spacing w:val="20"/>
          <w:sz w:val="22"/>
          <w:szCs w:val="22"/>
          <w:highlight w:val="none"/>
        </w:rPr>
        <w:t>企业名称（盖章）：</w:t>
      </w:r>
    </w:p>
    <w:p w14:paraId="118232A4">
      <w:pPr>
        <w:spacing w:line="460" w:lineRule="exact"/>
        <w:ind w:firstLine="5460" w:firstLineChars="2100"/>
        <w:rPr>
          <w:rFonts w:eastAsia="新宋体"/>
          <w:color w:val="auto"/>
          <w:spacing w:val="20"/>
          <w:sz w:val="22"/>
          <w:szCs w:val="22"/>
          <w:highlight w:val="none"/>
        </w:rPr>
      </w:pPr>
      <w:r>
        <w:rPr>
          <w:rFonts w:eastAsia="新宋体"/>
          <w:color w:val="auto"/>
          <w:spacing w:val="20"/>
          <w:sz w:val="22"/>
          <w:szCs w:val="22"/>
          <w:highlight w:val="none"/>
        </w:rPr>
        <w:t>日 期：</w:t>
      </w:r>
    </w:p>
    <w:p w14:paraId="267A1DE4">
      <w:pPr>
        <w:pStyle w:val="107"/>
        <w:spacing w:line="460" w:lineRule="exact"/>
        <w:ind w:firstLine="480"/>
        <w:rPr>
          <w:rFonts w:ascii="新宋体" w:hAnsi="新宋体" w:eastAsia="新宋体" w:cs="新宋体"/>
          <w:color w:val="auto"/>
          <w:highlight w:val="none"/>
        </w:rPr>
      </w:pPr>
      <w:r>
        <w:rPr>
          <w:rFonts w:hint="eastAsia" w:ascii="新宋体" w:hAnsi="新宋体" w:eastAsia="新宋体" w:cs="新宋体"/>
          <w:color w:val="auto"/>
          <w:highlight w:val="none"/>
        </w:rPr>
        <w:t>注：</w:t>
      </w:r>
      <w:r>
        <w:rPr>
          <w:rFonts w:hint="eastAsia" w:ascii="新宋体" w:hAnsi="新宋体" w:eastAsia="新宋体" w:cs="新宋体"/>
          <w:color w:val="auto"/>
          <w:highlight w:val="none"/>
          <w:lang w:val="en-US" w:eastAsia="zh-CN"/>
        </w:rPr>
        <w:t>1.</w:t>
      </w:r>
      <w:r>
        <w:rPr>
          <w:rFonts w:hint="eastAsia" w:ascii="新宋体" w:hAnsi="新宋体" w:eastAsia="新宋体" w:cs="新宋体"/>
          <w:color w:val="auto"/>
          <w:highlight w:val="none"/>
        </w:rPr>
        <w:t>从业人员、营业收入、资产总额填报上一年度数据，无上一年度数据的新成立企业可不填报。（无上一年度数据的新成立企业需提供相关证明材料）</w:t>
      </w:r>
    </w:p>
    <w:p w14:paraId="7093AF92">
      <w:pPr>
        <w:pStyle w:val="107"/>
        <w:spacing w:line="460" w:lineRule="exact"/>
        <w:ind w:firstLine="480"/>
        <w:rPr>
          <w:rFonts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t>“标的名称”、“采购文件中明确的所属行业”依据</w:t>
      </w:r>
      <w:r>
        <w:rPr>
          <w:rFonts w:hint="eastAsia" w:ascii="新宋体" w:hAnsi="新宋体" w:eastAsia="新宋体" w:cs="新宋体"/>
          <w:color w:val="auto"/>
          <w:highlight w:val="none"/>
          <w:lang w:val="en-US" w:eastAsia="zh-CN"/>
        </w:rPr>
        <w:t>招标</w:t>
      </w:r>
      <w:r>
        <w:rPr>
          <w:rFonts w:hint="eastAsia" w:ascii="新宋体" w:hAnsi="新宋体" w:eastAsia="新宋体" w:cs="新宋体"/>
          <w:color w:val="auto"/>
          <w:highlight w:val="none"/>
          <w:lang w:eastAsia="zh-CN"/>
        </w:rPr>
        <w:t>文件</w:t>
      </w:r>
      <w:r>
        <w:rPr>
          <w:rFonts w:hint="eastAsia" w:ascii="新宋体" w:hAnsi="新宋体" w:eastAsia="新宋体" w:cs="新宋体"/>
          <w:color w:val="auto"/>
          <w:highlight w:val="none"/>
        </w:rPr>
        <w:t>第二部分</w:t>
      </w:r>
      <w:r>
        <w:rPr>
          <w:rFonts w:hint="eastAsia" w:ascii="新宋体" w:hAnsi="新宋体" w:eastAsia="新宋体" w:cs="新宋体"/>
          <w:color w:val="auto"/>
          <w:highlight w:val="none"/>
          <w:lang w:eastAsia="zh-CN"/>
        </w:rPr>
        <w:t>供应商</w:t>
      </w:r>
      <w:r>
        <w:rPr>
          <w:rFonts w:hint="eastAsia" w:ascii="新宋体" w:hAnsi="新宋体" w:eastAsia="新宋体" w:cs="新宋体"/>
          <w:color w:val="auto"/>
          <w:highlight w:val="none"/>
        </w:rPr>
        <w:t>须知前附表中“</w:t>
      </w:r>
      <w:r>
        <w:rPr>
          <w:rFonts w:hint="eastAsia" w:ascii="新宋体" w:hAnsi="新宋体" w:eastAsia="新宋体" w:cs="新宋体"/>
          <w:color w:val="auto"/>
          <w:highlight w:val="none"/>
          <w:lang w:eastAsia="zh-CN"/>
        </w:rPr>
        <w:t>所属行业及标的名称</w:t>
      </w:r>
      <w:r>
        <w:rPr>
          <w:rFonts w:hint="eastAsia" w:ascii="新宋体" w:hAnsi="新宋体" w:eastAsia="新宋体" w:cs="新宋体"/>
          <w:color w:val="auto"/>
          <w:highlight w:val="none"/>
        </w:rPr>
        <w:t>”填写，不得缺漏；中型企业、小型企业、微型企业等3种企业类型，结合以上数据，依据《中小企业划型标准规定》（工信部联企业〔2011〕300号）确定；</w:t>
      </w:r>
    </w:p>
    <w:p w14:paraId="77B86B9E">
      <w:pPr>
        <w:pStyle w:val="107"/>
        <w:spacing w:line="460" w:lineRule="exact"/>
        <w:ind w:firstLine="480"/>
        <w:rPr>
          <w:rFonts w:ascii="新宋体" w:hAnsi="新宋体" w:eastAsia="新宋体" w:cs="新宋体"/>
          <w:color w:val="auto"/>
          <w:highlight w:val="none"/>
          <w:lang w:val="en-US" w:eastAsia="zh-CN"/>
        </w:rPr>
      </w:pPr>
      <w:r>
        <w:rPr>
          <w:rFonts w:hint="eastAsia" w:ascii="新宋体" w:hAnsi="新宋体" w:eastAsia="新宋体" w:cs="新宋体"/>
          <w:color w:val="auto"/>
          <w:highlight w:val="none"/>
          <w:lang w:val="en-US" w:eastAsia="zh-CN"/>
        </w:rPr>
        <w:t>3.</w:t>
      </w:r>
      <w:r>
        <w:rPr>
          <w:rFonts w:hint="eastAsia" w:ascii="新宋体" w:hAnsi="新宋体" w:eastAsia="新宋体" w:cs="新宋体"/>
          <w:color w:val="auto"/>
          <w:highlight w:val="none"/>
          <w:lang w:eastAsia="zh-CN"/>
        </w:rPr>
        <w:t>供应商</w:t>
      </w:r>
      <w:r>
        <w:rPr>
          <w:rFonts w:hint="eastAsia" w:ascii="新宋体" w:hAnsi="新宋体" w:eastAsia="新宋体" w:cs="新宋体"/>
          <w:color w:val="auto"/>
          <w:highlight w:val="none"/>
        </w:rPr>
        <w:t>提供的《中小企业声明函》与实际情况不符的或者未按以上要求填写的，中小企业声明函无效，不享受中小企业扶持政策。声明内容不实的，属于提供虚假材料谋取中标、成交的，依法承担法律责任。</w:t>
      </w:r>
    </w:p>
    <w:p w14:paraId="0123B378">
      <w:pPr>
        <w:pStyle w:val="107"/>
        <w:spacing w:line="460" w:lineRule="exact"/>
        <w:ind w:firstLine="480"/>
        <w:rPr>
          <w:rFonts w:ascii="新宋体" w:hAnsi="新宋体" w:eastAsia="新宋体" w:cs="新宋体"/>
          <w:color w:val="auto"/>
          <w:highlight w:val="none"/>
        </w:rPr>
      </w:pPr>
      <w:r>
        <w:rPr>
          <w:rFonts w:hint="eastAsia" w:ascii="新宋体" w:hAnsi="新宋体" w:eastAsia="新宋体" w:cs="新宋体"/>
          <w:color w:val="auto"/>
          <w:highlight w:val="none"/>
          <w:lang w:val="en-US" w:eastAsia="zh-CN"/>
        </w:rPr>
        <w:t>4.</w:t>
      </w:r>
      <w:r>
        <w:rPr>
          <w:rFonts w:hint="eastAsia" w:ascii="新宋体" w:hAnsi="新宋体" w:eastAsia="新宋体" w:cs="新宋体"/>
          <w:color w:val="auto"/>
          <w:highlight w:val="none"/>
        </w:rPr>
        <w:t>中标、成交供应商享受《政府采购促进中小企业发展管理办法》的通知（财库〔2020〕46号）规定的中小企业扶持政策的，采购人、采购代理机构应当随中标、成交结果公开中标、</w:t>
      </w:r>
      <w:r>
        <w:rPr>
          <w:rFonts w:hint="eastAsia" w:ascii="新宋体" w:hAnsi="新宋体" w:eastAsia="新宋体" w:cs="新宋体"/>
          <w:color w:val="auto"/>
          <w:highlight w:val="none"/>
          <w:lang w:eastAsia="zh-CN"/>
        </w:rPr>
        <w:t>中标供应商</w:t>
      </w:r>
      <w:r>
        <w:rPr>
          <w:rFonts w:hint="eastAsia" w:ascii="新宋体" w:hAnsi="新宋体" w:eastAsia="新宋体" w:cs="新宋体"/>
          <w:color w:val="auto"/>
          <w:highlight w:val="none"/>
        </w:rPr>
        <w:t>的《中小企业声明函》。</w:t>
      </w:r>
    </w:p>
    <w:p w14:paraId="0F0C76B6">
      <w:pPr>
        <w:pStyle w:val="107"/>
        <w:spacing w:line="460" w:lineRule="exact"/>
        <w:ind w:firstLine="480"/>
        <w:rPr>
          <w:rFonts w:ascii="新宋体" w:hAnsi="新宋体" w:eastAsia="新宋体" w:cs="新宋体"/>
          <w:color w:val="auto"/>
          <w:highlight w:val="none"/>
        </w:rPr>
      </w:pPr>
      <w:r>
        <w:rPr>
          <w:rFonts w:hint="eastAsia" w:ascii="新宋体" w:hAnsi="新宋体" w:eastAsia="新宋体" w:cs="新宋体"/>
          <w:color w:val="auto"/>
          <w:highlight w:val="none"/>
          <w:lang w:val="en-US" w:eastAsia="zh-CN"/>
        </w:rPr>
        <w:t>5.供应商</w:t>
      </w:r>
      <w:r>
        <w:rPr>
          <w:rFonts w:hint="eastAsia" w:ascii="新宋体" w:hAnsi="新宋体" w:eastAsia="新宋体" w:cs="新宋体"/>
          <w:color w:val="auto"/>
          <w:highlight w:val="none"/>
        </w:rPr>
        <w:t>为联合体形式的，企业名称</w:t>
      </w:r>
      <w:r>
        <w:rPr>
          <w:rFonts w:hint="eastAsia" w:ascii="新宋体" w:hAnsi="新宋体" w:eastAsia="新宋体" w:cs="新宋体"/>
          <w:color w:val="auto"/>
          <w:highlight w:val="none"/>
          <w:lang w:eastAsia="zh-CN"/>
        </w:rPr>
        <w:t>填写所有联合体成员名称，</w:t>
      </w:r>
      <w:r>
        <w:rPr>
          <w:rFonts w:hint="eastAsia" w:ascii="新宋体" w:hAnsi="新宋体" w:eastAsia="新宋体" w:cs="新宋体"/>
          <w:color w:val="auto"/>
          <w:highlight w:val="none"/>
        </w:rPr>
        <w:t>盖章可只需联合体牵头方盖章。</w:t>
      </w:r>
    </w:p>
    <w:p w14:paraId="4D97C15F">
      <w:pPr>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br w:type="page"/>
      </w:r>
    </w:p>
    <w:p w14:paraId="48033CBF">
      <w:pPr>
        <w:spacing w:line="460" w:lineRule="exact"/>
        <w:jc w:val="center"/>
        <w:outlineLvl w:val="3"/>
        <w:rPr>
          <w:rFonts w:ascii="新宋体" w:hAnsi="新宋体" w:eastAsia="新宋体" w:cs="新宋体"/>
          <w:b/>
          <w:color w:val="auto"/>
          <w:sz w:val="24"/>
          <w:highlight w:val="none"/>
        </w:rPr>
      </w:pPr>
      <w:r>
        <w:rPr>
          <w:rFonts w:hint="eastAsia" w:ascii="新宋体" w:hAnsi="新宋体" w:eastAsia="新宋体" w:cs="新宋体"/>
          <w:b/>
          <w:bCs/>
          <w:color w:val="auto"/>
          <w:sz w:val="24"/>
          <w:highlight w:val="none"/>
        </w:rPr>
        <w:t>4、</w:t>
      </w:r>
      <w:r>
        <w:rPr>
          <w:rFonts w:hint="eastAsia" w:ascii="新宋体" w:hAnsi="新宋体" w:eastAsia="新宋体" w:cs="新宋体"/>
          <w:b/>
          <w:color w:val="auto"/>
          <w:sz w:val="24"/>
          <w:highlight w:val="none"/>
        </w:rPr>
        <w:t>残疾人福利性单位声明函</w:t>
      </w:r>
    </w:p>
    <w:p w14:paraId="7373A541">
      <w:pPr>
        <w:spacing w:line="460" w:lineRule="exact"/>
        <w:jc w:val="center"/>
        <w:rPr>
          <w:rFonts w:ascii="宋体" w:hAnsi="宋体" w:cs="宋体"/>
          <w:color w:val="auto"/>
          <w:spacing w:val="6"/>
          <w:sz w:val="22"/>
          <w:szCs w:val="22"/>
          <w:highlight w:val="none"/>
        </w:rPr>
      </w:pPr>
      <w:r>
        <w:rPr>
          <w:rFonts w:hint="eastAsia" w:ascii="宋体" w:hAnsi="宋体" w:cs="宋体"/>
          <w:b/>
          <w:color w:val="auto"/>
          <w:spacing w:val="6"/>
          <w:sz w:val="22"/>
          <w:szCs w:val="22"/>
          <w:highlight w:val="none"/>
        </w:rPr>
        <w:t>残疾人福利性单位声明函</w:t>
      </w:r>
    </w:p>
    <w:p w14:paraId="7C022303">
      <w:pPr>
        <w:widowControl/>
        <w:adjustRightInd w:val="0"/>
        <w:snapToGrid w:val="0"/>
        <w:spacing w:line="460" w:lineRule="exact"/>
        <w:ind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【不属于残疾人福利性单位的无需填写、递交】</w:t>
      </w:r>
    </w:p>
    <w:p w14:paraId="6AD7A8AA">
      <w:pPr>
        <w:snapToGrid w:val="0"/>
        <w:spacing w:line="460" w:lineRule="exact"/>
        <w:jc w:val="center"/>
        <w:rPr>
          <w:rFonts w:ascii="宋体" w:hAnsi="宋体" w:cs="宋体"/>
          <w:b/>
          <w:bCs/>
          <w:color w:val="auto"/>
          <w:sz w:val="22"/>
          <w:szCs w:val="22"/>
          <w:highlight w:val="none"/>
        </w:rPr>
      </w:pPr>
    </w:p>
    <w:p w14:paraId="6A3BF60D">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本单位郑重声明，根据《财政部民政部中国残疾人联合会关于促进残疾人就业政府采购政策的通知》（财库</w:t>
      </w:r>
      <w:r>
        <w:rPr>
          <w:rFonts w:hint="eastAsia" w:ascii="宋体" w:hAnsi="宋体" w:cs="宋体"/>
          <w:color w:val="auto"/>
          <w:sz w:val="22"/>
          <w:szCs w:val="22"/>
          <w:highlight w:val="none"/>
        </w:rPr>
        <w:t>〔2017〕141</w:t>
      </w:r>
      <w:r>
        <w:rPr>
          <w:rFonts w:hint="eastAsia" w:ascii="宋体" w:hAnsi="宋体" w:cs="宋体"/>
          <w:color w:val="auto"/>
          <w:spacing w:val="6"/>
          <w:sz w:val="22"/>
          <w:szCs w:val="22"/>
          <w:highlight w:val="none"/>
        </w:rPr>
        <w:t>号）的规定，本单位为符合条件的残疾人福利性单位，且本单位参加</w:t>
      </w:r>
      <w:r>
        <w:rPr>
          <w:rFonts w:hint="eastAsia" w:ascii="宋体" w:hAnsi="宋体" w:cs="宋体"/>
          <w:color w:val="auto"/>
          <w:spacing w:val="6"/>
          <w:sz w:val="22"/>
          <w:szCs w:val="22"/>
          <w:highlight w:val="none"/>
          <w:u w:val="single"/>
        </w:rPr>
        <w:t>（采购人名称）</w:t>
      </w:r>
      <w:r>
        <w:rPr>
          <w:rFonts w:hint="eastAsia" w:ascii="宋体" w:hAnsi="宋体" w:cs="宋体"/>
          <w:color w:val="auto"/>
          <w:spacing w:val="6"/>
          <w:sz w:val="22"/>
          <w:szCs w:val="22"/>
          <w:highlight w:val="none"/>
        </w:rPr>
        <w:t>单位的</w:t>
      </w:r>
      <w:r>
        <w:rPr>
          <w:rFonts w:hint="eastAsia" w:ascii="宋体" w:hAnsi="宋体" w:cs="宋体"/>
          <w:color w:val="auto"/>
          <w:spacing w:val="6"/>
          <w:sz w:val="22"/>
          <w:szCs w:val="22"/>
          <w:highlight w:val="none"/>
          <w:u w:val="single"/>
        </w:rPr>
        <w:t>（招标项目名称）</w:t>
      </w:r>
      <w:r>
        <w:rPr>
          <w:rFonts w:hint="eastAsia" w:ascii="宋体" w:hAnsi="宋体" w:cs="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2290FAD6">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739D2220">
      <w:pPr>
        <w:snapToGrid w:val="0"/>
        <w:spacing w:line="460" w:lineRule="exact"/>
        <w:ind w:firstLine="464" w:firstLineChars="200"/>
        <w:rPr>
          <w:rFonts w:ascii="宋体" w:hAnsi="宋体" w:cs="宋体"/>
          <w:color w:val="auto"/>
          <w:spacing w:val="6"/>
          <w:sz w:val="22"/>
          <w:szCs w:val="22"/>
          <w:highlight w:val="none"/>
        </w:rPr>
      </w:pPr>
    </w:p>
    <w:p w14:paraId="7649CD3A">
      <w:pPr>
        <w:snapToGrid w:val="0"/>
        <w:spacing w:line="460" w:lineRule="exact"/>
        <w:ind w:firstLine="464" w:firstLineChars="200"/>
        <w:rPr>
          <w:rFonts w:ascii="宋体" w:hAnsi="宋体" w:cs="宋体"/>
          <w:color w:val="auto"/>
          <w:spacing w:val="6"/>
          <w:sz w:val="22"/>
          <w:szCs w:val="22"/>
          <w:highlight w:val="none"/>
        </w:rPr>
      </w:pPr>
    </w:p>
    <w:p w14:paraId="6EF3B82E">
      <w:pPr>
        <w:adjustRightInd w:val="0"/>
        <w:snapToGrid w:val="0"/>
        <w:spacing w:line="460" w:lineRule="exact"/>
        <w:ind w:firstLine="440" w:firstLineChars="200"/>
        <w:rPr>
          <w:rFonts w:ascii="宋体" w:hAnsi="宋体" w:cs="宋体"/>
          <w:color w:val="auto"/>
          <w:kern w:val="0"/>
          <w:sz w:val="22"/>
          <w:szCs w:val="22"/>
          <w:highlight w:val="none"/>
          <w:u w:val="single"/>
        </w:rPr>
      </w:pPr>
      <w:r>
        <w:rPr>
          <w:rFonts w:hint="eastAsia" w:ascii="宋体" w:hAnsi="宋体" w:cs="宋体"/>
          <w:color w:val="auto"/>
          <w:sz w:val="22"/>
          <w:szCs w:val="22"/>
          <w:highlight w:val="none"/>
        </w:rPr>
        <w:t>投标人</w:t>
      </w:r>
      <w:r>
        <w:rPr>
          <w:rFonts w:hint="eastAsia" w:ascii="宋体" w:hAnsi="宋体" w:cs="宋体"/>
          <w:color w:val="auto"/>
          <w:kern w:val="0"/>
          <w:sz w:val="22"/>
          <w:szCs w:val="22"/>
          <w:highlight w:val="none"/>
        </w:rPr>
        <w:t>全称（盖章）：</w:t>
      </w:r>
      <w:r>
        <w:rPr>
          <w:rFonts w:hint="eastAsia" w:ascii="宋体" w:hAnsi="宋体" w:cs="宋体"/>
          <w:color w:val="auto"/>
          <w:kern w:val="0"/>
          <w:sz w:val="22"/>
          <w:szCs w:val="22"/>
          <w:highlight w:val="none"/>
          <w:u w:val="single"/>
        </w:rPr>
        <w:t xml:space="preserve">                    </w:t>
      </w:r>
    </w:p>
    <w:p w14:paraId="16D6E0DB">
      <w:pPr>
        <w:pStyle w:val="15"/>
        <w:spacing w:line="460" w:lineRule="exact"/>
        <w:ind w:left="437" w:leftChars="208"/>
        <w:rPr>
          <w:rFonts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07F7F0C2">
      <w:pPr>
        <w:pStyle w:val="3"/>
        <w:spacing w:line="460" w:lineRule="exact"/>
        <w:rPr>
          <w:rFonts w:ascii="新宋体" w:hAnsi="新宋体" w:eastAsia="新宋体" w:cs="新宋体"/>
          <w:color w:val="auto"/>
          <w:highlight w:val="none"/>
        </w:rPr>
      </w:pPr>
    </w:p>
    <w:p w14:paraId="51C48CEF">
      <w:pPr>
        <w:pStyle w:val="3"/>
        <w:spacing w:line="460" w:lineRule="exact"/>
        <w:rPr>
          <w:rFonts w:ascii="新宋体" w:hAnsi="新宋体" w:eastAsia="新宋体" w:cs="新宋体"/>
          <w:color w:val="auto"/>
          <w:highlight w:val="none"/>
        </w:rPr>
      </w:pPr>
    </w:p>
    <w:p w14:paraId="057F82CC">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备注说明：</w:t>
      </w:r>
    </w:p>
    <w:p w14:paraId="3E0C5D7A">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1、如中标，将在中标公告中将此残疾人福利性单位声明函予以公示，接受社会监督；</w:t>
      </w:r>
    </w:p>
    <w:p w14:paraId="694C47FF">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2、供应商提供的《残疾人福利性单位声明函》与事实不符的，依照《政府采购法》第七十七条第一款的规定追究法律责任。</w:t>
      </w:r>
    </w:p>
    <w:p w14:paraId="0DE88B10">
      <w:pPr>
        <w:spacing w:line="460" w:lineRule="exact"/>
        <w:jc w:val="center"/>
        <w:outlineLvl w:val="3"/>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5、监狱企业声明函</w:t>
      </w:r>
    </w:p>
    <w:p w14:paraId="4168DCC7">
      <w:pPr>
        <w:spacing w:line="460" w:lineRule="exact"/>
        <w:ind w:firstLine="571" w:firstLineChars="245"/>
        <w:rPr>
          <w:rFonts w:ascii="宋体" w:hAnsi="宋体" w:cs="宋体"/>
          <w:b/>
          <w:bCs/>
          <w:color w:val="auto"/>
          <w:sz w:val="22"/>
          <w:szCs w:val="22"/>
          <w:highlight w:val="none"/>
          <w:u w:val="single"/>
          <w:lang w:val="zh-CN"/>
        </w:rPr>
      </w:pPr>
      <w:r>
        <w:rPr>
          <w:rFonts w:hint="eastAsia" w:ascii="宋体" w:hAnsi="宋体" w:cs="宋体"/>
          <w:b/>
          <w:color w:val="auto"/>
          <w:spacing w:val="6"/>
          <w:sz w:val="22"/>
          <w:szCs w:val="22"/>
          <w:highlight w:val="none"/>
        </w:rPr>
        <w:t>需提供相关证明材料，</w:t>
      </w:r>
      <w:r>
        <w:rPr>
          <w:rFonts w:hint="eastAsia" w:ascii="宋体" w:hAnsi="宋体" w:cs="宋体"/>
          <w:b/>
          <w:bCs/>
          <w:color w:val="auto"/>
          <w:sz w:val="22"/>
          <w:szCs w:val="22"/>
          <w:highlight w:val="none"/>
          <w:u w:val="single"/>
          <w:lang w:val="zh-CN"/>
        </w:rPr>
        <w:t>未提供证明材料或不能清楚辨析</w:t>
      </w:r>
      <w:r>
        <w:rPr>
          <w:rFonts w:hint="eastAsia" w:ascii="宋体" w:hAnsi="宋体" w:cs="宋体"/>
          <w:b/>
          <w:bCs/>
          <w:color w:val="auto"/>
          <w:sz w:val="22"/>
          <w:szCs w:val="22"/>
          <w:highlight w:val="none"/>
          <w:u w:val="single"/>
        </w:rPr>
        <w:t>是监狱企业的按非监狱企业处理，所提供的证明材料应为最新的最近的</w:t>
      </w:r>
      <w:r>
        <w:rPr>
          <w:rFonts w:hint="eastAsia" w:ascii="宋体" w:hAnsi="宋体" w:cs="宋体"/>
          <w:b/>
          <w:bCs/>
          <w:color w:val="auto"/>
          <w:sz w:val="22"/>
          <w:szCs w:val="22"/>
          <w:highlight w:val="none"/>
          <w:u w:val="single"/>
          <w:lang w:val="zh-CN"/>
        </w:rPr>
        <w:t>。</w:t>
      </w:r>
    </w:p>
    <w:p w14:paraId="233DA9E6">
      <w:pPr>
        <w:adjustRightInd w:val="0"/>
        <w:snapToGrid w:val="0"/>
        <w:spacing w:line="300" w:lineRule="auto"/>
        <w:jc w:val="center"/>
        <w:rPr>
          <w:rFonts w:ascii="宋体" w:hAnsi="宋体" w:cs="宋体"/>
          <w:b/>
          <w:color w:val="auto"/>
          <w:spacing w:val="6"/>
          <w:sz w:val="22"/>
          <w:szCs w:val="22"/>
          <w:highlight w:val="none"/>
        </w:rPr>
      </w:pPr>
    </w:p>
    <w:p w14:paraId="229AD2BD">
      <w:pPr>
        <w:adjustRightInd w:val="0"/>
        <w:snapToGrid w:val="0"/>
        <w:spacing w:line="300" w:lineRule="auto"/>
        <w:jc w:val="center"/>
        <w:rPr>
          <w:rFonts w:ascii="宋体" w:hAnsi="宋体" w:cs="宋体"/>
          <w:b/>
          <w:color w:val="auto"/>
          <w:spacing w:val="6"/>
          <w:sz w:val="22"/>
          <w:szCs w:val="22"/>
          <w:highlight w:val="none"/>
        </w:rPr>
      </w:pPr>
    </w:p>
    <w:p w14:paraId="50A10238">
      <w:pPr>
        <w:adjustRightInd w:val="0"/>
        <w:snapToGrid w:val="0"/>
        <w:spacing w:line="300" w:lineRule="auto"/>
        <w:jc w:val="center"/>
        <w:rPr>
          <w:rFonts w:ascii="宋体" w:hAnsi="宋体" w:cs="宋体"/>
          <w:b/>
          <w:color w:val="auto"/>
          <w:spacing w:val="6"/>
          <w:sz w:val="22"/>
          <w:szCs w:val="22"/>
          <w:highlight w:val="none"/>
        </w:rPr>
      </w:pPr>
    </w:p>
    <w:p w14:paraId="095F087A">
      <w:pPr>
        <w:adjustRightInd w:val="0"/>
        <w:snapToGrid w:val="0"/>
        <w:spacing w:line="300" w:lineRule="auto"/>
        <w:jc w:val="center"/>
        <w:rPr>
          <w:rFonts w:ascii="宋体" w:hAnsi="宋体" w:cs="宋体"/>
          <w:color w:val="auto"/>
          <w:kern w:val="0"/>
          <w:sz w:val="22"/>
          <w:szCs w:val="22"/>
          <w:highlight w:val="none"/>
        </w:rPr>
      </w:pPr>
      <w:r>
        <w:rPr>
          <w:rFonts w:hint="eastAsia" w:ascii="宋体" w:hAnsi="宋体" w:cs="宋体"/>
          <w:b/>
          <w:color w:val="auto"/>
          <w:spacing w:val="6"/>
          <w:sz w:val="22"/>
          <w:szCs w:val="22"/>
          <w:highlight w:val="none"/>
        </w:rPr>
        <w:t>监狱企业声明函</w:t>
      </w:r>
    </w:p>
    <w:p w14:paraId="60B773FD">
      <w:pPr>
        <w:snapToGrid w:val="0"/>
        <w:spacing w:line="460" w:lineRule="exact"/>
        <w:ind w:firstLine="464" w:firstLineChars="200"/>
        <w:jc w:val="center"/>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【非监狱企业不用提供】</w:t>
      </w:r>
    </w:p>
    <w:p w14:paraId="5C1EDB99">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本企业郑重声明，根据《关于政府采购支持监狱企业发展有关问题的通知》（财库[2014]68号）的规定，本企业为监狱企业。 </w:t>
      </w:r>
    </w:p>
    <w:p w14:paraId="081E8D51">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根据上述标准，我企业属于监狱企业的理由为：</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 </w:t>
      </w:r>
    </w:p>
    <w:p w14:paraId="6024A897">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本企业为参加（招标项目名称</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）（招标编号</w:t>
      </w:r>
      <w:r>
        <w:rPr>
          <w:rFonts w:hint="eastAsia" w:ascii="宋体" w:hAnsi="宋体" w:cs="宋体"/>
          <w:color w:val="auto"/>
          <w:spacing w:val="6"/>
          <w:sz w:val="22"/>
          <w:szCs w:val="22"/>
          <w:highlight w:val="none"/>
          <w:u w:val="single"/>
        </w:rPr>
        <w:t xml:space="preserve">：         </w:t>
      </w:r>
      <w:r>
        <w:rPr>
          <w:rFonts w:hint="eastAsia" w:ascii="宋体" w:hAnsi="宋体" w:cs="宋体"/>
          <w:color w:val="auto"/>
          <w:spacing w:val="6"/>
          <w:sz w:val="22"/>
          <w:szCs w:val="22"/>
          <w:highlight w:val="none"/>
        </w:rPr>
        <w:t xml:space="preserve">）采购活动并承担本工程。 </w:t>
      </w:r>
    </w:p>
    <w:p w14:paraId="3315DA98">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本企业对上述声明的真实性负责。如有虚假，将依法承担相应责任。  </w:t>
      </w:r>
    </w:p>
    <w:p w14:paraId="4BFB6169">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投标人全称（盖章）：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w:t>
      </w:r>
    </w:p>
    <w:p w14:paraId="2875BCB0">
      <w:pPr>
        <w:adjustRightInd w:val="0"/>
        <w:snapToGrid w:val="0"/>
        <w:spacing w:line="46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日期：    年    月   日 </w:t>
      </w:r>
    </w:p>
    <w:p w14:paraId="6A54FD64">
      <w:pPr>
        <w:snapToGrid w:val="0"/>
        <w:spacing w:line="460"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76447F8C">
      <w:pPr>
        <w:adjustRightInd w:val="0"/>
        <w:snapToGrid w:val="0"/>
        <w:spacing w:line="460" w:lineRule="exact"/>
        <w:ind w:firstLine="464" w:firstLineChars="200"/>
        <w:rPr>
          <w:rFonts w:ascii="宋体" w:hAnsi="宋体" w:cs="宋体"/>
          <w:color w:val="auto"/>
          <w:kern w:val="0"/>
          <w:sz w:val="22"/>
          <w:szCs w:val="22"/>
          <w:highlight w:val="none"/>
        </w:rPr>
      </w:pPr>
      <w:r>
        <w:rPr>
          <w:rFonts w:hint="eastAsia" w:ascii="宋体" w:hAnsi="宋体" w:cs="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A53FF0">
      <w:pPr>
        <w:spacing w:line="460" w:lineRule="exact"/>
        <w:rPr>
          <w:rFonts w:ascii="新宋体" w:hAnsi="新宋体" w:eastAsia="新宋体" w:cs="新宋体"/>
          <w:color w:val="auto"/>
          <w:spacing w:val="20"/>
          <w:sz w:val="22"/>
          <w:szCs w:val="22"/>
          <w:highlight w:val="none"/>
        </w:rPr>
      </w:pPr>
    </w:p>
    <w:p w14:paraId="7EF14905">
      <w:pPr>
        <w:pStyle w:val="2"/>
        <w:spacing w:line="460" w:lineRule="exact"/>
        <w:rPr>
          <w:rFonts w:ascii="新宋体" w:hAnsi="新宋体" w:eastAsia="新宋体" w:cs="新宋体"/>
          <w:color w:val="auto"/>
          <w:sz w:val="22"/>
          <w:szCs w:val="22"/>
          <w:highlight w:val="none"/>
        </w:rPr>
      </w:pPr>
    </w:p>
    <w:p w14:paraId="6AC16F02">
      <w:pPr>
        <w:pStyle w:val="2"/>
        <w:spacing w:line="460" w:lineRule="exact"/>
        <w:rPr>
          <w:rFonts w:ascii="新宋体" w:hAnsi="新宋体" w:eastAsia="新宋体" w:cs="新宋体"/>
          <w:color w:val="auto"/>
          <w:sz w:val="22"/>
          <w:szCs w:val="22"/>
          <w:highlight w:val="none"/>
        </w:rPr>
      </w:pPr>
    </w:p>
    <w:p w14:paraId="21B435DC">
      <w:pPr>
        <w:pStyle w:val="2"/>
        <w:spacing w:line="460" w:lineRule="exact"/>
        <w:ind w:firstLine="0"/>
        <w:rPr>
          <w:rFonts w:ascii="新宋体" w:hAnsi="新宋体" w:eastAsia="新宋体" w:cs="新宋体"/>
          <w:color w:val="auto"/>
          <w:sz w:val="22"/>
          <w:szCs w:val="22"/>
          <w:highlight w:val="none"/>
        </w:rPr>
      </w:pPr>
    </w:p>
    <w:p w14:paraId="5FB6FEB2">
      <w:pPr>
        <w:pStyle w:val="19"/>
        <w:spacing w:line="460" w:lineRule="exact"/>
        <w:ind w:firstLine="5060" w:firstLineChars="2300"/>
        <w:rPr>
          <w:rFonts w:ascii="新宋体" w:hAnsi="新宋体" w:eastAsia="新宋体" w:cs="新宋体"/>
          <w:color w:val="auto"/>
          <w:sz w:val="22"/>
          <w:szCs w:val="22"/>
          <w:highlight w:val="none"/>
        </w:rPr>
      </w:pPr>
      <w:r>
        <w:rPr>
          <w:rFonts w:hint="eastAsia" w:hAnsi="宋体" w:cs="宋体"/>
          <w:color w:val="auto"/>
          <w:sz w:val="22"/>
          <w:szCs w:val="22"/>
          <w:highlight w:val="none"/>
        </w:rPr>
        <w:t>投标人</w:t>
      </w:r>
      <w:r>
        <w:rPr>
          <w:rFonts w:hint="eastAsia" w:ascii="新宋体" w:hAnsi="新宋体" w:eastAsia="新宋体" w:cs="新宋体"/>
          <w:color w:val="auto"/>
          <w:sz w:val="22"/>
          <w:szCs w:val="22"/>
          <w:highlight w:val="none"/>
        </w:rPr>
        <w:t>全称（盖章）：</w:t>
      </w:r>
    </w:p>
    <w:p w14:paraId="256B1B74">
      <w:pPr>
        <w:pStyle w:val="19"/>
        <w:spacing w:line="460" w:lineRule="exact"/>
        <w:ind w:firstLine="5060" w:firstLineChars="2300"/>
        <w:rPr>
          <w:rFonts w:ascii="新宋体" w:hAnsi="新宋体" w:eastAsia="新宋体" w:cs="新宋体"/>
          <w:color w:val="auto"/>
          <w:sz w:val="22"/>
          <w:szCs w:val="22"/>
          <w:highlight w:val="none"/>
        </w:rPr>
      </w:pPr>
      <w:r>
        <w:rPr>
          <w:rFonts w:hint="eastAsia" w:hAnsi="宋体" w:cs="宋体"/>
          <w:color w:val="auto"/>
          <w:sz w:val="22"/>
          <w:szCs w:val="22"/>
          <w:highlight w:val="none"/>
        </w:rPr>
        <w:t>投标人</w:t>
      </w:r>
      <w:r>
        <w:rPr>
          <w:rFonts w:hint="eastAsia" w:ascii="新宋体" w:hAnsi="新宋体" w:eastAsia="新宋体" w:cs="新宋体"/>
          <w:color w:val="auto"/>
          <w:sz w:val="22"/>
          <w:szCs w:val="22"/>
          <w:highlight w:val="none"/>
        </w:rPr>
        <w:t>代表（签字或盖章）：</w:t>
      </w:r>
    </w:p>
    <w:p w14:paraId="46383F99">
      <w:pPr>
        <w:rPr>
          <w:rFonts w:ascii="新宋体" w:hAnsi="新宋体" w:eastAsia="新宋体" w:cs="新宋体"/>
          <w:b/>
          <w:color w:val="auto"/>
          <w:kern w:val="0"/>
          <w:sz w:val="22"/>
          <w:szCs w:val="22"/>
          <w:highlight w:val="none"/>
        </w:rPr>
      </w:pPr>
    </w:p>
    <w:p w14:paraId="6E53B632">
      <w:pPr>
        <w:widowControl/>
        <w:spacing w:before="100" w:beforeAutospacing="1" w:after="100" w:afterAutospacing="1" w:line="360" w:lineRule="auto"/>
        <w:jc w:val="center"/>
        <w:outlineLvl w:val="3"/>
        <w:rPr>
          <w:rFonts w:ascii="楷体_GB2312" w:hAnsi="Verdana" w:eastAsia="楷体_GB2312" w:cs="Arial"/>
          <w:color w:val="auto"/>
          <w:kern w:val="0"/>
          <w:sz w:val="24"/>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6、联合体协议书（如联合体需提供）</w:t>
      </w:r>
    </w:p>
    <w:p w14:paraId="0B72D5CE">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甲方：</w:t>
      </w:r>
    </w:p>
    <w:p w14:paraId="5E9C79FC">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乙方：</w:t>
      </w:r>
    </w:p>
    <w:p w14:paraId="15AB11CF">
      <w:pPr>
        <w:widowControl/>
        <w:spacing w:line="460" w:lineRule="exact"/>
        <w:ind w:firstLine="44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各方经协商，就项目名称为</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编号为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的采购活动联合进行投标之事宜，达成如下协议：</w:t>
      </w:r>
    </w:p>
    <w:p w14:paraId="7E3BB401">
      <w:pPr>
        <w:widowControl/>
        <w:spacing w:line="460" w:lineRule="exact"/>
        <w:ind w:firstLine="44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一、各方一致决定，</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为联合体牵头人，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为联合体成员，并按照招标文件的规定分别提交资格文件。联合体牵头人合法代表联合体各成员负责本采购活动投标文件编制和合同谈判活动，代表联合体提交和接收相关的资料、信息及指示，并处理与之有关的一切事务，并负责合同实施阶段的主办、组织和协调工作。</w:t>
      </w:r>
    </w:p>
    <w:p w14:paraId="14F371E9">
      <w:pPr>
        <w:widowControl/>
        <w:spacing w:line="460" w:lineRule="exact"/>
        <w:ind w:firstLine="44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二、在本次投标过程中，牵头人的法定代表人或授权代理人根据招标文件规定及招标内容而对采购人所作的任何合法承诺，包括书面澄清及响应等均对联合体各方产生约束力。如果成交并签订合同，则联合体各方将共同履行对采购人所负有的全部义务并就采购合同约定的事项对采购人承担连带责任。</w:t>
      </w:r>
    </w:p>
    <w:p w14:paraId="515BA38F">
      <w:pPr>
        <w:widowControl/>
        <w:spacing w:line="460" w:lineRule="exact"/>
        <w:ind w:firstLine="44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三、联合体其余各方保证对牵头人为响应本次投标而提供的服务提供全部质量保证支持。</w:t>
      </w:r>
    </w:p>
    <w:p w14:paraId="251C408F">
      <w:pPr>
        <w:widowControl/>
        <w:spacing w:line="460" w:lineRule="exact"/>
        <w:ind w:firstLine="44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四、本次联合体投标中，双方各承担以下的工作和责任：</w:t>
      </w:r>
    </w:p>
    <w:p w14:paraId="348271B2">
      <w:pPr>
        <w:widowControl/>
        <w:spacing w:line="460" w:lineRule="exact"/>
        <w:ind w:firstLine="440" w:firstLineChars="20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1、甲方承担的工作和责任为（详细说明）:  </w:t>
      </w:r>
      <w:r>
        <w:rPr>
          <w:rFonts w:hint="eastAsia" w:ascii="新宋体" w:hAnsi="新宋体" w:eastAsia="新宋体" w:cs="新宋体"/>
          <w:color w:val="auto"/>
          <w:kern w:val="0"/>
          <w:sz w:val="22"/>
          <w:szCs w:val="22"/>
          <w:highlight w:val="none"/>
          <w:u w:val="single"/>
        </w:rPr>
        <w:t xml:space="preserve">                                。</w:t>
      </w:r>
    </w:p>
    <w:p w14:paraId="6F98E11B">
      <w:pPr>
        <w:widowControl/>
        <w:spacing w:line="460" w:lineRule="exact"/>
        <w:ind w:firstLine="440" w:firstLineChars="200"/>
        <w:jc w:val="left"/>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2、乙方承担的工作和责任为（详细说明）： </w:t>
      </w:r>
      <w:r>
        <w:rPr>
          <w:rFonts w:hint="eastAsia" w:ascii="新宋体" w:hAnsi="新宋体" w:eastAsia="新宋体" w:cs="新宋体"/>
          <w:color w:val="auto"/>
          <w:kern w:val="0"/>
          <w:sz w:val="22"/>
          <w:szCs w:val="22"/>
          <w:highlight w:val="none"/>
          <w:u w:val="single"/>
        </w:rPr>
        <w:t xml:space="preserve">                                。</w:t>
      </w:r>
    </w:p>
    <w:p w14:paraId="2AD281A8">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3、如中标，联合体将遵守以下规定： </w:t>
      </w:r>
    </w:p>
    <w:p w14:paraId="6CEFBECF">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 联合体牵头人和成员共同与采购人签订合同书，并就中标项目向采购人承担合同规定的联合或各自的义务、责任和风险，就合同约定的事项对采购人承担连带责任。在整个合同实施过程的全部事宜均联合体牵头人代表联合体成员接受采购人的指令、指示和通知。</w:t>
      </w:r>
    </w:p>
    <w:p w14:paraId="4A403711">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五、有关本次联合体投标的其他事宜：</w:t>
      </w:r>
      <w:r>
        <w:rPr>
          <w:rFonts w:hint="eastAsia" w:ascii="新宋体" w:hAnsi="新宋体" w:eastAsia="新宋体" w:cs="新宋体"/>
          <w:color w:val="auto"/>
          <w:kern w:val="0"/>
          <w:sz w:val="22"/>
          <w:szCs w:val="22"/>
          <w:highlight w:val="none"/>
          <w:u w:val="single"/>
        </w:rPr>
        <w:t xml:space="preserve">                               。</w:t>
      </w:r>
    </w:p>
    <w:p w14:paraId="52252EA9">
      <w:pPr>
        <w:widowControl/>
        <w:spacing w:line="460" w:lineRule="exact"/>
        <w:ind w:firstLine="440" w:firstLineChars="200"/>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六、本协议提交采购人后，联合体各方不得以任何形式对上述实质内容进行修改或撤销。</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 xml:space="preserve">    七、本协议签约各方各持一份，交采购机构两份。</w:t>
      </w:r>
    </w:p>
    <w:p w14:paraId="61797590">
      <w:pPr>
        <w:pStyle w:val="15"/>
        <w:spacing w:line="460" w:lineRule="exact"/>
        <w:jc w:val="right"/>
        <w:rPr>
          <w:rFonts w:ascii="宋体" w:hAnsi="宋体" w:cs="宋体"/>
          <w:b/>
          <w:bCs/>
          <w:color w:val="auto"/>
          <w:sz w:val="22"/>
          <w:szCs w:val="22"/>
          <w:highlight w:val="none"/>
        </w:rPr>
      </w:pPr>
      <w:r>
        <w:rPr>
          <w:rFonts w:hint="eastAsia" w:ascii="新宋体" w:hAnsi="新宋体" w:eastAsia="新宋体" w:cs="新宋体"/>
          <w:color w:val="auto"/>
          <w:kern w:val="0"/>
          <w:sz w:val="22"/>
          <w:szCs w:val="22"/>
          <w:highlight w:val="none"/>
        </w:rPr>
        <w:t>甲方单位：       （公章）                乙方单位：         （公章）</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法定代表人：（签字或盖章）                     法定代表人：（签字或盖章）</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日期：    年   月   日                 日期：     年   月   日</w:t>
      </w:r>
    </w:p>
    <w:p w14:paraId="2E3E6B79">
      <w:pPr>
        <w:spacing w:line="460" w:lineRule="exact"/>
        <w:rPr>
          <w:rFonts w:ascii="新宋体" w:hAnsi="新宋体" w:eastAsia="新宋体" w:cs="新宋体"/>
          <w:color w:val="auto"/>
          <w:sz w:val="22"/>
          <w:szCs w:val="22"/>
          <w:highlight w:val="none"/>
        </w:rPr>
      </w:pPr>
    </w:p>
    <w:p w14:paraId="49406B4A">
      <w:pPr>
        <w:spacing w:line="460" w:lineRule="exact"/>
        <w:outlineLvl w:val="1"/>
        <w:rPr>
          <w:rFonts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br w:type="page"/>
      </w:r>
      <w:bookmarkStart w:id="95" w:name="_Toc21920"/>
      <w:r>
        <w:rPr>
          <w:rFonts w:hint="eastAsia" w:ascii="新宋体" w:hAnsi="新宋体" w:eastAsia="新宋体" w:cs="新宋体"/>
          <w:b/>
          <w:bCs/>
          <w:color w:val="auto"/>
          <w:sz w:val="24"/>
          <w:highlight w:val="none"/>
        </w:rPr>
        <w:t xml:space="preserve">附件三  </w:t>
      </w:r>
      <w:bookmarkStart w:id="96" w:name="_Toc5643"/>
      <w:bookmarkStart w:id="97" w:name="_Toc29102"/>
      <w:bookmarkStart w:id="98" w:name="_Toc24444"/>
      <w:bookmarkStart w:id="99" w:name="_Toc13639"/>
      <w:bookmarkStart w:id="100" w:name="_Toc13787"/>
      <w:bookmarkStart w:id="101" w:name="_Toc27080"/>
      <w:r>
        <w:rPr>
          <w:rFonts w:hint="eastAsia" w:ascii="新宋体" w:hAnsi="新宋体" w:eastAsia="新宋体" w:cs="新宋体"/>
          <w:b/>
          <w:bCs/>
          <w:color w:val="auto"/>
          <w:sz w:val="24"/>
          <w:highlight w:val="none"/>
          <w:lang w:val="zh-CN"/>
        </w:rPr>
        <w:t>商务技术文件</w:t>
      </w:r>
      <w:bookmarkEnd w:id="95"/>
      <w:bookmarkEnd w:id="96"/>
      <w:bookmarkEnd w:id="97"/>
      <w:bookmarkEnd w:id="98"/>
      <w:bookmarkEnd w:id="99"/>
      <w:bookmarkEnd w:id="100"/>
      <w:bookmarkEnd w:id="101"/>
    </w:p>
    <w:p w14:paraId="2B452086">
      <w:pPr>
        <w:spacing w:line="400" w:lineRule="exact"/>
        <w:jc w:val="center"/>
        <w:outlineLvl w:val="3"/>
        <w:rPr>
          <w:rFonts w:ascii="宋体" w:hAnsi="宋体" w:cs="宋体"/>
          <w:b/>
          <w:color w:val="auto"/>
          <w:sz w:val="22"/>
          <w:szCs w:val="22"/>
          <w:highlight w:val="none"/>
          <w:lang w:val="zh-CN"/>
        </w:rPr>
      </w:pPr>
      <w:r>
        <w:rPr>
          <w:rFonts w:hint="eastAsia" w:ascii="宋体" w:hAnsi="宋体" w:cs="宋体"/>
          <w:b/>
          <w:color w:val="auto"/>
          <w:sz w:val="22"/>
          <w:szCs w:val="22"/>
          <w:highlight w:val="none"/>
        </w:rPr>
        <w:t>1、</w:t>
      </w:r>
      <w:r>
        <w:rPr>
          <w:rFonts w:hint="eastAsia" w:ascii="宋体" w:hAnsi="宋体" w:cs="宋体"/>
          <w:b/>
          <w:color w:val="auto"/>
          <w:sz w:val="22"/>
          <w:szCs w:val="22"/>
          <w:highlight w:val="none"/>
          <w:lang w:val="zh-CN"/>
        </w:rPr>
        <w:t>投标函</w:t>
      </w:r>
    </w:p>
    <w:p w14:paraId="34E4B8B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温州职业技术学院：</w:t>
      </w:r>
    </w:p>
    <w:p w14:paraId="2691AD9F">
      <w:pPr>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）的采购邀请，我方</w:t>
      </w:r>
      <w:r>
        <w:rPr>
          <w:rFonts w:hint="eastAsia" w:ascii="新宋体" w:hAnsi="新宋体" w:eastAsia="新宋体" w:cs="新宋体"/>
          <w:color w:val="auto"/>
          <w:sz w:val="22"/>
          <w:szCs w:val="22"/>
          <w:highlight w:val="none"/>
          <w:u w:val="single"/>
        </w:rPr>
        <w:t>（供应商名称）</w:t>
      </w:r>
      <w:r>
        <w:rPr>
          <w:rFonts w:hint="eastAsia" w:ascii="新宋体" w:hAnsi="新宋体" w:eastAsia="新宋体" w:cs="新宋体"/>
          <w:color w:val="auto"/>
          <w:sz w:val="22"/>
          <w:szCs w:val="22"/>
          <w:highlight w:val="none"/>
        </w:rPr>
        <w:t>作为供应商正式授权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（授权代表全名，职务）代表我方处理有关本次投标的一切事宜。</w:t>
      </w:r>
    </w:p>
    <w:p w14:paraId="5F343FC0">
      <w:pPr>
        <w:spacing w:line="460" w:lineRule="exact"/>
        <w:ind w:firstLine="330" w:firstLineChars="1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在此提交的投标文件中，包括按“招标文件”要求编制的报价文件、资格证明文件、商务技术文件等三部分内容。</w:t>
      </w:r>
    </w:p>
    <w:p w14:paraId="609CCBB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我方己完全明白招标文件的所有条款要求，并重申以下几点：</w:t>
      </w:r>
    </w:p>
    <w:p w14:paraId="1F447B42">
      <w:pPr>
        <w:spacing w:line="460" w:lineRule="exact"/>
        <w:ind w:left="660" w:hanging="660" w:hangingChars="3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（一）本投标文件的有效期自响应截止日起</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
          <w:color w:val="auto"/>
          <w:sz w:val="22"/>
          <w:szCs w:val="22"/>
          <w:highlight w:val="none"/>
          <w:u w:val="single"/>
        </w:rPr>
        <w:t xml:space="preserve"> 90  </w:t>
      </w:r>
      <w:r>
        <w:rPr>
          <w:rFonts w:hint="eastAsia" w:ascii="新宋体" w:hAnsi="新宋体" w:eastAsia="新宋体" w:cs="新宋体"/>
          <w:color w:val="auto"/>
          <w:sz w:val="22"/>
          <w:szCs w:val="22"/>
          <w:highlight w:val="none"/>
        </w:rPr>
        <w:t>天内有效，如中标，有效期将延至合同终止日为止；</w:t>
      </w:r>
    </w:p>
    <w:p w14:paraId="48A87C97">
      <w:pPr>
        <w:spacing w:line="460" w:lineRule="exact"/>
        <w:ind w:left="660" w:hanging="660" w:hangingChars="3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（二）我方已详细研究了招标文件的所有内容包括修改书（如有）和所有已提供的参考资料以及有关附件，我方完全理解并同意放弃在此方面提出含糊意见或误解的一切权力；</w:t>
      </w:r>
    </w:p>
    <w:p w14:paraId="0BFD0C98">
      <w:pPr>
        <w:spacing w:line="460" w:lineRule="exact"/>
        <w:ind w:left="660" w:hanging="660" w:hangingChars="3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（三）我方明白并承诺在规定的开标时间之后，在投标有效期内不撤回投标文件；</w:t>
      </w:r>
    </w:p>
    <w:p w14:paraId="523DBA7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（四）我方同意提供按照贵方可能要求的与投标有关的一切数据或资料；</w:t>
      </w:r>
    </w:p>
    <w:p w14:paraId="39EB7FB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（五）我方理解贵方不一定接受最低报价。</w:t>
      </w:r>
    </w:p>
    <w:p w14:paraId="4252E6E9">
      <w:pPr>
        <w:spacing w:line="460" w:lineRule="exact"/>
        <w:ind w:left="660" w:hanging="660" w:hangingChars="3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（六）我方如果中标，将保证履行招标文件以及招标文件修改书（如有）中的全部责任和义务，按质、按量、按期完成《合同书》中的全部任务。</w:t>
      </w:r>
    </w:p>
    <w:p w14:paraId="4C9C932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（七）所有与本采购有关的函件请发往下列地址：</w:t>
      </w:r>
    </w:p>
    <w:p w14:paraId="497489FD">
      <w:pPr>
        <w:spacing w:line="46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地址</w:t>
      </w:r>
      <w:r>
        <w:rPr>
          <w:rFonts w:hint="eastAsia" w:ascii="新宋体" w:hAnsi="新宋体" w:eastAsia="新宋体" w:cs="新宋体"/>
          <w:color w:val="auto"/>
          <w:sz w:val="22"/>
          <w:szCs w:val="22"/>
          <w:highlight w:val="none"/>
          <w:u w:val="single"/>
        </w:rPr>
        <w:t xml:space="preserve">                           </w:t>
      </w:r>
    </w:p>
    <w:p w14:paraId="0D41FFF0">
      <w:pPr>
        <w:spacing w:line="460" w:lineRule="exact"/>
        <w:ind w:firstLine="43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电话</w:t>
      </w:r>
      <w:r>
        <w:rPr>
          <w:rFonts w:hint="eastAsia" w:ascii="新宋体" w:hAnsi="新宋体" w:eastAsia="新宋体" w:cs="新宋体"/>
          <w:color w:val="auto"/>
          <w:sz w:val="22"/>
          <w:szCs w:val="22"/>
          <w:highlight w:val="none"/>
          <w:u w:val="single"/>
        </w:rPr>
        <w:t xml:space="preserve">                           </w:t>
      </w:r>
    </w:p>
    <w:p w14:paraId="30ACD8BC">
      <w:pPr>
        <w:spacing w:line="460" w:lineRule="exact"/>
        <w:ind w:firstLine="435"/>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传真</w:t>
      </w:r>
      <w:r>
        <w:rPr>
          <w:rFonts w:hint="eastAsia" w:ascii="新宋体" w:hAnsi="新宋体" w:eastAsia="新宋体" w:cs="新宋体"/>
          <w:color w:val="auto"/>
          <w:sz w:val="22"/>
          <w:szCs w:val="22"/>
          <w:highlight w:val="none"/>
          <w:u w:val="single"/>
        </w:rPr>
        <w:t xml:space="preserve">                           </w:t>
      </w:r>
    </w:p>
    <w:p w14:paraId="0AC77FC1">
      <w:pPr>
        <w:spacing w:line="460" w:lineRule="exact"/>
        <w:ind w:firstLine="770" w:firstLineChars="35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电子邮件</w:t>
      </w:r>
      <w:r>
        <w:rPr>
          <w:rFonts w:hint="eastAsia" w:ascii="新宋体" w:hAnsi="新宋体" w:eastAsia="新宋体" w:cs="新宋体"/>
          <w:color w:val="auto"/>
          <w:sz w:val="22"/>
          <w:szCs w:val="22"/>
          <w:highlight w:val="none"/>
          <w:u w:val="single"/>
        </w:rPr>
        <w:t xml:space="preserve">                       </w:t>
      </w:r>
    </w:p>
    <w:p w14:paraId="28E8B957">
      <w:pPr>
        <w:pStyle w:val="19"/>
        <w:spacing w:line="460" w:lineRule="exact"/>
        <w:ind w:firstLine="5060" w:firstLineChars="2300"/>
        <w:rPr>
          <w:rFonts w:ascii="新宋体" w:hAnsi="新宋体" w:eastAsia="新宋体" w:cs="新宋体"/>
          <w:color w:val="auto"/>
          <w:sz w:val="22"/>
          <w:szCs w:val="22"/>
          <w:highlight w:val="none"/>
        </w:rPr>
      </w:pPr>
      <w:r>
        <w:rPr>
          <w:rFonts w:hint="eastAsia" w:hAnsi="宋体" w:cs="宋体"/>
          <w:color w:val="auto"/>
          <w:sz w:val="22"/>
          <w:szCs w:val="22"/>
          <w:highlight w:val="none"/>
        </w:rPr>
        <w:t>投标人</w:t>
      </w:r>
      <w:r>
        <w:rPr>
          <w:rFonts w:hint="eastAsia" w:ascii="新宋体" w:hAnsi="新宋体" w:eastAsia="新宋体" w:cs="新宋体"/>
          <w:color w:val="auto"/>
          <w:sz w:val="22"/>
          <w:szCs w:val="22"/>
          <w:highlight w:val="none"/>
        </w:rPr>
        <w:t>全称（盖章）：</w:t>
      </w:r>
    </w:p>
    <w:p w14:paraId="760EE4EC">
      <w:pPr>
        <w:pStyle w:val="19"/>
        <w:spacing w:line="460" w:lineRule="exact"/>
        <w:ind w:firstLine="5060" w:firstLineChars="2300"/>
        <w:rPr>
          <w:rFonts w:ascii="新宋体" w:hAnsi="新宋体" w:eastAsia="新宋体" w:cs="新宋体"/>
          <w:color w:val="auto"/>
          <w:sz w:val="22"/>
          <w:szCs w:val="22"/>
          <w:highlight w:val="none"/>
        </w:rPr>
      </w:pPr>
      <w:r>
        <w:rPr>
          <w:rFonts w:hint="eastAsia" w:hAnsi="宋体" w:cs="宋体"/>
          <w:color w:val="auto"/>
          <w:sz w:val="22"/>
          <w:szCs w:val="22"/>
          <w:highlight w:val="none"/>
        </w:rPr>
        <w:t>投标人</w:t>
      </w:r>
      <w:r>
        <w:rPr>
          <w:rFonts w:hint="eastAsia" w:ascii="新宋体" w:hAnsi="新宋体" w:eastAsia="新宋体" w:cs="新宋体"/>
          <w:color w:val="auto"/>
          <w:sz w:val="22"/>
          <w:szCs w:val="22"/>
          <w:highlight w:val="none"/>
        </w:rPr>
        <w:t>代表（签字或盖章）：</w:t>
      </w:r>
    </w:p>
    <w:p w14:paraId="713991EF">
      <w:pPr>
        <w:pStyle w:val="19"/>
        <w:spacing w:line="460" w:lineRule="exact"/>
        <w:ind w:firstLine="5060" w:firstLineChars="23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C83863F">
      <w:pPr>
        <w:spacing w:line="460" w:lineRule="exact"/>
        <w:rPr>
          <w:rFonts w:ascii="新宋体" w:hAnsi="新宋体" w:eastAsia="新宋体" w:cs="新宋体"/>
          <w:b/>
          <w:bCs/>
          <w:color w:val="auto"/>
          <w:sz w:val="22"/>
          <w:szCs w:val="22"/>
          <w:highlight w:val="none"/>
        </w:rPr>
      </w:pPr>
    </w:p>
    <w:p w14:paraId="6FD707E9">
      <w:pPr>
        <w:spacing w:line="460" w:lineRule="exact"/>
        <w:rPr>
          <w:rFonts w:ascii="新宋体" w:hAnsi="新宋体" w:eastAsia="新宋体" w:cs="新宋体"/>
          <w:b/>
          <w:bCs/>
          <w:color w:val="auto"/>
          <w:sz w:val="22"/>
          <w:szCs w:val="22"/>
          <w:highlight w:val="none"/>
          <w:u w:val="single"/>
        </w:rPr>
        <w:sectPr>
          <w:footerReference r:id="rId10" w:type="first"/>
          <w:headerReference r:id="rId8" w:type="default"/>
          <w:footerReference r:id="rId9" w:type="default"/>
          <w:pgSz w:w="11906" w:h="16838"/>
          <w:pgMar w:top="1134" w:right="1134" w:bottom="1134" w:left="1134" w:header="850" w:footer="850" w:gutter="284"/>
          <w:cols w:space="720" w:num="1"/>
          <w:titlePg/>
          <w:docGrid w:linePitch="312" w:charSpace="0"/>
        </w:sectPr>
      </w:pPr>
      <w:r>
        <w:rPr>
          <w:rFonts w:hint="eastAsia" w:ascii="新宋体" w:hAnsi="新宋体" w:eastAsia="新宋体" w:cs="新宋体"/>
          <w:b/>
          <w:bCs/>
          <w:color w:val="auto"/>
          <w:sz w:val="22"/>
          <w:szCs w:val="22"/>
          <w:highlight w:val="none"/>
        </w:rPr>
        <w:t>注：</w:t>
      </w:r>
      <w:r>
        <w:rPr>
          <w:rFonts w:hint="eastAsia" w:ascii="新宋体" w:hAnsi="新宋体" w:eastAsia="新宋体" w:cs="新宋体"/>
          <w:b/>
          <w:bCs/>
          <w:color w:val="auto"/>
          <w:sz w:val="22"/>
          <w:szCs w:val="22"/>
          <w:highlight w:val="none"/>
          <w:u w:val="single"/>
        </w:rPr>
        <w:t>▲不按要求提供投标函将被视为没有实质性响应招标文件。</w:t>
      </w:r>
    </w:p>
    <w:p w14:paraId="30C50C90">
      <w:pPr>
        <w:spacing w:line="460" w:lineRule="exact"/>
        <w:jc w:val="center"/>
        <w:outlineLvl w:val="3"/>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2、法定代表人身份证明</w:t>
      </w:r>
    </w:p>
    <w:p w14:paraId="044F9535">
      <w:pPr>
        <w:autoSpaceDE w:val="0"/>
        <w:autoSpaceDN w:val="0"/>
        <w:adjustRightInd w:val="0"/>
        <w:spacing w:line="460" w:lineRule="exact"/>
        <w:rPr>
          <w:rFonts w:ascii="新宋体" w:hAnsi="新宋体" w:eastAsia="新宋体" w:cs="新宋体"/>
          <w:color w:val="auto"/>
          <w:kern w:val="0"/>
          <w:sz w:val="22"/>
          <w:szCs w:val="22"/>
          <w:highlight w:val="none"/>
        </w:rPr>
      </w:pPr>
    </w:p>
    <w:p w14:paraId="3B36DB4C">
      <w:pPr>
        <w:autoSpaceDE w:val="0"/>
        <w:autoSpaceDN w:val="0"/>
        <w:adjustRightInd w:val="0"/>
        <w:spacing w:line="460" w:lineRule="exact"/>
        <w:rPr>
          <w:rFonts w:ascii="新宋体" w:hAnsi="新宋体" w:eastAsia="新宋体" w:cs="新宋体"/>
          <w:color w:val="auto"/>
          <w:kern w:val="0"/>
          <w:sz w:val="22"/>
          <w:szCs w:val="22"/>
          <w:highlight w:val="none"/>
        </w:rPr>
      </w:pPr>
      <w:r>
        <w:rPr>
          <w:rFonts w:hint="eastAsia" w:ascii="宋体" w:hAnsi="宋体" w:cs="宋体"/>
          <w:color w:val="auto"/>
          <w:sz w:val="22"/>
          <w:szCs w:val="22"/>
          <w:highlight w:val="none"/>
        </w:rPr>
        <w:t>投标人</w:t>
      </w:r>
      <w:r>
        <w:rPr>
          <w:rFonts w:hint="eastAsia" w:ascii="新宋体" w:hAnsi="新宋体" w:eastAsia="新宋体" w:cs="新宋体"/>
          <w:color w:val="auto"/>
          <w:kern w:val="0"/>
          <w:sz w:val="22"/>
          <w:szCs w:val="22"/>
          <w:highlight w:val="none"/>
        </w:rPr>
        <w:t>名称：</w:t>
      </w:r>
      <w:r>
        <w:rPr>
          <w:rFonts w:hint="eastAsia" w:ascii="新宋体" w:hAnsi="新宋体" w:eastAsia="新宋体" w:cs="新宋体"/>
          <w:color w:val="auto"/>
          <w:kern w:val="0"/>
          <w:sz w:val="22"/>
          <w:szCs w:val="22"/>
          <w:highlight w:val="none"/>
          <w:u w:val="single"/>
        </w:rPr>
        <w:t xml:space="preserve">                            </w:t>
      </w:r>
    </w:p>
    <w:p w14:paraId="3EB85D7C">
      <w:pPr>
        <w:autoSpaceDE w:val="0"/>
        <w:autoSpaceDN w:val="0"/>
        <w:adjustRightIn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单位性质： </w:t>
      </w:r>
      <w:r>
        <w:rPr>
          <w:rFonts w:hint="eastAsia" w:ascii="新宋体" w:hAnsi="新宋体" w:eastAsia="新宋体" w:cs="新宋体"/>
          <w:color w:val="auto"/>
          <w:kern w:val="0"/>
          <w:sz w:val="22"/>
          <w:szCs w:val="22"/>
          <w:highlight w:val="none"/>
          <w:u w:val="single"/>
        </w:rPr>
        <w:t xml:space="preserve">                                 </w:t>
      </w:r>
    </w:p>
    <w:p w14:paraId="460CE6B5">
      <w:pPr>
        <w:autoSpaceDE w:val="0"/>
        <w:autoSpaceDN w:val="0"/>
        <w:adjustRightIn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地    址：</w:t>
      </w:r>
      <w:r>
        <w:rPr>
          <w:rFonts w:hint="eastAsia" w:ascii="新宋体" w:hAnsi="新宋体" w:eastAsia="新宋体" w:cs="新宋体"/>
          <w:color w:val="auto"/>
          <w:kern w:val="0"/>
          <w:sz w:val="22"/>
          <w:szCs w:val="22"/>
          <w:highlight w:val="none"/>
          <w:u w:val="single"/>
        </w:rPr>
        <w:t xml:space="preserve">                                  </w:t>
      </w:r>
    </w:p>
    <w:p w14:paraId="3F935EB2">
      <w:pPr>
        <w:autoSpaceDE w:val="0"/>
        <w:autoSpaceDN w:val="0"/>
        <w:adjustRightIn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成立时间：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月</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日</w:t>
      </w:r>
      <w:r>
        <w:rPr>
          <w:rFonts w:hint="eastAsia" w:ascii="新宋体" w:hAnsi="新宋体" w:eastAsia="新宋体" w:cs="新宋体"/>
          <w:color w:val="auto"/>
          <w:kern w:val="0"/>
          <w:sz w:val="22"/>
          <w:szCs w:val="22"/>
          <w:highlight w:val="none"/>
        </w:rPr>
        <w:tab/>
      </w:r>
    </w:p>
    <w:p w14:paraId="747C9EFE">
      <w:pPr>
        <w:autoSpaceDE w:val="0"/>
        <w:autoSpaceDN w:val="0"/>
        <w:adjustRightIn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经营期限：</w:t>
      </w:r>
      <w:r>
        <w:rPr>
          <w:rFonts w:hint="eastAsia" w:ascii="新宋体" w:hAnsi="新宋体" w:eastAsia="新宋体" w:cs="新宋体"/>
          <w:color w:val="auto"/>
          <w:kern w:val="0"/>
          <w:sz w:val="22"/>
          <w:szCs w:val="22"/>
          <w:highlight w:val="none"/>
          <w:u w:val="single"/>
        </w:rPr>
        <w:t xml:space="preserve">                                   </w:t>
      </w:r>
    </w:p>
    <w:p w14:paraId="6A471DF6">
      <w:pPr>
        <w:autoSpaceDE w:val="0"/>
        <w:autoSpaceDN w:val="0"/>
        <w:adjustRightIn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姓    名：</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性别：</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年龄：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职务：</w:t>
      </w:r>
      <w:r>
        <w:rPr>
          <w:rFonts w:hint="eastAsia" w:ascii="新宋体" w:hAnsi="新宋体" w:eastAsia="新宋体" w:cs="新宋体"/>
          <w:color w:val="auto"/>
          <w:kern w:val="0"/>
          <w:sz w:val="22"/>
          <w:szCs w:val="22"/>
          <w:highlight w:val="none"/>
          <w:u w:val="single"/>
        </w:rPr>
        <w:t xml:space="preserve">         </w:t>
      </w:r>
    </w:p>
    <w:p w14:paraId="3446D65A">
      <w:pPr>
        <w:autoSpaceDE w:val="0"/>
        <w:autoSpaceDN w:val="0"/>
        <w:adjustRightIn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r>
        <w:rPr>
          <w:rFonts w:hint="eastAsia" w:ascii="宋体" w:hAnsi="宋体" w:cs="宋体"/>
          <w:color w:val="auto"/>
          <w:sz w:val="22"/>
          <w:szCs w:val="22"/>
          <w:highlight w:val="none"/>
        </w:rPr>
        <w:t>投标人</w:t>
      </w:r>
      <w:r>
        <w:rPr>
          <w:rFonts w:hint="eastAsia" w:ascii="新宋体" w:hAnsi="新宋体" w:eastAsia="新宋体" w:cs="新宋体"/>
          <w:color w:val="auto"/>
          <w:kern w:val="0"/>
          <w:sz w:val="22"/>
          <w:szCs w:val="22"/>
          <w:highlight w:val="none"/>
        </w:rPr>
        <w:t>名称）的法定代表人</w:t>
      </w:r>
    </w:p>
    <w:p w14:paraId="491D608F">
      <w:pPr>
        <w:autoSpaceDE w:val="0"/>
        <w:autoSpaceDN w:val="0"/>
        <w:adjustRightInd w:val="0"/>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特此证明</w:t>
      </w:r>
    </w:p>
    <w:p w14:paraId="6C0A10BF">
      <w:pPr>
        <w:autoSpaceDE w:val="0"/>
        <w:autoSpaceDN w:val="0"/>
        <w:adjustRightInd w:val="0"/>
        <w:spacing w:line="460" w:lineRule="exact"/>
        <w:rPr>
          <w:rFonts w:ascii="新宋体" w:hAnsi="新宋体" w:eastAsia="新宋体" w:cs="新宋体"/>
          <w:color w:val="auto"/>
          <w:kern w:val="0"/>
          <w:sz w:val="22"/>
          <w:szCs w:val="22"/>
          <w:highlight w:val="none"/>
        </w:rPr>
      </w:pPr>
    </w:p>
    <w:p w14:paraId="239DF171">
      <w:pPr>
        <w:autoSpaceDE w:val="0"/>
        <w:autoSpaceDN w:val="0"/>
        <w:adjustRightInd w:val="0"/>
        <w:spacing w:line="460" w:lineRule="exact"/>
        <w:rPr>
          <w:rFonts w:ascii="新宋体" w:hAnsi="新宋体" w:eastAsia="新宋体" w:cs="新宋体"/>
          <w:color w:val="auto"/>
          <w:kern w:val="0"/>
          <w:sz w:val="22"/>
          <w:szCs w:val="22"/>
          <w:highlight w:val="none"/>
        </w:rPr>
      </w:pPr>
    </w:p>
    <w:p w14:paraId="487D7D44">
      <w:pPr>
        <w:autoSpaceDE w:val="0"/>
        <w:autoSpaceDN w:val="0"/>
        <w:adjustRightInd w:val="0"/>
        <w:spacing w:line="460" w:lineRule="exact"/>
        <w:rPr>
          <w:rFonts w:ascii="新宋体" w:hAnsi="新宋体" w:eastAsia="新宋体" w:cs="新宋体"/>
          <w:color w:val="auto"/>
          <w:kern w:val="0"/>
          <w:sz w:val="22"/>
          <w:szCs w:val="22"/>
          <w:highlight w:val="none"/>
        </w:rPr>
      </w:pPr>
    </w:p>
    <w:p w14:paraId="51F035DD">
      <w:pPr>
        <w:autoSpaceDE w:val="0"/>
        <w:autoSpaceDN w:val="0"/>
        <w:adjustRightInd w:val="0"/>
        <w:spacing w:line="460" w:lineRule="exact"/>
        <w:jc w:val="right"/>
        <w:rPr>
          <w:rFonts w:ascii="新宋体" w:hAnsi="新宋体" w:eastAsia="新宋体" w:cs="新宋体"/>
          <w:color w:val="auto"/>
          <w:kern w:val="0"/>
          <w:sz w:val="22"/>
          <w:szCs w:val="22"/>
          <w:highlight w:val="none"/>
        </w:rPr>
      </w:pPr>
      <w:r>
        <w:rPr>
          <w:rFonts w:hint="eastAsia" w:ascii="宋体" w:hAnsi="宋体" w:cs="宋体"/>
          <w:color w:val="auto"/>
          <w:sz w:val="22"/>
          <w:szCs w:val="22"/>
          <w:highlight w:val="none"/>
        </w:rPr>
        <w:t>投标人</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（盖单位章）</w:t>
      </w:r>
    </w:p>
    <w:p w14:paraId="382512A0">
      <w:pPr>
        <w:wordWrap w:val="0"/>
        <w:autoSpaceDE w:val="0"/>
        <w:autoSpaceDN w:val="0"/>
        <w:adjustRightInd w:val="0"/>
        <w:spacing w:line="460" w:lineRule="exact"/>
        <w:ind w:firstLine="1650" w:firstLineChars="750"/>
        <w:jc w:val="righ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74823343">
      <w:pPr>
        <w:autoSpaceDE w:val="0"/>
        <w:autoSpaceDN w:val="0"/>
        <w:adjustRightInd w:val="0"/>
        <w:spacing w:line="460" w:lineRule="exact"/>
        <w:jc w:val="left"/>
        <w:rPr>
          <w:rFonts w:ascii="新宋体" w:hAnsi="新宋体" w:eastAsia="新宋体" w:cs="新宋体"/>
          <w:color w:val="auto"/>
          <w:kern w:val="0"/>
          <w:sz w:val="22"/>
          <w:szCs w:val="22"/>
          <w:highlight w:val="none"/>
        </w:rPr>
      </w:pPr>
    </w:p>
    <w:p w14:paraId="57696AB3">
      <w:pPr>
        <w:spacing w:line="460" w:lineRule="exact"/>
        <w:jc w:val="center"/>
        <w:rPr>
          <w:rFonts w:ascii="新宋体" w:hAnsi="新宋体" w:eastAsia="新宋体" w:cs="新宋体"/>
          <w:b/>
          <w:color w:val="auto"/>
          <w:sz w:val="24"/>
          <w:highlight w:val="none"/>
        </w:rPr>
      </w:pPr>
    </w:p>
    <w:p w14:paraId="50F06D48">
      <w:pPr>
        <w:spacing w:line="460" w:lineRule="exac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附：法定代表人身份证明</w:t>
      </w:r>
    </w:p>
    <w:p w14:paraId="4D290B1E">
      <w:pPr>
        <w:spacing w:line="460" w:lineRule="exact"/>
        <w:rPr>
          <w:rFonts w:ascii="新宋体" w:hAnsi="新宋体" w:eastAsia="新宋体" w:cs="新宋体"/>
          <w:b/>
          <w:color w:val="auto"/>
          <w:sz w:val="24"/>
          <w:highlight w:val="none"/>
        </w:rPr>
      </w:pPr>
    </w:p>
    <w:tbl>
      <w:tblPr>
        <w:tblStyle w:val="39"/>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1"/>
      </w:tblGrid>
      <w:tr w14:paraId="317C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691" w:type="dxa"/>
            <w:noWrap w:val="0"/>
            <w:vAlign w:val="top"/>
          </w:tcPr>
          <w:p w14:paraId="25CF35D0">
            <w:pPr>
              <w:spacing w:line="460" w:lineRule="exact"/>
              <w:rPr>
                <w:rFonts w:ascii="新宋体" w:hAnsi="新宋体" w:eastAsia="新宋体" w:cs="新宋体"/>
                <w:color w:val="auto"/>
                <w:sz w:val="22"/>
                <w:szCs w:val="22"/>
                <w:highlight w:val="none"/>
              </w:rPr>
            </w:pPr>
          </w:p>
          <w:p w14:paraId="4C672D1F">
            <w:pPr>
              <w:spacing w:line="460" w:lineRule="exact"/>
              <w:rPr>
                <w:rFonts w:ascii="新宋体" w:hAnsi="新宋体" w:eastAsia="新宋体" w:cs="新宋体"/>
                <w:color w:val="auto"/>
                <w:sz w:val="22"/>
                <w:szCs w:val="22"/>
                <w:highlight w:val="none"/>
              </w:rPr>
            </w:pPr>
          </w:p>
          <w:p w14:paraId="3E768B86">
            <w:pPr>
              <w:spacing w:line="460" w:lineRule="exact"/>
              <w:rPr>
                <w:rFonts w:ascii="新宋体" w:hAnsi="新宋体" w:eastAsia="新宋体" w:cs="新宋体"/>
                <w:color w:val="auto"/>
                <w:sz w:val="22"/>
                <w:szCs w:val="22"/>
                <w:highlight w:val="none"/>
              </w:rPr>
            </w:pPr>
          </w:p>
          <w:p w14:paraId="4B5C7453">
            <w:pPr>
              <w:spacing w:line="460" w:lineRule="exact"/>
              <w:ind w:firstLine="1100" w:firstLineChars="500"/>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法定代表人身份证复印件（粘贴处）</w:t>
            </w:r>
          </w:p>
        </w:tc>
      </w:tr>
    </w:tbl>
    <w:p w14:paraId="78FA96E6">
      <w:pPr>
        <w:spacing w:line="460" w:lineRule="exact"/>
        <w:jc w:val="center"/>
        <w:outlineLvl w:val="3"/>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3、法定代表人授权书</w:t>
      </w:r>
    </w:p>
    <w:p w14:paraId="1AFC0AAB">
      <w:pPr>
        <w:spacing w:line="460" w:lineRule="exact"/>
        <w:rPr>
          <w:rFonts w:ascii="新宋体" w:hAnsi="新宋体" w:eastAsia="新宋体" w:cs="新宋体"/>
          <w:color w:val="auto"/>
          <w:sz w:val="22"/>
          <w:szCs w:val="22"/>
          <w:highlight w:val="none"/>
        </w:rPr>
      </w:pPr>
    </w:p>
    <w:p w14:paraId="5EC401C3">
      <w:pPr>
        <w:spacing w:line="460" w:lineRule="exact"/>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t>温州职业技术学院：</w:t>
      </w:r>
    </w:p>
    <w:p w14:paraId="3E9D244B">
      <w:pPr>
        <w:spacing w:line="460" w:lineRule="exact"/>
        <w:rPr>
          <w:rFonts w:ascii="新宋体" w:hAnsi="新宋体" w:eastAsia="新宋体" w:cs="新宋体"/>
          <w:color w:val="auto"/>
          <w:sz w:val="22"/>
          <w:szCs w:val="22"/>
          <w:highlight w:val="none"/>
          <w:u w:val="single"/>
        </w:rPr>
      </w:pPr>
    </w:p>
    <w:p w14:paraId="3D22ED07">
      <w:pPr>
        <w:spacing w:line="46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（投标人全称）法定代表人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（全权代表姓名）为全权代表，参加贵处组织的（项目名称</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、编号</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的招标活动，全权代表我方处理招标活动中的一切事宜。</w:t>
      </w:r>
    </w:p>
    <w:p w14:paraId="19472A94">
      <w:pPr>
        <w:spacing w:line="460" w:lineRule="exact"/>
        <w:ind w:firstLine="2955"/>
        <w:rPr>
          <w:rFonts w:ascii="宋体" w:hAnsi="宋体" w:cs="宋体"/>
          <w:color w:val="auto"/>
          <w:sz w:val="22"/>
          <w:szCs w:val="22"/>
          <w:highlight w:val="none"/>
        </w:rPr>
      </w:pPr>
    </w:p>
    <w:p w14:paraId="2796CBF7">
      <w:pPr>
        <w:spacing w:line="46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502671B7">
      <w:pPr>
        <w:spacing w:line="460" w:lineRule="exact"/>
        <w:ind w:firstLine="4081" w:firstLineChars="1855"/>
        <w:rPr>
          <w:rFonts w:ascii="宋体" w:hAnsi="宋体" w:cs="宋体"/>
          <w:color w:val="auto"/>
          <w:sz w:val="22"/>
          <w:szCs w:val="22"/>
          <w:highlight w:val="none"/>
        </w:rPr>
      </w:pPr>
      <w:r>
        <w:rPr>
          <w:rFonts w:hint="eastAsia" w:ascii="宋体" w:hAnsi="宋体" w:cs="宋体"/>
          <w:color w:val="auto"/>
          <w:sz w:val="22"/>
          <w:szCs w:val="22"/>
          <w:highlight w:val="none"/>
        </w:rPr>
        <w:t>法定代表人(签字或盖章)：</w:t>
      </w:r>
    </w:p>
    <w:p w14:paraId="5DBBC809">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投标人全称（公章）：</w:t>
      </w:r>
    </w:p>
    <w:p w14:paraId="4C9E456D">
      <w:pPr>
        <w:spacing w:line="460" w:lineRule="exact"/>
        <w:ind w:firstLine="4081" w:firstLineChars="185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日   期：  </w:t>
      </w:r>
    </w:p>
    <w:p w14:paraId="479A6AC0">
      <w:pPr>
        <w:spacing w:line="460" w:lineRule="exact"/>
        <w:ind w:firstLine="4081" w:firstLineChars="1855"/>
        <w:rPr>
          <w:rFonts w:hint="eastAsia" w:ascii="宋体" w:hAnsi="宋体" w:eastAsia="宋体" w:cs="宋体"/>
          <w:color w:val="auto"/>
          <w:sz w:val="22"/>
          <w:szCs w:val="22"/>
          <w:highlight w:val="none"/>
        </w:rPr>
      </w:pPr>
    </w:p>
    <w:p w14:paraId="11488F64">
      <w:pPr>
        <w:spacing w:line="380" w:lineRule="exact"/>
        <w:rPr>
          <w:rFonts w:ascii="宋体" w:hAnsi="宋体" w:cs="宋体"/>
          <w:color w:val="auto"/>
          <w:sz w:val="22"/>
          <w:szCs w:val="22"/>
          <w:highlight w:val="none"/>
        </w:rPr>
      </w:pPr>
    </w:p>
    <w:p w14:paraId="14AC9CDA">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附：</w:t>
      </w:r>
    </w:p>
    <w:p w14:paraId="2965C941">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 xml:space="preserve">授权代表姓名：                               </w:t>
      </w:r>
    </w:p>
    <w:p w14:paraId="514C84EC">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职务：</w:t>
      </w:r>
    </w:p>
    <w:p w14:paraId="5DCCB425">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详细通讯地址：</w:t>
      </w:r>
    </w:p>
    <w:p w14:paraId="7C6E9712">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电话：</w:t>
      </w:r>
    </w:p>
    <w:p w14:paraId="4412D1F8">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传真：</w:t>
      </w:r>
    </w:p>
    <w:p w14:paraId="140358E3">
      <w:pPr>
        <w:spacing w:line="460" w:lineRule="exact"/>
        <w:ind w:firstLine="539" w:firstLineChars="245"/>
        <w:rPr>
          <w:rFonts w:ascii="宋体" w:hAnsi="宋体" w:cs="宋体"/>
          <w:b/>
          <w:bCs/>
          <w:color w:val="auto"/>
          <w:sz w:val="22"/>
          <w:szCs w:val="22"/>
          <w:highlight w:val="none"/>
        </w:rPr>
      </w:pPr>
      <w:r>
        <w:rPr>
          <w:rFonts w:hint="eastAsia" w:ascii="宋体" w:hAnsi="宋体" w:cs="宋体"/>
          <w:color w:val="auto"/>
          <w:sz w:val="22"/>
          <w:szCs w:val="22"/>
          <w:highlight w:val="none"/>
        </w:rPr>
        <w:t>邮政编码:</w:t>
      </w:r>
    </w:p>
    <w:p w14:paraId="1CF1619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color w:val="auto"/>
          <w:sz w:val="24"/>
          <w:highlight w:val="none"/>
        </w:rPr>
        <w:t>附：授权代表身份证明</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09F3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trPr>
        <w:tc>
          <w:tcPr>
            <w:tcW w:w="9854" w:type="dxa"/>
            <w:noWrap w:val="0"/>
            <w:vAlign w:val="center"/>
          </w:tcPr>
          <w:p w14:paraId="65F69DDC">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授权代表身份证复印件（粘贴处）</w:t>
            </w:r>
          </w:p>
        </w:tc>
      </w:tr>
    </w:tbl>
    <w:p w14:paraId="0F5E5464">
      <w:pPr>
        <w:spacing w:line="460" w:lineRule="exact"/>
        <w:jc w:val="center"/>
        <w:outlineLvl w:val="3"/>
        <w:rPr>
          <w:rFonts w:hint="eastAsia" w:ascii="新宋体" w:hAnsi="新宋体" w:eastAsia="新宋体" w:cs="新宋体"/>
          <w:b/>
          <w:color w:val="auto"/>
          <w:sz w:val="24"/>
          <w:highlight w:val="none"/>
          <w:lang w:val="zh-CN"/>
        </w:rPr>
      </w:pPr>
      <w:r>
        <w:rPr>
          <w:rFonts w:hint="eastAsia" w:ascii="新宋体" w:hAnsi="新宋体" w:eastAsia="新宋体" w:cs="新宋体"/>
          <w:b/>
          <w:color w:val="auto"/>
          <w:sz w:val="24"/>
          <w:highlight w:val="none"/>
          <w:lang w:val="en-US" w:eastAsia="zh-CN"/>
        </w:rPr>
        <w:t>4、</w:t>
      </w:r>
      <w:r>
        <w:rPr>
          <w:rFonts w:hint="eastAsia" w:ascii="新宋体" w:hAnsi="新宋体" w:eastAsia="新宋体" w:cs="新宋体"/>
          <w:b/>
          <w:color w:val="auto"/>
          <w:sz w:val="24"/>
          <w:highlight w:val="none"/>
          <w:lang w:val="zh-CN"/>
        </w:rPr>
        <w:t>详细供货清单说明一览表</w:t>
      </w:r>
    </w:p>
    <w:p w14:paraId="69A20A27">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highlight w:val="none"/>
        </w:rPr>
        <w:t>项目名称：                                                  项目编号：</w:t>
      </w:r>
    </w:p>
    <w:tbl>
      <w:tblPr>
        <w:tblStyle w:val="39"/>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56B3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202314CB">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5196B978">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7809511C">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52981A28">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4675276C">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17FBFC4E">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2EFA79F7">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0109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C68A346">
            <w:pPr>
              <w:spacing w:line="460" w:lineRule="exact"/>
              <w:jc w:val="center"/>
              <w:rPr>
                <w:rFonts w:ascii="新宋体" w:hAnsi="新宋体" w:eastAsia="新宋体" w:cs="新宋体"/>
                <w:color w:val="auto"/>
                <w:sz w:val="22"/>
                <w:szCs w:val="22"/>
                <w:highlight w:val="none"/>
              </w:rPr>
            </w:pPr>
          </w:p>
        </w:tc>
        <w:tc>
          <w:tcPr>
            <w:tcW w:w="1692" w:type="dxa"/>
            <w:vAlign w:val="center"/>
          </w:tcPr>
          <w:p w14:paraId="54F8F589">
            <w:pPr>
              <w:spacing w:line="460" w:lineRule="exact"/>
              <w:jc w:val="center"/>
              <w:rPr>
                <w:rFonts w:ascii="新宋体" w:hAnsi="新宋体" w:eastAsia="新宋体" w:cs="新宋体"/>
                <w:b/>
                <w:bCs/>
                <w:color w:val="auto"/>
                <w:sz w:val="22"/>
                <w:szCs w:val="22"/>
                <w:highlight w:val="none"/>
              </w:rPr>
            </w:pPr>
          </w:p>
        </w:tc>
        <w:tc>
          <w:tcPr>
            <w:tcW w:w="2603" w:type="dxa"/>
            <w:vAlign w:val="center"/>
          </w:tcPr>
          <w:p w14:paraId="610FB0AA">
            <w:pPr>
              <w:spacing w:line="460" w:lineRule="exact"/>
              <w:jc w:val="center"/>
              <w:rPr>
                <w:rFonts w:ascii="新宋体" w:hAnsi="新宋体" w:eastAsia="新宋体" w:cs="新宋体"/>
                <w:b/>
                <w:bCs/>
                <w:color w:val="auto"/>
                <w:sz w:val="22"/>
                <w:szCs w:val="22"/>
                <w:highlight w:val="none"/>
              </w:rPr>
            </w:pPr>
          </w:p>
        </w:tc>
        <w:tc>
          <w:tcPr>
            <w:tcW w:w="1991" w:type="dxa"/>
            <w:vAlign w:val="center"/>
          </w:tcPr>
          <w:p w14:paraId="52BD0250">
            <w:pPr>
              <w:spacing w:line="460" w:lineRule="exact"/>
              <w:jc w:val="center"/>
              <w:rPr>
                <w:rFonts w:ascii="新宋体" w:hAnsi="新宋体" w:eastAsia="新宋体" w:cs="新宋体"/>
                <w:b/>
                <w:bCs/>
                <w:color w:val="auto"/>
                <w:sz w:val="22"/>
                <w:szCs w:val="22"/>
                <w:highlight w:val="none"/>
              </w:rPr>
            </w:pPr>
          </w:p>
        </w:tc>
        <w:tc>
          <w:tcPr>
            <w:tcW w:w="1260" w:type="dxa"/>
            <w:vAlign w:val="center"/>
          </w:tcPr>
          <w:p w14:paraId="13D5AB80">
            <w:pPr>
              <w:spacing w:line="460" w:lineRule="exact"/>
              <w:jc w:val="center"/>
              <w:rPr>
                <w:rFonts w:ascii="新宋体" w:hAnsi="新宋体" w:eastAsia="新宋体" w:cs="新宋体"/>
                <w:b/>
                <w:bCs/>
                <w:color w:val="auto"/>
                <w:sz w:val="22"/>
                <w:szCs w:val="22"/>
                <w:highlight w:val="none"/>
              </w:rPr>
            </w:pPr>
          </w:p>
        </w:tc>
        <w:tc>
          <w:tcPr>
            <w:tcW w:w="1219" w:type="dxa"/>
          </w:tcPr>
          <w:p w14:paraId="528A46C9">
            <w:pPr>
              <w:spacing w:line="460" w:lineRule="exact"/>
              <w:rPr>
                <w:rFonts w:ascii="新宋体" w:hAnsi="新宋体" w:eastAsia="新宋体" w:cs="新宋体"/>
                <w:color w:val="auto"/>
                <w:sz w:val="22"/>
                <w:szCs w:val="22"/>
                <w:highlight w:val="none"/>
              </w:rPr>
            </w:pPr>
          </w:p>
        </w:tc>
      </w:tr>
      <w:tr w14:paraId="020A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83ABB0C">
            <w:pPr>
              <w:spacing w:line="360" w:lineRule="auto"/>
              <w:jc w:val="center"/>
              <w:rPr>
                <w:rFonts w:ascii="新宋体" w:hAnsi="新宋体" w:eastAsia="新宋体" w:cs="新宋体"/>
                <w:color w:val="auto"/>
                <w:sz w:val="22"/>
                <w:szCs w:val="22"/>
                <w:highlight w:val="none"/>
              </w:rPr>
            </w:pPr>
          </w:p>
        </w:tc>
        <w:tc>
          <w:tcPr>
            <w:tcW w:w="1692" w:type="dxa"/>
            <w:vAlign w:val="center"/>
          </w:tcPr>
          <w:p w14:paraId="0A661697">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0FE1EE27">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FFB7922">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9751584">
            <w:pPr>
              <w:spacing w:line="360" w:lineRule="auto"/>
              <w:jc w:val="center"/>
              <w:rPr>
                <w:rFonts w:ascii="新宋体" w:hAnsi="新宋体" w:eastAsia="新宋体" w:cs="新宋体"/>
                <w:b/>
                <w:bCs/>
                <w:color w:val="auto"/>
                <w:sz w:val="22"/>
                <w:szCs w:val="22"/>
                <w:highlight w:val="none"/>
              </w:rPr>
            </w:pPr>
          </w:p>
        </w:tc>
        <w:tc>
          <w:tcPr>
            <w:tcW w:w="1219" w:type="dxa"/>
          </w:tcPr>
          <w:p w14:paraId="4149C930">
            <w:pPr>
              <w:rPr>
                <w:rFonts w:ascii="新宋体" w:hAnsi="新宋体" w:eastAsia="新宋体" w:cs="新宋体"/>
                <w:color w:val="auto"/>
                <w:sz w:val="22"/>
                <w:szCs w:val="22"/>
                <w:highlight w:val="none"/>
              </w:rPr>
            </w:pPr>
          </w:p>
        </w:tc>
      </w:tr>
      <w:tr w14:paraId="0197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B3FCDF3">
            <w:pPr>
              <w:spacing w:line="360" w:lineRule="auto"/>
              <w:jc w:val="center"/>
              <w:rPr>
                <w:rFonts w:ascii="新宋体" w:hAnsi="新宋体" w:eastAsia="新宋体" w:cs="新宋体"/>
                <w:color w:val="auto"/>
                <w:sz w:val="22"/>
                <w:szCs w:val="22"/>
                <w:highlight w:val="none"/>
              </w:rPr>
            </w:pPr>
          </w:p>
        </w:tc>
        <w:tc>
          <w:tcPr>
            <w:tcW w:w="1692" w:type="dxa"/>
            <w:vAlign w:val="center"/>
          </w:tcPr>
          <w:p w14:paraId="0AFD2760">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75A79691">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03C442D">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E368B2A">
            <w:pPr>
              <w:spacing w:line="360" w:lineRule="auto"/>
              <w:jc w:val="center"/>
              <w:rPr>
                <w:rFonts w:ascii="新宋体" w:hAnsi="新宋体" w:eastAsia="新宋体" w:cs="新宋体"/>
                <w:b/>
                <w:bCs/>
                <w:color w:val="auto"/>
                <w:sz w:val="22"/>
                <w:szCs w:val="22"/>
                <w:highlight w:val="none"/>
              </w:rPr>
            </w:pPr>
          </w:p>
        </w:tc>
        <w:tc>
          <w:tcPr>
            <w:tcW w:w="1219" w:type="dxa"/>
          </w:tcPr>
          <w:p w14:paraId="5E51A6A7">
            <w:pPr>
              <w:rPr>
                <w:rFonts w:ascii="新宋体" w:hAnsi="新宋体" w:eastAsia="新宋体" w:cs="新宋体"/>
                <w:color w:val="auto"/>
                <w:sz w:val="22"/>
                <w:szCs w:val="22"/>
                <w:highlight w:val="none"/>
              </w:rPr>
            </w:pPr>
          </w:p>
        </w:tc>
      </w:tr>
      <w:tr w14:paraId="0E2C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E90D10B">
            <w:pPr>
              <w:spacing w:line="360" w:lineRule="auto"/>
              <w:jc w:val="center"/>
              <w:rPr>
                <w:rFonts w:ascii="新宋体" w:hAnsi="新宋体" w:eastAsia="新宋体" w:cs="新宋体"/>
                <w:color w:val="auto"/>
                <w:sz w:val="22"/>
                <w:szCs w:val="22"/>
                <w:highlight w:val="none"/>
              </w:rPr>
            </w:pPr>
          </w:p>
        </w:tc>
        <w:tc>
          <w:tcPr>
            <w:tcW w:w="1692" w:type="dxa"/>
            <w:vAlign w:val="center"/>
          </w:tcPr>
          <w:p w14:paraId="187A5900">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20A2585D">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A61D097">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37AFFCB">
            <w:pPr>
              <w:spacing w:line="360" w:lineRule="auto"/>
              <w:jc w:val="center"/>
              <w:rPr>
                <w:rFonts w:ascii="新宋体" w:hAnsi="新宋体" w:eastAsia="新宋体" w:cs="新宋体"/>
                <w:b/>
                <w:bCs/>
                <w:color w:val="auto"/>
                <w:sz w:val="22"/>
                <w:szCs w:val="22"/>
                <w:highlight w:val="none"/>
              </w:rPr>
            </w:pPr>
          </w:p>
        </w:tc>
        <w:tc>
          <w:tcPr>
            <w:tcW w:w="1219" w:type="dxa"/>
          </w:tcPr>
          <w:p w14:paraId="1657460E">
            <w:pPr>
              <w:rPr>
                <w:rFonts w:ascii="新宋体" w:hAnsi="新宋体" w:eastAsia="新宋体" w:cs="新宋体"/>
                <w:color w:val="auto"/>
                <w:sz w:val="22"/>
                <w:szCs w:val="22"/>
                <w:highlight w:val="none"/>
              </w:rPr>
            </w:pPr>
          </w:p>
        </w:tc>
      </w:tr>
      <w:tr w14:paraId="687D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474EFDB">
            <w:pPr>
              <w:spacing w:line="360" w:lineRule="auto"/>
              <w:jc w:val="center"/>
              <w:rPr>
                <w:rFonts w:ascii="新宋体" w:hAnsi="新宋体" w:eastAsia="新宋体" w:cs="新宋体"/>
                <w:color w:val="auto"/>
                <w:sz w:val="22"/>
                <w:szCs w:val="22"/>
                <w:highlight w:val="none"/>
              </w:rPr>
            </w:pPr>
          </w:p>
        </w:tc>
        <w:tc>
          <w:tcPr>
            <w:tcW w:w="1692" w:type="dxa"/>
            <w:vAlign w:val="center"/>
          </w:tcPr>
          <w:p w14:paraId="5D96CFF0">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662430D4">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7FA9799B">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753D1D66">
            <w:pPr>
              <w:spacing w:line="360" w:lineRule="auto"/>
              <w:jc w:val="center"/>
              <w:rPr>
                <w:rFonts w:ascii="新宋体" w:hAnsi="新宋体" w:eastAsia="新宋体" w:cs="新宋体"/>
                <w:b/>
                <w:bCs/>
                <w:color w:val="auto"/>
                <w:sz w:val="22"/>
                <w:szCs w:val="22"/>
                <w:highlight w:val="none"/>
              </w:rPr>
            </w:pPr>
          </w:p>
        </w:tc>
        <w:tc>
          <w:tcPr>
            <w:tcW w:w="1219" w:type="dxa"/>
          </w:tcPr>
          <w:p w14:paraId="2B3C2EAC">
            <w:pPr>
              <w:rPr>
                <w:rFonts w:ascii="新宋体" w:hAnsi="新宋体" w:eastAsia="新宋体" w:cs="新宋体"/>
                <w:color w:val="auto"/>
                <w:sz w:val="22"/>
                <w:szCs w:val="22"/>
                <w:highlight w:val="none"/>
              </w:rPr>
            </w:pPr>
          </w:p>
        </w:tc>
      </w:tr>
      <w:tr w14:paraId="736C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3E71841">
            <w:pPr>
              <w:spacing w:line="360" w:lineRule="auto"/>
              <w:jc w:val="center"/>
              <w:rPr>
                <w:rFonts w:ascii="新宋体" w:hAnsi="新宋体" w:eastAsia="新宋体" w:cs="新宋体"/>
                <w:color w:val="auto"/>
                <w:sz w:val="22"/>
                <w:szCs w:val="22"/>
                <w:highlight w:val="none"/>
              </w:rPr>
            </w:pPr>
          </w:p>
        </w:tc>
        <w:tc>
          <w:tcPr>
            <w:tcW w:w="1692" w:type="dxa"/>
            <w:vAlign w:val="center"/>
          </w:tcPr>
          <w:p w14:paraId="503FAEB7">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5525183F">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8832618">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F305C31">
            <w:pPr>
              <w:spacing w:line="360" w:lineRule="auto"/>
              <w:jc w:val="center"/>
              <w:rPr>
                <w:rFonts w:ascii="新宋体" w:hAnsi="新宋体" w:eastAsia="新宋体" w:cs="新宋体"/>
                <w:b/>
                <w:bCs/>
                <w:color w:val="auto"/>
                <w:sz w:val="22"/>
                <w:szCs w:val="22"/>
                <w:highlight w:val="none"/>
              </w:rPr>
            </w:pPr>
          </w:p>
        </w:tc>
        <w:tc>
          <w:tcPr>
            <w:tcW w:w="1219" w:type="dxa"/>
          </w:tcPr>
          <w:p w14:paraId="14B4DBC4">
            <w:pPr>
              <w:rPr>
                <w:rFonts w:ascii="新宋体" w:hAnsi="新宋体" w:eastAsia="新宋体" w:cs="新宋体"/>
                <w:color w:val="auto"/>
                <w:sz w:val="22"/>
                <w:szCs w:val="22"/>
                <w:highlight w:val="none"/>
              </w:rPr>
            </w:pPr>
          </w:p>
        </w:tc>
      </w:tr>
      <w:tr w14:paraId="1469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DCAF348">
            <w:pPr>
              <w:spacing w:line="360" w:lineRule="auto"/>
              <w:jc w:val="center"/>
              <w:rPr>
                <w:rFonts w:ascii="新宋体" w:hAnsi="新宋体" w:eastAsia="新宋体" w:cs="新宋体"/>
                <w:color w:val="auto"/>
                <w:sz w:val="22"/>
                <w:szCs w:val="22"/>
                <w:highlight w:val="none"/>
              </w:rPr>
            </w:pPr>
          </w:p>
        </w:tc>
        <w:tc>
          <w:tcPr>
            <w:tcW w:w="1692" w:type="dxa"/>
            <w:vAlign w:val="center"/>
          </w:tcPr>
          <w:p w14:paraId="7F0ED8E2">
            <w:pPr>
              <w:spacing w:line="360" w:lineRule="auto"/>
              <w:jc w:val="center"/>
              <w:rPr>
                <w:rFonts w:ascii="新宋体" w:hAnsi="新宋体" w:eastAsia="新宋体" w:cs="新宋体"/>
                <w:color w:val="auto"/>
                <w:sz w:val="22"/>
                <w:szCs w:val="22"/>
                <w:highlight w:val="none"/>
              </w:rPr>
            </w:pPr>
          </w:p>
        </w:tc>
        <w:tc>
          <w:tcPr>
            <w:tcW w:w="2603" w:type="dxa"/>
            <w:vAlign w:val="center"/>
          </w:tcPr>
          <w:p w14:paraId="5448AC60">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185BEE2E">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68322B2">
            <w:pPr>
              <w:spacing w:line="360" w:lineRule="auto"/>
              <w:jc w:val="center"/>
              <w:rPr>
                <w:rFonts w:ascii="新宋体" w:hAnsi="新宋体" w:eastAsia="新宋体" w:cs="新宋体"/>
                <w:b/>
                <w:bCs/>
                <w:color w:val="auto"/>
                <w:sz w:val="22"/>
                <w:szCs w:val="22"/>
                <w:highlight w:val="none"/>
              </w:rPr>
            </w:pPr>
          </w:p>
        </w:tc>
        <w:tc>
          <w:tcPr>
            <w:tcW w:w="1219" w:type="dxa"/>
          </w:tcPr>
          <w:p w14:paraId="0BE7D4C9">
            <w:pPr>
              <w:rPr>
                <w:rFonts w:ascii="新宋体" w:hAnsi="新宋体" w:eastAsia="新宋体" w:cs="新宋体"/>
                <w:color w:val="auto"/>
                <w:sz w:val="22"/>
                <w:szCs w:val="22"/>
                <w:highlight w:val="none"/>
              </w:rPr>
            </w:pPr>
          </w:p>
        </w:tc>
      </w:tr>
      <w:tr w14:paraId="3DBC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243898D">
            <w:pPr>
              <w:spacing w:line="360" w:lineRule="auto"/>
              <w:jc w:val="center"/>
              <w:rPr>
                <w:rFonts w:ascii="新宋体" w:hAnsi="新宋体" w:eastAsia="新宋体" w:cs="新宋体"/>
                <w:color w:val="auto"/>
                <w:sz w:val="22"/>
                <w:szCs w:val="22"/>
                <w:highlight w:val="none"/>
              </w:rPr>
            </w:pPr>
          </w:p>
        </w:tc>
        <w:tc>
          <w:tcPr>
            <w:tcW w:w="1692" w:type="dxa"/>
            <w:vAlign w:val="center"/>
          </w:tcPr>
          <w:p w14:paraId="55CD1CBA">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7218A3D3">
            <w:pPr>
              <w:spacing w:line="360" w:lineRule="auto"/>
              <w:jc w:val="center"/>
              <w:rPr>
                <w:rFonts w:ascii="新宋体" w:hAnsi="新宋体" w:eastAsia="新宋体" w:cs="新宋体"/>
                <w:color w:val="auto"/>
                <w:sz w:val="22"/>
                <w:szCs w:val="22"/>
                <w:highlight w:val="none"/>
              </w:rPr>
            </w:pPr>
          </w:p>
        </w:tc>
        <w:tc>
          <w:tcPr>
            <w:tcW w:w="1991" w:type="dxa"/>
            <w:vAlign w:val="center"/>
          </w:tcPr>
          <w:p w14:paraId="6C7D84EB">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7012014">
            <w:pPr>
              <w:spacing w:line="360" w:lineRule="auto"/>
              <w:jc w:val="center"/>
              <w:rPr>
                <w:rFonts w:ascii="新宋体" w:hAnsi="新宋体" w:eastAsia="新宋体" w:cs="新宋体"/>
                <w:b/>
                <w:bCs/>
                <w:color w:val="auto"/>
                <w:sz w:val="22"/>
                <w:szCs w:val="22"/>
                <w:highlight w:val="none"/>
              </w:rPr>
            </w:pPr>
          </w:p>
        </w:tc>
        <w:tc>
          <w:tcPr>
            <w:tcW w:w="1219" w:type="dxa"/>
          </w:tcPr>
          <w:p w14:paraId="7771C313">
            <w:pPr>
              <w:rPr>
                <w:rFonts w:ascii="新宋体" w:hAnsi="新宋体" w:eastAsia="新宋体" w:cs="新宋体"/>
                <w:color w:val="auto"/>
                <w:sz w:val="22"/>
                <w:szCs w:val="22"/>
                <w:highlight w:val="none"/>
              </w:rPr>
            </w:pPr>
          </w:p>
        </w:tc>
      </w:tr>
      <w:tr w14:paraId="23BC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45B2B99">
            <w:pPr>
              <w:spacing w:line="360" w:lineRule="auto"/>
              <w:jc w:val="center"/>
              <w:rPr>
                <w:rFonts w:ascii="新宋体" w:hAnsi="新宋体" w:eastAsia="新宋体" w:cs="新宋体"/>
                <w:color w:val="auto"/>
                <w:sz w:val="22"/>
                <w:szCs w:val="22"/>
                <w:highlight w:val="none"/>
              </w:rPr>
            </w:pPr>
          </w:p>
        </w:tc>
        <w:tc>
          <w:tcPr>
            <w:tcW w:w="1692" w:type="dxa"/>
            <w:vAlign w:val="center"/>
          </w:tcPr>
          <w:p w14:paraId="12620762">
            <w:pPr>
              <w:spacing w:line="360" w:lineRule="auto"/>
              <w:jc w:val="center"/>
              <w:rPr>
                <w:rFonts w:ascii="新宋体" w:hAnsi="新宋体" w:eastAsia="新宋体" w:cs="新宋体"/>
                <w:color w:val="auto"/>
                <w:sz w:val="22"/>
                <w:szCs w:val="22"/>
                <w:highlight w:val="none"/>
              </w:rPr>
            </w:pPr>
          </w:p>
        </w:tc>
        <w:tc>
          <w:tcPr>
            <w:tcW w:w="2603" w:type="dxa"/>
          </w:tcPr>
          <w:p w14:paraId="6AA293E6">
            <w:pPr>
              <w:spacing w:line="360" w:lineRule="auto"/>
              <w:rPr>
                <w:rFonts w:ascii="新宋体" w:hAnsi="新宋体" w:eastAsia="新宋体" w:cs="新宋体"/>
                <w:b/>
                <w:bCs/>
                <w:color w:val="auto"/>
                <w:sz w:val="22"/>
                <w:szCs w:val="22"/>
                <w:highlight w:val="none"/>
              </w:rPr>
            </w:pPr>
          </w:p>
        </w:tc>
        <w:tc>
          <w:tcPr>
            <w:tcW w:w="1991" w:type="dxa"/>
            <w:vAlign w:val="center"/>
          </w:tcPr>
          <w:p w14:paraId="204972AA">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CC7F643">
            <w:pPr>
              <w:spacing w:line="360" w:lineRule="auto"/>
              <w:jc w:val="center"/>
              <w:rPr>
                <w:rFonts w:ascii="新宋体" w:hAnsi="新宋体" w:eastAsia="新宋体" w:cs="新宋体"/>
                <w:b/>
                <w:bCs/>
                <w:color w:val="auto"/>
                <w:sz w:val="22"/>
                <w:szCs w:val="22"/>
                <w:highlight w:val="none"/>
              </w:rPr>
            </w:pPr>
          </w:p>
        </w:tc>
        <w:tc>
          <w:tcPr>
            <w:tcW w:w="1219" w:type="dxa"/>
          </w:tcPr>
          <w:p w14:paraId="45492E11">
            <w:pPr>
              <w:rPr>
                <w:rFonts w:ascii="新宋体" w:hAnsi="新宋体" w:eastAsia="新宋体" w:cs="新宋体"/>
                <w:color w:val="auto"/>
                <w:sz w:val="22"/>
                <w:szCs w:val="22"/>
                <w:highlight w:val="none"/>
              </w:rPr>
            </w:pPr>
          </w:p>
        </w:tc>
      </w:tr>
      <w:tr w14:paraId="1484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E184037">
            <w:pPr>
              <w:spacing w:line="360" w:lineRule="auto"/>
              <w:jc w:val="center"/>
              <w:rPr>
                <w:rFonts w:ascii="新宋体" w:hAnsi="新宋体" w:eastAsia="新宋体" w:cs="新宋体"/>
                <w:color w:val="auto"/>
                <w:sz w:val="22"/>
                <w:szCs w:val="22"/>
                <w:highlight w:val="none"/>
              </w:rPr>
            </w:pPr>
          </w:p>
        </w:tc>
        <w:tc>
          <w:tcPr>
            <w:tcW w:w="1692" w:type="dxa"/>
            <w:vAlign w:val="center"/>
          </w:tcPr>
          <w:p w14:paraId="3D214372">
            <w:pPr>
              <w:spacing w:line="360" w:lineRule="auto"/>
              <w:jc w:val="center"/>
              <w:rPr>
                <w:rFonts w:ascii="新宋体" w:hAnsi="新宋体" w:eastAsia="新宋体" w:cs="新宋体"/>
                <w:b/>
                <w:bCs/>
                <w:color w:val="auto"/>
                <w:sz w:val="22"/>
                <w:szCs w:val="22"/>
                <w:highlight w:val="none"/>
              </w:rPr>
            </w:pPr>
          </w:p>
        </w:tc>
        <w:tc>
          <w:tcPr>
            <w:tcW w:w="2603" w:type="dxa"/>
          </w:tcPr>
          <w:p w14:paraId="5FE6C096">
            <w:pPr>
              <w:spacing w:line="360" w:lineRule="auto"/>
              <w:rPr>
                <w:rFonts w:ascii="新宋体" w:hAnsi="新宋体" w:eastAsia="新宋体" w:cs="新宋体"/>
                <w:color w:val="auto"/>
                <w:sz w:val="22"/>
                <w:szCs w:val="22"/>
                <w:highlight w:val="none"/>
              </w:rPr>
            </w:pPr>
          </w:p>
        </w:tc>
        <w:tc>
          <w:tcPr>
            <w:tcW w:w="1991" w:type="dxa"/>
            <w:vAlign w:val="center"/>
          </w:tcPr>
          <w:p w14:paraId="51AE03BE">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2EFAD35">
            <w:pPr>
              <w:spacing w:line="360" w:lineRule="auto"/>
              <w:jc w:val="center"/>
              <w:rPr>
                <w:rFonts w:ascii="新宋体" w:hAnsi="新宋体" w:eastAsia="新宋体" w:cs="新宋体"/>
                <w:b/>
                <w:bCs/>
                <w:color w:val="auto"/>
                <w:sz w:val="22"/>
                <w:szCs w:val="22"/>
                <w:highlight w:val="none"/>
              </w:rPr>
            </w:pPr>
          </w:p>
        </w:tc>
        <w:tc>
          <w:tcPr>
            <w:tcW w:w="1219" w:type="dxa"/>
          </w:tcPr>
          <w:p w14:paraId="425377F7">
            <w:pPr>
              <w:rPr>
                <w:rFonts w:ascii="新宋体" w:hAnsi="新宋体" w:eastAsia="新宋体" w:cs="新宋体"/>
                <w:color w:val="auto"/>
                <w:sz w:val="22"/>
                <w:szCs w:val="22"/>
                <w:highlight w:val="none"/>
              </w:rPr>
            </w:pPr>
          </w:p>
        </w:tc>
      </w:tr>
      <w:tr w14:paraId="02DE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D365D4E">
            <w:pPr>
              <w:spacing w:line="360" w:lineRule="auto"/>
              <w:jc w:val="center"/>
              <w:rPr>
                <w:rFonts w:ascii="新宋体" w:hAnsi="新宋体" w:eastAsia="新宋体" w:cs="新宋体"/>
                <w:color w:val="auto"/>
                <w:sz w:val="22"/>
                <w:szCs w:val="22"/>
                <w:highlight w:val="none"/>
              </w:rPr>
            </w:pPr>
          </w:p>
        </w:tc>
        <w:tc>
          <w:tcPr>
            <w:tcW w:w="1692" w:type="dxa"/>
            <w:vAlign w:val="center"/>
          </w:tcPr>
          <w:p w14:paraId="4A2D4D5C">
            <w:pPr>
              <w:spacing w:line="360" w:lineRule="auto"/>
              <w:jc w:val="center"/>
              <w:rPr>
                <w:rFonts w:ascii="新宋体" w:hAnsi="新宋体" w:eastAsia="新宋体" w:cs="新宋体"/>
                <w:color w:val="auto"/>
                <w:sz w:val="22"/>
                <w:szCs w:val="22"/>
                <w:highlight w:val="none"/>
              </w:rPr>
            </w:pPr>
          </w:p>
        </w:tc>
        <w:tc>
          <w:tcPr>
            <w:tcW w:w="2603" w:type="dxa"/>
          </w:tcPr>
          <w:p w14:paraId="0F058ED6">
            <w:pPr>
              <w:spacing w:line="360" w:lineRule="auto"/>
              <w:rPr>
                <w:rFonts w:ascii="新宋体" w:hAnsi="新宋体" w:eastAsia="新宋体" w:cs="新宋体"/>
                <w:color w:val="auto"/>
                <w:sz w:val="22"/>
                <w:szCs w:val="22"/>
                <w:highlight w:val="none"/>
              </w:rPr>
            </w:pPr>
          </w:p>
        </w:tc>
        <w:tc>
          <w:tcPr>
            <w:tcW w:w="1991" w:type="dxa"/>
            <w:vAlign w:val="center"/>
          </w:tcPr>
          <w:p w14:paraId="51BDD999">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A85E2A8">
            <w:pPr>
              <w:spacing w:line="360" w:lineRule="auto"/>
              <w:jc w:val="center"/>
              <w:rPr>
                <w:rFonts w:ascii="新宋体" w:hAnsi="新宋体" w:eastAsia="新宋体" w:cs="新宋体"/>
                <w:b/>
                <w:bCs/>
                <w:color w:val="auto"/>
                <w:sz w:val="22"/>
                <w:szCs w:val="22"/>
                <w:highlight w:val="none"/>
              </w:rPr>
            </w:pPr>
          </w:p>
        </w:tc>
        <w:tc>
          <w:tcPr>
            <w:tcW w:w="1219" w:type="dxa"/>
          </w:tcPr>
          <w:p w14:paraId="0E1DF8DF">
            <w:pPr>
              <w:rPr>
                <w:rFonts w:ascii="新宋体" w:hAnsi="新宋体" w:eastAsia="新宋体" w:cs="新宋体"/>
                <w:color w:val="auto"/>
                <w:sz w:val="22"/>
                <w:szCs w:val="22"/>
                <w:highlight w:val="none"/>
              </w:rPr>
            </w:pPr>
          </w:p>
        </w:tc>
      </w:tr>
      <w:tr w14:paraId="5739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D803321">
            <w:pPr>
              <w:spacing w:line="360" w:lineRule="auto"/>
              <w:jc w:val="center"/>
              <w:rPr>
                <w:rFonts w:ascii="新宋体" w:hAnsi="新宋体" w:eastAsia="新宋体" w:cs="新宋体"/>
                <w:color w:val="auto"/>
                <w:sz w:val="22"/>
                <w:szCs w:val="22"/>
                <w:highlight w:val="none"/>
              </w:rPr>
            </w:pPr>
          </w:p>
        </w:tc>
        <w:tc>
          <w:tcPr>
            <w:tcW w:w="1692" w:type="dxa"/>
            <w:vAlign w:val="center"/>
          </w:tcPr>
          <w:p w14:paraId="13235CAB">
            <w:pPr>
              <w:spacing w:line="360" w:lineRule="auto"/>
              <w:jc w:val="center"/>
              <w:rPr>
                <w:rFonts w:ascii="新宋体" w:hAnsi="新宋体" w:eastAsia="新宋体" w:cs="新宋体"/>
                <w:color w:val="auto"/>
                <w:sz w:val="22"/>
                <w:szCs w:val="22"/>
                <w:highlight w:val="none"/>
              </w:rPr>
            </w:pPr>
          </w:p>
        </w:tc>
        <w:tc>
          <w:tcPr>
            <w:tcW w:w="2603" w:type="dxa"/>
          </w:tcPr>
          <w:p w14:paraId="30CBF7C5">
            <w:pPr>
              <w:spacing w:line="360" w:lineRule="auto"/>
              <w:rPr>
                <w:rFonts w:ascii="新宋体" w:hAnsi="新宋体" w:eastAsia="新宋体" w:cs="新宋体"/>
                <w:color w:val="auto"/>
                <w:sz w:val="22"/>
                <w:szCs w:val="22"/>
                <w:highlight w:val="none"/>
              </w:rPr>
            </w:pPr>
          </w:p>
        </w:tc>
        <w:tc>
          <w:tcPr>
            <w:tcW w:w="1991" w:type="dxa"/>
            <w:vAlign w:val="center"/>
          </w:tcPr>
          <w:p w14:paraId="017FC45E">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7266BBE">
            <w:pPr>
              <w:spacing w:line="360" w:lineRule="auto"/>
              <w:jc w:val="center"/>
              <w:rPr>
                <w:rFonts w:ascii="新宋体" w:hAnsi="新宋体" w:eastAsia="新宋体" w:cs="新宋体"/>
                <w:b/>
                <w:bCs/>
                <w:color w:val="auto"/>
                <w:sz w:val="22"/>
                <w:szCs w:val="22"/>
                <w:highlight w:val="none"/>
              </w:rPr>
            </w:pPr>
          </w:p>
        </w:tc>
        <w:tc>
          <w:tcPr>
            <w:tcW w:w="1219" w:type="dxa"/>
          </w:tcPr>
          <w:p w14:paraId="24882F48">
            <w:pPr>
              <w:rPr>
                <w:rFonts w:ascii="新宋体" w:hAnsi="新宋体" w:eastAsia="新宋体" w:cs="新宋体"/>
                <w:color w:val="auto"/>
                <w:sz w:val="22"/>
                <w:szCs w:val="22"/>
                <w:highlight w:val="none"/>
              </w:rPr>
            </w:pPr>
          </w:p>
        </w:tc>
      </w:tr>
      <w:tr w14:paraId="6B29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D054990">
            <w:pPr>
              <w:spacing w:line="360" w:lineRule="auto"/>
              <w:jc w:val="center"/>
              <w:rPr>
                <w:rFonts w:ascii="新宋体" w:hAnsi="新宋体" w:eastAsia="新宋体" w:cs="新宋体"/>
                <w:color w:val="auto"/>
                <w:sz w:val="22"/>
                <w:szCs w:val="22"/>
                <w:highlight w:val="none"/>
              </w:rPr>
            </w:pPr>
          </w:p>
        </w:tc>
        <w:tc>
          <w:tcPr>
            <w:tcW w:w="1692" w:type="dxa"/>
            <w:vAlign w:val="center"/>
          </w:tcPr>
          <w:p w14:paraId="0F785315">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5F990452">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1C797DF">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6B08D39">
            <w:pPr>
              <w:spacing w:line="360" w:lineRule="auto"/>
              <w:jc w:val="center"/>
              <w:rPr>
                <w:rFonts w:ascii="新宋体" w:hAnsi="新宋体" w:eastAsia="新宋体" w:cs="新宋体"/>
                <w:b/>
                <w:bCs/>
                <w:color w:val="auto"/>
                <w:sz w:val="22"/>
                <w:szCs w:val="22"/>
                <w:highlight w:val="none"/>
              </w:rPr>
            </w:pPr>
          </w:p>
        </w:tc>
        <w:tc>
          <w:tcPr>
            <w:tcW w:w="1219" w:type="dxa"/>
          </w:tcPr>
          <w:p w14:paraId="1AE78E71">
            <w:pPr>
              <w:rPr>
                <w:rFonts w:ascii="新宋体" w:hAnsi="新宋体" w:eastAsia="新宋体" w:cs="新宋体"/>
                <w:color w:val="auto"/>
                <w:sz w:val="22"/>
                <w:szCs w:val="22"/>
                <w:highlight w:val="none"/>
              </w:rPr>
            </w:pPr>
          </w:p>
        </w:tc>
      </w:tr>
      <w:tr w14:paraId="6884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9EE93AC">
            <w:pPr>
              <w:spacing w:line="360" w:lineRule="auto"/>
              <w:jc w:val="center"/>
              <w:rPr>
                <w:rFonts w:ascii="新宋体" w:hAnsi="新宋体" w:eastAsia="新宋体" w:cs="新宋体"/>
                <w:color w:val="auto"/>
                <w:sz w:val="22"/>
                <w:szCs w:val="22"/>
                <w:highlight w:val="none"/>
              </w:rPr>
            </w:pPr>
          </w:p>
        </w:tc>
        <w:tc>
          <w:tcPr>
            <w:tcW w:w="1692" w:type="dxa"/>
            <w:vAlign w:val="center"/>
          </w:tcPr>
          <w:p w14:paraId="691A98D9">
            <w:pPr>
              <w:spacing w:line="360" w:lineRule="auto"/>
              <w:rPr>
                <w:rFonts w:ascii="新宋体" w:hAnsi="新宋体" w:eastAsia="新宋体" w:cs="新宋体"/>
                <w:b/>
                <w:bCs/>
                <w:color w:val="auto"/>
                <w:sz w:val="22"/>
                <w:szCs w:val="22"/>
                <w:highlight w:val="none"/>
              </w:rPr>
            </w:pPr>
          </w:p>
        </w:tc>
        <w:tc>
          <w:tcPr>
            <w:tcW w:w="2603" w:type="dxa"/>
            <w:vAlign w:val="center"/>
          </w:tcPr>
          <w:p w14:paraId="34C48F59">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7DDE9A19">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1B019F7">
            <w:pPr>
              <w:spacing w:line="360" w:lineRule="auto"/>
              <w:jc w:val="center"/>
              <w:rPr>
                <w:rFonts w:ascii="新宋体" w:hAnsi="新宋体" w:eastAsia="新宋体" w:cs="新宋体"/>
                <w:b/>
                <w:bCs/>
                <w:color w:val="auto"/>
                <w:sz w:val="22"/>
                <w:szCs w:val="22"/>
                <w:highlight w:val="none"/>
              </w:rPr>
            </w:pPr>
          </w:p>
        </w:tc>
        <w:tc>
          <w:tcPr>
            <w:tcW w:w="1219" w:type="dxa"/>
          </w:tcPr>
          <w:p w14:paraId="7801B9F0">
            <w:pPr>
              <w:rPr>
                <w:rFonts w:ascii="新宋体" w:hAnsi="新宋体" w:eastAsia="新宋体" w:cs="新宋体"/>
                <w:color w:val="auto"/>
                <w:sz w:val="22"/>
                <w:szCs w:val="22"/>
                <w:highlight w:val="none"/>
              </w:rPr>
            </w:pPr>
          </w:p>
        </w:tc>
      </w:tr>
      <w:tr w14:paraId="7EE9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1696D34">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74EA4864">
            <w:pPr>
              <w:spacing w:line="360" w:lineRule="auto"/>
              <w:rPr>
                <w:rFonts w:ascii="新宋体" w:hAnsi="新宋体" w:eastAsia="新宋体" w:cs="新宋体"/>
                <w:b/>
                <w:bCs/>
                <w:color w:val="auto"/>
                <w:sz w:val="22"/>
                <w:szCs w:val="22"/>
                <w:highlight w:val="none"/>
              </w:rPr>
            </w:pPr>
          </w:p>
        </w:tc>
        <w:tc>
          <w:tcPr>
            <w:tcW w:w="2603" w:type="dxa"/>
            <w:vAlign w:val="center"/>
          </w:tcPr>
          <w:p w14:paraId="4817473C">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B0FDFAE">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BF18BDF">
            <w:pPr>
              <w:spacing w:line="360" w:lineRule="auto"/>
              <w:jc w:val="center"/>
              <w:rPr>
                <w:rFonts w:ascii="新宋体" w:hAnsi="新宋体" w:eastAsia="新宋体" w:cs="新宋体"/>
                <w:b/>
                <w:bCs/>
                <w:color w:val="auto"/>
                <w:sz w:val="22"/>
                <w:szCs w:val="22"/>
                <w:highlight w:val="none"/>
              </w:rPr>
            </w:pPr>
          </w:p>
        </w:tc>
        <w:tc>
          <w:tcPr>
            <w:tcW w:w="1219" w:type="dxa"/>
          </w:tcPr>
          <w:p w14:paraId="74FE6DE2">
            <w:pPr>
              <w:rPr>
                <w:rFonts w:ascii="新宋体" w:hAnsi="新宋体" w:eastAsia="新宋体" w:cs="新宋体"/>
                <w:color w:val="auto"/>
                <w:sz w:val="22"/>
                <w:szCs w:val="22"/>
                <w:highlight w:val="none"/>
              </w:rPr>
            </w:pPr>
          </w:p>
        </w:tc>
      </w:tr>
      <w:tr w14:paraId="0C01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204ADBC">
            <w:pPr>
              <w:spacing w:line="360" w:lineRule="auto"/>
              <w:jc w:val="center"/>
              <w:rPr>
                <w:rFonts w:ascii="新宋体" w:hAnsi="新宋体" w:eastAsia="新宋体" w:cs="新宋体"/>
                <w:bCs/>
                <w:color w:val="auto"/>
                <w:sz w:val="22"/>
                <w:szCs w:val="22"/>
                <w:highlight w:val="none"/>
              </w:rPr>
            </w:pPr>
          </w:p>
        </w:tc>
        <w:tc>
          <w:tcPr>
            <w:tcW w:w="1692" w:type="dxa"/>
            <w:vAlign w:val="center"/>
          </w:tcPr>
          <w:p w14:paraId="31EFD448">
            <w:pPr>
              <w:spacing w:line="360" w:lineRule="auto"/>
              <w:rPr>
                <w:rFonts w:ascii="新宋体" w:hAnsi="新宋体" w:eastAsia="新宋体" w:cs="新宋体"/>
                <w:color w:val="auto"/>
                <w:sz w:val="22"/>
                <w:szCs w:val="22"/>
                <w:highlight w:val="none"/>
              </w:rPr>
            </w:pPr>
          </w:p>
        </w:tc>
        <w:tc>
          <w:tcPr>
            <w:tcW w:w="2603" w:type="dxa"/>
            <w:vAlign w:val="center"/>
          </w:tcPr>
          <w:p w14:paraId="452AC5F7">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45363BE">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5DDA37E">
            <w:pPr>
              <w:spacing w:line="360" w:lineRule="auto"/>
              <w:jc w:val="center"/>
              <w:rPr>
                <w:rFonts w:ascii="新宋体" w:hAnsi="新宋体" w:eastAsia="新宋体" w:cs="新宋体"/>
                <w:b/>
                <w:bCs/>
                <w:color w:val="auto"/>
                <w:sz w:val="22"/>
                <w:szCs w:val="22"/>
                <w:highlight w:val="none"/>
              </w:rPr>
            </w:pPr>
          </w:p>
        </w:tc>
        <w:tc>
          <w:tcPr>
            <w:tcW w:w="1219" w:type="dxa"/>
          </w:tcPr>
          <w:p w14:paraId="1CCE41CA">
            <w:pPr>
              <w:rPr>
                <w:rFonts w:ascii="新宋体" w:hAnsi="新宋体" w:eastAsia="新宋体" w:cs="新宋体"/>
                <w:color w:val="auto"/>
                <w:sz w:val="22"/>
                <w:szCs w:val="22"/>
                <w:highlight w:val="none"/>
              </w:rPr>
            </w:pPr>
          </w:p>
        </w:tc>
      </w:tr>
      <w:tr w14:paraId="6722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996D1C4">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7415A777">
            <w:pPr>
              <w:spacing w:line="360" w:lineRule="auto"/>
              <w:rPr>
                <w:rFonts w:ascii="新宋体" w:hAnsi="新宋体" w:eastAsia="新宋体" w:cs="新宋体"/>
                <w:b/>
                <w:bCs/>
                <w:color w:val="auto"/>
                <w:sz w:val="22"/>
                <w:szCs w:val="22"/>
                <w:highlight w:val="none"/>
              </w:rPr>
            </w:pPr>
          </w:p>
        </w:tc>
        <w:tc>
          <w:tcPr>
            <w:tcW w:w="2603" w:type="dxa"/>
            <w:vAlign w:val="center"/>
          </w:tcPr>
          <w:p w14:paraId="5E9199CF">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49128608">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A3D290D">
            <w:pPr>
              <w:spacing w:line="360" w:lineRule="auto"/>
              <w:jc w:val="center"/>
              <w:rPr>
                <w:rFonts w:ascii="新宋体" w:hAnsi="新宋体" w:eastAsia="新宋体" w:cs="新宋体"/>
                <w:b/>
                <w:bCs/>
                <w:color w:val="auto"/>
                <w:sz w:val="22"/>
                <w:szCs w:val="22"/>
                <w:highlight w:val="none"/>
              </w:rPr>
            </w:pPr>
          </w:p>
        </w:tc>
        <w:tc>
          <w:tcPr>
            <w:tcW w:w="1219" w:type="dxa"/>
          </w:tcPr>
          <w:p w14:paraId="5EDB9EDA">
            <w:pPr>
              <w:rPr>
                <w:rFonts w:ascii="新宋体" w:hAnsi="新宋体" w:eastAsia="新宋体" w:cs="新宋体"/>
                <w:color w:val="auto"/>
                <w:sz w:val="22"/>
                <w:szCs w:val="22"/>
                <w:highlight w:val="none"/>
              </w:rPr>
            </w:pPr>
          </w:p>
        </w:tc>
      </w:tr>
      <w:tr w14:paraId="338E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B11832F">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7D17CDA1">
            <w:pPr>
              <w:spacing w:line="360" w:lineRule="auto"/>
              <w:rPr>
                <w:rFonts w:ascii="新宋体" w:hAnsi="新宋体" w:eastAsia="新宋体" w:cs="新宋体"/>
                <w:color w:val="auto"/>
                <w:sz w:val="22"/>
                <w:szCs w:val="22"/>
                <w:highlight w:val="none"/>
              </w:rPr>
            </w:pPr>
          </w:p>
        </w:tc>
        <w:tc>
          <w:tcPr>
            <w:tcW w:w="2603" w:type="dxa"/>
            <w:vAlign w:val="center"/>
          </w:tcPr>
          <w:p w14:paraId="158F28CE">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A714731">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4BBCCF2">
            <w:pPr>
              <w:spacing w:line="360" w:lineRule="auto"/>
              <w:jc w:val="center"/>
              <w:rPr>
                <w:rFonts w:ascii="新宋体" w:hAnsi="新宋体" w:eastAsia="新宋体" w:cs="新宋体"/>
                <w:b/>
                <w:bCs/>
                <w:color w:val="auto"/>
                <w:sz w:val="22"/>
                <w:szCs w:val="22"/>
                <w:highlight w:val="none"/>
              </w:rPr>
            </w:pPr>
          </w:p>
        </w:tc>
        <w:tc>
          <w:tcPr>
            <w:tcW w:w="1219" w:type="dxa"/>
          </w:tcPr>
          <w:p w14:paraId="6BB5D4C3">
            <w:pPr>
              <w:rPr>
                <w:rFonts w:ascii="新宋体" w:hAnsi="新宋体" w:eastAsia="新宋体" w:cs="新宋体"/>
                <w:color w:val="auto"/>
                <w:sz w:val="22"/>
                <w:szCs w:val="22"/>
                <w:highlight w:val="none"/>
              </w:rPr>
            </w:pPr>
          </w:p>
        </w:tc>
      </w:tr>
      <w:tr w14:paraId="3881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EC7DC68">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3701DA03">
            <w:pPr>
              <w:spacing w:line="360" w:lineRule="auto"/>
              <w:rPr>
                <w:rFonts w:ascii="新宋体" w:hAnsi="新宋体" w:eastAsia="新宋体" w:cs="新宋体"/>
                <w:b/>
                <w:bCs/>
                <w:color w:val="auto"/>
                <w:sz w:val="22"/>
                <w:szCs w:val="22"/>
                <w:highlight w:val="none"/>
              </w:rPr>
            </w:pPr>
          </w:p>
        </w:tc>
        <w:tc>
          <w:tcPr>
            <w:tcW w:w="2603" w:type="dxa"/>
            <w:vAlign w:val="center"/>
          </w:tcPr>
          <w:p w14:paraId="33E14050">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7E2009E">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6E283CCF">
            <w:pPr>
              <w:spacing w:line="360" w:lineRule="auto"/>
              <w:jc w:val="center"/>
              <w:rPr>
                <w:rFonts w:ascii="新宋体" w:hAnsi="新宋体" w:eastAsia="新宋体" w:cs="新宋体"/>
                <w:b/>
                <w:bCs/>
                <w:color w:val="auto"/>
                <w:sz w:val="22"/>
                <w:szCs w:val="22"/>
                <w:highlight w:val="none"/>
              </w:rPr>
            </w:pPr>
          </w:p>
        </w:tc>
        <w:tc>
          <w:tcPr>
            <w:tcW w:w="1219" w:type="dxa"/>
          </w:tcPr>
          <w:p w14:paraId="12E4B71F">
            <w:pPr>
              <w:rPr>
                <w:rFonts w:ascii="新宋体" w:hAnsi="新宋体" w:eastAsia="新宋体" w:cs="新宋体"/>
                <w:color w:val="auto"/>
                <w:sz w:val="22"/>
                <w:szCs w:val="22"/>
                <w:highlight w:val="none"/>
              </w:rPr>
            </w:pPr>
          </w:p>
        </w:tc>
      </w:tr>
      <w:tr w14:paraId="6B7F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BA6DB65">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4683E3FD">
            <w:pPr>
              <w:spacing w:line="360" w:lineRule="auto"/>
              <w:rPr>
                <w:rFonts w:ascii="新宋体" w:hAnsi="新宋体" w:eastAsia="新宋体" w:cs="新宋体"/>
                <w:b/>
                <w:bCs/>
                <w:color w:val="auto"/>
                <w:sz w:val="22"/>
                <w:szCs w:val="22"/>
                <w:highlight w:val="none"/>
              </w:rPr>
            </w:pPr>
          </w:p>
        </w:tc>
        <w:tc>
          <w:tcPr>
            <w:tcW w:w="2603" w:type="dxa"/>
            <w:vAlign w:val="center"/>
          </w:tcPr>
          <w:p w14:paraId="6C008AF4">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4BA8067">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785D8634">
            <w:pPr>
              <w:spacing w:line="360" w:lineRule="auto"/>
              <w:jc w:val="center"/>
              <w:rPr>
                <w:rFonts w:ascii="新宋体" w:hAnsi="新宋体" w:eastAsia="新宋体" w:cs="新宋体"/>
                <w:b/>
                <w:bCs/>
                <w:color w:val="auto"/>
                <w:sz w:val="22"/>
                <w:szCs w:val="22"/>
                <w:highlight w:val="none"/>
              </w:rPr>
            </w:pPr>
          </w:p>
        </w:tc>
        <w:tc>
          <w:tcPr>
            <w:tcW w:w="1219" w:type="dxa"/>
          </w:tcPr>
          <w:p w14:paraId="709BA3B7">
            <w:pPr>
              <w:rPr>
                <w:rFonts w:ascii="新宋体" w:hAnsi="新宋体" w:eastAsia="新宋体" w:cs="新宋体"/>
                <w:color w:val="auto"/>
                <w:sz w:val="22"/>
                <w:szCs w:val="22"/>
                <w:highlight w:val="none"/>
              </w:rPr>
            </w:pPr>
          </w:p>
        </w:tc>
      </w:tr>
      <w:tr w14:paraId="26EF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85D87CB">
            <w:pPr>
              <w:spacing w:line="360" w:lineRule="auto"/>
              <w:jc w:val="center"/>
              <w:rPr>
                <w:rFonts w:ascii="新宋体" w:hAnsi="新宋体" w:eastAsia="新宋体" w:cs="新宋体"/>
                <w:color w:val="auto"/>
                <w:sz w:val="22"/>
                <w:szCs w:val="22"/>
                <w:highlight w:val="none"/>
              </w:rPr>
            </w:pPr>
          </w:p>
        </w:tc>
        <w:tc>
          <w:tcPr>
            <w:tcW w:w="1692" w:type="dxa"/>
            <w:vAlign w:val="center"/>
          </w:tcPr>
          <w:p w14:paraId="28E02C5F">
            <w:pPr>
              <w:spacing w:line="360" w:lineRule="auto"/>
              <w:rPr>
                <w:rFonts w:ascii="新宋体" w:hAnsi="新宋体" w:eastAsia="新宋体" w:cs="新宋体"/>
                <w:color w:val="auto"/>
                <w:sz w:val="22"/>
                <w:szCs w:val="22"/>
                <w:highlight w:val="none"/>
              </w:rPr>
            </w:pPr>
          </w:p>
        </w:tc>
        <w:tc>
          <w:tcPr>
            <w:tcW w:w="2603" w:type="dxa"/>
            <w:vAlign w:val="center"/>
          </w:tcPr>
          <w:p w14:paraId="104A60D7">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13881334">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11902FA">
            <w:pPr>
              <w:spacing w:line="360" w:lineRule="auto"/>
              <w:jc w:val="center"/>
              <w:rPr>
                <w:rFonts w:ascii="新宋体" w:hAnsi="新宋体" w:eastAsia="新宋体" w:cs="新宋体"/>
                <w:b/>
                <w:bCs/>
                <w:color w:val="auto"/>
                <w:sz w:val="22"/>
                <w:szCs w:val="22"/>
                <w:highlight w:val="none"/>
              </w:rPr>
            </w:pPr>
          </w:p>
        </w:tc>
        <w:tc>
          <w:tcPr>
            <w:tcW w:w="1219" w:type="dxa"/>
          </w:tcPr>
          <w:p w14:paraId="241D6428">
            <w:pPr>
              <w:rPr>
                <w:rFonts w:ascii="新宋体" w:hAnsi="新宋体" w:eastAsia="新宋体" w:cs="新宋体"/>
                <w:color w:val="auto"/>
                <w:sz w:val="22"/>
                <w:szCs w:val="22"/>
                <w:highlight w:val="none"/>
              </w:rPr>
            </w:pPr>
          </w:p>
        </w:tc>
      </w:tr>
      <w:tr w14:paraId="22A4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0FB3C0A">
            <w:pPr>
              <w:spacing w:line="360" w:lineRule="auto"/>
              <w:rPr>
                <w:rFonts w:ascii="新宋体" w:hAnsi="新宋体" w:eastAsia="新宋体" w:cs="新宋体"/>
                <w:color w:val="auto"/>
                <w:sz w:val="22"/>
                <w:szCs w:val="22"/>
                <w:highlight w:val="none"/>
              </w:rPr>
            </w:pPr>
          </w:p>
        </w:tc>
        <w:tc>
          <w:tcPr>
            <w:tcW w:w="1692" w:type="dxa"/>
            <w:vAlign w:val="center"/>
          </w:tcPr>
          <w:p w14:paraId="61926776">
            <w:pPr>
              <w:spacing w:line="360" w:lineRule="auto"/>
              <w:rPr>
                <w:rFonts w:ascii="新宋体" w:hAnsi="新宋体" w:eastAsia="新宋体" w:cs="新宋体"/>
                <w:color w:val="auto"/>
                <w:sz w:val="22"/>
                <w:szCs w:val="22"/>
                <w:highlight w:val="none"/>
              </w:rPr>
            </w:pPr>
          </w:p>
        </w:tc>
        <w:tc>
          <w:tcPr>
            <w:tcW w:w="2603" w:type="dxa"/>
            <w:vAlign w:val="center"/>
          </w:tcPr>
          <w:p w14:paraId="159F447A">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21146D49">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A126837">
            <w:pPr>
              <w:spacing w:line="360" w:lineRule="auto"/>
              <w:jc w:val="center"/>
              <w:rPr>
                <w:rFonts w:ascii="新宋体" w:hAnsi="新宋体" w:eastAsia="新宋体" w:cs="新宋体"/>
                <w:b/>
                <w:bCs/>
                <w:color w:val="auto"/>
                <w:sz w:val="22"/>
                <w:szCs w:val="22"/>
                <w:highlight w:val="none"/>
              </w:rPr>
            </w:pPr>
          </w:p>
        </w:tc>
        <w:tc>
          <w:tcPr>
            <w:tcW w:w="1219" w:type="dxa"/>
          </w:tcPr>
          <w:p w14:paraId="4C160652">
            <w:pPr>
              <w:rPr>
                <w:rFonts w:ascii="新宋体" w:hAnsi="新宋体" w:eastAsia="新宋体" w:cs="新宋体"/>
                <w:color w:val="auto"/>
                <w:sz w:val="22"/>
                <w:szCs w:val="22"/>
                <w:highlight w:val="none"/>
              </w:rPr>
            </w:pPr>
          </w:p>
        </w:tc>
      </w:tr>
      <w:tr w14:paraId="3A43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B44E914">
            <w:pPr>
              <w:spacing w:line="360" w:lineRule="auto"/>
              <w:jc w:val="center"/>
              <w:rPr>
                <w:rFonts w:ascii="新宋体" w:hAnsi="新宋体" w:eastAsia="新宋体" w:cs="新宋体"/>
                <w:b/>
                <w:bCs/>
                <w:color w:val="auto"/>
                <w:sz w:val="22"/>
                <w:szCs w:val="22"/>
                <w:highlight w:val="none"/>
              </w:rPr>
            </w:pPr>
          </w:p>
        </w:tc>
        <w:tc>
          <w:tcPr>
            <w:tcW w:w="1692" w:type="dxa"/>
          </w:tcPr>
          <w:p w14:paraId="7A6EE06F">
            <w:pPr>
              <w:spacing w:line="360" w:lineRule="auto"/>
              <w:rPr>
                <w:rFonts w:ascii="新宋体" w:hAnsi="新宋体" w:eastAsia="新宋体" w:cs="新宋体"/>
                <w:color w:val="auto"/>
                <w:sz w:val="22"/>
                <w:szCs w:val="22"/>
                <w:highlight w:val="none"/>
              </w:rPr>
            </w:pPr>
          </w:p>
        </w:tc>
        <w:tc>
          <w:tcPr>
            <w:tcW w:w="2603" w:type="dxa"/>
            <w:vAlign w:val="center"/>
          </w:tcPr>
          <w:p w14:paraId="6A7712EA">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72366086">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7FAD97EA">
            <w:pPr>
              <w:spacing w:line="360" w:lineRule="auto"/>
              <w:jc w:val="center"/>
              <w:rPr>
                <w:rFonts w:ascii="新宋体" w:hAnsi="新宋体" w:eastAsia="新宋体" w:cs="新宋体"/>
                <w:b/>
                <w:bCs/>
                <w:color w:val="auto"/>
                <w:sz w:val="22"/>
                <w:szCs w:val="22"/>
                <w:highlight w:val="none"/>
              </w:rPr>
            </w:pPr>
          </w:p>
        </w:tc>
        <w:tc>
          <w:tcPr>
            <w:tcW w:w="1219" w:type="dxa"/>
          </w:tcPr>
          <w:p w14:paraId="19F5ACB6">
            <w:pPr>
              <w:rPr>
                <w:rFonts w:ascii="新宋体" w:hAnsi="新宋体" w:eastAsia="新宋体" w:cs="新宋体"/>
                <w:color w:val="auto"/>
                <w:sz w:val="22"/>
                <w:szCs w:val="22"/>
                <w:highlight w:val="none"/>
              </w:rPr>
            </w:pPr>
          </w:p>
        </w:tc>
      </w:tr>
    </w:tbl>
    <w:p w14:paraId="4CB530B6">
      <w:pPr>
        <w:pStyle w:val="19"/>
        <w:spacing w:line="400" w:lineRule="atLeast"/>
        <w:rPr>
          <w:rFonts w:ascii="新宋体" w:hAnsi="新宋体" w:eastAsia="新宋体" w:cs="新宋体"/>
          <w:color w:val="auto"/>
          <w:sz w:val="22"/>
          <w:szCs w:val="22"/>
          <w:highlight w:val="none"/>
        </w:rPr>
      </w:pPr>
    </w:p>
    <w:p w14:paraId="1A8D6A5D">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7CBE792F">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投标人代表（签字或盖章）：</w:t>
      </w:r>
    </w:p>
    <w:p w14:paraId="37B73914">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6DA3E1B8">
      <w:pPr>
        <w:spacing w:line="460" w:lineRule="exact"/>
        <w:ind w:firstLine="5280" w:firstLineChars="2400"/>
        <w:rPr>
          <w:rFonts w:ascii="新宋体" w:hAnsi="新宋体" w:eastAsia="新宋体" w:cs="新宋体"/>
          <w:color w:val="auto"/>
          <w:sz w:val="22"/>
          <w:szCs w:val="22"/>
          <w:highlight w:val="none"/>
        </w:rPr>
      </w:pPr>
    </w:p>
    <w:p w14:paraId="4767123D">
      <w:pPr>
        <w:rPr>
          <w:color w:val="auto"/>
          <w:highlight w:val="none"/>
        </w:rPr>
      </w:pPr>
    </w:p>
    <w:p w14:paraId="248B05E0">
      <w:pPr>
        <w:rPr>
          <w:rFonts w:hint="eastAsia" w:ascii="新宋体" w:hAnsi="新宋体" w:eastAsia="新宋体" w:cs="新宋体"/>
          <w:b/>
          <w:color w:val="auto"/>
          <w:sz w:val="28"/>
          <w:szCs w:val="28"/>
          <w:highlight w:val="none"/>
          <w:lang w:val="en-US" w:eastAsia="zh-CN"/>
        </w:rPr>
      </w:pPr>
      <w:r>
        <w:rPr>
          <w:rFonts w:hint="eastAsia" w:ascii="新宋体" w:hAnsi="新宋体" w:eastAsia="新宋体" w:cs="新宋体"/>
          <w:b/>
          <w:color w:val="auto"/>
          <w:sz w:val="28"/>
          <w:szCs w:val="28"/>
          <w:highlight w:val="none"/>
          <w:lang w:val="en-US" w:eastAsia="zh-CN"/>
        </w:rPr>
        <w:br w:type="page"/>
      </w:r>
    </w:p>
    <w:p w14:paraId="3A17DD67">
      <w:pPr>
        <w:spacing w:line="460" w:lineRule="exact"/>
        <w:jc w:val="center"/>
        <w:outlineLvl w:val="3"/>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lang w:val="en-US" w:eastAsia="zh-CN"/>
        </w:rPr>
        <w:t>5</w:t>
      </w:r>
      <w:r>
        <w:rPr>
          <w:rFonts w:hint="eastAsia" w:ascii="新宋体" w:hAnsi="新宋体" w:eastAsia="新宋体" w:cs="新宋体"/>
          <w:b/>
          <w:color w:val="auto"/>
          <w:sz w:val="28"/>
          <w:szCs w:val="28"/>
          <w:highlight w:val="none"/>
        </w:rPr>
        <w:t>、商务条款、技术规格偏离表</w:t>
      </w:r>
    </w:p>
    <w:p w14:paraId="5B8FCFE5">
      <w:pPr>
        <w:spacing w:line="460" w:lineRule="exact"/>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项目名称：                                                  项目编号：</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65"/>
        <w:gridCol w:w="2100"/>
        <w:gridCol w:w="1995"/>
        <w:gridCol w:w="1869"/>
        <w:gridCol w:w="1596"/>
      </w:tblGrid>
      <w:tr w14:paraId="7D82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44" w:type="dxa"/>
            <w:tcBorders>
              <w:top w:val="single" w:color="auto" w:sz="4" w:space="0"/>
              <w:left w:val="single" w:color="auto" w:sz="4" w:space="0"/>
              <w:bottom w:val="single" w:color="auto" w:sz="4" w:space="0"/>
              <w:right w:val="single" w:color="auto" w:sz="4" w:space="0"/>
            </w:tcBorders>
            <w:shd w:val="clear" w:color="auto" w:fill="B3B3B3"/>
            <w:noWrap w:val="0"/>
            <w:vAlign w:val="top"/>
          </w:tcPr>
          <w:p w14:paraId="3DDABA83">
            <w:pPr>
              <w:spacing w:line="460" w:lineRule="exact"/>
              <w:jc w:val="center"/>
              <w:rPr>
                <w:rFonts w:ascii="新宋体" w:hAnsi="新宋体" w:eastAsia="新宋体" w:cs="新宋体"/>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27C0D539">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序号</w:t>
            </w:r>
          </w:p>
        </w:tc>
        <w:tc>
          <w:tcPr>
            <w:tcW w:w="2100"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408FABDD">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招标文件</w:t>
            </w:r>
          </w:p>
          <w:p w14:paraId="6614FB62">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条目号</w:t>
            </w:r>
          </w:p>
        </w:tc>
        <w:tc>
          <w:tcPr>
            <w:tcW w:w="1995"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08793B74">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招标文件</w:t>
            </w:r>
          </w:p>
          <w:p w14:paraId="3D75CAB9">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规范要求</w:t>
            </w:r>
          </w:p>
        </w:tc>
        <w:tc>
          <w:tcPr>
            <w:tcW w:w="1869"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6BAE2857">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响应文件</w:t>
            </w:r>
          </w:p>
          <w:p w14:paraId="73F5053C">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对应规范</w:t>
            </w:r>
          </w:p>
        </w:tc>
        <w:tc>
          <w:tcPr>
            <w:tcW w:w="1596" w:type="dxa"/>
            <w:tcBorders>
              <w:top w:val="single" w:color="auto" w:sz="4" w:space="0"/>
              <w:left w:val="single" w:color="auto" w:sz="4" w:space="0"/>
              <w:bottom w:val="single" w:color="auto" w:sz="4" w:space="0"/>
              <w:right w:val="single" w:color="auto" w:sz="4" w:space="0"/>
            </w:tcBorders>
            <w:shd w:val="clear" w:color="auto" w:fill="B3B3B3"/>
            <w:noWrap w:val="0"/>
            <w:vAlign w:val="center"/>
          </w:tcPr>
          <w:p w14:paraId="316D5B09">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说明</w:t>
            </w:r>
          </w:p>
        </w:tc>
      </w:tr>
      <w:tr w14:paraId="2533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4F0D77CF">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技</w:t>
            </w:r>
          </w:p>
          <w:p w14:paraId="0F04F468">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术</w:t>
            </w:r>
          </w:p>
          <w:p w14:paraId="5C1A9BE5">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规</w:t>
            </w:r>
          </w:p>
          <w:p w14:paraId="6102B3B5">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格</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D99742C">
            <w:pPr>
              <w:spacing w:line="460" w:lineRule="exact"/>
              <w:jc w:val="center"/>
              <w:rPr>
                <w:rFonts w:ascii="新宋体" w:hAnsi="新宋体" w:eastAsia="新宋体" w:cs="新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2ABB5AEB">
            <w:pPr>
              <w:spacing w:line="460" w:lineRule="exact"/>
              <w:jc w:val="center"/>
              <w:rPr>
                <w:rFonts w:ascii="新宋体" w:hAnsi="新宋体" w:eastAsia="新宋体" w:cs="新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1AA8A0E">
            <w:pPr>
              <w:spacing w:line="460" w:lineRule="exact"/>
              <w:jc w:val="center"/>
              <w:rPr>
                <w:rFonts w:ascii="新宋体" w:hAnsi="新宋体" w:eastAsia="新宋体" w:cs="新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6EEB82BB">
            <w:pPr>
              <w:spacing w:line="460" w:lineRule="exact"/>
              <w:jc w:val="center"/>
              <w:rPr>
                <w:rFonts w:ascii="新宋体" w:hAnsi="新宋体" w:eastAsia="新宋体" w:cs="新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2358142">
            <w:pPr>
              <w:spacing w:line="460" w:lineRule="exact"/>
              <w:jc w:val="center"/>
              <w:rPr>
                <w:rFonts w:ascii="新宋体" w:hAnsi="新宋体" w:eastAsia="新宋体" w:cs="新宋体"/>
                <w:color w:val="auto"/>
                <w:sz w:val="22"/>
                <w:highlight w:val="none"/>
              </w:rPr>
            </w:pPr>
          </w:p>
        </w:tc>
      </w:tr>
      <w:tr w14:paraId="2CF6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139A441E">
            <w:pPr>
              <w:widowControl/>
              <w:spacing w:line="460" w:lineRule="exact"/>
              <w:jc w:val="left"/>
              <w:rPr>
                <w:rFonts w:ascii="新宋体" w:hAnsi="新宋体" w:eastAsia="新宋体" w:cs="新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37BD806">
            <w:pPr>
              <w:spacing w:line="460" w:lineRule="exact"/>
              <w:jc w:val="center"/>
              <w:rPr>
                <w:rFonts w:ascii="新宋体" w:hAnsi="新宋体" w:eastAsia="新宋体" w:cs="新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38E123BC">
            <w:pPr>
              <w:spacing w:line="460" w:lineRule="exact"/>
              <w:jc w:val="center"/>
              <w:rPr>
                <w:rFonts w:ascii="新宋体" w:hAnsi="新宋体" w:eastAsia="新宋体" w:cs="新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CE554CA">
            <w:pPr>
              <w:spacing w:line="460" w:lineRule="exact"/>
              <w:jc w:val="center"/>
              <w:rPr>
                <w:rFonts w:ascii="新宋体" w:hAnsi="新宋体" w:eastAsia="新宋体" w:cs="新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04D10C78">
            <w:pPr>
              <w:spacing w:line="460" w:lineRule="exact"/>
              <w:jc w:val="center"/>
              <w:rPr>
                <w:rFonts w:ascii="新宋体" w:hAnsi="新宋体" w:eastAsia="新宋体" w:cs="新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7746529">
            <w:pPr>
              <w:spacing w:line="460" w:lineRule="exact"/>
              <w:jc w:val="center"/>
              <w:rPr>
                <w:rFonts w:ascii="新宋体" w:hAnsi="新宋体" w:eastAsia="新宋体" w:cs="新宋体"/>
                <w:color w:val="auto"/>
                <w:sz w:val="22"/>
                <w:highlight w:val="none"/>
              </w:rPr>
            </w:pPr>
          </w:p>
        </w:tc>
      </w:tr>
      <w:tr w14:paraId="7391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6E40E3BA">
            <w:pPr>
              <w:widowControl/>
              <w:spacing w:line="460" w:lineRule="exact"/>
              <w:jc w:val="left"/>
              <w:rPr>
                <w:rFonts w:ascii="新宋体" w:hAnsi="新宋体" w:eastAsia="新宋体" w:cs="新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29051A6">
            <w:pPr>
              <w:spacing w:line="460" w:lineRule="exact"/>
              <w:jc w:val="center"/>
              <w:rPr>
                <w:rFonts w:ascii="新宋体" w:hAnsi="新宋体" w:eastAsia="新宋体" w:cs="新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0B2C04ED">
            <w:pPr>
              <w:spacing w:line="460" w:lineRule="exact"/>
              <w:jc w:val="center"/>
              <w:rPr>
                <w:rFonts w:ascii="新宋体" w:hAnsi="新宋体" w:eastAsia="新宋体" w:cs="新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7E49839">
            <w:pPr>
              <w:spacing w:line="460" w:lineRule="exact"/>
              <w:jc w:val="center"/>
              <w:rPr>
                <w:rFonts w:ascii="新宋体" w:hAnsi="新宋体" w:eastAsia="新宋体" w:cs="新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79BE1124">
            <w:pPr>
              <w:spacing w:line="460" w:lineRule="exact"/>
              <w:jc w:val="center"/>
              <w:rPr>
                <w:rFonts w:ascii="新宋体" w:hAnsi="新宋体" w:eastAsia="新宋体" w:cs="新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23CB42BA">
            <w:pPr>
              <w:spacing w:line="460" w:lineRule="exact"/>
              <w:jc w:val="center"/>
              <w:rPr>
                <w:rFonts w:ascii="新宋体" w:hAnsi="新宋体" w:eastAsia="新宋体" w:cs="新宋体"/>
                <w:color w:val="auto"/>
                <w:sz w:val="22"/>
                <w:highlight w:val="none"/>
              </w:rPr>
            </w:pPr>
          </w:p>
        </w:tc>
      </w:tr>
      <w:tr w14:paraId="47FA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0FF80ED8">
            <w:pPr>
              <w:widowControl/>
              <w:spacing w:line="460" w:lineRule="exact"/>
              <w:jc w:val="left"/>
              <w:rPr>
                <w:rFonts w:ascii="新宋体" w:hAnsi="新宋体" w:eastAsia="新宋体" w:cs="新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9EEE29B">
            <w:pPr>
              <w:spacing w:line="460" w:lineRule="exact"/>
              <w:jc w:val="center"/>
              <w:rPr>
                <w:rFonts w:ascii="新宋体" w:hAnsi="新宋体" w:eastAsia="新宋体" w:cs="新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6C2FFAAF">
            <w:pPr>
              <w:spacing w:line="460" w:lineRule="exact"/>
              <w:jc w:val="center"/>
              <w:rPr>
                <w:rFonts w:ascii="新宋体" w:hAnsi="新宋体" w:eastAsia="新宋体" w:cs="新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F1E2263">
            <w:pPr>
              <w:spacing w:line="460" w:lineRule="exact"/>
              <w:jc w:val="center"/>
              <w:rPr>
                <w:rFonts w:ascii="新宋体" w:hAnsi="新宋体" w:eastAsia="新宋体" w:cs="新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316FA9F7">
            <w:pPr>
              <w:spacing w:line="460" w:lineRule="exact"/>
              <w:jc w:val="center"/>
              <w:rPr>
                <w:rFonts w:ascii="新宋体" w:hAnsi="新宋体" w:eastAsia="新宋体" w:cs="新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D043C53">
            <w:pPr>
              <w:spacing w:line="460" w:lineRule="exact"/>
              <w:jc w:val="center"/>
              <w:rPr>
                <w:rFonts w:ascii="新宋体" w:hAnsi="新宋体" w:eastAsia="新宋体" w:cs="新宋体"/>
                <w:color w:val="auto"/>
                <w:sz w:val="22"/>
                <w:highlight w:val="none"/>
              </w:rPr>
            </w:pPr>
          </w:p>
        </w:tc>
      </w:tr>
      <w:tr w14:paraId="63FE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5E01DE5A">
            <w:pPr>
              <w:widowControl/>
              <w:spacing w:line="460" w:lineRule="exact"/>
              <w:jc w:val="left"/>
              <w:rPr>
                <w:rFonts w:ascii="新宋体" w:hAnsi="新宋体" w:eastAsia="新宋体" w:cs="新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FF1FE2B">
            <w:pPr>
              <w:spacing w:line="460" w:lineRule="exact"/>
              <w:jc w:val="center"/>
              <w:rPr>
                <w:rFonts w:ascii="新宋体" w:hAnsi="新宋体" w:eastAsia="新宋体" w:cs="新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2B8E15D4">
            <w:pPr>
              <w:spacing w:line="460" w:lineRule="exact"/>
              <w:jc w:val="center"/>
              <w:rPr>
                <w:rFonts w:ascii="新宋体" w:hAnsi="新宋体" w:eastAsia="新宋体" w:cs="新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8F0DE9C">
            <w:pPr>
              <w:spacing w:line="460" w:lineRule="exact"/>
              <w:jc w:val="center"/>
              <w:rPr>
                <w:rFonts w:ascii="新宋体" w:hAnsi="新宋体" w:eastAsia="新宋体" w:cs="新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6E009029">
            <w:pPr>
              <w:spacing w:line="460" w:lineRule="exact"/>
              <w:jc w:val="center"/>
              <w:rPr>
                <w:rFonts w:ascii="新宋体" w:hAnsi="新宋体" w:eastAsia="新宋体" w:cs="新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27DA6A8">
            <w:pPr>
              <w:spacing w:line="460" w:lineRule="exact"/>
              <w:jc w:val="center"/>
              <w:rPr>
                <w:rFonts w:ascii="新宋体" w:hAnsi="新宋体" w:eastAsia="新宋体" w:cs="新宋体"/>
                <w:color w:val="auto"/>
                <w:sz w:val="22"/>
                <w:highlight w:val="none"/>
              </w:rPr>
            </w:pPr>
          </w:p>
        </w:tc>
      </w:tr>
      <w:tr w14:paraId="1555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2C68626E">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商</w:t>
            </w:r>
          </w:p>
          <w:p w14:paraId="148E8E7E">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务</w:t>
            </w:r>
          </w:p>
          <w:p w14:paraId="4CF4279F">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条</w:t>
            </w:r>
          </w:p>
          <w:p w14:paraId="7ECE5424">
            <w:pPr>
              <w:spacing w:line="460" w:lineRule="exact"/>
              <w:jc w:val="center"/>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款</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745CEE9">
            <w:pPr>
              <w:spacing w:line="460" w:lineRule="exact"/>
              <w:jc w:val="center"/>
              <w:rPr>
                <w:rFonts w:ascii="新宋体" w:hAnsi="新宋体" w:eastAsia="新宋体" w:cs="新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6AE9B09E">
            <w:pPr>
              <w:spacing w:line="460" w:lineRule="exact"/>
              <w:jc w:val="center"/>
              <w:rPr>
                <w:rFonts w:ascii="新宋体" w:hAnsi="新宋体" w:eastAsia="新宋体" w:cs="新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A569F2E">
            <w:pPr>
              <w:spacing w:line="460" w:lineRule="exact"/>
              <w:jc w:val="center"/>
              <w:rPr>
                <w:rFonts w:ascii="新宋体" w:hAnsi="新宋体" w:eastAsia="新宋体" w:cs="新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762F02D5">
            <w:pPr>
              <w:spacing w:line="460" w:lineRule="exact"/>
              <w:jc w:val="center"/>
              <w:rPr>
                <w:rFonts w:ascii="新宋体" w:hAnsi="新宋体" w:eastAsia="新宋体" w:cs="新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0238310">
            <w:pPr>
              <w:spacing w:line="460" w:lineRule="exact"/>
              <w:jc w:val="center"/>
              <w:rPr>
                <w:rFonts w:ascii="新宋体" w:hAnsi="新宋体" w:eastAsia="新宋体" w:cs="新宋体"/>
                <w:color w:val="auto"/>
                <w:sz w:val="22"/>
                <w:highlight w:val="none"/>
              </w:rPr>
            </w:pPr>
          </w:p>
        </w:tc>
      </w:tr>
      <w:tr w14:paraId="45C3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5A0D6EB4">
            <w:pPr>
              <w:widowControl/>
              <w:spacing w:line="460" w:lineRule="exact"/>
              <w:jc w:val="left"/>
              <w:rPr>
                <w:rFonts w:ascii="新宋体" w:hAnsi="新宋体" w:eastAsia="新宋体" w:cs="新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0E134FD">
            <w:pPr>
              <w:spacing w:line="460" w:lineRule="exact"/>
              <w:jc w:val="center"/>
              <w:rPr>
                <w:rFonts w:ascii="新宋体" w:hAnsi="新宋体" w:eastAsia="新宋体" w:cs="新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6030AF24">
            <w:pPr>
              <w:spacing w:line="460" w:lineRule="exact"/>
              <w:jc w:val="center"/>
              <w:rPr>
                <w:rFonts w:ascii="新宋体" w:hAnsi="新宋体" w:eastAsia="新宋体" w:cs="新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3C94256">
            <w:pPr>
              <w:spacing w:line="460" w:lineRule="exact"/>
              <w:jc w:val="center"/>
              <w:rPr>
                <w:rFonts w:ascii="新宋体" w:hAnsi="新宋体" w:eastAsia="新宋体" w:cs="新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04E6579E">
            <w:pPr>
              <w:spacing w:line="460" w:lineRule="exact"/>
              <w:jc w:val="center"/>
              <w:rPr>
                <w:rFonts w:ascii="新宋体" w:hAnsi="新宋体" w:eastAsia="新宋体" w:cs="新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14E7B89E">
            <w:pPr>
              <w:spacing w:line="460" w:lineRule="exact"/>
              <w:jc w:val="center"/>
              <w:rPr>
                <w:rFonts w:ascii="新宋体" w:hAnsi="新宋体" w:eastAsia="新宋体" w:cs="新宋体"/>
                <w:color w:val="auto"/>
                <w:sz w:val="22"/>
                <w:highlight w:val="none"/>
              </w:rPr>
            </w:pPr>
          </w:p>
        </w:tc>
      </w:tr>
      <w:tr w14:paraId="785B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4E99CD5">
            <w:pPr>
              <w:widowControl/>
              <w:spacing w:line="460" w:lineRule="exact"/>
              <w:jc w:val="left"/>
              <w:rPr>
                <w:rFonts w:ascii="新宋体" w:hAnsi="新宋体" w:eastAsia="新宋体" w:cs="新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694084CE">
            <w:pPr>
              <w:spacing w:line="460" w:lineRule="exact"/>
              <w:jc w:val="center"/>
              <w:rPr>
                <w:rFonts w:ascii="新宋体" w:hAnsi="新宋体" w:eastAsia="新宋体" w:cs="新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75721A9D">
            <w:pPr>
              <w:spacing w:line="460" w:lineRule="exact"/>
              <w:jc w:val="center"/>
              <w:rPr>
                <w:rFonts w:ascii="新宋体" w:hAnsi="新宋体" w:eastAsia="新宋体" w:cs="新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069C9EA">
            <w:pPr>
              <w:spacing w:line="460" w:lineRule="exact"/>
              <w:jc w:val="center"/>
              <w:rPr>
                <w:rFonts w:ascii="新宋体" w:hAnsi="新宋体" w:eastAsia="新宋体" w:cs="新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68C21027">
            <w:pPr>
              <w:spacing w:line="460" w:lineRule="exact"/>
              <w:jc w:val="center"/>
              <w:rPr>
                <w:rFonts w:ascii="新宋体" w:hAnsi="新宋体" w:eastAsia="新宋体" w:cs="新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41A599F2">
            <w:pPr>
              <w:spacing w:line="460" w:lineRule="exact"/>
              <w:jc w:val="center"/>
              <w:rPr>
                <w:rFonts w:ascii="新宋体" w:hAnsi="新宋体" w:eastAsia="新宋体" w:cs="新宋体"/>
                <w:color w:val="auto"/>
                <w:sz w:val="22"/>
                <w:highlight w:val="none"/>
              </w:rPr>
            </w:pPr>
          </w:p>
        </w:tc>
      </w:tr>
      <w:tr w14:paraId="0741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0206EF9">
            <w:pPr>
              <w:widowControl/>
              <w:spacing w:line="460" w:lineRule="exact"/>
              <w:jc w:val="left"/>
              <w:rPr>
                <w:rFonts w:ascii="新宋体" w:hAnsi="新宋体" w:eastAsia="新宋体" w:cs="新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479078F6">
            <w:pPr>
              <w:spacing w:line="460" w:lineRule="exact"/>
              <w:jc w:val="center"/>
              <w:rPr>
                <w:rFonts w:ascii="新宋体" w:hAnsi="新宋体" w:eastAsia="新宋体" w:cs="新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256F8412">
            <w:pPr>
              <w:spacing w:line="460" w:lineRule="exact"/>
              <w:jc w:val="center"/>
              <w:rPr>
                <w:rFonts w:ascii="新宋体" w:hAnsi="新宋体" w:eastAsia="新宋体" w:cs="新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6231993">
            <w:pPr>
              <w:spacing w:line="460" w:lineRule="exact"/>
              <w:jc w:val="center"/>
              <w:rPr>
                <w:rFonts w:ascii="新宋体" w:hAnsi="新宋体" w:eastAsia="新宋体" w:cs="新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2DB77A0D">
            <w:pPr>
              <w:spacing w:line="460" w:lineRule="exact"/>
              <w:jc w:val="center"/>
              <w:rPr>
                <w:rFonts w:ascii="新宋体" w:hAnsi="新宋体" w:eastAsia="新宋体" w:cs="新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36B2C325">
            <w:pPr>
              <w:spacing w:line="460" w:lineRule="exact"/>
              <w:jc w:val="center"/>
              <w:rPr>
                <w:rFonts w:ascii="新宋体" w:hAnsi="新宋体" w:eastAsia="新宋体" w:cs="新宋体"/>
                <w:color w:val="auto"/>
                <w:sz w:val="22"/>
                <w:highlight w:val="none"/>
              </w:rPr>
            </w:pPr>
          </w:p>
        </w:tc>
      </w:tr>
      <w:tr w14:paraId="5E8F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38391D80">
            <w:pPr>
              <w:widowControl/>
              <w:spacing w:line="460" w:lineRule="exact"/>
              <w:jc w:val="left"/>
              <w:rPr>
                <w:rFonts w:ascii="新宋体" w:hAnsi="新宋体" w:eastAsia="新宋体" w:cs="新宋体"/>
                <w:b/>
                <w:color w:val="auto"/>
                <w:sz w:val="22"/>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03C730D0">
            <w:pPr>
              <w:spacing w:line="460" w:lineRule="exact"/>
              <w:jc w:val="center"/>
              <w:rPr>
                <w:rFonts w:ascii="新宋体" w:hAnsi="新宋体" w:eastAsia="新宋体" w:cs="新宋体"/>
                <w:color w:val="auto"/>
                <w:sz w:val="22"/>
                <w:highlight w:val="none"/>
              </w:rPr>
            </w:pPr>
          </w:p>
        </w:tc>
        <w:tc>
          <w:tcPr>
            <w:tcW w:w="2100" w:type="dxa"/>
            <w:tcBorders>
              <w:top w:val="single" w:color="auto" w:sz="4" w:space="0"/>
              <w:left w:val="single" w:color="auto" w:sz="4" w:space="0"/>
              <w:bottom w:val="single" w:color="auto" w:sz="4" w:space="0"/>
              <w:right w:val="single" w:color="auto" w:sz="4" w:space="0"/>
            </w:tcBorders>
            <w:noWrap w:val="0"/>
            <w:vAlign w:val="center"/>
          </w:tcPr>
          <w:p w14:paraId="27A0AD7D">
            <w:pPr>
              <w:spacing w:line="460" w:lineRule="exact"/>
              <w:jc w:val="center"/>
              <w:rPr>
                <w:rFonts w:ascii="新宋体" w:hAnsi="新宋体" w:eastAsia="新宋体" w:cs="新宋体"/>
                <w:color w:val="auto"/>
                <w:sz w:val="22"/>
                <w:highlight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43023AD1">
            <w:pPr>
              <w:spacing w:line="460" w:lineRule="exact"/>
              <w:jc w:val="center"/>
              <w:rPr>
                <w:rFonts w:ascii="新宋体" w:hAnsi="新宋体" w:eastAsia="新宋体" w:cs="新宋体"/>
                <w:color w:val="auto"/>
                <w:sz w:val="22"/>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14:paraId="261C6223">
            <w:pPr>
              <w:spacing w:line="460" w:lineRule="exact"/>
              <w:jc w:val="center"/>
              <w:rPr>
                <w:rFonts w:ascii="新宋体" w:hAnsi="新宋体" w:eastAsia="新宋体" w:cs="新宋体"/>
                <w:color w:val="auto"/>
                <w:sz w:val="22"/>
                <w:highlight w:val="none"/>
              </w:rPr>
            </w:pPr>
          </w:p>
        </w:tc>
        <w:tc>
          <w:tcPr>
            <w:tcW w:w="1596" w:type="dxa"/>
            <w:tcBorders>
              <w:top w:val="single" w:color="auto" w:sz="4" w:space="0"/>
              <w:left w:val="single" w:color="auto" w:sz="4" w:space="0"/>
              <w:bottom w:val="single" w:color="auto" w:sz="4" w:space="0"/>
              <w:right w:val="single" w:color="auto" w:sz="4" w:space="0"/>
            </w:tcBorders>
            <w:noWrap w:val="0"/>
            <w:vAlign w:val="center"/>
          </w:tcPr>
          <w:p w14:paraId="0A85BC4C">
            <w:pPr>
              <w:spacing w:line="460" w:lineRule="exact"/>
              <w:jc w:val="center"/>
              <w:rPr>
                <w:rFonts w:ascii="新宋体" w:hAnsi="新宋体" w:eastAsia="新宋体" w:cs="新宋体"/>
                <w:color w:val="auto"/>
                <w:sz w:val="22"/>
                <w:highlight w:val="none"/>
              </w:rPr>
            </w:pPr>
          </w:p>
        </w:tc>
      </w:tr>
    </w:tbl>
    <w:p w14:paraId="66449755">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注：没有填写此表视为完全响应招标文件要求。</w:t>
      </w:r>
    </w:p>
    <w:p w14:paraId="163FBDDE">
      <w:pPr>
        <w:spacing w:line="460" w:lineRule="exact"/>
        <w:ind w:firstLine="4400" w:firstLineChars="2000"/>
        <w:rPr>
          <w:rFonts w:ascii="新宋体" w:hAnsi="新宋体" w:eastAsia="新宋体" w:cs="新宋体"/>
          <w:color w:val="auto"/>
          <w:sz w:val="22"/>
          <w:szCs w:val="22"/>
          <w:highlight w:val="none"/>
        </w:rPr>
      </w:pPr>
    </w:p>
    <w:p w14:paraId="15A5BFE1">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bookmarkStart w:id="102" w:name="_Toc30310"/>
      <w:bookmarkStart w:id="103" w:name="_Toc9956"/>
      <w:r>
        <w:rPr>
          <w:rFonts w:hint="eastAsia" w:ascii="新宋体" w:hAnsi="新宋体" w:eastAsia="新宋体" w:cs="新宋体"/>
          <w:color w:val="auto"/>
          <w:sz w:val="22"/>
          <w:szCs w:val="22"/>
          <w:highlight w:val="none"/>
        </w:rPr>
        <w:t>投标人全称（盖章）：</w:t>
      </w:r>
    </w:p>
    <w:p w14:paraId="65BC062D">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投标人代表（签字或盖章）：</w:t>
      </w:r>
    </w:p>
    <w:p w14:paraId="4D8A1AEE">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AA68E11">
      <w:pPr>
        <w:autoSpaceDE w:val="0"/>
        <w:autoSpaceDN w:val="0"/>
        <w:spacing w:line="460" w:lineRule="exact"/>
        <w:ind w:right="893" w:firstLine="418"/>
        <w:jc w:val="center"/>
        <w:textAlignment w:val="bottom"/>
        <w:outlineLvl w:val="3"/>
        <w:rPr>
          <w:rFonts w:ascii="新宋体" w:hAnsi="新宋体" w:eastAsia="新宋体" w:cs="新宋体"/>
          <w:b/>
          <w:color w:val="auto"/>
          <w:sz w:val="28"/>
          <w:szCs w:val="28"/>
          <w:highlight w:val="none"/>
        </w:rPr>
      </w:pPr>
      <w:r>
        <w:rPr>
          <w:rFonts w:hint="eastAsia" w:ascii="新宋体" w:hAnsi="新宋体" w:eastAsia="新宋体" w:cs="新宋体"/>
          <w:b/>
          <w:bCs/>
          <w:color w:val="auto"/>
          <w:sz w:val="24"/>
          <w:highlight w:val="none"/>
        </w:rPr>
        <w:br w:type="page"/>
      </w:r>
      <w:r>
        <w:rPr>
          <w:rFonts w:hint="eastAsia" w:ascii="新宋体" w:hAnsi="新宋体" w:eastAsia="新宋体" w:cs="新宋体"/>
          <w:b/>
          <w:color w:val="auto"/>
          <w:sz w:val="28"/>
          <w:szCs w:val="28"/>
          <w:highlight w:val="none"/>
          <w:lang w:val="en-US" w:eastAsia="zh-CN"/>
        </w:rPr>
        <w:t>6</w:t>
      </w:r>
      <w:r>
        <w:rPr>
          <w:rFonts w:hint="eastAsia" w:ascii="新宋体" w:hAnsi="新宋体" w:eastAsia="新宋体" w:cs="新宋体"/>
          <w:b/>
          <w:color w:val="auto"/>
          <w:sz w:val="28"/>
          <w:szCs w:val="28"/>
          <w:highlight w:val="none"/>
        </w:rPr>
        <w:t>、技术评分所需提供的其他资料（根据招标文件中的采购内容与技术要求、评标细则，需要提供的其它文件和资料。）</w:t>
      </w:r>
    </w:p>
    <w:p w14:paraId="1ABEB50F">
      <w:pPr>
        <w:autoSpaceDE w:val="0"/>
        <w:autoSpaceDN w:val="0"/>
        <w:spacing w:line="460" w:lineRule="exact"/>
        <w:ind w:right="893" w:firstLine="418"/>
        <w:textAlignment w:val="bottom"/>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项目名称：                                   项目编号：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B76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noWrap w:val="0"/>
            <w:vAlign w:val="top"/>
          </w:tcPr>
          <w:p w14:paraId="01CF0E3B">
            <w:pPr>
              <w:pStyle w:val="106"/>
              <w:keepNext w:val="0"/>
              <w:spacing w:after="0" w:line="460" w:lineRule="exact"/>
              <w:jc w:val="center"/>
              <w:rPr>
                <w:rFonts w:ascii="新宋体" w:hAnsi="新宋体" w:eastAsia="新宋体" w:cs="新宋体"/>
                <w:color w:val="auto"/>
                <w:highlight w:val="none"/>
              </w:rPr>
            </w:pPr>
            <w:r>
              <w:rPr>
                <w:rFonts w:hint="eastAsia" w:ascii="新宋体" w:hAnsi="新宋体" w:eastAsia="新宋体" w:cs="新宋体"/>
                <w:b/>
                <w:bCs/>
                <w:color w:val="auto"/>
                <w:sz w:val="28"/>
                <w:szCs w:val="28"/>
                <w:highlight w:val="none"/>
                <w:lang w:val="en-US" w:eastAsia="zh-CN"/>
              </w:rPr>
              <w:t>根据评分细则</w:t>
            </w:r>
            <w:r>
              <w:rPr>
                <w:rFonts w:hint="eastAsia" w:ascii="新宋体" w:hAnsi="新宋体" w:eastAsia="新宋体" w:cs="新宋体"/>
                <w:b/>
                <w:bCs/>
                <w:color w:val="auto"/>
                <w:sz w:val="28"/>
                <w:szCs w:val="28"/>
                <w:highlight w:val="none"/>
              </w:rPr>
              <w:t>由供应商自拟。</w:t>
            </w:r>
          </w:p>
        </w:tc>
      </w:tr>
    </w:tbl>
    <w:p w14:paraId="137BDB1F">
      <w:pPr>
        <w:pStyle w:val="19"/>
        <w:spacing w:line="460" w:lineRule="exact"/>
        <w:ind w:firstLine="5060" w:firstLineChars="2300"/>
        <w:rPr>
          <w:rFonts w:ascii="新宋体" w:hAnsi="新宋体" w:eastAsia="新宋体" w:cs="新宋体"/>
          <w:color w:val="auto"/>
          <w:sz w:val="22"/>
          <w:szCs w:val="22"/>
          <w:highlight w:val="none"/>
        </w:rPr>
      </w:pPr>
    </w:p>
    <w:p w14:paraId="3F98AC5D">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5476F9A">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投标人代表（签字或盖章）：</w:t>
      </w:r>
    </w:p>
    <w:p w14:paraId="535EED93">
      <w:pPr>
        <w:keepNext w:val="0"/>
        <w:keepLines w:val="0"/>
        <w:pageBreakBefore w:val="0"/>
        <w:widowControl w:val="0"/>
        <w:kinsoku/>
        <w:wordWrap/>
        <w:overflowPunct/>
        <w:topLinePunct w:val="0"/>
        <w:autoSpaceDE/>
        <w:autoSpaceDN/>
        <w:bidi w:val="0"/>
        <w:adjustRightInd/>
        <w:snapToGrid/>
        <w:spacing w:line="460" w:lineRule="exact"/>
        <w:ind w:firstLine="5060" w:firstLineChars="2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EFDB3E4">
      <w:pPr>
        <w:spacing w:line="460" w:lineRule="exact"/>
        <w:rPr>
          <w:rFonts w:ascii="新宋体" w:hAnsi="新宋体" w:eastAsia="新宋体" w:cs="新宋体"/>
          <w:color w:val="auto"/>
          <w:sz w:val="24"/>
          <w:highlight w:val="none"/>
        </w:rPr>
      </w:pPr>
    </w:p>
    <w:p w14:paraId="05573D68">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br w:type="page"/>
      </w:r>
    </w:p>
    <w:bookmarkEnd w:id="71"/>
    <w:bookmarkEnd w:id="72"/>
    <w:bookmarkEnd w:id="73"/>
    <w:bookmarkEnd w:id="92"/>
    <w:bookmarkEnd w:id="93"/>
    <w:bookmarkEnd w:id="94"/>
    <w:bookmarkEnd w:id="102"/>
    <w:bookmarkEnd w:id="103"/>
    <w:p w14:paraId="74D04EDF">
      <w:pPr>
        <w:spacing w:line="460" w:lineRule="exact"/>
        <w:jc w:val="center"/>
        <w:outlineLvl w:val="0"/>
        <w:rPr>
          <w:rFonts w:ascii="新宋体" w:hAnsi="新宋体" w:eastAsia="新宋体" w:cs="新宋体"/>
          <w:b/>
          <w:bCs/>
          <w:color w:val="auto"/>
          <w:sz w:val="32"/>
          <w:highlight w:val="none"/>
        </w:rPr>
      </w:pPr>
      <w:bookmarkStart w:id="104" w:name="_Toc10485"/>
      <w:bookmarkStart w:id="105" w:name="_Toc32584"/>
      <w:bookmarkStart w:id="106" w:name="_Toc23152"/>
      <w:bookmarkStart w:id="107" w:name="_Toc17174"/>
      <w:bookmarkStart w:id="108" w:name="_Toc1020"/>
      <w:bookmarkStart w:id="109" w:name="_Toc16446"/>
      <w:bookmarkStart w:id="110" w:name="_Toc18070"/>
      <w:bookmarkStart w:id="111" w:name="_Toc24468"/>
      <w:bookmarkStart w:id="112" w:name="_Toc15132"/>
      <w:bookmarkStart w:id="113" w:name="_Toc493334528"/>
      <w:bookmarkStart w:id="114" w:name="_Toc19"/>
      <w:bookmarkStart w:id="115" w:name="_Toc57385874"/>
      <w:bookmarkStart w:id="116" w:name="_Toc62116488"/>
      <w:bookmarkStart w:id="117" w:name="_Toc37941589"/>
      <w:r>
        <w:rPr>
          <w:rFonts w:hint="eastAsia" w:ascii="新宋体" w:hAnsi="新宋体" w:eastAsia="新宋体" w:cs="新宋体"/>
          <w:b/>
          <w:bCs/>
          <w:color w:val="auto"/>
          <w:sz w:val="32"/>
          <w:highlight w:val="none"/>
        </w:rPr>
        <w:t>第五部分</w:t>
      </w:r>
      <w:r>
        <w:rPr>
          <w:rFonts w:hint="eastAsia" w:ascii="新宋体" w:hAnsi="新宋体" w:eastAsia="新宋体" w:cs="新宋体"/>
          <w:b/>
          <w:bCs/>
          <w:color w:val="auto"/>
          <w:sz w:val="32"/>
          <w:highlight w:val="none"/>
          <w:lang w:val="en-US" w:eastAsia="zh-CN"/>
        </w:rPr>
        <w:t xml:space="preserve">   </w:t>
      </w:r>
      <w:r>
        <w:rPr>
          <w:rFonts w:hint="eastAsia" w:ascii="新宋体" w:hAnsi="新宋体" w:eastAsia="新宋体" w:cs="新宋体"/>
          <w:b/>
          <w:bCs/>
          <w:color w:val="auto"/>
          <w:sz w:val="32"/>
          <w:highlight w:val="none"/>
        </w:rPr>
        <w:t>采购需求</w:t>
      </w:r>
      <w:bookmarkEnd w:id="104"/>
      <w:bookmarkEnd w:id="105"/>
    </w:p>
    <w:p w14:paraId="19819C58">
      <w:pPr>
        <w:snapToGrid w:val="0"/>
        <w:spacing w:line="460" w:lineRule="exact"/>
        <w:rPr>
          <w:rFonts w:ascii="新宋体" w:hAnsi="新宋体" w:eastAsia="新宋体" w:cs="新宋体"/>
          <w:b/>
          <w:bCs/>
          <w:color w:val="auto"/>
          <w:spacing w:val="-6"/>
          <w:sz w:val="22"/>
          <w:szCs w:val="22"/>
          <w:highlight w:val="none"/>
        </w:rPr>
      </w:pPr>
      <w:bookmarkStart w:id="118" w:name="_Toc14651"/>
      <w:r>
        <w:rPr>
          <w:rFonts w:hint="eastAsia" w:ascii="新宋体" w:hAnsi="新宋体" w:eastAsia="新宋体" w:cs="新宋体"/>
          <w:b/>
          <w:bCs/>
          <w:color w:val="auto"/>
          <w:spacing w:val="-6"/>
          <w:sz w:val="22"/>
          <w:szCs w:val="22"/>
          <w:highlight w:val="none"/>
        </w:rPr>
        <w:t>一、采购内容及数量</w:t>
      </w:r>
      <w:bookmarkEnd w:id="118"/>
    </w:p>
    <w:tbl>
      <w:tblPr>
        <w:tblStyle w:val="39"/>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565"/>
        <w:gridCol w:w="1891"/>
        <w:gridCol w:w="1860"/>
      </w:tblGrid>
      <w:tr w14:paraId="4BE0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02" w:type="dxa"/>
            <w:noWrap w:val="0"/>
            <w:vAlign w:val="center"/>
          </w:tcPr>
          <w:p w14:paraId="3C8D9097">
            <w:pPr>
              <w:spacing w:line="460" w:lineRule="exact"/>
              <w:jc w:val="center"/>
              <w:rPr>
                <w:rFonts w:ascii="新宋体" w:hAnsi="新宋体" w:eastAsia="新宋体" w:cs="新宋体"/>
                <w:b/>
                <w:color w:val="auto"/>
                <w:sz w:val="22"/>
                <w:szCs w:val="22"/>
                <w:highlight w:val="none"/>
              </w:rPr>
            </w:pPr>
            <w:bookmarkStart w:id="119" w:name="_Hlk6150446"/>
            <w:bookmarkStart w:id="120" w:name="_Toc28058"/>
            <w:r>
              <w:rPr>
                <w:rFonts w:hint="eastAsia" w:ascii="新宋体" w:hAnsi="新宋体" w:eastAsia="新宋体" w:cs="新宋体"/>
                <w:b/>
                <w:color w:val="auto"/>
                <w:sz w:val="22"/>
                <w:szCs w:val="22"/>
                <w:highlight w:val="none"/>
              </w:rPr>
              <w:t>标项</w:t>
            </w:r>
          </w:p>
        </w:tc>
        <w:tc>
          <w:tcPr>
            <w:tcW w:w="2565" w:type="dxa"/>
            <w:noWrap w:val="0"/>
            <w:vAlign w:val="center"/>
          </w:tcPr>
          <w:p w14:paraId="41879B0C">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标项名称</w:t>
            </w:r>
          </w:p>
        </w:tc>
        <w:tc>
          <w:tcPr>
            <w:tcW w:w="1891" w:type="dxa"/>
            <w:noWrap w:val="0"/>
            <w:vAlign w:val="center"/>
          </w:tcPr>
          <w:p w14:paraId="520C873D">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860" w:type="dxa"/>
            <w:noWrap w:val="0"/>
            <w:vAlign w:val="center"/>
          </w:tcPr>
          <w:p w14:paraId="6702F1E1">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预算金额</w:t>
            </w:r>
          </w:p>
        </w:tc>
      </w:tr>
      <w:tr w14:paraId="1523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202" w:type="dxa"/>
            <w:noWrap w:val="0"/>
            <w:vAlign w:val="center"/>
          </w:tcPr>
          <w:p w14:paraId="0920EA82">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565" w:type="dxa"/>
            <w:noWrap w:val="0"/>
            <w:vAlign w:val="center"/>
          </w:tcPr>
          <w:p w14:paraId="73CD9AA3">
            <w:pPr>
              <w:spacing w:line="460" w:lineRule="exact"/>
              <w:jc w:val="center"/>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立式加工中心</w:t>
            </w:r>
          </w:p>
        </w:tc>
        <w:tc>
          <w:tcPr>
            <w:tcW w:w="1891" w:type="dxa"/>
            <w:noWrap w:val="0"/>
            <w:vAlign w:val="center"/>
          </w:tcPr>
          <w:p w14:paraId="1D13C360">
            <w:pPr>
              <w:spacing w:line="460" w:lineRule="exact"/>
              <w:jc w:val="center"/>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1项</w:t>
            </w:r>
          </w:p>
        </w:tc>
        <w:tc>
          <w:tcPr>
            <w:tcW w:w="1860" w:type="dxa"/>
            <w:noWrap w:val="0"/>
            <w:vAlign w:val="center"/>
          </w:tcPr>
          <w:p w14:paraId="3964B75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920000</w:t>
            </w:r>
            <w:r>
              <w:rPr>
                <w:rFonts w:hint="eastAsia" w:ascii="新宋体" w:hAnsi="新宋体" w:eastAsia="新宋体" w:cs="新宋体"/>
                <w:color w:val="auto"/>
                <w:sz w:val="22"/>
                <w:szCs w:val="22"/>
                <w:highlight w:val="none"/>
              </w:rPr>
              <w:t>元</w:t>
            </w:r>
          </w:p>
        </w:tc>
      </w:tr>
      <w:bookmarkEnd w:id="119"/>
    </w:tbl>
    <w:p w14:paraId="2701D501">
      <w:pPr>
        <w:snapToGrid w:val="0"/>
        <w:spacing w:line="460" w:lineRule="exact"/>
        <w:jc w:val="center"/>
        <w:rPr>
          <w:rFonts w:hint="eastAsia" w:ascii="新宋体" w:hAnsi="新宋体" w:eastAsia="新宋体" w:cs="新宋体"/>
          <w:b/>
          <w:bCs/>
          <w:color w:val="auto"/>
          <w:spacing w:val="-6"/>
          <w:sz w:val="22"/>
          <w:szCs w:val="22"/>
          <w:highlight w:val="none"/>
          <w:lang w:val="en-US" w:eastAsia="zh-CN"/>
        </w:rPr>
      </w:pPr>
      <w:r>
        <w:rPr>
          <w:rFonts w:hint="eastAsia" w:ascii="新宋体" w:hAnsi="新宋体" w:eastAsia="新宋体" w:cs="新宋体"/>
          <w:b/>
          <w:bCs/>
          <w:color w:val="auto"/>
          <w:spacing w:val="-6"/>
          <w:sz w:val="22"/>
          <w:szCs w:val="22"/>
          <w:highlight w:val="none"/>
          <w:lang w:val="en-US" w:eastAsia="zh-CN"/>
        </w:rPr>
        <w:t>设备清单</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3867"/>
        <w:gridCol w:w="1003"/>
      </w:tblGrid>
      <w:tr w14:paraId="4D6F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tcPr>
          <w:p w14:paraId="5C5228A8">
            <w:pPr>
              <w:snapToGrid w:val="0"/>
              <w:spacing w:line="460" w:lineRule="exact"/>
              <w:rPr>
                <w:rFonts w:hint="default"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序号</w:t>
            </w:r>
          </w:p>
        </w:tc>
        <w:tc>
          <w:tcPr>
            <w:tcW w:w="3867" w:type="dxa"/>
          </w:tcPr>
          <w:p w14:paraId="6DD35CD3">
            <w:pPr>
              <w:snapToGrid w:val="0"/>
              <w:spacing w:line="460" w:lineRule="exact"/>
              <w:rPr>
                <w:rFonts w:hint="eastAsia"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设备名称</w:t>
            </w:r>
          </w:p>
        </w:tc>
        <w:tc>
          <w:tcPr>
            <w:tcW w:w="1003" w:type="dxa"/>
          </w:tcPr>
          <w:p w14:paraId="001B4228">
            <w:pPr>
              <w:snapToGrid w:val="0"/>
              <w:spacing w:line="460" w:lineRule="exact"/>
              <w:rPr>
                <w:rFonts w:hint="eastAsia"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数量</w:t>
            </w:r>
          </w:p>
        </w:tc>
      </w:tr>
      <w:tr w14:paraId="62C7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F325946">
            <w:pPr>
              <w:snapToGrid w:val="0"/>
              <w:spacing w:line="460" w:lineRule="exact"/>
              <w:rPr>
                <w:rFonts w:hint="eastAsia"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1</w:t>
            </w:r>
          </w:p>
        </w:tc>
        <w:tc>
          <w:tcPr>
            <w:tcW w:w="3867" w:type="dxa"/>
          </w:tcPr>
          <w:p w14:paraId="2C461F50">
            <w:pPr>
              <w:snapToGrid w:val="0"/>
              <w:spacing w:line="460" w:lineRule="exact"/>
              <w:rPr>
                <w:rFonts w:hint="default"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主控制柜</w:t>
            </w:r>
          </w:p>
        </w:tc>
        <w:tc>
          <w:tcPr>
            <w:tcW w:w="1003" w:type="dxa"/>
          </w:tcPr>
          <w:p w14:paraId="72EF9948">
            <w:pPr>
              <w:snapToGrid w:val="0"/>
              <w:spacing w:line="460" w:lineRule="exact"/>
              <w:rPr>
                <w:rFonts w:hint="eastAsia"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1套</w:t>
            </w:r>
          </w:p>
        </w:tc>
      </w:tr>
      <w:tr w14:paraId="73FC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47D849F4">
            <w:pPr>
              <w:snapToGrid w:val="0"/>
              <w:spacing w:line="460" w:lineRule="exact"/>
              <w:rPr>
                <w:rFonts w:hint="eastAsia"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2</w:t>
            </w:r>
          </w:p>
        </w:tc>
        <w:tc>
          <w:tcPr>
            <w:tcW w:w="3867" w:type="dxa"/>
          </w:tcPr>
          <w:p w14:paraId="7924754B">
            <w:pPr>
              <w:snapToGrid w:val="0"/>
              <w:spacing w:line="460" w:lineRule="exact"/>
              <w:rPr>
                <w:rFonts w:hint="eastAsia" w:ascii="新宋体" w:hAnsi="新宋体" w:eastAsia="新宋体" w:cs="新宋体"/>
                <w:b/>
                <w:bCs/>
                <w:color w:val="auto"/>
                <w:spacing w:val="-6"/>
                <w:sz w:val="22"/>
                <w:szCs w:val="22"/>
                <w:highlight w:val="none"/>
                <w:vertAlign w:val="baseline"/>
              </w:rPr>
            </w:pPr>
            <w:r>
              <w:rPr>
                <w:rFonts w:hint="eastAsia" w:ascii="新宋体" w:hAnsi="新宋体" w:eastAsia="新宋体" w:cs="新宋体"/>
                <w:b/>
                <w:bCs/>
                <w:color w:val="auto"/>
                <w:spacing w:val="-6"/>
                <w:sz w:val="22"/>
                <w:szCs w:val="22"/>
                <w:highlight w:val="none"/>
                <w:vertAlign w:val="baseline"/>
                <w:lang w:val="en-US" w:eastAsia="zh-CN"/>
              </w:rPr>
              <w:t>副控制柜</w:t>
            </w:r>
          </w:p>
        </w:tc>
        <w:tc>
          <w:tcPr>
            <w:tcW w:w="1003" w:type="dxa"/>
          </w:tcPr>
          <w:p w14:paraId="467C0409">
            <w:pPr>
              <w:snapToGrid w:val="0"/>
              <w:spacing w:line="460" w:lineRule="exact"/>
              <w:rPr>
                <w:rFonts w:hint="default"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1套</w:t>
            </w:r>
          </w:p>
        </w:tc>
      </w:tr>
      <w:tr w14:paraId="3373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5F38A61">
            <w:pPr>
              <w:snapToGrid w:val="0"/>
              <w:spacing w:line="460" w:lineRule="exact"/>
              <w:rPr>
                <w:rFonts w:hint="eastAsia"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3</w:t>
            </w:r>
          </w:p>
        </w:tc>
        <w:tc>
          <w:tcPr>
            <w:tcW w:w="3867" w:type="dxa"/>
          </w:tcPr>
          <w:p w14:paraId="1A86F884">
            <w:pPr>
              <w:snapToGrid w:val="0"/>
              <w:spacing w:line="460" w:lineRule="exact"/>
              <w:rPr>
                <w:rFonts w:hint="eastAsia" w:ascii="新宋体" w:hAnsi="新宋体" w:eastAsia="新宋体" w:cs="新宋体"/>
                <w:b/>
                <w:bCs/>
                <w:color w:val="auto"/>
                <w:spacing w:val="-6"/>
                <w:sz w:val="22"/>
                <w:szCs w:val="22"/>
                <w:highlight w:val="none"/>
                <w:vertAlign w:val="baseline"/>
              </w:rPr>
            </w:pPr>
            <w:r>
              <w:rPr>
                <w:rFonts w:hint="eastAsia" w:ascii="新宋体" w:hAnsi="新宋体" w:eastAsia="新宋体" w:cs="新宋体"/>
                <w:b/>
                <w:bCs/>
                <w:color w:val="auto"/>
                <w:spacing w:val="-6"/>
                <w:sz w:val="22"/>
                <w:szCs w:val="22"/>
                <w:highlight w:val="none"/>
                <w:vertAlign w:val="baseline"/>
                <w:lang w:val="en-US" w:eastAsia="zh-CN"/>
              </w:rPr>
              <w:t>立式加工中心单元</w:t>
            </w:r>
          </w:p>
        </w:tc>
        <w:tc>
          <w:tcPr>
            <w:tcW w:w="1003" w:type="dxa"/>
          </w:tcPr>
          <w:p w14:paraId="18B0046B">
            <w:pPr>
              <w:snapToGrid w:val="0"/>
              <w:spacing w:line="460" w:lineRule="exact"/>
              <w:rPr>
                <w:rFonts w:hint="eastAsia" w:ascii="新宋体" w:hAnsi="新宋体" w:eastAsia="新宋体" w:cs="新宋体"/>
                <w:b/>
                <w:bCs/>
                <w:color w:val="auto"/>
                <w:spacing w:val="-6"/>
                <w:sz w:val="22"/>
                <w:szCs w:val="22"/>
                <w:highlight w:val="none"/>
                <w:vertAlign w:val="baseline"/>
              </w:rPr>
            </w:pPr>
            <w:r>
              <w:rPr>
                <w:rFonts w:hint="eastAsia" w:ascii="新宋体" w:hAnsi="新宋体" w:eastAsia="新宋体" w:cs="新宋体"/>
                <w:b/>
                <w:bCs/>
                <w:color w:val="auto"/>
                <w:spacing w:val="-6"/>
                <w:sz w:val="22"/>
                <w:szCs w:val="22"/>
                <w:highlight w:val="none"/>
                <w:vertAlign w:val="baseline"/>
                <w:lang w:val="en-US" w:eastAsia="zh-CN"/>
              </w:rPr>
              <w:t>1套</w:t>
            </w:r>
          </w:p>
        </w:tc>
      </w:tr>
      <w:tr w14:paraId="0044D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48BB02E7">
            <w:pPr>
              <w:snapToGrid w:val="0"/>
              <w:spacing w:line="460" w:lineRule="exact"/>
              <w:rPr>
                <w:rFonts w:hint="eastAsia"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4</w:t>
            </w:r>
          </w:p>
        </w:tc>
        <w:tc>
          <w:tcPr>
            <w:tcW w:w="3867" w:type="dxa"/>
          </w:tcPr>
          <w:p w14:paraId="31E444B0">
            <w:pPr>
              <w:snapToGrid w:val="0"/>
              <w:spacing w:line="460" w:lineRule="exact"/>
              <w:rPr>
                <w:rFonts w:hint="eastAsia" w:ascii="新宋体" w:hAnsi="新宋体" w:eastAsia="新宋体" w:cs="新宋体"/>
                <w:b/>
                <w:bCs/>
                <w:color w:val="auto"/>
                <w:spacing w:val="-6"/>
                <w:sz w:val="22"/>
                <w:szCs w:val="22"/>
                <w:highlight w:val="none"/>
                <w:vertAlign w:val="baseline"/>
              </w:rPr>
            </w:pPr>
            <w:r>
              <w:rPr>
                <w:rFonts w:hint="eastAsia" w:ascii="新宋体" w:hAnsi="新宋体" w:eastAsia="新宋体" w:cs="新宋体"/>
                <w:b/>
                <w:bCs/>
                <w:color w:val="auto"/>
                <w:spacing w:val="-6"/>
                <w:sz w:val="22"/>
                <w:szCs w:val="22"/>
                <w:highlight w:val="none"/>
                <w:vertAlign w:val="baseline"/>
                <w:lang w:val="en-US" w:eastAsia="zh-CN"/>
              </w:rPr>
              <w:t>加工中心主轴机械拆装单元</w:t>
            </w:r>
          </w:p>
        </w:tc>
        <w:tc>
          <w:tcPr>
            <w:tcW w:w="1003" w:type="dxa"/>
          </w:tcPr>
          <w:p w14:paraId="267A8209">
            <w:pPr>
              <w:snapToGrid w:val="0"/>
              <w:spacing w:line="460" w:lineRule="exact"/>
              <w:rPr>
                <w:rFonts w:hint="eastAsia" w:ascii="新宋体" w:hAnsi="新宋体" w:eastAsia="新宋体" w:cs="新宋体"/>
                <w:b/>
                <w:bCs/>
                <w:color w:val="auto"/>
                <w:spacing w:val="-6"/>
                <w:sz w:val="22"/>
                <w:szCs w:val="22"/>
                <w:highlight w:val="none"/>
                <w:vertAlign w:val="baseline"/>
              </w:rPr>
            </w:pPr>
            <w:r>
              <w:rPr>
                <w:rFonts w:hint="eastAsia" w:ascii="新宋体" w:hAnsi="新宋体" w:eastAsia="新宋体" w:cs="新宋体"/>
                <w:b/>
                <w:bCs/>
                <w:color w:val="auto"/>
                <w:spacing w:val="-6"/>
                <w:sz w:val="22"/>
                <w:szCs w:val="22"/>
                <w:highlight w:val="none"/>
                <w:vertAlign w:val="baseline"/>
                <w:lang w:val="en-US" w:eastAsia="zh-CN"/>
              </w:rPr>
              <w:t>1套</w:t>
            </w:r>
          </w:p>
        </w:tc>
      </w:tr>
      <w:tr w14:paraId="4104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C852BA6">
            <w:pPr>
              <w:snapToGrid w:val="0"/>
              <w:spacing w:line="460" w:lineRule="exact"/>
              <w:rPr>
                <w:rFonts w:hint="default"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5</w:t>
            </w:r>
          </w:p>
        </w:tc>
        <w:tc>
          <w:tcPr>
            <w:tcW w:w="3867" w:type="dxa"/>
          </w:tcPr>
          <w:p w14:paraId="17BB13A8">
            <w:pPr>
              <w:snapToGrid w:val="0"/>
              <w:spacing w:line="460" w:lineRule="exact"/>
              <w:rPr>
                <w:rFonts w:hint="eastAsia"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智能仓储与工业机器人单元</w:t>
            </w:r>
          </w:p>
        </w:tc>
        <w:tc>
          <w:tcPr>
            <w:tcW w:w="1003" w:type="dxa"/>
          </w:tcPr>
          <w:p w14:paraId="6F990AEC">
            <w:pPr>
              <w:snapToGrid w:val="0"/>
              <w:spacing w:line="460" w:lineRule="exact"/>
              <w:rPr>
                <w:rFonts w:hint="eastAsia"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1套</w:t>
            </w:r>
          </w:p>
        </w:tc>
      </w:tr>
      <w:tr w14:paraId="1CA9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65DBA88">
            <w:pPr>
              <w:snapToGrid w:val="0"/>
              <w:spacing w:line="460" w:lineRule="exact"/>
              <w:rPr>
                <w:rFonts w:hint="eastAsia"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6</w:t>
            </w:r>
          </w:p>
        </w:tc>
        <w:tc>
          <w:tcPr>
            <w:tcW w:w="3867" w:type="dxa"/>
            <w:vAlign w:val="top"/>
          </w:tcPr>
          <w:p w14:paraId="3C91CBA6">
            <w:pPr>
              <w:snapToGrid w:val="0"/>
              <w:spacing w:line="460" w:lineRule="exact"/>
              <w:rPr>
                <w:rFonts w:hint="eastAsia"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工件测头</w:t>
            </w:r>
          </w:p>
        </w:tc>
        <w:tc>
          <w:tcPr>
            <w:tcW w:w="1003" w:type="dxa"/>
            <w:vAlign w:val="top"/>
          </w:tcPr>
          <w:p w14:paraId="25863868">
            <w:pPr>
              <w:snapToGrid w:val="0"/>
              <w:spacing w:line="460" w:lineRule="exact"/>
              <w:rPr>
                <w:rFonts w:hint="eastAsia" w:ascii="新宋体" w:hAnsi="新宋体" w:eastAsia="新宋体" w:cs="新宋体"/>
                <w:b/>
                <w:bCs/>
                <w:color w:val="auto"/>
                <w:spacing w:val="-6"/>
                <w:sz w:val="22"/>
                <w:szCs w:val="22"/>
                <w:highlight w:val="none"/>
                <w:vertAlign w:val="baseline"/>
              </w:rPr>
            </w:pPr>
            <w:r>
              <w:rPr>
                <w:rFonts w:hint="eastAsia" w:ascii="新宋体" w:hAnsi="新宋体" w:eastAsia="新宋体" w:cs="新宋体"/>
                <w:b/>
                <w:bCs/>
                <w:color w:val="auto"/>
                <w:spacing w:val="-6"/>
                <w:sz w:val="22"/>
                <w:szCs w:val="22"/>
                <w:highlight w:val="none"/>
                <w:vertAlign w:val="baseline"/>
                <w:lang w:val="en-US" w:eastAsia="zh-CN"/>
              </w:rPr>
              <w:t>1套</w:t>
            </w:r>
          </w:p>
        </w:tc>
      </w:tr>
      <w:tr w14:paraId="6984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3DA8C010">
            <w:pPr>
              <w:snapToGrid w:val="0"/>
              <w:spacing w:line="460" w:lineRule="exact"/>
              <w:rPr>
                <w:rFonts w:hint="eastAsia"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7</w:t>
            </w:r>
          </w:p>
        </w:tc>
        <w:tc>
          <w:tcPr>
            <w:tcW w:w="3867" w:type="dxa"/>
            <w:vAlign w:val="top"/>
          </w:tcPr>
          <w:p w14:paraId="7FEB3F73">
            <w:pPr>
              <w:snapToGrid w:val="0"/>
              <w:spacing w:line="460" w:lineRule="exact"/>
              <w:rPr>
                <w:rFonts w:hint="eastAsia" w:ascii="新宋体" w:hAnsi="新宋体" w:eastAsia="新宋体" w:cs="新宋体"/>
                <w:b/>
                <w:bCs/>
                <w:color w:val="auto"/>
                <w:spacing w:val="-6"/>
                <w:sz w:val="22"/>
                <w:szCs w:val="22"/>
                <w:highlight w:val="none"/>
                <w:vertAlign w:val="baseline"/>
                <w:lang w:val="en-US" w:eastAsia="zh-CN"/>
              </w:rPr>
            </w:pPr>
            <w:r>
              <w:rPr>
                <w:rFonts w:hint="eastAsia" w:ascii="新宋体" w:hAnsi="新宋体" w:eastAsia="新宋体" w:cs="新宋体"/>
                <w:b/>
                <w:bCs/>
                <w:color w:val="auto"/>
                <w:spacing w:val="-6"/>
                <w:sz w:val="22"/>
                <w:szCs w:val="22"/>
                <w:highlight w:val="none"/>
                <w:vertAlign w:val="baseline"/>
                <w:lang w:val="en-US" w:eastAsia="zh-CN"/>
              </w:rPr>
              <w:t>安全防护单元</w:t>
            </w:r>
          </w:p>
        </w:tc>
        <w:tc>
          <w:tcPr>
            <w:tcW w:w="1003" w:type="dxa"/>
            <w:vAlign w:val="top"/>
          </w:tcPr>
          <w:p w14:paraId="102EB4AE">
            <w:pPr>
              <w:snapToGrid w:val="0"/>
              <w:spacing w:line="460" w:lineRule="exact"/>
              <w:rPr>
                <w:rFonts w:hint="eastAsia" w:ascii="新宋体" w:hAnsi="新宋体" w:eastAsia="新宋体" w:cs="新宋体"/>
                <w:b/>
                <w:bCs/>
                <w:color w:val="auto"/>
                <w:spacing w:val="-6"/>
                <w:sz w:val="22"/>
                <w:szCs w:val="22"/>
                <w:highlight w:val="none"/>
                <w:vertAlign w:val="baseline"/>
              </w:rPr>
            </w:pPr>
            <w:r>
              <w:rPr>
                <w:rFonts w:hint="eastAsia" w:ascii="新宋体" w:hAnsi="新宋体" w:eastAsia="新宋体" w:cs="新宋体"/>
                <w:b/>
                <w:bCs/>
                <w:color w:val="auto"/>
                <w:spacing w:val="-6"/>
                <w:sz w:val="22"/>
                <w:szCs w:val="22"/>
                <w:highlight w:val="none"/>
                <w:vertAlign w:val="baseline"/>
                <w:lang w:val="en-US" w:eastAsia="zh-CN"/>
              </w:rPr>
              <w:t>1套</w:t>
            </w:r>
          </w:p>
        </w:tc>
      </w:tr>
    </w:tbl>
    <w:p w14:paraId="354849D3">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pacing w:val="-6"/>
          <w:sz w:val="22"/>
          <w:szCs w:val="22"/>
          <w:highlight w:val="none"/>
        </w:rPr>
        <w:t>二、</w:t>
      </w:r>
      <w:r>
        <w:rPr>
          <w:rFonts w:hint="eastAsia" w:ascii="新宋体" w:hAnsi="新宋体" w:eastAsia="新宋体" w:cs="新宋体"/>
          <w:b/>
          <w:bCs/>
          <w:color w:val="auto"/>
          <w:sz w:val="22"/>
          <w:szCs w:val="22"/>
          <w:highlight w:val="none"/>
        </w:rPr>
        <w:t>为落实政府采购政策需满足的要求：</w:t>
      </w:r>
      <w:bookmarkEnd w:id="120"/>
    </w:p>
    <w:tbl>
      <w:tblPr>
        <w:tblStyle w:val="39"/>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609"/>
        <w:gridCol w:w="4951"/>
      </w:tblGrid>
      <w:tr w14:paraId="6B97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noWrap w:val="0"/>
            <w:vAlign w:val="center"/>
          </w:tcPr>
          <w:p w14:paraId="1724A8A2">
            <w:pPr>
              <w:widowControl/>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3609" w:type="dxa"/>
            <w:noWrap w:val="0"/>
            <w:vAlign w:val="center"/>
          </w:tcPr>
          <w:p w14:paraId="73241730">
            <w:pPr>
              <w:widowControl/>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政策名称</w:t>
            </w:r>
          </w:p>
        </w:tc>
        <w:tc>
          <w:tcPr>
            <w:tcW w:w="4951" w:type="dxa"/>
            <w:noWrap w:val="0"/>
            <w:vAlign w:val="center"/>
          </w:tcPr>
          <w:p w14:paraId="5AE0E480">
            <w:pPr>
              <w:widowControl/>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内容</w:t>
            </w:r>
          </w:p>
        </w:tc>
      </w:tr>
      <w:tr w14:paraId="2149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noWrap w:val="0"/>
            <w:vAlign w:val="center"/>
          </w:tcPr>
          <w:p w14:paraId="26E1E8A8">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3609" w:type="dxa"/>
            <w:noWrap w:val="0"/>
            <w:vAlign w:val="center"/>
          </w:tcPr>
          <w:p w14:paraId="111EE40F">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政府采购促进中小企业发展</w:t>
            </w:r>
          </w:p>
        </w:tc>
        <w:tc>
          <w:tcPr>
            <w:tcW w:w="4951" w:type="dxa"/>
            <w:noWrap w:val="0"/>
            <w:vAlign w:val="center"/>
          </w:tcPr>
          <w:p w14:paraId="74491FA4">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提供材料详见招标文件第四部分附件</w:t>
            </w:r>
          </w:p>
        </w:tc>
      </w:tr>
      <w:tr w14:paraId="7636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noWrap w:val="0"/>
            <w:vAlign w:val="center"/>
          </w:tcPr>
          <w:p w14:paraId="12F359F3">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3609" w:type="dxa"/>
            <w:noWrap w:val="0"/>
            <w:vAlign w:val="center"/>
          </w:tcPr>
          <w:p w14:paraId="40E047D5">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政府采购支持监狱企业发展</w:t>
            </w:r>
          </w:p>
        </w:tc>
        <w:tc>
          <w:tcPr>
            <w:tcW w:w="4951" w:type="dxa"/>
            <w:noWrap w:val="0"/>
            <w:vAlign w:val="center"/>
          </w:tcPr>
          <w:p w14:paraId="6FA3875D">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提供材料详见招标文件第四部分附件</w:t>
            </w:r>
          </w:p>
        </w:tc>
      </w:tr>
      <w:tr w14:paraId="6A4C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noWrap w:val="0"/>
            <w:vAlign w:val="center"/>
          </w:tcPr>
          <w:p w14:paraId="776241D7">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3609" w:type="dxa"/>
            <w:noWrap w:val="0"/>
            <w:vAlign w:val="center"/>
          </w:tcPr>
          <w:p w14:paraId="0A442B8F">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政府采购促进残疾人就业</w:t>
            </w:r>
          </w:p>
        </w:tc>
        <w:tc>
          <w:tcPr>
            <w:tcW w:w="4951" w:type="dxa"/>
            <w:noWrap w:val="0"/>
            <w:vAlign w:val="center"/>
          </w:tcPr>
          <w:p w14:paraId="5B348FD0">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提供材料详见招标文件第四部分附件</w:t>
            </w:r>
          </w:p>
        </w:tc>
      </w:tr>
      <w:tr w14:paraId="28D3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noWrap w:val="0"/>
            <w:vAlign w:val="center"/>
          </w:tcPr>
          <w:p w14:paraId="682CD378">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3609" w:type="dxa"/>
            <w:noWrap w:val="0"/>
            <w:vAlign w:val="center"/>
          </w:tcPr>
          <w:p w14:paraId="784A9583">
            <w:pPr>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highlight w:val="none"/>
              </w:rPr>
              <w:t>政府采购节能环保产品</w:t>
            </w:r>
          </w:p>
        </w:tc>
        <w:tc>
          <w:tcPr>
            <w:tcW w:w="4951" w:type="dxa"/>
            <w:noWrap w:val="0"/>
            <w:vAlign w:val="center"/>
          </w:tcPr>
          <w:p w14:paraId="603488C8">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highlight w:val="none"/>
              </w:rPr>
              <w:t>不适用</w:t>
            </w:r>
          </w:p>
        </w:tc>
      </w:tr>
      <w:tr w14:paraId="0ABC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noWrap w:val="0"/>
            <w:vAlign w:val="center"/>
          </w:tcPr>
          <w:p w14:paraId="37E162B9">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3609" w:type="dxa"/>
            <w:noWrap w:val="0"/>
            <w:vAlign w:val="center"/>
          </w:tcPr>
          <w:p w14:paraId="6620FA4E">
            <w:pPr>
              <w:widowControl/>
              <w:spacing w:line="460" w:lineRule="exact"/>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政府采购进口产品</w:t>
            </w:r>
          </w:p>
        </w:tc>
        <w:tc>
          <w:tcPr>
            <w:tcW w:w="4951" w:type="dxa"/>
            <w:noWrap w:val="0"/>
            <w:vAlign w:val="center"/>
          </w:tcPr>
          <w:p w14:paraId="7DCCD448">
            <w:pPr>
              <w:widowControl/>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不允许</w:t>
            </w:r>
          </w:p>
        </w:tc>
      </w:tr>
    </w:tbl>
    <w:p w14:paraId="32565798">
      <w:pPr>
        <w:snapToGrid w:val="0"/>
        <w:spacing w:line="460" w:lineRule="exact"/>
        <w:rPr>
          <w:rFonts w:ascii="新宋体" w:hAnsi="新宋体" w:eastAsia="新宋体" w:cs="新宋体"/>
          <w:b/>
          <w:color w:val="auto"/>
          <w:spacing w:val="-6"/>
          <w:sz w:val="22"/>
          <w:szCs w:val="22"/>
          <w:highlight w:val="none"/>
        </w:rPr>
      </w:pPr>
      <w:bookmarkStart w:id="121" w:name="_Toc28884"/>
      <w:r>
        <w:rPr>
          <w:rFonts w:hint="eastAsia" w:ascii="新宋体" w:hAnsi="新宋体" w:eastAsia="新宋体" w:cs="新宋体"/>
          <w:b/>
          <w:bCs/>
          <w:color w:val="auto"/>
          <w:kern w:val="0"/>
          <w:sz w:val="22"/>
          <w:szCs w:val="22"/>
          <w:highlight w:val="none"/>
        </w:rPr>
        <w:t>三、</w:t>
      </w:r>
      <w:r>
        <w:rPr>
          <w:rFonts w:hint="eastAsia" w:ascii="新宋体" w:hAnsi="新宋体" w:eastAsia="新宋体" w:cs="新宋体"/>
          <w:b/>
          <w:color w:val="auto"/>
          <w:spacing w:val="-6"/>
          <w:sz w:val="22"/>
          <w:szCs w:val="22"/>
          <w:highlight w:val="none"/>
        </w:rPr>
        <w:t>商务要求</w:t>
      </w:r>
      <w:bookmarkEnd w:id="121"/>
    </w:p>
    <w:tbl>
      <w:tblPr>
        <w:tblStyle w:val="3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7516"/>
      </w:tblGrid>
      <w:tr w14:paraId="7B425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887" w:type="dxa"/>
            <w:tcBorders>
              <w:top w:val="single" w:color="auto" w:sz="4" w:space="0"/>
              <w:left w:val="single" w:color="auto" w:sz="4" w:space="0"/>
              <w:bottom w:val="single" w:color="auto" w:sz="4" w:space="0"/>
              <w:right w:val="single" w:color="auto" w:sz="4" w:space="0"/>
            </w:tcBorders>
            <w:noWrap w:val="0"/>
            <w:vAlign w:val="center"/>
          </w:tcPr>
          <w:p w14:paraId="45936629">
            <w:pPr>
              <w:spacing w:line="460" w:lineRule="exact"/>
              <w:jc w:val="center"/>
              <w:rPr>
                <w:rFonts w:ascii="新宋体" w:hAnsi="新宋体" w:eastAsia="新宋体" w:cs="新宋体"/>
                <w:b/>
                <w:bCs/>
                <w:color w:val="auto"/>
                <w:sz w:val="22"/>
                <w:szCs w:val="22"/>
                <w:highlight w:val="none"/>
              </w:rPr>
            </w:pPr>
            <w:r>
              <w:rPr>
                <w:rFonts w:hint="eastAsia" w:ascii="宋体" w:hAnsi="宋体" w:cs="宋体"/>
                <w:color w:val="auto"/>
                <w:sz w:val="22"/>
                <w:highlight w:val="none"/>
              </w:rPr>
              <w:t>▲</w:t>
            </w:r>
            <w:r>
              <w:rPr>
                <w:rFonts w:hint="eastAsia" w:ascii="新宋体" w:hAnsi="新宋体" w:eastAsia="新宋体" w:cs="新宋体"/>
                <w:b/>
                <w:bCs/>
                <w:color w:val="auto"/>
                <w:sz w:val="22"/>
                <w:szCs w:val="22"/>
                <w:highlight w:val="none"/>
              </w:rPr>
              <w:t>履约保证金</w:t>
            </w:r>
          </w:p>
        </w:tc>
        <w:tc>
          <w:tcPr>
            <w:tcW w:w="7516" w:type="dxa"/>
            <w:tcBorders>
              <w:top w:val="single" w:color="auto" w:sz="4" w:space="0"/>
              <w:left w:val="single" w:color="auto" w:sz="4" w:space="0"/>
              <w:bottom w:val="single" w:color="auto" w:sz="4" w:space="0"/>
              <w:right w:val="single" w:color="auto" w:sz="4" w:space="0"/>
            </w:tcBorders>
            <w:noWrap w:val="0"/>
            <w:vAlign w:val="center"/>
          </w:tcPr>
          <w:p w14:paraId="29E7945F">
            <w:pPr>
              <w:spacing w:line="460" w:lineRule="exact"/>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本项目不收取履约保证金。</w:t>
            </w:r>
          </w:p>
        </w:tc>
      </w:tr>
      <w:tr w14:paraId="1B7D6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887" w:type="dxa"/>
            <w:tcBorders>
              <w:top w:val="single" w:color="auto" w:sz="4" w:space="0"/>
              <w:left w:val="single" w:color="auto" w:sz="4" w:space="0"/>
              <w:bottom w:val="single" w:color="auto" w:sz="4" w:space="0"/>
              <w:right w:val="single" w:color="auto" w:sz="4" w:space="0"/>
            </w:tcBorders>
            <w:noWrap w:val="0"/>
            <w:vAlign w:val="center"/>
          </w:tcPr>
          <w:p w14:paraId="65FCD065">
            <w:pPr>
              <w:spacing w:line="460" w:lineRule="exact"/>
              <w:jc w:val="center"/>
              <w:rPr>
                <w:rFonts w:ascii="新宋体" w:hAnsi="新宋体" w:eastAsia="新宋体" w:cs="新宋体"/>
                <w:b/>
                <w:bCs/>
                <w:color w:val="auto"/>
                <w:sz w:val="22"/>
                <w:szCs w:val="22"/>
                <w:highlight w:val="none"/>
              </w:rPr>
            </w:pPr>
            <w:r>
              <w:rPr>
                <w:rFonts w:hint="eastAsia" w:ascii="宋体" w:hAnsi="宋体" w:cs="宋体"/>
                <w:color w:val="auto"/>
                <w:sz w:val="22"/>
                <w:highlight w:val="none"/>
                <w:u w:val="single"/>
              </w:rPr>
              <w:t>▲</w:t>
            </w:r>
            <w:r>
              <w:rPr>
                <w:rFonts w:hint="eastAsia" w:ascii="新宋体" w:hAnsi="新宋体" w:eastAsia="新宋体" w:cs="新宋体"/>
                <w:b/>
                <w:bCs/>
                <w:color w:val="auto"/>
                <w:sz w:val="22"/>
                <w:szCs w:val="22"/>
                <w:highlight w:val="none"/>
                <w:u w:val="single"/>
              </w:rPr>
              <w:t>支付方式</w:t>
            </w:r>
          </w:p>
        </w:tc>
        <w:tc>
          <w:tcPr>
            <w:tcW w:w="7516" w:type="dxa"/>
            <w:tcBorders>
              <w:top w:val="single" w:color="auto" w:sz="4" w:space="0"/>
              <w:left w:val="single" w:color="auto" w:sz="4" w:space="0"/>
              <w:bottom w:val="single" w:color="auto" w:sz="4" w:space="0"/>
              <w:right w:val="single" w:color="auto" w:sz="4" w:space="0"/>
            </w:tcBorders>
            <w:noWrap w:val="0"/>
            <w:vAlign w:val="center"/>
          </w:tcPr>
          <w:p w14:paraId="1B4212D9">
            <w:pPr>
              <w:spacing w:line="460" w:lineRule="exact"/>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买方在合同生效、具备实施条件以及卖方向买方提交合同金额40%的保函后，7日内完成预付款（合同金额40%，卖方必须先开具合同金额40%的正式发票）。卖方完成全部供货及安装、调试、培训等服务并通过买方验收，买方入库报销后7个工作日内，买方向卖方支付60%合同价款（卖方必须先开具合同金额60%的正式发票），同时退还保函。</w:t>
            </w:r>
          </w:p>
          <w:p w14:paraId="19BD678A">
            <w:pPr>
              <w:spacing w:line="460" w:lineRule="exact"/>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注：1.在签订合同时，卖方明确表示无需预付款或者主动要求降低预付款比例的，按实际比例计。</w:t>
            </w:r>
          </w:p>
          <w:p w14:paraId="7BA2AEA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2.买方对于满足合同约定支付条件的，自收到发票后7日内将资金支付到合同约定的供应商账户。</w:t>
            </w:r>
          </w:p>
        </w:tc>
      </w:tr>
      <w:tr w14:paraId="76738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1887" w:type="dxa"/>
            <w:tcBorders>
              <w:top w:val="single" w:color="auto" w:sz="4" w:space="0"/>
              <w:left w:val="single" w:color="auto" w:sz="4" w:space="0"/>
              <w:bottom w:val="single" w:color="auto" w:sz="4" w:space="0"/>
              <w:right w:val="single" w:color="auto" w:sz="4" w:space="0"/>
            </w:tcBorders>
            <w:noWrap w:val="0"/>
            <w:vAlign w:val="center"/>
          </w:tcPr>
          <w:p w14:paraId="77E51D1A">
            <w:pPr>
              <w:spacing w:line="460" w:lineRule="exact"/>
              <w:jc w:val="center"/>
              <w:rPr>
                <w:rFonts w:ascii="新宋体" w:hAnsi="新宋体" w:eastAsia="新宋体" w:cs="新宋体"/>
                <w:b/>
                <w:bCs/>
                <w:color w:val="auto"/>
                <w:sz w:val="22"/>
                <w:szCs w:val="22"/>
                <w:highlight w:val="none"/>
              </w:rPr>
            </w:pP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质保期</w:t>
            </w:r>
          </w:p>
        </w:tc>
        <w:tc>
          <w:tcPr>
            <w:tcW w:w="7516" w:type="dxa"/>
            <w:tcBorders>
              <w:top w:val="single" w:color="auto" w:sz="4" w:space="0"/>
              <w:left w:val="single" w:color="auto" w:sz="4" w:space="0"/>
              <w:bottom w:val="single" w:color="auto" w:sz="4" w:space="0"/>
              <w:right w:val="single" w:color="auto" w:sz="4" w:space="0"/>
            </w:tcBorders>
            <w:noWrap w:val="0"/>
            <w:vAlign w:val="center"/>
          </w:tcPr>
          <w:p w14:paraId="722A9A7A">
            <w:pPr>
              <w:spacing w:line="460" w:lineRule="exact"/>
              <w:rPr>
                <w:rFonts w:ascii="新宋体" w:hAnsi="新宋体" w:eastAsia="新宋体" w:cs="新宋体"/>
                <w:color w:val="auto"/>
                <w:sz w:val="22"/>
                <w:szCs w:val="22"/>
                <w:highlight w:val="none"/>
                <w:u w:val="single"/>
              </w:rPr>
            </w:pPr>
            <w:r>
              <w:rPr>
                <w:rFonts w:ascii="新宋体" w:hAnsi="新宋体" w:eastAsia="新宋体" w:cs="新宋体"/>
                <w:color w:val="auto"/>
                <w:sz w:val="22"/>
                <w:szCs w:val="22"/>
                <w:highlight w:val="none"/>
                <w:u w:val="single"/>
                <w:lang w:val="zh-CN"/>
              </w:rPr>
              <w:t>设备硬件</w:t>
            </w:r>
            <w:r>
              <w:rPr>
                <w:rFonts w:hint="eastAsia" w:ascii="新宋体" w:hAnsi="新宋体" w:eastAsia="新宋体" w:cs="新宋体"/>
                <w:color w:val="auto"/>
                <w:sz w:val="22"/>
                <w:szCs w:val="22"/>
                <w:highlight w:val="none"/>
                <w:u w:val="single"/>
                <w:lang w:val="en-US" w:eastAsia="zh-CN"/>
              </w:rPr>
              <w:t>至少</w:t>
            </w:r>
            <w:r>
              <w:rPr>
                <w:rFonts w:ascii="新宋体" w:hAnsi="新宋体" w:eastAsia="新宋体" w:cs="新宋体"/>
                <w:color w:val="auto"/>
                <w:sz w:val="22"/>
                <w:szCs w:val="22"/>
                <w:highlight w:val="none"/>
                <w:u w:val="single"/>
                <w:lang w:val="zh-CN"/>
              </w:rPr>
              <w:t>3年质保期，软件及资源</w:t>
            </w:r>
            <w:r>
              <w:rPr>
                <w:rFonts w:hint="eastAsia" w:ascii="新宋体" w:hAnsi="新宋体" w:eastAsia="新宋体" w:cs="新宋体"/>
                <w:color w:val="auto"/>
                <w:sz w:val="22"/>
                <w:szCs w:val="22"/>
                <w:highlight w:val="none"/>
                <w:u w:val="single"/>
                <w:lang w:val="en-US" w:eastAsia="zh-CN"/>
              </w:rPr>
              <w:t>至少</w:t>
            </w:r>
            <w:r>
              <w:rPr>
                <w:rFonts w:ascii="新宋体" w:hAnsi="新宋体" w:eastAsia="新宋体" w:cs="新宋体"/>
                <w:color w:val="auto"/>
                <w:sz w:val="22"/>
                <w:szCs w:val="22"/>
                <w:highlight w:val="none"/>
                <w:u w:val="single"/>
                <w:lang w:val="zh-CN"/>
              </w:rPr>
              <w:t>3年免费升级</w:t>
            </w:r>
          </w:p>
        </w:tc>
      </w:tr>
      <w:tr w14:paraId="365A3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87" w:type="dxa"/>
            <w:tcBorders>
              <w:top w:val="single" w:color="auto" w:sz="4" w:space="0"/>
              <w:left w:val="single" w:color="auto" w:sz="4" w:space="0"/>
              <w:bottom w:val="single" w:color="auto" w:sz="4" w:space="0"/>
              <w:right w:val="single" w:color="auto" w:sz="4" w:space="0"/>
            </w:tcBorders>
            <w:noWrap w:val="0"/>
            <w:vAlign w:val="center"/>
          </w:tcPr>
          <w:p w14:paraId="4CC387D4">
            <w:pPr>
              <w:spacing w:line="460" w:lineRule="exact"/>
              <w:jc w:val="center"/>
              <w:rPr>
                <w:rFonts w:ascii="新宋体" w:hAnsi="新宋体" w:eastAsia="新宋体" w:cs="新宋体"/>
                <w:b/>
                <w:bCs/>
                <w:color w:val="auto"/>
                <w:sz w:val="22"/>
                <w:szCs w:val="22"/>
                <w:highlight w:val="none"/>
              </w:rPr>
            </w:pPr>
            <w:r>
              <w:rPr>
                <w:rFonts w:hint="eastAsia" w:ascii="宋体" w:hAnsi="宋体" w:cs="宋体"/>
                <w:b/>
                <w:bCs/>
                <w:color w:val="auto"/>
                <w:sz w:val="22"/>
                <w:highlight w:val="none"/>
              </w:rPr>
              <w:t>交付时间</w:t>
            </w:r>
          </w:p>
        </w:tc>
        <w:tc>
          <w:tcPr>
            <w:tcW w:w="7516" w:type="dxa"/>
            <w:tcBorders>
              <w:top w:val="single" w:color="auto" w:sz="4" w:space="0"/>
              <w:left w:val="single" w:color="auto" w:sz="4" w:space="0"/>
              <w:bottom w:val="single" w:color="auto" w:sz="4" w:space="0"/>
              <w:right w:val="single" w:color="auto" w:sz="4" w:space="0"/>
            </w:tcBorders>
            <w:noWrap w:val="0"/>
            <w:vAlign w:val="center"/>
          </w:tcPr>
          <w:p w14:paraId="3FCAC01A">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合同签订后</w:t>
            </w:r>
            <w:r>
              <w:rPr>
                <w:rFonts w:hint="eastAsia" w:ascii="新宋体" w:hAnsi="新宋体" w:eastAsia="新宋体" w:cs="新宋体"/>
                <w:color w:val="auto"/>
                <w:sz w:val="22"/>
                <w:szCs w:val="22"/>
                <w:highlight w:val="none"/>
                <w:u w:val="single"/>
              </w:rPr>
              <w:t xml:space="preserve"> 30 </w:t>
            </w:r>
            <w:r>
              <w:rPr>
                <w:rFonts w:hint="eastAsia" w:ascii="新宋体" w:hAnsi="新宋体" w:eastAsia="新宋体" w:cs="新宋体"/>
                <w:color w:val="auto"/>
                <w:sz w:val="22"/>
                <w:szCs w:val="22"/>
                <w:highlight w:val="none"/>
              </w:rPr>
              <w:t>天内交付使用。</w:t>
            </w:r>
          </w:p>
        </w:tc>
      </w:tr>
      <w:tr w14:paraId="63382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87" w:type="dxa"/>
            <w:tcBorders>
              <w:top w:val="single" w:color="auto" w:sz="4" w:space="0"/>
              <w:left w:val="single" w:color="auto" w:sz="4" w:space="0"/>
              <w:bottom w:val="single" w:color="auto" w:sz="4" w:space="0"/>
              <w:right w:val="single" w:color="auto" w:sz="4" w:space="0"/>
            </w:tcBorders>
            <w:noWrap w:val="0"/>
            <w:vAlign w:val="center"/>
          </w:tcPr>
          <w:p w14:paraId="4AF979E0">
            <w:pPr>
              <w:spacing w:line="460" w:lineRule="exact"/>
              <w:jc w:val="center"/>
              <w:rPr>
                <w:rFonts w:ascii="新宋体" w:hAnsi="新宋体" w:eastAsia="新宋体" w:cs="新宋体"/>
                <w:b/>
                <w:bCs/>
                <w:color w:val="auto"/>
                <w:sz w:val="22"/>
                <w:szCs w:val="22"/>
                <w:highlight w:val="none"/>
              </w:rPr>
            </w:pPr>
            <w:r>
              <w:rPr>
                <w:rFonts w:hint="eastAsia" w:ascii="宋体" w:hAnsi="宋体" w:cs="宋体"/>
                <w:b/>
                <w:bCs/>
                <w:color w:val="auto"/>
                <w:sz w:val="22"/>
                <w:highlight w:val="none"/>
              </w:rPr>
              <w:t>交付地点</w:t>
            </w:r>
          </w:p>
        </w:tc>
        <w:tc>
          <w:tcPr>
            <w:tcW w:w="7516" w:type="dxa"/>
            <w:tcBorders>
              <w:top w:val="single" w:color="auto" w:sz="4" w:space="0"/>
              <w:left w:val="single" w:color="auto" w:sz="4" w:space="0"/>
              <w:bottom w:val="single" w:color="auto" w:sz="4" w:space="0"/>
              <w:right w:val="single" w:color="auto" w:sz="4" w:space="0"/>
            </w:tcBorders>
            <w:noWrap w:val="0"/>
            <w:vAlign w:val="center"/>
          </w:tcPr>
          <w:p w14:paraId="07E31FD0">
            <w:pPr>
              <w:pStyle w:val="14"/>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温州职业技术学院指定地点。</w:t>
            </w:r>
          </w:p>
        </w:tc>
      </w:tr>
      <w:tr w14:paraId="5E8AE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1887" w:type="dxa"/>
            <w:tcBorders>
              <w:top w:val="single" w:color="auto" w:sz="4" w:space="0"/>
              <w:left w:val="single" w:color="auto" w:sz="4" w:space="0"/>
              <w:bottom w:val="single" w:color="auto" w:sz="4" w:space="0"/>
              <w:right w:val="single" w:color="auto" w:sz="4" w:space="0"/>
            </w:tcBorders>
            <w:noWrap w:val="0"/>
            <w:vAlign w:val="center"/>
          </w:tcPr>
          <w:p w14:paraId="093D3A65">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服务标准、期限、效率等要求</w:t>
            </w:r>
          </w:p>
        </w:tc>
        <w:tc>
          <w:tcPr>
            <w:tcW w:w="7516" w:type="dxa"/>
            <w:tcBorders>
              <w:top w:val="single" w:color="auto" w:sz="4" w:space="0"/>
              <w:left w:val="single" w:color="auto" w:sz="4" w:space="0"/>
              <w:bottom w:val="single" w:color="auto" w:sz="4" w:space="0"/>
              <w:right w:val="single" w:color="auto" w:sz="4" w:space="0"/>
            </w:tcBorders>
            <w:noWrap w:val="0"/>
            <w:vAlign w:val="center"/>
          </w:tcPr>
          <w:p w14:paraId="3E9B88A8">
            <w:pPr>
              <w:pStyle w:val="14"/>
              <w:spacing w:line="460" w:lineRule="exact"/>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1.投标人需要提供服务实施方案，根据交付时间节点，落实交付时间和人员安排，确保按期交付使用。</w:t>
            </w:r>
          </w:p>
          <w:p w14:paraId="1828C9AA">
            <w:pPr>
              <w:pStyle w:val="14"/>
              <w:spacing w:line="460" w:lineRule="exact"/>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2.售后服务要求：</w:t>
            </w:r>
          </w:p>
          <w:p w14:paraId="46F324B1">
            <w:pPr>
              <w:pStyle w:val="14"/>
              <w:spacing w:line="460" w:lineRule="exact"/>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（1）在质保期内，如在正常使用过程中出现的质量问题，投标人须负责免费维修。</w:t>
            </w:r>
          </w:p>
          <w:p w14:paraId="580AB2EF">
            <w:pPr>
              <w:pStyle w:val="14"/>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（2）投标人需提供24小时售后服务，且维修人员须在接到维修电话后1小时内做出响应，12小时内提供不间断的服务直到修复为止。</w:t>
            </w:r>
          </w:p>
        </w:tc>
      </w:tr>
      <w:tr w14:paraId="608D6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7" w:hRule="atLeast"/>
          <w:jc w:val="center"/>
        </w:trPr>
        <w:tc>
          <w:tcPr>
            <w:tcW w:w="1887" w:type="dxa"/>
            <w:tcBorders>
              <w:top w:val="single" w:color="auto" w:sz="4" w:space="0"/>
              <w:left w:val="single" w:color="auto" w:sz="4" w:space="0"/>
              <w:bottom w:val="single" w:color="auto" w:sz="4" w:space="0"/>
              <w:right w:val="single" w:color="auto" w:sz="4" w:space="0"/>
            </w:tcBorders>
            <w:noWrap w:val="0"/>
            <w:vAlign w:val="center"/>
          </w:tcPr>
          <w:p w14:paraId="3CF41703">
            <w:pPr>
              <w:spacing w:line="460" w:lineRule="exact"/>
              <w:jc w:val="center"/>
              <w:rPr>
                <w:rFonts w:ascii="宋体" w:hAnsi="宋体" w:cs="宋体"/>
                <w:b/>
                <w:bCs/>
                <w:color w:val="auto"/>
                <w:sz w:val="22"/>
                <w:highlight w:val="none"/>
              </w:rPr>
            </w:pPr>
            <w:r>
              <w:rPr>
                <w:rFonts w:hint="eastAsia" w:ascii="宋体" w:hAnsi="宋体" w:cs="宋体"/>
                <w:b/>
                <w:bCs/>
                <w:color w:val="auto"/>
                <w:sz w:val="22"/>
                <w:highlight w:val="none"/>
              </w:rPr>
              <w:t>验收标准</w:t>
            </w:r>
          </w:p>
        </w:tc>
        <w:tc>
          <w:tcPr>
            <w:tcW w:w="7516" w:type="dxa"/>
            <w:tcBorders>
              <w:top w:val="single" w:color="auto" w:sz="4" w:space="0"/>
              <w:left w:val="single" w:color="auto" w:sz="4" w:space="0"/>
              <w:bottom w:val="single" w:color="auto" w:sz="4" w:space="0"/>
              <w:right w:val="single" w:color="auto" w:sz="4" w:space="0"/>
            </w:tcBorders>
            <w:noWrap w:val="0"/>
            <w:vAlign w:val="center"/>
          </w:tcPr>
          <w:p w14:paraId="641A3736">
            <w:pPr>
              <w:pStyle w:val="14"/>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1.验收标准应符合中国有关的国家、地方、行业的标准。</w:t>
            </w:r>
          </w:p>
          <w:p w14:paraId="101D5817">
            <w:pPr>
              <w:pStyle w:val="14"/>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2.由采购人组织专家和用户代表或第三方机构，按照招标文件、合同条款、软件工程要求和实际应用效果对项目进行验收，因投标人原因导致验收未一次性通过，后期验收产生费用需由投标人承担。</w:t>
            </w:r>
          </w:p>
          <w:p w14:paraId="41C0A89D">
            <w:pPr>
              <w:pStyle w:val="14"/>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3.验收时投标人应在现场，验收完毕后作出验收结果报告。</w:t>
            </w:r>
          </w:p>
          <w:p w14:paraId="4EDA1BEB">
            <w:pPr>
              <w:pStyle w:val="14"/>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4.运行结果符合产品标准和技术规格及合同要求。</w:t>
            </w:r>
          </w:p>
        </w:tc>
      </w:tr>
      <w:tr w14:paraId="3F1BA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887" w:type="dxa"/>
            <w:tcBorders>
              <w:top w:val="single" w:color="auto" w:sz="4" w:space="0"/>
              <w:left w:val="single" w:color="auto" w:sz="4" w:space="0"/>
              <w:bottom w:val="single" w:color="auto" w:sz="4" w:space="0"/>
              <w:right w:val="single" w:color="auto" w:sz="4" w:space="0"/>
            </w:tcBorders>
            <w:noWrap w:val="0"/>
            <w:vAlign w:val="center"/>
          </w:tcPr>
          <w:p w14:paraId="7B113D35">
            <w:pPr>
              <w:spacing w:line="460" w:lineRule="exact"/>
              <w:jc w:val="center"/>
              <w:rPr>
                <w:rFonts w:hint="default" w:ascii="宋体" w:hAnsi="宋体" w:eastAsia="宋体" w:cs="宋体"/>
                <w:b/>
                <w:bCs/>
                <w:color w:val="auto"/>
                <w:sz w:val="22"/>
                <w:highlight w:val="none"/>
                <w:lang w:val="en-US" w:eastAsia="zh-CN"/>
              </w:rPr>
            </w:pPr>
            <w:r>
              <w:rPr>
                <w:rFonts w:hint="eastAsia" w:ascii="宋体" w:hAnsi="宋体" w:cs="宋体"/>
                <w:color w:val="auto"/>
                <w:sz w:val="22"/>
                <w:highlight w:val="none"/>
                <w:u w:val="single"/>
              </w:rPr>
              <w:t>▲</w:t>
            </w:r>
            <w:r>
              <w:rPr>
                <w:rFonts w:hint="eastAsia" w:ascii="宋体" w:hAnsi="宋体" w:cs="宋体"/>
                <w:b/>
                <w:bCs/>
                <w:color w:val="auto"/>
                <w:sz w:val="22"/>
                <w:highlight w:val="none"/>
                <w:u w:val="single"/>
                <w:lang w:val="en-US" w:eastAsia="zh-CN"/>
              </w:rPr>
              <w:t>其他要求</w:t>
            </w:r>
          </w:p>
        </w:tc>
        <w:tc>
          <w:tcPr>
            <w:tcW w:w="7516" w:type="dxa"/>
            <w:tcBorders>
              <w:top w:val="single" w:color="auto" w:sz="4" w:space="0"/>
              <w:left w:val="single" w:color="auto" w:sz="4" w:space="0"/>
              <w:bottom w:val="single" w:color="auto" w:sz="4" w:space="0"/>
              <w:right w:val="single" w:color="auto" w:sz="4" w:space="0"/>
            </w:tcBorders>
            <w:noWrap w:val="0"/>
            <w:vAlign w:val="center"/>
          </w:tcPr>
          <w:p w14:paraId="60D4D790">
            <w:pPr>
              <w:pStyle w:val="14"/>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u w:val="single"/>
                <w:lang w:val="en-US" w:eastAsia="zh-CN"/>
              </w:rPr>
              <w:t>投标</w:t>
            </w:r>
            <w:r>
              <w:rPr>
                <w:rFonts w:hint="eastAsia" w:ascii="新宋体" w:hAnsi="新宋体" w:eastAsia="新宋体" w:cs="新宋体"/>
                <w:b/>
                <w:bCs/>
                <w:color w:val="auto"/>
                <w:sz w:val="22"/>
                <w:szCs w:val="22"/>
                <w:highlight w:val="none"/>
                <w:u w:val="single"/>
              </w:rPr>
              <w:t>人提供</w:t>
            </w:r>
            <w:r>
              <w:rPr>
                <w:rFonts w:hint="eastAsia" w:ascii="新宋体" w:hAnsi="新宋体" w:eastAsia="新宋体" w:cs="新宋体"/>
                <w:b/>
                <w:bCs/>
                <w:color w:val="auto"/>
                <w:sz w:val="22"/>
                <w:szCs w:val="22"/>
                <w:highlight w:val="none"/>
                <w:u w:val="single"/>
                <w:lang w:val="en-US" w:eastAsia="zh-CN"/>
              </w:rPr>
              <w:t>本</w:t>
            </w:r>
            <w:r>
              <w:rPr>
                <w:rFonts w:hint="eastAsia" w:ascii="新宋体" w:hAnsi="新宋体" w:eastAsia="新宋体" w:cs="新宋体"/>
                <w:b/>
                <w:bCs/>
                <w:color w:val="auto"/>
                <w:sz w:val="22"/>
                <w:szCs w:val="22"/>
                <w:highlight w:val="none"/>
                <w:u w:val="single"/>
              </w:rPr>
              <w:t>项目所需的硬件</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rPr>
              <w:t>软件</w:t>
            </w:r>
            <w:r>
              <w:rPr>
                <w:rFonts w:hint="eastAsia" w:ascii="新宋体" w:hAnsi="新宋体" w:eastAsia="新宋体" w:cs="新宋体"/>
                <w:b/>
                <w:bCs/>
                <w:color w:val="auto"/>
                <w:sz w:val="22"/>
                <w:szCs w:val="22"/>
                <w:highlight w:val="none"/>
                <w:u w:val="single"/>
                <w:lang w:val="en-US" w:eastAsia="zh-CN"/>
              </w:rPr>
              <w:t>须</w:t>
            </w:r>
            <w:r>
              <w:rPr>
                <w:rFonts w:hint="eastAsia" w:ascii="新宋体" w:hAnsi="新宋体" w:eastAsia="新宋体" w:cs="新宋体"/>
                <w:b/>
                <w:bCs/>
                <w:color w:val="auto"/>
                <w:sz w:val="22"/>
                <w:szCs w:val="22"/>
                <w:highlight w:val="none"/>
                <w:u w:val="single"/>
              </w:rPr>
              <w:t>符合国家、部门、行业相关技术标准，且不侵犯任何第三方包括但不限于知识产权等任何权益</w:t>
            </w:r>
            <w:r>
              <w:rPr>
                <w:rFonts w:hint="eastAsia" w:ascii="新宋体" w:hAnsi="新宋体" w:eastAsia="新宋体" w:cs="新宋体"/>
                <w:b/>
                <w:bCs/>
                <w:color w:val="auto"/>
                <w:sz w:val="22"/>
                <w:szCs w:val="22"/>
                <w:highlight w:val="none"/>
                <w:u w:val="single"/>
                <w:lang w:eastAsia="zh-CN"/>
              </w:rPr>
              <w:t>。</w:t>
            </w:r>
            <w:r>
              <w:rPr>
                <w:rFonts w:hint="eastAsia" w:ascii="新宋体" w:hAnsi="新宋体" w:eastAsia="新宋体" w:cs="新宋体"/>
                <w:b/>
                <w:bCs/>
                <w:color w:val="auto"/>
                <w:sz w:val="22"/>
                <w:szCs w:val="22"/>
                <w:highlight w:val="none"/>
                <w:u w:val="single"/>
                <w:lang w:val="en-US" w:eastAsia="zh-CN"/>
              </w:rPr>
              <w:t>投标人</w:t>
            </w:r>
            <w:r>
              <w:rPr>
                <w:rFonts w:hint="eastAsia" w:ascii="新宋体" w:hAnsi="新宋体" w:eastAsia="新宋体" w:cs="新宋体"/>
                <w:b/>
                <w:bCs/>
                <w:color w:val="auto"/>
                <w:sz w:val="22"/>
                <w:szCs w:val="22"/>
                <w:highlight w:val="none"/>
                <w:u w:val="single"/>
                <w:lang w:eastAsia="zh-CN"/>
              </w:rPr>
              <w:t>没有履行上述义务造成</w:t>
            </w:r>
            <w:r>
              <w:rPr>
                <w:rFonts w:hint="eastAsia" w:ascii="新宋体" w:hAnsi="新宋体" w:eastAsia="新宋体" w:cs="新宋体"/>
                <w:b/>
                <w:bCs/>
                <w:color w:val="auto"/>
                <w:sz w:val="22"/>
                <w:szCs w:val="22"/>
                <w:highlight w:val="none"/>
                <w:u w:val="single"/>
                <w:lang w:val="en-US" w:eastAsia="zh-CN"/>
              </w:rPr>
              <w:t>采购人</w:t>
            </w:r>
            <w:r>
              <w:rPr>
                <w:rFonts w:hint="eastAsia" w:ascii="新宋体" w:hAnsi="新宋体" w:eastAsia="新宋体" w:cs="新宋体"/>
                <w:b/>
                <w:bCs/>
                <w:color w:val="auto"/>
                <w:sz w:val="22"/>
                <w:szCs w:val="22"/>
                <w:highlight w:val="none"/>
                <w:u w:val="single"/>
                <w:lang w:eastAsia="zh-CN"/>
              </w:rPr>
              <w:t>被第三方追责或损失的，所有责任与损失均由</w:t>
            </w:r>
            <w:r>
              <w:rPr>
                <w:rFonts w:hint="eastAsia" w:ascii="新宋体" w:hAnsi="新宋体" w:eastAsia="新宋体" w:cs="新宋体"/>
                <w:b/>
                <w:bCs/>
                <w:color w:val="auto"/>
                <w:sz w:val="22"/>
                <w:szCs w:val="22"/>
                <w:highlight w:val="none"/>
                <w:u w:val="single"/>
                <w:lang w:val="en-US" w:eastAsia="zh-CN"/>
              </w:rPr>
              <w:t>投标人</w:t>
            </w:r>
            <w:r>
              <w:rPr>
                <w:rFonts w:hint="eastAsia" w:ascii="新宋体" w:hAnsi="新宋体" w:eastAsia="新宋体" w:cs="新宋体"/>
                <w:b/>
                <w:bCs/>
                <w:color w:val="auto"/>
                <w:sz w:val="22"/>
                <w:szCs w:val="22"/>
                <w:highlight w:val="none"/>
                <w:u w:val="single"/>
                <w:lang w:eastAsia="zh-CN"/>
              </w:rPr>
              <w:t>承担。</w:t>
            </w:r>
          </w:p>
        </w:tc>
      </w:tr>
    </w:tbl>
    <w:p w14:paraId="5504EA81">
      <w:pPr>
        <w:snapToGrid w:val="0"/>
        <w:spacing w:line="460" w:lineRule="exact"/>
        <w:rPr>
          <w:rFonts w:hint="eastAsia" w:ascii="新宋体" w:hAnsi="新宋体" w:eastAsia="新宋体" w:cs="新宋体"/>
          <w:b/>
          <w:bCs/>
          <w:color w:val="auto"/>
          <w:spacing w:val="-6"/>
          <w:sz w:val="22"/>
          <w:szCs w:val="22"/>
          <w:highlight w:val="none"/>
        </w:rPr>
        <w:sectPr>
          <w:headerReference r:id="rId11" w:type="default"/>
          <w:footerReference r:id="rId12" w:type="default"/>
          <w:pgSz w:w="11906" w:h="16838"/>
          <w:pgMar w:top="1134" w:right="1134" w:bottom="1134" w:left="1134" w:header="851" w:footer="992" w:gutter="0"/>
          <w:cols w:space="720" w:num="1"/>
          <w:docGrid w:linePitch="312" w:charSpace="0"/>
        </w:sectPr>
      </w:pPr>
      <w:r>
        <w:rPr>
          <w:rFonts w:hint="eastAsia" w:ascii="新宋体" w:hAnsi="新宋体" w:eastAsia="新宋体" w:cs="新宋体"/>
          <w:b/>
          <w:bCs/>
          <w:color w:val="auto"/>
          <w:spacing w:val="-6"/>
          <w:sz w:val="22"/>
          <w:szCs w:val="22"/>
          <w:highlight w:val="none"/>
        </w:rPr>
        <w:br w:type="page"/>
      </w:r>
    </w:p>
    <w:p w14:paraId="030EB4D2">
      <w:pPr>
        <w:snapToGrid w:val="0"/>
        <w:spacing w:line="460" w:lineRule="exact"/>
        <w:rPr>
          <w:rFonts w:ascii="新宋体" w:hAnsi="新宋体" w:eastAsia="新宋体" w:cs="新宋体"/>
          <w:b/>
          <w:bCs/>
          <w:color w:val="auto"/>
          <w:spacing w:val="-6"/>
          <w:sz w:val="22"/>
          <w:szCs w:val="22"/>
          <w:highlight w:val="none"/>
        </w:rPr>
      </w:pPr>
      <w:r>
        <w:rPr>
          <w:rFonts w:hint="eastAsia" w:ascii="新宋体" w:hAnsi="新宋体" w:eastAsia="新宋体" w:cs="新宋体"/>
          <w:b/>
          <w:bCs/>
          <w:color w:val="auto"/>
          <w:spacing w:val="-6"/>
          <w:sz w:val="22"/>
          <w:szCs w:val="22"/>
          <w:highlight w:val="none"/>
        </w:rPr>
        <w:t>四、技术参数(立式加工中心)</w:t>
      </w:r>
    </w:p>
    <w:tbl>
      <w:tblPr>
        <w:tblStyle w:val="40"/>
        <w:tblW w:w="14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161"/>
        <w:gridCol w:w="11662"/>
        <w:gridCol w:w="735"/>
        <w:gridCol w:w="720"/>
      </w:tblGrid>
      <w:tr w14:paraId="3191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top"/>
          </w:tcPr>
          <w:p w14:paraId="08158D96">
            <w:pPr>
              <w:spacing w:line="460" w:lineRule="exact"/>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序号</w:t>
            </w:r>
          </w:p>
        </w:tc>
        <w:tc>
          <w:tcPr>
            <w:tcW w:w="1161" w:type="dxa"/>
            <w:noWrap w:val="0"/>
            <w:vAlign w:val="top"/>
          </w:tcPr>
          <w:p w14:paraId="7677F9A6">
            <w:pPr>
              <w:spacing w:line="460" w:lineRule="exact"/>
              <w:rPr>
                <w:rFonts w:hint="default"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设备名称</w:t>
            </w:r>
          </w:p>
        </w:tc>
        <w:tc>
          <w:tcPr>
            <w:tcW w:w="11662" w:type="dxa"/>
            <w:noWrap w:val="0"/>
            <w:vAlign w:val="top"/>
          </w:tcPr>
          <w:p w14:paraId="27409C52">
            <w:pPr>
              <w:spacing w:line="460" w:lineRule="exact"/>
              <w:rPr>
                <w:rFonts w:hint="default"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设备内容及技术参数</w:t>
            </w:r>
          </w:p>
        </w:tc>
        <w:tc>
          <w:tcPr>
            <w:tcW w:w="735" w:type="dxa"/>
            <w:noWrap w:val="0"/>
            <w:vAlign w:val="top"/>
          </w:tcPr>
          <w:p w14:paraId="0D978E73">
            <w:pPr>
              <w:spacing w:line="460" w:lineRule="exact"/>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数量</w:t>
            </w:r>
          </w:p>
        </w:tc>
        <w:tc>
          <w:tcPr>
            <w:tcW w:w="720" w:type="dxa"/>
            <w:noWrap w:val="0"/>
            <w:vAlign w:val="top"/>
          </w:tcPr>
          <w:p w14:paraId="63976100">
            <w:pPr>
              <w:spacing w:line="460" w:lineRule="exact"/>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备注</w:t>
            </w:r>
          </w:p>
        </w:tc>
      </w:tr>
      <w:tr w14:paraId="4893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top"/>
          </w:tcPr>
          <w:p w14:paraId="1307C151">
            <w:pPr>
              <w:spacing w:line="460" w:lineRule="exact"/>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1</w:t>
            </w:r>
          </w:p>
        </w:tc>
        <w:tc>
          <w:tcPr>
            <w:tcW w:w="1161" w:type="dxa"/>
            <w:noWrap w:val="0"/>
            <w:vAlign w:val="top"/>
          </w:tcPr>
          <w:p w14:paraId="59EB6A4A">
            <w:pPr>
              <w:spacing w:line="460" w:lineRule="exact"/>
              <w:rPr>
                <w:rFonts w:hint="default"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主控制柜</w:t>
            </w:r>
          </w:p>
        </w:tc>
        <w:tc>
          <w:tcPr>
            <w:tcW w:w="11662" w:type="dxa"/>
            <w:noWrap w:val="0"/>
            <w:vAlign w:val="top"/>
          </w:tcPr>
          <w:p w14:paraId="34D5205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一、总体要求</w:t>
            </w:r>
          </w:p>
          <w:p w14:paraId="34F9907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电气控制与故障诊断分析单元是一套高端、综合性的智能制造培训系统，集成了数控控制台、数控系统单元、伺服进给单元、机床控制电路单元、变压器单元、航空接插件单元、PLC实训单元等核心组件。设备在设计和制造过程中要求严格遵循国家标准和赛项要求。其特点包括：</w:t>
            </w:r>
          </w:p>
          <w:p w14:paraId="278FF422">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1、标准性：系统设计与制造完全符合国家电气设备相关安全标准，严格遵循赛项规范，保证培训过程中的准确性、一致性和安全性。所有组件均经过严谨测试，确保高质量的培训效果和可靠的操作性能。</w:t>
            </w:r>
          </w:p>
          <w:p w14:paraId="17D038A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2、智能化设计：系统配备了先进的智能控制技术，包括实时数据监测、自动故障诊断和智能化优化功能。</w:t>
            </w:r>
          </w:p>
          <w:p w14:paraId="15D53426">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开放性设计，拓展性强：模块化结构设计使得系统具备极高的灵活性和拓展性。用户可以根据实际需求进行拓展，支持未来硬件和功能的升级扩展，方便与其他系统和技术进行集成，适应不断变化的技术要求和培训需求。</w:t>
            </w:r>
          </w:p>
          <w:p w14:paraId="4ABAD22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融合最新技术，综合性强：系统融合了数控技术、伺服控制技术、PLC编程、智能装备技术等前沿科技，构建了一个多功能、高度集成的培训平台。它不仅支持数控机床编程与操作、PMC程序设计与应用，还涵盖智能装备故障诊断与维修、智能制造单元集成调试等核心课程，为学员提供了全面的技术培训解决方案。</w:t>
            </w:r>
          </w:p>
          <w:p w14:paraId="197508D6">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5、</w:t>
            </w:r>
            <w:r>
              <w:rPr>
                <w:rFonts w:ascii="新宋体" w:hAnsi="新宋体" w:eastAsia="新宋体" w:cs="新宋体"/>
                <w:color w:val="auto"/>
                <w:sz w:val="22"/>
                <w:szCs w:val="22"/>
                <w:highlight w:val="none"/>
                <w:vertAlign w:val="baseline"/>
              </w:rPr>
              <w:t>该设备要求能够进行数控机床的安装调试、参数设置、伺服性能优化、数据备份、机床升级改造、功能开发、故障诊断与维修等高难度实训项目。</w:t>
            </w:r>
          </w:p>
          <w:p w14:paraId="69CED4D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b/>
                <w:bCs/>
                <w:color w:val="auto"/>
                <w:sz w:val="22"/>
                <w:szCs w:val="22"/>
                <w:highlight w:val="none"/>
                <w:u w:val="single"/>
                <w:vertAlign w:val="baseline"/>
              </w:rPr>
              <w:t>▲</w:t>
            </w:r>
            <w:r>
              <w:rPr>
                <w:rFonts w:hint="eastAsia" w:ascii="新宋体" w:hAnsi="新宋体" w:eastAsia="新宋体" w:cs="新宋体"/>
                <w:b/>
                <w:bCs/>
                <w:color w:val="auto"/>
                <w:sz w:val="22"/>
                <w:szCs w:val="22"/>
                <w:highlight w:val="none"/>
                <w:u w:val="single"/>
                <w:vertAlign w:val="baseline"/>
                <w:lang w:val="en-US" w:eastAsia="zh-CN"/>
              </w:rPr>
              <w:t>6、</w:t>
            </w:r>
            <w:r>
              <w:rPr>
                <w:rFonts w:ascii="新宋体" w:hAnsi="新宋体" w:eastAsia="新宋体" w:cs="新宋体"/>
                <w:b/>
                <w:bCs/>
                <w:color w:val="auto"/>
                <w:sz w:val="22"/>
                <w:szCs w:val="22"/>
                <w:highlight w:val="none"/>
                <w:u w:val="single"/>
                <w:vertAlign w:val="baseline"/>
              </w:rPr>
              <w:t>不仅能够满足各类职业院校与行业企业的技能竞赛需求，还符合机床装调维修工及数控设备维护与维修的技能等级认证要求，全面覆盖新专业目录中的智能制造装备技术课程。</w:t>
            </w:r>
          </w:p>
          <w:p w14:paraId="4D2B653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二、主要技术性能指标</w:t>
            </w:r>
          </w:p>
          <w:p w14:paraId="0F977D3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工作电源：三相五线380V±10％-50Hz；</w:t>
            </w:r>
          </w:p>
          <w:p w14:paraId="707DB7A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额定功率：≥15kW；</w:t>
            </w:r>
          </w:p>
          <w:p w14:paraId="184884C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安全保护功能：带有急停按钮、漏电保护、过流保护等用电安全保护功能；</w:t>
            </w:r>
          </w:p>
          <w:p w14:paraId="6306511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环境湿度：≤90%；</w:t>
            </w:r>
          </w:p>
          <w:p w14:paraId="106AD4D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环境温度：－15℃~50℃。</w:t>
            </w:r>
          </w:p>
          <w:p w14:paraId="59D8575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三、整体参数</w:t>
            </w:r>
          </w:p>
          <w:p w14:paraId="33F9CDF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w:t>
            </w:r>
            <w:r>
              <w:rPr>
                <w:rFonts w:hint="eastAsia" w:ascii="新宋体" w:hAnsi="新宋体" w:eastAsia="新宋体" w:cs="新宋体"/>
                <w:color w:val="auto"/>
                <w:sz w:val="22"/>
                <w:szCs w:val="22"/>
                <w:highlight w:val="none"/>
                <w:vertAlign w:val="baseline"/>
                <w:lang w:val="en-US" w:eastAsia="zh-CN"/>
              </w:rPr>
              <w:t>、</w:t>
            </w:r>
            <w:r>
              <w:rPr>
                <w:rFonts w:ascii="新宋体" w:hAnsi="新宋体" w:eastAsia="新宋体" w:cs="新宋体"/>
                <w:color w:val="auto"/>
                <w:sz w:val="22"/>
                <w:szCs w:val="22"/>
                <w:highlight w:val="none"/>
                <w:vertAlign w:val="baseline"/>
              </w:rPr>
              <w:t>数控系统：fanuc 0i mf plus</w:t>
            </w:r>
          </w:p>
          <w:p w14:paraId="10FDEB0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1）最多控制 5 轴（进给轴）</w:t>
            </w:r>
          </w:p>
          <w:p w14:paraId="5506748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 ≥10.4 ″LCD/MDI（横置）</w:t>
            </w:r>
          </w:p>
          <w:p w14:paraId="6DC5605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3）智能伺服控制，实时优化控制</w:t>
            </w:r>
          </w:p>
          <w:p w14:paraId="4EC82722">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4）表面精细处理技术、高品位加工</w:t>
            </w:r>
          </w:p>
          <w:p w14:paraId="618ADBE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5）高效加工技术，缩短加工时间</w:t>
            </w:r>
          </w:p>
          <w:p w14:paraId="4873D50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6）工业网络支持，支持超过10种现场网络</w:t>
            </w:r>
          </w:p>
          <w:p w14:paraId="073FA7A4">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7）预防性维护功能</w:t>
            </w:r>
          </w:p>
          <w:p w14:paraId="7EF5F36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8）纳米插补功能</w:t>
            </w:r>
          </w:p>
          <w:p w14:paraId="1EC25BB3">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9）伺服HRV+控制</w:t>
            </w:r>
          </w:p>
          <w:p w14:paraId="4CE0E4B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10）高效加工设定，可单触设定的高效加工设定</w:t>
            </w:r>
          </w:p>
          <w:p w14:paraId="4A58D06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11）智能进给轴加减速，通过jaim估算自动调整加速/减速</w:t>
            </w:r>
          </w:p>
          <w:p w14:paraId="56F434E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12）智能刚性攻丝，在加减速中发挥主轴最大能力的高速刚性攻丝</w:t>
            </w:r>
          </w:p>
          <w:p w14:paraId="3EC0EF4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驱动器电源：</w:t>
            </w:r>
          </w:p>
          <w:p w14:paraId="36141F86">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 额定连续输出： ≥15KW</w:t>
            </w:r>
          </w:p>
          <w:p w14:paraId="12C45DF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 额定 30min 输出： ≥1</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KW</w:t>
            </w:r>
          </w:p>
          <w:p w14:paraId="6D9AB8E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 峰值最大输出： ≥5</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KW</w:t>
            </w:r>
          </w:p>
          <w:p w14:paraId="330127A2">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 动力电源输入容量： ≥2</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KVA</w:t>
            </w:r>
          </w:p>
          <w:p w14:paraId="1DC3FED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 控制电源：DC24±10%/0.5</w:t>
            </w:r>
          </w:p>
          <w:p w14:paraId="4840CED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6) 环境温度：0～55℃</w:t>
            </w:r>
          </w:p>
          <w:p w14:paraId="1151625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7) 环境湿度：90%RH 及以下</w:t>
            </w:r>
          </w:p>
          <w:p w14:paraId="0BCD052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8) 环境振动：不超过0.5G</w:t>
            </w:r>
          </w:p>
          <w:p w14:paraId="761007C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9) 防护等级：≥IP54</w:t>
            </w:r>
          </w:p>
          <w:p w14:paraId="5934D15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主轴驱动器：</w:t>
            </w:r>
          </w:p>
          <w:p w14:paraId="2E555F3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 额定输出电流：6</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Arms</w:t>
            </w:r>
          </w:p>
          <w:p w14:paraId="443DB78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 驱动电压：220V</w:t>
            </w:r>
          </w:p>
          <w:p w14:paraId="39D0EFD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 xml:space="preserve"> X/Y 轴伺服驱动器：</w:t>
            </w:r>
          </w:p>
          <w:p w14:paraId="2472973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 额定输出电流： ≥1</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/2</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Arms</w:t>
            </w:r>
          </w:p>
          <w:p w14:paraId="3B3F20B6">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 峰值输出电流： ≥40/80Apeak</w:t>
            </w:r>
          </w:p>
          <w:p w14:paraId="7687A42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 支持 HRV2/HRV3/HRV4</w:t>
            </w:r>
          </w:p>
          <w:p w14:paraId="7C7B8912">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 xml:space="preserve"> Z 轴伺服驱动器：</w:t>
            </w:r>
          </w:p>
          <w:p w14:paraId="50CA625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 额定输出电流： ≥22.5Arms</w:t>
            </w:r>
          </w:p>
          <w:p w14:paraId="48BD99C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 峰值输出电流： ≥80Apeak</w:t>
            </w:r>
          </w:p>
          <w:p w14:paraId="4E699FD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 支持 HRV2/HRV3/HRV4</w:t>
            </w:r>
          </w:p>
          <w:p w14:paraId="683D877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6</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 xml:space="preserve"> X/Y 轴伺服电机：</w:t>
            </w:r>
          </w:p>
          <w:p w14:paraId="464C5912">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 额定转速： ≥2000r/min</w:t>
            </w:r>
          </w:p>
          <w:p w14:paraId="68FC009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 最高转速： ≥3000r/min</w:t>
            </w:r>
          </w:p>
          <w:p w14:paraId="74A6DA5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 额定功率： ≥1.8kW</w:t>
            </w:r>
          </w:p>
          <w:p w14:paraId="1CA0AC2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 堵转扭矩： ≥1</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Nm</w:t>
            </w:r>
          </w:p>
          <w:p w14:paraId="3F730B4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 最大转矩： ≥2</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Nm</w:t>
            </w:r>
          </w:p>
          <w:p w14:paraId="024E396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6) 旋转惯量：0.002 kgm2  (±2%）</w:t>
            </w:r>
          </w:p>
          <w:p w14:paraId="52FEED6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7</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 xml:space="preserve"> Z 轴伺服电机：（带抱闸）</w:t>
            </w:r>
          </w:p>
          <w:p w14:paraId="7301F73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 额定转速： ≥2000r/min</w:t>
            </w:r>
          </w:p>
          <w:p w14:paraId="629B75E4">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 最高转速： ≥3000r/min</w:t>
            </w:r>
          </w:p>
          <w:p w14:paraId="07EE8EB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 额定功率： ≥3kW</w:t>
            </w:r>
          </w:p>
          <w:p w14:paraId="1E32A19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 堵转扭矩： ≥20Nm</w:t>
            </w:r>
          </w:p>
          <w:p w14:paraId="63E80A7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 最大转矩： ≥45Nm</w:t>
            </w:r>
          </w:p>
          <w:p w14:paraId="1C002C7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6) 旋转惯量：0.005 kgm2  (±2%）</w:t>
            </w:r>
          </w:p>
          <w:p w14:paraId="1EFD4A6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8</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 xml:space="preserve"> 主轴伺服电机：</w:t>
            </w:r>
          </w:p>
          <w:p w14:paraId="5024471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 额定功率： ≥7.5kW</w:t>
            </w:r>
          </w:p>
          <w:p w14:paraId="7DDCF3FF">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 最大功率： ≥1</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kW</w:t>
            </w:r>
          </w:p>
          <w:p w14:paraId="4B381144">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 加速时最大功率： ≥12kW</w:t>
            </w:r>
          </w:p>
          <w:p w14:paraId="0D4C30C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 额定功率基本速度： ≥2000r/min</w:t>
            </w:r>
          </w:p>
          <w:p w14:paraId="32BEF39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 额定功率上限速度： ≥4500 r/min</w:t>
            </w:r>
          </w:p>
          <w:p w14:paraId="7CBEB31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6) 最高转速： ≥12000 r/min</w:t>
            </w:r>
          </w:p>
          <w:p w14:paraId="3F71A27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7) 连续额定扭矩： ≥35Nm</w:t>
            </w:r>
          </w:p>
          <w:p w14:paraId="1BA4C88F">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8) 旋转惯量：0.01</w:t>
            </w:r>
            <w:r>
              <w:rPr>
                <w:rFonts w:hint="eastAsia" w:ascii="新宋体" w:hAnsi="新宋体" w:eastAsia="新宋体" w:cs="新宋体"/>
                <w:color w:val="auto"/>
                <w:sz w:val="22"/>
                <w:szCs w:val="22"/>
                <w:highlight w:val="none"/>
                <w:vertAlign w:val="baseline"/>
                <w:lang w:val="en-US" w:eastAsia="zh-CN"/>
              </w:rPr>
              <w:t>8</w:t>
            </w:r>
            <w:r>
              <w:rPr>
                <w:rFonts w:ascii="新宋体" w:hAnsi="新宋体" w:eastAsia="新宋体" w:cs="新宋体"/>
                <w:color w:val="auto"/>
                <w:sz w:val="22"/>
                <w:szCs w:val="22"/>
                <w:highlight w:val="none"/>
                <w:vertAlign w:val="baseline"/>
              </w:rPr>
              <w:t xml:space="preserve"> kgm2  (±2%）</w:t>
            </w:r>
          </w:p>
          <w:p w14:paraId="5B0ECC7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9</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 xml:space="preserve"> 分离型检测器：</w:t>
            </w:r>
          </w:p>
          <w:p w14:paraId="28CDBA93">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 接收 TTL 方波信号、1VPP 模拟信号接口</w:t>
            </w:r>
          </w:p>
          <w:p w14:paraId="1A7B5522">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 xml:space="preserve">2) 可连接编码器数量：4 </w:t>
            </w:r>
          </w:p>
          <w:p w14:paraId="03BA3406">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10</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I/O 单元两台</w:t>
            </w:r>
          </w:p>
          <w:p w14:paraId="0D1E3626">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 支持 I/O link i</w:t>
            </w:r>
          </w:p>
          <w:p w14:paraId="58D9EE3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 数字量输入信号数量： ≥96</w:t>
            </w:r>
          </w:p>
          <w:p w14:paraId="0379698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 数字量输出信号数量： ≥64</w:t>
            </w:r>
          </w:p>
          <w:p w14:paraId="29A7097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 具备手轮接口</w:t>
            </w:r>
          </w:p>
          <w:p w14:paraId="3F9D3E46">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 供电电源输入规格：最高 24V DC 2.1A</w:t>
            </w:r>
          </w:p>
          <w:p w14:paraId="5FED6E7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6) 数字量输入电源规格：24V DC 7.3mA/P</w:t>
            </w:r>
          </w:p>
          <w:p w14:paraId="7A30E03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7) 数字量输出电源规格：24V DC 0.2A/P</w:t>
            </w:r>
          </w:p>
          <w:p w14:paraId="59911AD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11</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整体结构要求：</w:t>
            </w:r>
          </w:p>
          <w:p w14:paraId="28631CE7">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w:t>
            </w:r>
            <w:r>
              <w:rPr>
                <w:rFonts w:ascii="新宋体" w:hAnsi="新宋体" w:eastAsia="新宋体" w:cs="新宋体"/>
                <w:color w:val="auto"/>
                <w:sz w:val="22"/>
                <w:szCs w:val="22"/>
                <w:highlight w:val="none"/>
                <w:vertAlign w:val="baseline"/>
              </w:rPr>
              <w:t>电气控制与故障诊断分析单元由骨架、侧视窗门、系统安装板、PLC 信号点测试安装板、驱动安装板、元器件安装网孔板、元器件辅助安装板、驱动器视窗门、元器件视窗门、变压器安全防护罩、滚轮。</w:t>
            </w:r>
          </w:p>
          <w:p w14:paraId="4808CB1B">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2）</w:t>
            </w:r>
            <w:r>
              <w:rPr>
                <w:rFonts w:ascii="新宋体" w:hAnsi="新宋体" w:eastAsia="新宋体" w:cs="新宋体"/>
                <w:color w:val="auto"/>
                <w:sz w:val="22"/>
                <w:szCs w:val="22"/>
                <w:highlight w:val="none"/>
                <w:vertAlign w:val="baseline"/>
              </w:rPr>
              <w:t>整体外形尺寸≤850mm×800mm×1750mm（长×宽×高），包含有顶框、C型立柱、内围框、C型横档、变压器安装底板。顶框要求采用≥2.0mm厚的冷轧钢板折弯成型，为了保证设备的防尘效果及控制柜内的通风效果，顶框上要求焊接有一个内围框，内围框两面要求采用百叶窗的设计。为保证设备整体强度，C型立柱、内围框要求采用≥2.0mm的冷轧钢板折弯成型。变压器安装底板的外形尺寸≥850mm×800mm×40mm（长×宽×高），要求采用厚度≥2.0mm的钣金折弯而成，底板背面要求有加强筋加固。</w:t>
            </w:r>
          </w:p>
          <w:p w14:paraId="185646C7">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3）</w:t>
            </w:r>
            <w:r>
              <w:rPr>
                <w:rFonts w:ascii="新宋体" w:hAnsi="新宋体" w:eastAsia="新宋体" w:cs="新宋体"/>
                <w:color w:val="auto"/>
                <w:sz w:val="22"/>
                <w:szCs w:val="22"/>
                <w:highlight w:val="none"/>
                <w:vertAlign w:val="baseline"/>
              </w:rPr>
              <w:t>系统安装板的外形尺寸≥850mm×43</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mm×2</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mm（长×宽×高），要求开有数控系统、控制子面板、控制子面板、斗笠式刀库信号点测试板的安装孔位。系统安装板两侧要求配备两个木胶拉手。系统安装板要求设计成开关门形式，开合程度≥ 135°,方便学生检测、维修数控系统和操作面板。</w:t>
            </w:r>
          </w:p>
          <w:p w14:paraId="46751218">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4）</w:t>
            </w:r>
            <w:r>
              <w:rPr>
                <w:rFonts w:ascii="新宋体" w:hAnsi="新宋体" w:eastAsia="新宋体" w:cs="新宋体"/>
                <w:color w:val="auto"/>
                <w:sz w:val="22"/>
                <w:szCs w:val="22"/>
                <w:highlight w:val="none"/>
                <w:vertAlign w:val="baseline"/>
              </w:rPr>
              <w:t>PLC信号点测试安装板的外形尺寸≥ 850mm×26</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mm×2</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mm，安装板上要求设有手持式编码器挂钩、触摸屏、开关、指纹模块安装盒、PLC 信号测试板。</w:t>
            </w:r>
          </w:p>
          <w:p w14:paraId="2E6DEEA0">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5）</w:t>
            </w:r>
            <w:r>
              <w:rPr>
                <w:rFonts w:ascii="新宋体" w:hAnsi="新宋体" w:eastAsia="新宋体" w:cs="新宋体"/>
                <w:color w:val="auto"/>
                <w:sz w:val="22"/>
                <w:szCs w:val="22"/>
                <w:highlight w:val="none"/>
                <w:vertAlign w:val="baseline"/>
              </w:rPr>
              <w:t>驱动安装板的外形尺寸≥800mm×60</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mm×30mm，要求开有驱动电源安装孔、主轴驱动安装孔、2 个进给轴驱动安装孔、分离性检测器安装孔、小型驱动安装孔、2个I/O 安装孔、方孔支架安装孔、工艺走线孔。</w:t>
            </w:r>
          </w:p>
          <w:p w14:paraId="7B7561FC">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6）</w:t>
            </w:r>
            <w:r>
              <w:rPr>
                <w:rFonts w:ascii="新宋体" w:hAnsi="新宋体" w:eastAsia="新宋体" w:cs="新宋体"/>
                <w:color w:val="auto"/>
                <w:sz w:val="22"/>
                <w:szCs w:val="22"/>
                <w:highlight w:val="none"/>
                <w:vertAlign w:val="baseline"/>
              </w:rPr>
              <w:t>元器件安装网孔板的外形尺寸≥800mm×870mm×30mm，用于安装机床控制电路，网孔板要求合理设置≤Φ5× 15mm 的腰型横孔和腰型竖孔，要求横孔和竖孔数量均不少于1000个并呈相间排布，可以根据实训项目需要自主设计安装方案。</w:t>
            </w:r>
          </w:p>
          <w:p w14:paraId="3AD3B9F6">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7）</w:t>
            </w:r>
            <w:r>
              <w:rPr>
                <w:rFonts w:ascii="新宋体" w:hAnsi="新宋体" w:eastAsia="新宋体" w:cs="新宋体"/>
                <w:color w:val="auto"/>
                <w:sz w:val="22"/>
                <w:szCs w:val="22"/>
                <w:highlight w:val="none"/>
                <w:vertAlign w:val="baseline"/>
              </w:rPr>
              <w:t>元器件辅助安装板要求有电源组合开关安板、电源插座安装板及航空插座安装板。</w:t>
            </w:r>
          </w:p>
          <w:p w14:paraId="3F573DA4">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8）</w:t>
            </w:r>
            <w:r>
              <w:rPr>
                <w:rFonts w:ascii="新宋体" w:hAnsi="新宋体" w:eastAsia="新宋体" w:cs="新宋体"/>
                <w:color w:val="auto"/>
                <w:sz w:val="22"/>
                <w:szCs w:val="22"/>
                <w:highlight w:val="none"/>
                <w:vertAlign w:val="baseline"/>
              </w:rPr>
              <w:t>驱动器视窗门要求包含主视窗门和辅助视窗门，采用双折页的形式，窗门打开角度≥270°。主视窗门要求内部镂空并镶嵌有机玻璃，外形尺寸≥800mm×55</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mm×2</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mm，辅助视窗门 的外形尺寸≥48mm×55</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mm×2</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w:t>
            </w:r>
          </w:p>
          <w:p w14:paraId="09EA1DE1">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9）</w:t>
            </w:r>
            <w:r>
              <w:rPr>
                <w:rFonts w:ascii="新宋体" w:hAnsi="新宋体" w:eastAsia="新宋体" w:cs="新宋体"/>
                <w:color w:val="auto"/>
                <w:sz w:val="22"/>
                <w:szCs w:val="22"/>
                <w:highlight w:val="none"/>
                <w:vertAlign w:val="baseline"/>
              </w:rPr>
              <w:t>元器件视窗门要求包含主视窗门和辅助视窗门，采用双折页的形式，窗门打开角度≥270°。主视窗门要求采用内部镂空并镶嵌有机玻璃，外形尺寸≥800mm×129</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mm×2</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mm，辅助视窗门的外形尺寸≥48mm×129</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mm×2</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w:t>
            </w:r>
          </w:p>
          <w:p w14:paraId="3ED12B2F">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10）</w:t>
            </w:r>
            <w:r>
              <w:rPr>
                <w:rFonts w:ascii="新宋体" w:hAnsi="新宋体" w:eastAsia="新宋体" w:cs="新宋体"/>
                <w:color w:val="auto"/>
                <w:sz w:val="22"/>
                <w:szCs w:val="22"/>
                <w:highlight w:val="none"/>
                <w:vertAlign w:val="baseline"/>
              </w:rPr>
              <w:t>变压器安全防护罩要求由通风板、后固定板、上绝缘透明隔板组成，要求既能保证变压器单元的安全防护性功能，也能保证整套变压器单元的散热。</w:t>
            </w:r>
          </w:p>
          <w:p w14:paraId="452A844F">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w:t>
            </w:r>
            <w:r>
              <w:rPr>
                <w:rFonts w:hint="eastAsia" w:ascii="新宋体" w:hAnsi="新宋体" w:eastAsia="新宋体" w:cs="新宋体"/>
                <w:color w:val="auto"/>
                <w:sz w:val="22"/>
                <w:szCs w:val="22"/>
                <w:highlight w:val="none"/>
                <w:vertAlign w:val="baseline"/>
                <w:lang w:val="en-US" w:eastAsia="zh-CN"/>
              </w:rPr>
              <w:t>11）</w:t>
            </w:r>
            <w:r>
              <w:rPr>
                <w:rFonts w:ascii="新宋体" w:hAnsi="新宋体" w:eastAsia="新宋体" w:cs="新宋体"/>
                <w:color w:val="auto"/>
                <w:sz w:val="22"/>
                <w:szCs w:val="22"/>
                <w:highlight w:val="none"/>
                <w:vertAlign w:val="baseline"/>
              </w:rPr>
              <w:t>滚轮采用中型单轴灰色聚丙烯（PP）轮，≥2.75公厘支架，≥3.75公厘底板，镀锌处理。使用高强度工程TPP，配置高精度轴承钢轴承及防尘盖。外观优美，具有优越的耐磨性，单只滚轮承重≥115kg，滚轮直径≥75mm，轮面宽度≥3</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 带有刹车结构。滚轮分别安装在底板加强筋的四个角上，方便对设备进行移动以及场地布置。</w:t>
            </w:r>
            <w:r>
              <w:rPr>
                <w:rFonts w:ascii="新宋体" w:hAnsi="新宋体" w:eastAsia="新宋体" w:cs="新宋体"/>
                <w:b/>
                <w:bCs/>
                <w:color w:val="auto"/>
                <w:sz w:val="22"/>
                <w:szCs w:val="22"/>
                <w:highlight w:val="none"/>
                <w:vertAlign w:val="baseline"/>
              </w:rPr>
              <w:t>（需提供满足文件尺寸要求的图纸并加盖投标单位公章）</w:t>
            </w:r>
          </w:p>
          <w:p w14:paraId="37980B21">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12）</w:t>
            </w:r>
            <w:r>
              <w:rPr>
                <w:rFonts w:ascii="新宋体" w:hAnsi="新宋体" w:eastAsia="新宋体" w:cs="新宋体"/>
                <w:color w:val="auto"/>
                <w:sz w:val="22"/>
                <w:szCs w:val="22"/>
                <w:highlight w:val="none"/>
                <w:vertAlign w:val="baseline"/>
              </w:rPr>
              <w:t>智能制造虚拟仿真单元</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是一套高度仿真的仿真软件，它能够让学生进行智能制造自动生产线的学习。虚实结合的设计，软件上高度仿真了整套生产线的运行过程，学生可以根据实际加工物料工艺流程编辑程序进行仿真。同时，该模块单元可与真实机床进行联机仿真，仿真软件中的机器人进行上下料，将物料夹取放置在虚拟的卡盘上时，真实的气动卡盘也会进行加紧与松开动作，如果发生报警导致实际的卡盘或者虚拟的卡盘未到位，这时软件和实物不会进行下一步动作，真正实现软件控制硬件，理实相结合。</w:t>
            </w:r>
          </w:p>
        </w:tc>
        <w:tc>
          <w:tcPr>
            <w:tcW w:w="735" w:type="dxa"/>
            <w:noWrap w:val="0"/>
            <w:vAlign w:val="top"/>
          </w:tcPr>
          <w:p w14:paraId="4874536F">
            <w:pPr>
              <w:spacing w:line="460" w:lineRule="exact"/>
              <w:rPr>
                <w:rFonts w:hint="default"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1套</w:t>
            </w:r>
          </w:p>
        </w:tc>
        <w:tc>
          <w:tcPr>
            <w:tcW w:w="720" w:type="dxa"/>
            <w:noWrap w:val="0"/>
            <w:vAlign w:val="top"/>
          </w:tcPr>
          <w:p w14:paraId="78FCA7F8">
            <w:pPr>
              <w:spacing w:line="460" w:lineRule="exact"/>
              <w:rPr>
                <w:rFonts w:ascii="新宋体" w:hAnsi="新宋体" w:eastAsia="新宋体" w:cs="新宋体"/>
                <w:color w:val="auto"/>
                <w:sz w:val="22"/>
                <w:szCs w:val="22"/>
                <w:highlight w:val="none"/>
                <w:vertAlign w:val="baseline"/>
              </w:rPr>
            </w:pPr>
          </w:p>
        </w:tc>
      </w:tr>
      <w:tr w14:paraId="405D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top"/>
          </w:tcPr>
          <w:p w14:paraId="7804239B">
            <w:pPr>
              <w:spacing w:line="460" w:lineRule="exact"/>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2</w:t>
            </w:r>
          </w:p>
        </w:tc>
        <w:tc>
          <w:tcPr>
            <w:tcW w:w="1161" w:type="dxa"/>
            <w:noWrap w:val="0"/>
            <w:vAlign w:val="top"/>
          </w:tcPr>
          <w:p w14:paraId="49163F6D">
            <w:pPr>
              <w:spacing w:line="460" w:lineRule="exact"/>
              <w:rPr>
                <w:rFonts w:hint="default"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副控制柜</w:t>
            </w:r>
          </w:p>
        </w:tc>
        <w:tc>
          <w:tcPr>
            <w:tcW w:w="11662" w:type="dxa"/>
            <w:noWrap w:val="0"/>
            <w:vAlign w:val="top"/>
          </w:tcPr>
          <w:p w14:paraId="3C885BB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一、总体要求</w:t>
            </w:r>
          </w:p>
          <w:p w14:paraId="46767EE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可重构电气设计模块要求是一套高端、模块化的智能制造培训平台，为学员提供电气重构设计与安装的全面实训体验。 能够为电气系统设计与配置提供灵活、高效的解决方案。其特点包括：</w:t>
            </w:r>
          </w:p>
          <w:p w14:paraId="28DE402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1、自主设计与原理绘制：学员可以根据实际需求，设计并绘制电气原理图。系统支持多种功能电路设计，提供丰富的电气设计选择和应用场景。</w:t>
            </w:r>
          </w:p>
          <w:p w14:paraId="7D072D0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2、模块化安装与配置：位置矩阵网孔器采用可反复灵活配置和安装不同规格的元器件。通过与预埋的线路任意搭配能 够快速实现电路的物理搭建和功能验证，极大提升设计和安装效率。</w:t>
            </w:r>
          </w:p>
          <w:p w14:paraId="070A002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3、高精度电路实现：学员能够通过选择合适的元器件和优化电路设计，精确实现所需功能，从而满足多种实际应用需求。</w:t>
            </w:r>
          </w:p>
          <w:p w14:paraId="66DB123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4、智能连接与集成：接口电缆线与外界设备或部件快速连接，确保可重构电气设计模块与其他系统组件的高效集成。 系统的智能连接设计支持快速配置与调试，提高了整个系统的灵活性和操作便利性。</w:t>
            </w:r>
          </w:p>
          <w:p w14:paraId="5437483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 xml:space="preserve">可重构电气设计模块为学员提供了一个综合性强、灵活性高的电气设计与调试训练平台，能够在多个领域内进行高难度的电气系统设计与调试。通过这一平台，学员不仅能够掌握电气原理图的绘制与电路的实际搭建，还能够提升电气系统的优化与故障排除能力。其先进的模块化设计与高精度电路实现功能，为智能制造和电气工程领域的培训提供了强有力的支持。 </w:t>
            </w:r>
          </w:p>
          <w:p w14:paraId="237CB2A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二、主要技术性能指标</w:t>
            </w:r>
          </w:p>
          <w:p w14:paraId="7C5ECA5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1.工作电源：三相五线 380V±10％-50Hz；</w:t>
            </w:r>
          </w:p>
          <w:p w14:paraId="17E72703">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 xml:space="preserve">2.额定功率： ≥5kW； </w:t>
            </w:r>
          </w:p>
          <w:p w14:paraId="6E1E715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3.环境湿度：≤90% ；</w:t>
            </w:r>
          </w:p>
          <w:p w14:paraId="68C595B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4.环境温度：－15℃~50℃。</w:t>
            </w:r>
          </w:p>
          <w:p w14:paraId="389E02D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三、整体参数</w:t>
            </w:r>
          </w:p>
          <w:p w14:paraId="4E71BC61">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w:t>
            </w:r>
            <w:r>
              <w:rPr>
                <w:rFonts w:ascii="新宋体" w:hAnsi="新宋体" w:eastAsia="新宋体" w:cs="新宋体"/>
                <w:color w:val="auto"/>
                <w:sz w:val="22"/>
                <w:szCs w:val="22"/>
                <w:highlight w:val="none"/>
                <w:vertAlign w:val="baseline"/>
              </w:rPr>
              <w:t>可重构电气设计模块整体外形尺寸≤800mm× 600mm× 1600mm。要求由支撑架、电气状态展示板、位置矩阵网孔器、快速转换接口安装板、支撑底座、滚轮等组成。</w:t>
            </w:r>
          </w:p>
          <w:p w14:paraId="1D65A576">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2、</w:t>
            </w:r>
            <w:r>
              <w:rPr>
                <w:rFonts w:ascii="新宋体" w:hAnsi="新宋体" w:eastAsia="新宋体" w:cs="新宋体"/>
                <w:color w:val="auto"/>
                <w:sz w:val="22"/>
                <w:szCs w:val="22"/>
                <w:highlight w:val="none"/>
                <w:vertAlign w:val="baseline"/>
              </w:rPr>
              <w:t>支撑架要求采用≥800mm×1400mm×60mm门户型支撑架，支撑梁要求采用厚度≥2.0mm的冷轧钢板折弯成型工艺。支撑梁与支撑柱采用满焊打磨工艺，提高整体可靠性。支撑柱上要求均匀分布正方形孔，能够快速安装任意尺寸钣金模块，可支持拓展性设计。</w:t>
            </w:r>
          </w:p>
          <w:p w14:paraId="24C0C0DE">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3、</w:t>
            </w:r>
            <w:r>
              <w:rPr>
                <w:rFonts w:ascii="新宋体" w:hAnsi="新宋体" w:eastAsia="新宋体" w:cs="新宋体"/>
                <w:color w:val="auto"/>
                <w:sz w:val="22"/>
                <w:szCs w:val="22"/>
                <w:highlight w:val="none"/>
                <w:vertAlign w:val="baseline"/>
              </w:rPr>
              <w:t>支撑柱上要求预安装电气状态展示板，展示板上要求可安装展示信号光源和电源控制器，同时能够支持加装设计的电路元器件。支撑柱上还要求配备有一块可任意配置电气元件的位置矩阵网孔器，实现功能模块的设计与应用。加强筋上要求安装有快速转换接口安装板，实现位置矩阵网孔器上的元器件与外界设备或部件的信号、数据或流体的快速转换与传输。</w:t>
            </w:r>
          </w:p>
          <w:p w14:paraId="47A95DC2">
            <w:pPr>
              <w:spacing w:line="460" w:lineRule="exact"/>
              <w:rPr>
                <w:rFonts w:ascii="新宋体" w:hAnsi="新宋体" w:eastAsia="新宋体" w:cs="新宋体"/>
                <w:color w:val="auto"/>
                <w:sz w:val="24"/>
                <w:szCs w:val="24"/>
                <w:highlight w:val="none"/>
                <w:vertAlign w:val="baseline"/>
              </w:rPr>
            </w:pPr>
            <w:r>
              <w:rPr>
                <w:rFonts w:ascii="新宋体" w:hAnsi="新宋体" w:eastAsia="新宋体" w:cs="新宋体"/>
                <w:color w:val="auto"/>
                <w:sz w:val="22"/>
                <w:szCs w:val="22"/>
                <w:highlight w:val="none"/>
                <w:vertAlign w:val="baseline"/>
              </w:rPr>
              <w:t>★</w:t>
            </w:r>
            <w:r>
              <w:rPr>
                <w:rFonts w:hint="eastAsia" w:ascii="新宋体" w:hAnsi="新宋体" w:eastAsia="新宋体" w:cs="新宋体"/>
                <w:color w:val="auto"/>
                <w:sz w:val="22"/>
                <w:szCs w:val="22"/>
                <w:highlight w:val="none"/>
                <w:vertAlign w:val="baseline"/>
                <w:lang w:val="en-US" w:eastAsia="zh-CN"/>
              </w:rPr>
              <w:t>4、</w:t>
            </w:r>
            <w:r>
              <w:rPr>
                <w:rFonts w:ascii="新宋体" w:hAnsi="新宋体" w:eastAsia="新宋体" w:cs="新宋体"/>
                <w:color w:val="auto"/>
                <w:sz w:val="22"/>
                <w:szCs w:val="22"/>
                <w:highlight w:val="none"/>
                <w:vertAlign w:val="baseline"/>
              </w:rPr>
              <w:t>支撑底座要求采用≥800mm×600mm×40mm的“凹”型支撑钣金底座，底座安装有4 个中型单轴灰色聚丙烯（PP）轮，单只滚轮承重≥115kg，滚轮直径≥75mm，轮面宽度≥3</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mm，带有刹车结构，方便电气安装单元的移动与搬运。</w:t>
            </w:r>
            <w:r>
              <w:rPr>
                <w:rFonts w:ascii="新宋体" w:hAnsi="新宋体" w:eastAsia="新宋体" w:cs="新宋体"/>
                <w:b/>
                <w:bCs/>
                <w:color w:val="auto"/>
                <w:sz w:val="22"/>
                <w:szCs w:val="22"/>
                <w:highlight w:val="none"/>
                <w:vertAlign w:val="baseline"/>
              </w:rPr>
              <w:t>（需提供满足文件尺寸要求的图纸</w:t>
            </w:r>
            <w:r>
              <w:rPr>
                <w:rFonts w:ascii="新宋体" w:hAnsi="新宋体" w:eastAsia="新宋体" w:cs="新宋体"/>
                <w:b/>
                <w:bCs/>
                <w:color w:val="auto"/>
                <w:sz w:val="24"/>
                <w:szCs w:val="24"/>
                <w:highlight w:val="none"/>
                <w:vertAlign w:val="baseline"/>
              </w:rPr>
              <w:t>并加盖投标单位公章）</w:t>
            </w:r>
          </w:p>
          <w:p w14:paraId="2C4C7AE4">
            <w:pPr>
              <w:spacing w:line="460" w:lineRule="exact"/>
              <w:rPr>
                <w:rFonts w:ascii="新宋体" w:hAnsi="新宋体" w:eastAsia="新宋体" w:cs="新宋体"/>
                <w:color w:val="auto"/>
                <w:sz w:val="24"/>
                <w:szCs w:val="24"/>
                <w:highlight w:val="none"/>
                <w:vertAlign w:val="baseline"/>
              </w:rPr>
            </w:pPr>
            <w:r>
              <w:rPr>
                <w:rFonts w:ascii="新宋体" w:hAnsi="新宋体" w:eastAsia="新宋体" w:cs="新宋体"/>
                <w:color w:val="auto"/>
                <w:sz w:val="24"/>
                <w:szCs w:val="24"/>
                <w:highlight w:val="none"/>
                <w:vertAlign w:val="baseline"/>
              </w:rPr>
              <w:t>四、电气设计与连接仿真软件</w:t>
            </w:r>
          </w:p>
          <w:p w14:paraId="22C9E287">
            <w:pPr>
              <w:spacing w:line="460" w:lineRule="exact"/>
              <w:rPr>
                <w:rFonts w:hint="eastAsia" w:ascii="新宋体" w:hAnsi="新宋体" w:eastAsia="新宋体" w:cs="新宋体"/>
                <w:color w:val="auto"/>
                <w:sz w:val="22"/>
                <w:szCs w:val="22"/>
                <w:highlight w:val="none"/>
                <w:vertAlign w:val="baseline"/>
                <w:lang w:eastAsia="zh-CN"/>
              </w:rPr>
            </w:pPr>
            <w:r>
              <w:rPr>
                <w:rFonts w:hint="eastAsia" w:ascii="新宋体" w:hAnsi="新宋体" w:eastAsia="新宋体" w:cs="新宋体"/>
                <w:color w:val="auto"/>
                <w:sz w:val="24"/>
                <w:szCs w:val="24"/>
                <w:highlight w:val="none"/>
                <w:vertAlign w:val="baseline"/>
                <w:lang w:eastAsia="zh-CN"/>
              </w:rPr>
              <w:t>（</w:t>
            </w:r>
            <w:r>
              <w:rPr>
                <w:rFonts w:ascii="新宋体" w:hAnsi="新宋体" w:eastAsia="新宋体" w:cs="新宋体"/>
                <w:color w:val="auto"/>
                <w:sz w:val="24"/>
                <w:szCs w:val="24"/>
                <w:highlight w:val="none"/>
                <w:vertAlign w:val="baseline"/>
              </w:rPr>
              <w:t>一</w:t>
            </w:r>
            <w:r>
              <w:rPr>
                <w:rFonts w:hint="eastAsia" w:ascii="新宋体" w:hAnsi="新宋体" w:eastAsia="新宋体" w:cs="新宋体"/>
                <w:color w:val="auto"/>
                <w:sz w:val="24"/>
                <w:szCs w:val="24"/>
                <w:highlight w:val="none"/>
                <w:vertAlign w:val="baseline"/>
                <w:lang w:eastAsia="zh-CN"/>
              </w:rPr>
              <w:t>）</w:t>
            </w:r>
            <w:r>
              <w:rPr>
                <w:rFonts w:ascii="新宋体" w:hAnsi="新宋体" w:eastAsia="新宋体" w:cs="新宋体"/>
                <w:color w:val="auto"/>
                <w:sz w:val="24"/>
                <w:szCs w:val="24"/>
                <w:highlight w:val="none"/>
                <w:vertAlign w:val="baseline"/>
              </w:rPr>
              <w:t>电气连接仿真软件软件整体要求</w:t>
            </w:r>
            <w:r>
              <w:rPr>
                <w:rFonts w:hint="eastAsia" w:ascii="新宋体" w:hAnsi="新宋体" w:eastAsia="新宋体" w:cs="新宋体"/>
                <w:b/>
                <w:bCs/>
                <w:color w:val="auto"/>
                <w:sz w:val="24"/>
                <w:szCs w:val="24"/>
                <w:highlight w:val="none"/>
                <w:vertAlign w:val="baseline"/>
                <w:lang w:eastAsia="zh-CN"/>
              </w:rPr>
              <w:t>（</w:t>
            </w:r>
            <w:r>
              <w:rPr>
                <w:rFonts w:hint="eastAsia" w:ascii="新宋体" w:hAnsi="新宋体" w:eastAsia="新宋体" w:cs="新宋体"/>
                <w:b/>
                <w:bCs/>
                <w:color w:val="auto"/>
                <w:sz w:val="24"/>
                <w:szCs w:val="24"/>
                <w:highlight w:val="none"/>
                <w:vertAlign w:val="baseline"/>
                <w:lang w:val="en-US" w:eastAsia="zh-CN"/>
              </w:rPr>
              <w:t>中标后提供原厂授权证</w:t>
            </w:r>
            <w:r>
              <w:rPr>
                <w:rFonts w:hint="eastAsia" w:ascii="新宋体" w:hAnsi="新宋体" w:eastAsia="新宋体" w:cs="新宋体"/>
                <w:b/>
                <w:bCs/>
                <w:color w:val="auto"/>
                <w:sz w:val="22"/>
                <w:szCs w:val="22"/>
                <w:highlight w:val="none"/>
                <w:vertAlign w:val="baseline"/>
                <w:lang w:val="en-US" w:eastAsia="zh-CN"/>
              </w:rPr>
              <w:t>明，自主开发的不用提供授权书。</w:t>
            </w:r>
            <w:r>
              <w:rPr>
                <w:rFonts w:hint="eastAsia" w:ascii="新宋体" w:hAnsi="新宋体" w:eastAsia="新宋体" w:cs="新宋体"/>
                <w:b/>
                <w:bCs/>
                <w:color w:val="auto"/>
                <w:sz w:val="22"/>
                <w:szCs w:val="22"/>
                <w:highlight w:val="none"/>
                <w:vertAlign w:val="baseline"/>
                <w:lang w:eastAsia="zh-CN"/>
              </w:rPr>
              <w:t>）</w:t>
            </w:r>
          </w:p>
          <w:p w14:paraId="0B76CE55">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ascii="新宋体" w:hAnsi="新宋体" w:eastAsia="新宋体" w:cs="新宋体"/>
                <w:color w:val="auto"/>
                <w:sz w:val="22"/>
                <w:szCs w:val="22"/>
                <w:highlight w:val="none"/>
              </w:rPr>
              <w:t>具备数控设备电气接线考核模式和排故考核模式，接线考核模式中，服务端将发送接线考核的试题至软件，软件将自动生成具体的接线考核内容；排故考核模式中，服务端将发送排故考核的试题至软件，软件将自动生成相应的故障排除考核内容。</w:t>
            </w:r>
            <w:r>
              <w:rPr>
                <w:rFonts w:hint="eastAsia" w:ascii="新宋体" w:hAnsi="新宋体" w:eastAsia="新宋体" w:cs="新宋体"/>
                <w:b/>
                <w:bCs/>
                <w:color w:val="auto"/>
                <w:sz w:val="22"/>
                <w:szCs w:val="22"/>
                <w:highlight w:val="none"/>
                <w:vertAlign w:val="baseline"/>
                <w:lang w:eastAsia="zh-CN"/>
              </w:rPr>
              <w:t>（</w:t>
            </w:r>
            <w:r>
              <w:rPr>
                <w:rFonts w:ascii="新宋体" w:hAnsi="新宋体" w:eastAsia="新宋体" w:cs="新宋体"/>
                <w:b/>
                <w:bCs/>
                <w:color w:val="auto"/>
                <w:sz w:val="22"/>
                <w:szCs w:val="22"/>
                <w:highlight w:val="none"/>
                <w:u w:val="single"/>
                <w:vertAlign w:val="baseline"/>
              </w:rPr>
              <w:t>投标时提供相应的演示视频</w:t>
            </w:r>
            <w:r>
              <w:rPr>
                <w:rFonts w:hint="eastAsia" w:ascii="新宋体" w:hAnsi="新宋体" w:eastAsia="新宋体" w:cs="新宋体"/>
                <w:b/>
                <w:bCs/>
                <w:color w:val="auto"/>
                <w:sz w:val="22"/>
                <w:szCs w:val="22"/>
                <w:highlight w:val="none"/>
                <w:vertAlign w:val="baseline"/>
                <w:lang w:eastAsia="zh-CN"/>
              </w:rPr>
              <w:t>）</w:t>
            </w:r>
          </w:p>
          <w:p w14:paraId="671A658D">
            <w:pPr>
              <w:spacing w:line="460" w:lineRule="exact"/>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w:t>
            </w:r>
            <w:r>
              <w:rPr>
                <w:rFonts w:ascii="新宋体" w:hAnsi="新宋体" w:eastAsia="新宋体" w:cs="新宋体"/>
                <w:color w:val="auto"/>
                <w:sz w:val="22"/>
                <w:szCs w:val="22"/>
                <w:highlight w:val="none"/>
              </w:rPr>
              <w:t>软件要求至少含有 16 个以下数控技术常用控制电路： 抱闸电路、打刀缸气动 IO 电路、刀库电路、刀库气动 IO 电路、急停电路、控制电源电路、冷却电路、排屑电路、 启动电路、润滑电路、伺服主电路、信号灯电路、直流电 源电路、主电路、主轴风扇电路、通讯电路</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bCs/>
                <w:color w:val="auto"/>
                <w:sz w:val="22"/>
                <w:szCs w:val="22"/>
                <w:highlight w:val="none"/>
                <w:vertAlign w:val="baseline"/>
                <w:lang w:eastAsia="zh-CN"/>
              </w:rPr>
              <w:t>（</w:t>
            </w:r>
            <w:r>
              <w:rPr>
                <w:rFonts w:ascii="新宋体" w:hAnsi="新宋体" w:eastAsia="新宋体" w:cs="新宋体"/>
                <w:b/>
                <w:bCs/>
                <w:color w:val="auto"/>
                <w:sz w:val="22"/>
                <w:szCs w:val="22"/>
                <w:highlight w:val="none"/>
                <w:u w:val="single"/>
                <w:vertAlign w:val="baseline"/>
              </w:rPr>
              <w:t>投标时提供相应的演示视频</w:t>
            </w:r>
            <w:r>
              <w:rPr>
                <w:rFonts w:hint="eastAsia" w:ascii="新宋体" w:hAnsi="新宋体" w:eastAsia="新宋体" w:cs="新宋体"/>
                <w:b/>
                <w:bCs/>
                <w:color w:val="auto"/>
                <w:sz w:val="22"/>
                <w:szCs w:val="22"/>
                <w:highlight w:val="none"/>
                <w:vertAlign w:val="baseline"/>
                <w:lang w:eastAsia="zh-CN"/>
              </w:rPr>
              <w:t>）</w:t>
            </w:r>
          </w:p>
          <w:p w14:paraId="299DC6DD">
            <w:pPr>
              <w:spacing w:line="460" w:lineRule="exact"/>
              <w:jc w:val="lef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lang w:val="en-US" w:eastAsia="zh-CN"/>
              </w:rPr>
              <w:t>3、</w:t>
            </w:r>
            <w:r>
              <w:rPr>
                <w:rFonts w:ascii="新宋体" w:hAnsi="新宋体" w:eastAsia="新宋体" w:cs="新宋体"/>
                <w:color w:val="auto"/>
                <w:sz w:val="22"/>
                <w:szCs w:val="22"/>
                <w:highlight w:val="none"/>
              </w:rPr>
              <w:t>软件要求具备学生端和教师端，学生端至少具备考试报名模块和考试信息模块以及模拟测试模块，教师端至少具备设备模块和基本信息模块以及考试模块等。</w:t>
            </w:r>
            <w:r>
              <w:rPr>
                <w:rFonts w:hint="eastAsia" w:ascii="新宋体" w:hAnsi="新宋体" w:eastAsia="新宋体" w:cs="新宋体"/>
                <w:b/>
                <w:bCs/>
                <w:color w:val="auto"/>
                <w:sz w:val="22"/>
                <w:szCs w:val="22"/>
                <w:highlight w:val="none"/>
                <w:vertAlign w:val="baseline"/>
                <w:lang w:eastAsia="zh-CN"/>
              </w:rPr>
              <w:t>（</w:t>
            </w:r>
            <w:r>
              <w:rPr>
                <w:rFonts w:ascii="新宋体" w:hAnsi="新宋体" w:eastAsia="新宋体" w:cs="新宋体"/>
                <w:b/>
                <w:bCs/>
                <w:color w:val="auto"/>
                <w:sz w:val="22"/>
                <w:szCs w:val="22"/>
                <w:highlight w:val="none"/>
                <w:u w:val="single"/>
                <w:vertAlign w:val="baseline"/>
              </w:rPr>
              <w:t>投标时提供相应的演示视频</w:t>
            </w:r>
            <w:r>
              <w:rPr>
                <w:rFonts w:hint="eastAsia" w:ascii="新宋体" w:hAnsi="新宋体" w:eastAsia="新宋体" w:cs="新宋体"/>
                <w:b/>
                <w:bCs/>
                <w:color w:val="auto"/>
                <w:sz w:val="22"/>
                <w:szCs w:val="22"/>
                <w:highlight w:val="none"/>
                <w:vertAlign w:val="baseline"/>
                <w:lang w:eastAsia="zh-CN"/>
              </w:rPr>
              <w:t>）</w:t>
            </w:r>
          </w:p>
          <w:p w14:paraId="108294C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w:t>
            </w:r>
            <w:r>
              <w:rPr>
                <w:rFonts w:hint="eastAsia" w:ascii="新宋体" w:hAnsi="新宋体" w:eastAsia="新宋体" w:cs="新宋体"/>
                <w:color w:val="auto"/>
                <w:sz w:val="22"/>
                <w:szCs w:val="22"/>
                <w:highlight w:val="none"/>
                <w:vertAlign w:val="baseline"/>
                <w:lang w:val="en-US" w:eastAsia="zh-CN"/>
              </w:rPr>
              <w:t>4</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提供电气仿真软件的架构图</w:t>
            </w: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需</w:t>
            </w:r>
            <w:r>
              <w:rPr>
                <w:rFonts w:ascii="新宋体" w:hAnsi="新宋体" w:eastAsia="新宋体" w:cs="新宋体"/>
                <w:b/>
                <w:bCs/>
                <w:color w:val="auto"/>
                <w:sz w:val="22"/>
                <w:szCs w:val="22"/>
                <w:highlight w:val="none"/>
                <w:vertAlign w:val="baseline"/>
              </w:rPr>
              <w:t>提供相应清晰截图进行佐证</w:t>
            </w:r>
            <w:r>
              <w:rPr>
                <w:rFonts w:hint="eastAsia" w:ascii="新宋体" w:hAnsi="新宋体" w:eastAsia="新宋体" w:cs="新宋体"/>
                <w:b/>
                <w:bCs/>
                <w:color w:val="auto"/>
                <w:sz w:val="22"/>
                <w:szCs w:val="22"/>
                <w:highlight w:val="none"/>
                <w:vertAlign w:val="baseline"/>
                <w:lang w:val="en-US" w:eastAsia="zh-CN"/>
              </w:rPr>
              <w:t>并加盖</w:t>
            </w:r>
            <w:r>
              <w:rPr>
                <w:rFonts w:ascii="新宋体" w:hAnsi="新宋体" w:eastAsia="新宋体" w:cs="新宋体"/>
                <w:b/>
                <w:bCs/>
                <w:color w:val="auto"/>
                <w:sz w:val="22"/>
                <w:szCs w:val="22"/>
                <w:highlight w:val="none"/>
                <w:vertAlign w:val="baseline"/>
              </w:rPr>
              <w:t>投标单位</w:t>
            </w:r>
            <w:r>
              <w:rPr>
                <w:rFonts w:hint="eastAsia" w:ascii="新宋体" w:hAnsi="新宋体" w:eastAsia="新宋体" w:cs="新宋体"/>
                <w:b/>
                <w:bCs/>
                <w:color w:val="auto"/>
                <w:sz w:val="22"/>
                <w:szCs w:val="22"/>
                <w:highlight w:val="none"/>
                <w:vertAlign w:val="baseline"/>
                <w:lang w:val="en-US" w:eastAsia="zh-CN"/>
              </w:rPr>
              <w:t>公章</w:t>
            </w:r>
            <w:r>
              <w:rPr>
                <w:rFonts w:hint="eastAsia" w:ascii="新宋体" w:hAnsi="新宋体" w:eastAsia="新宋体" w:cs="新宋体"/>
                <w:b/>
                <w:bCs/>
                <w:color w:val="auto"/>
                <w:sz w:val="22"/>
                <w:szCs w:val="22"/>
                <w:highlight w:val="none"/>
                <w:vertAlign w:val="baseline"/>
                <w:lang w:eastAsia="zh-CN"/>
              </w:rPr>
              <w:t>）</w:t>
            </w:r>
          </w:p>
          <w:p w14:paraId="28B10DF6">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二</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软件（学生端）功能要求软件架构：</w:t>
            </w:r>
          </w:p>
          <w:p w14:paraId="6AA5B3E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1、软件至少具备考试报名模块和考试信息模块以及模拟测试模块。</w:t>
            </w:r>
          </w:p>
          <w:p w14:paraId="51401C74">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考试报名模块要求包括设备名称、考试名称、总分、考试区间、状态、操作等报表功能内容，能够对考生信息进行初步筛选，确保报名信息的准确性和完整性，可轻松报名，高效管理，为后续的考试安排提供数据支持。</w:t>
            </w:r>
          </w:p>
          <w:p w14:paraId="6141B5C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（2）考试信息模块要求有检索功能，方便掌握考试动态，确保考生及时获取最新信息。</w:t>
            </w:r>
          </w:p>
          <w:p w14:paraId="5D7BC9D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模拟测试模块模块要求具备理论考试功能和电气仿真考试功能：理论考试功能至少可编辑填写和选择（考试等级、单选题数、多选题数、判断题数）等信息；电气仿真考试功能至少可编辑填写和选择（接线题数、故障题数）等信息。</w:t>
            </w:r>
          </w:p>
          <w:p w14:paraId="5BBA2A0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★（3.1）理论考试功能和参加真实考试一样进行模拟练习，可答题、可交接、可显示考试成绩、考试时间、考试信息等。 帮助学员更好地适应考试的节奏和压力，提升答题技巧，并有效检验学习成果。</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需</w:t>
            </w:r>
            <w:r>
              <w:rPr>
                <w:rFonts w:ascii="新宋体" w:hAnsi="新宋体" w:eastAsia="新宋体" w:cs="新宋体"/>
                <w:b/>
                <w:bCs/>
                <w:color w:val="auto"/>
                <w:sz w:val="22"/>
                <w:szCs w:val="22"/>
                <w:highlight w:val="none"/>
                <w:vertAlign w:val="baseline"/>
              </w:rPr>
              <w:t>提供相应清晰截图进行佐证</w:t>
            </w:r>
            <w:r>
              <w:rPr>
                <w:rFonts w:hint="eastAsia" w:ascii="新宋体" w:hAnsi="新宋体" w:eastAsia="新宋体" w:cs="新宋体"/>
                <w:b/>
                <w:bCs/>
                <w:color w:val="auto"/>
                <w:sz w:val="22"/>
                <w:szCs w:val="22"/>
                <w:highlight w:val="none"/>
                <w:vertAlign w:val="baseline"/>
                <w:lang w:val="en-US" w:eastAsia="zh-CN"/>
              </w:rPr>
              <w:t>并加盖</w:t>
            </w:r>
            <w:r>
              <w:rPr>
                <w:rFonts w:ascii="新宋体" w:hAnsi="新宋体" w:eastAsia="新宋体" w:cs="新宋体"/>
                <w:b/>
                <w:bCs/>
                <w:color w:val="auto"/>
                <w:sz w:val="22"/>
                <w:szCs w:val="22"/>
                <w:highlight w:val="none"/>
                <w:vertAlign w:val="baseline"/>
              </w:rPr>
              <w:t>投标单位</w:t>
            </w:r>
            <w:r>
              <w:rPr>
                <w:rFonts w:hint="eastAsia" w:ascii="新宋体" w:hAnsi="新宋体" w:eastAsia="新宋体" w:cs="新宋体"/>
                <w:b/>
                <w:bCs/>
                <w:color w:val="auto"/>
                <w:sz w:val="22"/>
                <w:szCs w:val="22"/>
                <w:highlight w:val="none"/>
                <w:vertAlign w:val="baseline"/>
                <w:lang w:val="en-US" w:eastAsia="zh-CN"/>
              </w:rPr>
              <w:t>公章</w:t>
            </w:r>
            <w:r>
              <w:rPr>
                <w:rFonts w:hint="eastAsia" w:ascii="新宋体" w:hAnsi="新宋体" w:eastAsia="新宋体" w:cs="新宋体"/>
                <w:b/>
                <w:bCs/>
                <w:color w:val="auto"/>
                <w:sz w:val="22"/>
                <w:szCs w:val="22"/>
                <w:highlight w:val="none"/>
                <w:vertAlign w:val="baseline"/>
                <w:lang w:eastAsia="zh-CN"/>
              </w:rPr>
              <w:t>）</w:t>
            </w:r>
          </w:p>
          <w:p w14:paraId="47ADC47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（3.2）电气仿真考试功能根据所出试卷类型不同进入的界面将有所不同。试卷类型至少包括 3 种：</w:t>
            </w:r>
          </w:p>
          <w:p w14:paraId="5588DC7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（a）只有接线考核：设备电路连接仿真软件默认将会打开接线考核的界面，此时用户将无法进入排故考核界面。</w:t>
            </w:r>
          </w:p>
          <w:p w14:paraId="2DBC3BC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（b）只有排故考核：设备电路连接仿真软件默认将会打开排故考核的界面，此时用户将无法进入接线考核界面。</w:t>
            </w:r>
          </w:p>
          <w:p w14:paraId="36B330A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（c）同时有接线考核和排故考核：设备电路连接仿真软件默认将会打开接线考核的界面，当用户完成接线考核时，可进入排故考核。</w:t>
            </w:r>
          </w:p>
          <w:p w14:paraId="78B0C60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2、数控系统接线考核模块要求</w:t>
            </w:r>
          </w:p>
          <w:p w14:paraId="3DC7C31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当所出的试卷有接线考核时，设备电路连接仿真软件将会进入接线考核界面。</w:t>
            </w:r>
          </w:p>
          <w:p w14:paraId="01EE3F2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（1）接线考核功能要求</w:t>
            </w:r>
          </w:p>
          <w:p w14:paraId="53090FF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可分为3个部分：电路选择部分、接线操作部分、结束考核部分。</w:t>
            </w:r>
          </w:p>
          <w:p w14:paraId="725A0C7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★（1.1）电路选择部分：在该部分用户可选择所要接线的电路，点击不同的电路，将会打开不同的连接线路，方便用户 进行接线操作。在该部分，如果所要选择的电路后面带有</w:t>
            </w:r>
            <w:r>
              <w:rPr>
                <w:rFonts w:hint="eastAsia" w:ascii="新宋体" w:hAnsi="新宋体" w:eastAsia="新宋体" w:cs="新宋体"/>
                <w:color w:val="auto"/>
                <w:sz w:val="22"/>
                <w:szCs w:val="22"/>
                <w:highlight w:val="none"/>
                <w:vertAlign w:val="baseline"/>
                <w:lang w:val="en-US" w:eastAsia="zh-CN"/>
              </w:rPr>
              <w:t>正确（✓）标识</w:t>
            </w:r>
            <w:r>
              <w:rPr>
                <w:rFonts w:ascii="新宋体" w:hAnsi="新宋体" w:eastAsia="新宋体" w:cs="新宋体"/>
                <w:color w:val="auto"/>
                <w:sz w:val="22"/>
                <w:szCs w:val="22"/>
                <w:highlight w:val="none"/>
                <w:vertAlign w:val="baseline"/>
              </w:rPr>
              <w:t>， 表示该电路的线路已经全部连接，不需要用户进行接线；如果所要选择的电路后面没有</w:t>
            </w:r>
            <w:r>
              <w:rPr>
                <w:rFonts w:hint="eastAsia" w:ascii="新宋体" w:hAnsi="新宋体" w:eastAsia="新宋体" w:cs="新宋体"/>
                <w:color w:val="auto"/>
                <w:sz w:val="22"/>
                <w:szCs w:val="22"/>
                <w:highlight w:val="none"/>
                <w:vertAlign w:val="baseline"/>
                <w:lang w:val="en-US" w:eastAsia="zh-CN"/>
              </w:rPr>
              <w:t>正确（✓）标识</w:t>
            </w:r>
            <w:r>
              <w:rPr>
                <w:rFonts w:ascii="新宋体" w:hAnsi="新宋体" w:eastAsia="新宋体" w:cs="新宋体"/>
                <w:color w:val="auto"/>
                <w:sz w:val="22"/>
                <w:szCs w:val="22"/>
                <w:highlight w:val="none"/>
                <w:vertAlign w:val="baseline"/>
              </w:rPr>
              <w:t>，表示该电路的线路未全部连接， 需要用户进行接线，此时用户可点击该电路，然后进行相关的接线操作。</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需</w:t>
            </w:r>
            <w:r>
              <w:rPr>
                <w:rFonts w:ascii="新宋体" w:hAnsi="新宋体" w:eastAsia="新宋体" w:cs="新宋体"/>
                <w:b/>
                <w:bCs/>
                <w:color w:val="auto"/>
                <w:sz w:val="22"/>
                <w:szCs w:val="22"/>
                <w:highlight w:val="none"/>
                <w:vertAlign w:val="baseline"/>
              </w:rPr>
              <w:t>提供相应清晰截图进行佐证</w:t>
            </w:r>
            <w:r>
              <w:rPr>
                <w:rFonts w:hint="eastAsia" w:ascii="新宋体" w:hAnsi="新宋体" w:eastAsia="新宋体" w:cs="新宋体"/>
                <w:b/>
                <w:bCs/>
                <w:color w:val="auto"/>
                <w:sz w:val="22"/>
                <w:szCs w:val="22"/>
                <w:highlight w:val="none"/>
                <w:vertAlign w:val="baseline"/>
                <w:lang w:val="en-US" w:eastAsia="zh-CN"/>
              </w:rPr>
              <w:t>并加盖</w:t>
            </w:r>
            <w:r>
              <w:rPr>
                <w:rFonts w:ascii="新宋体" w:hAnsi="新宋体" w:eastAsia="新宋体" w:cs="新宋体"/>
                <w:b/>
                <w:bCs/>
                <w:color w:val="auto"/>
                <w:sz w:val="22"/>
                <w:szCs w:val="22"/>
                <w:highlight w:val="none"/>
                <w:vertAlign w:val="baseline"/>
              </w:rPr>
              <w:t>投标单位</w:t>
            </w:r>
            <w:r>
              <w:rPr>
                <w:rFonts w:hint="eastAsia" w:ascii="新宋体" w:hAnsi="新宋体" w:eastAsia="新宋体" w:cs="新宋体"/>
                <w:b/>
                <w:bCs/>
                <w:color w:val="auto"/>
                <w:sz w:val="22"/>
                <w:szCs w:val="22"/>
                <w:highlight w:val="none"/>
                <w:vertAlign w:val="baseline"/>
                <w:lang w:val="en-US" w:eastAsia="zh-CN"/>
              </w:rPr>
              <w:t>公章</w:t>
            </w:r>
            <w:r>
              <w:rPr>
                <w:rFonts w:hint="eastAsia" w:ascii="新宋体" w:hAnsi="新宋体" w:eastAsia="新宋体" w:cs="新宋体"/>
                <w:b/>
                <w:bCs/>
                <w:color w:val="auto"/>
                <w:sz w:val="22"/>
                <w:szCs w:val="22"/>
                <w:highlight w:val="none"/>
                <w:vertAlign w:val="baseline"/>
                <w:lang w:eastAsia="zh-CN"/>
              </w:rPr>
              <w:t>）</w:t>
            </w:r>
          </w:p>
          <w:p w14:paraId="3B409EF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（1.2）接线操作部分：在该部分用户进行相关的接线操作，具体操作请参考接线操作说明部分。</w:t>
            </w:r>
          </w:p>
          <w:p w14:paraId="5515EC8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★（1.3）结束考核部分：在该部分用户可点击“结束接线考核 ”按钮来结束接线考核，如果所出的试卷有排故考核，可点击“进入排故考核 ”按钮，进入排故考核。</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需</w:t>
            </w:r>
            <w:r>
              <w:rPr>
                <w:rFonts w:ascii="新宋体" w:hAnsi="新宋体" w:eastAsia="新宋体" w:cs="新宋体"/>
                <w:b/>
                <w:bCs/>
                <w:color w:val="auto"/>
                <w:sz w:val="22"/>
                <w:szCs w:val="22"/>
                <w:highlight w:val="none"/>
                <w:vertAlign w:val="baseline"/>
              </w:rPr>
              <w:t>提供相应清晰截图进行佐证</w:t>
            </w:r>
            <w:r>
              <w:rPr>
                <w:rFonts w:hint="eastAsia" w:ascii="新宋体" w:hAnsi="新宋体" w:eastAsia="新宋体" w:cs="新宋体"/>
                <w:b/>
                <w:bCs/>
                <w:color w:val="auto"/>
                <w:sz w:val="22"/>
                <w:szCs w:val="22"/>
                <w:highlight w:val="none"/>
                <w:vertAlign w:val="baseline"/>
                <w:lang w:val="en-US" w:eastAsia="zh-CN"/>
              </w:rPr>
              <w:t>并加盖</w:t>
            </w:r>
            <w:r>
              <w:rPr>
                <w:rFonts w:ascii="新宋体" w:hAnsi="新宋体" w:eastAsia="新宋体" w:cs="新宋体"/>
                <w:b/>
                <w:bCs/>
                <w:color w:val="auto"/>
                <w:sz w:val="22"/>
                <w:szCs w:val="22"/>
                <w:highlight w:val="none"/>
                <w:vertAlign w:val="baseline"/>
              </w:rPr>
              <w:t>投标单位</w:t>
            </w:r>
            <w:r>
              <w:rPr>
                <w:rFonts w:hint="eastAsia" w:ascii="新宋体" w:hAnsi="新宋体" w:eastAsia="新宋体" w:cs="新宋体"/>
                <w:b/>
                <w:bCs/>
                <w:color w:val="auto"/>
                <w:sz w:val="22"/>
                <w:szCs w:val="22"/>
                <w:highlight w:val="none"/>
                <w:vertAlign w:val="baseline"/>
                <w:lang w:val="en-US" w:eastAsia="zh-CN"/>
              </w:rPr>
              <w:t>公章</w:t>
            </w:r>
            <w:r>
              <w:rPr>
                <w:rFonts w:hint="eastAsia" w:ascii="新宋体" w:hAnsi="新宋体" w:eastAsia="新宋体" w:cs="新宋体"/>
                <w:b/>
                <w:bCs/>
                <w:color w:val="auto"/>
                <w:sz w:val="22"/>
                <w:szCs w:val="22"/>
                <w:highlight w:val="none"/>
                <w:vertAlign w:val="baseline"/>
                <w:lang w:eastAsia="zh-CN"/>
              </w:rPr>
              <w:t>）</w:t>
            </w:r>
          </w:p>
          <w:p w14:paraId="58D85F8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（2）接线操作功能要求</w:t>
            </w:r>
          </w:p>
          <w:p w14:paraId="447AD82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打开软件后，在电路选择部分没有相关的图标提示，要求电路中电路需要连接操作。</w:t>
            </w:r>
          </w:p>
          <w:p w14:paraId="7C3B37B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（2.1）选择电路：点击“主电路 ”按钮，将会打开主电路接线图。</w:t>
            </w:r>
          </w:p>
          <w:p w14:paraId="3CA8329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（2.2）查找未连接点线：可通过缩放和平移电路图，再根据主电路的电路图找到未连接的线路。</w:t>
            </w:r>
          </w:p>
          <w:p w14:paraId="4784CBC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（2.2.1）缩放电路图：通过滚动鼠标滚轮，可将电路图进行缩小和放大。</w:t>
            </w:r>
          </w:p>
          <w:p w14:paraId="5C5791C4">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（2.2.2）平移电路图：按住鼠标右键不放，并移动鼠标，可上下左右移动电路图，也可以通过键盘上WASD键或者方向键来移动电路图。</w:t>
            </w:r>
          </w:p>
          <w:p w14:paraId="1666E89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（2.2.2）复位电路图：点击键盘上 R 键，会将电路图恢复至初始的位置和大小。</w:t>
            </w:r>
          </w:p>
          <w:p w14:paraId="738604F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（3）连接线路要求：</w:t>
            </w:r>
          </w:p>
          <w:p w14:paraId="76BE4FA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内容：选择连接的起始点选择正确可完成连接线，根据主电路的电路图，连接好主电路中所有未连接的线，当完成所有的未连接的主电路线路后，在选择电路中，主电路按钮后会自动显示已经完成电路连接。</w:t>
            </w:r>
          </w:p>
          <w:p w14:paraId="7F9FA8E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3、数控系统排故考核要求</w:t>
            </w:r>
          </w:p>
          <w:p w14:paraId="4BCEC35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当所出的试卷有排故考核时，设备电路连接仿真软件可进入排除故障界面。</w:t>
            </w:r>
          </w:p>
          <w:p w14:paraId="7720B7A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（1）排故考核功能要求：</w:t>
            </w:r>
          </w:p>
          <w:p w14:paraId="13A9A5ED">
            <w:pPr>
              <w:spacing w:line="460" w:lineRule="exact"/>
              <w:rPr>
                <w:rFonts w:hint="eastAsia" w:ascii="新宋体" w:hAnsi="新宋体" w:eastAsia="新宋体" w:cs="新宋体"/>
                <w:color w:val="auto"/>
                <w:sz w:val="22"/>
                <w:szCs w:val="22"/>
                <w:highlight w:val="none"/>
                <w:vertAlign w:val="baseline"/>
                <w:lang w:eastAsia="zh-CN"/>
              </w:rPr>
            </w:pPr>
            <w:r>
              <w:rPr>
                <w:rFonts w:ascii="新宋体" w:hAnsi="新宋体" w:eastAsia="新宋体" w:cs="新宋体"/>
                <w:color w:val="auto"/>
                <w:sz w:val="22"/>
                <w:szCs w:val="22"/>
                <w:highlight w:val="none"/>
                <w:vertAlign w:val="baseline"/>
              </w:rPr>
              <w:t>可分为3 个部分：电路选择部分、故障排除操作部分、结束考核部分</w:t>
            </w:r>
            <w:r>
              <w:rPr>
                <w:rFonts w:hint="eastAsia" w:ascii="新宋体" w:hAnsi="新宋体" w:eastAsia="新宋体" w:cs="新宋体"/>
                <w:color w:val="auto"/>
                <w:sz w:val="22"/>
                <w:szCs w:val="22"/>
                <w:highlight w:val="none"/>
                <w:vertAlign w:val="baseline"/>
                <w:lang w:eastAsia="zh-CN"/>
              </w:rPr>
              <w:t>。</w:t>
            </w:r>
          </w:p>
          <w:p w14:paraId="76D3112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（1.1）电路选择部分：在该部分用户可选择所要排故的电路，点击不同的电路，将会打开不同的线路，方便用户进行 排故操作。</w:t>
            </w:r>
          </w:p>
          <w:p w14:paraId="7A7C254F">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★（1.2）故障排除操作部分：在该部分用户可通过万用表进行相关的故障查找操作，具体操作请参考故障排除操作说明部分。</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需</w:t>
            </w:r>
            <w:r>
              <w:rPr>
                <w:rFonts w:ascii="新宋体" w:hAnsi="新宋体" w:eastAsia="新宋体" w:cs="新宋体"/>
                <w:b/>
                <w:bCs/>
                <w:color w:val="auto"/>
                <w:sz w:val="22"/>
                <w:szCs w:val="22"/>
                <w:highlight w:val="none"/>
                <w:vertAlign w:val="baseline"/>
              </w:rPr>
              <w:t>提供相应清晰截图进行佐证</w:t>
            </w:r>
            <w:r>
              <w:rPr>
                <w:rFonts w:hint="eastAsia" w:ascii="新宋体" w:hAnsi="新宋体" w:eastAsia="新宋体" w:cs="新宋体"/>
                <w:b/>
                <w:bCs/>
                <w:color w:val="auto"/>
                <w:sz w:val="22"/>
                <w:szCs w:val="22"/>
                <w:highlight w:val="none"/>
                <w:vertAlign w:val="baseline"/>
                <w:lang w:val="en-US" w:eastAsia="zh-CN"/>
              </w:rPr>
              <w:t>并加盖</w:t>
            </w:r>
            <w:r>
              <w:rPr>
                <w:rFonts w:ascii="新宋体" w:hAnsi="新宋体" w:eastAsia="新宋体" w:cs="新宋体"/>
                <w:b/>
                <w:bCs/>
                <w:color w:val="auto"/>
                <w:sz w:val="22"/>
                <w:szCs w:val="22"/>
                <w:highlight w:val="none"/>
                <w:vertAlign w:val="baseline"/>
              </w:rPr>
              <w:t>投标单位</w:t>
            </w:r>
            <w:r>
              <w:rPr>
                <w:rFonts w:hint="eastAsia" w:ascii="新宋体" w:hAnsi="新宋体" w:eastAsia="新宋体" w:cs="新宋体"/>
                <w:b/>
                <w:bCs/>
                <w:color w:val="auto"/>
                <w:sz w:val="22"/>
                <w:szCs w:val="22"/>
                <w:highlight w:val="none"/>
                <w:vertAlign w:val="baseline"/>
                <w:lang w:val="en-US" w:eastAsia="zh-CN"/>
              </w:rPr>
              <w:t>公章</w:t>
            </w:r>
            <w:r>
              <w:rPr>
                <w:rFonts w:hint="eastAsia" w:ascii="新宋体" w:hAnsi="新宋体" w:eastAsia="新宋体" w:cs="新宋体"/>
                <w:b/>
                <w:bCs/>
                <w:color w:val="auto"/>
                <w:sz w:val="22"/>
                <w:szCs w:val="22"/>
                <w:highlight w:val="none"/>
                <w:vertAlign w:val="baseline"/>
                <w:lang w:eastAsia="zh-CN"/>
              </w:rPr>
              <w:t>）</w:t>
            </w:r>
          </w:p>
          <w:p w14:paraId="34EAFF9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1.3）结束考核部分：在该部分用户可点击“结束排故考核”按钮来结束排故考核；用户可选择排故的题目；用户可点击“显示故障答题界面”按钮，显示答题界面，在答题界面中显示故障的现象，也可提交答案，再次点击该按钮，将关闭答题界面，具体操作请参考故障排除操作说明部分。</w:t>
            </w:r>
          </w:p>
          <w:p w14:paraId="6FB7AAB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（2）故障排除操作功能要求：</w:t>
            </w:r>
          </w:p>
          <w:p w14:paraId="138EE2A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★（2.1）具备的查看故障内容：将显示答题界面，在故障答题界面可显示每道题目所存在的故障现象，用户可根据故障现象来查找故障的位置</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再次点击该按钮将关闭显示答题界面。</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需</w:t>
            </w:r>
            <w:r>
              <w:rPr>
                <w:rFonts w:ascii="新宋体" w:hAnsi="新宋体" w:eastAsia="新宋体" w:cs="新宋体"/>
                <w:b/>
                <w:bCs/>
                <w:color w:val="auto"/>
                <w:sz w:val="22"/>
                <w:szCs w:val="22"/>
                <w:highlight w:val="none"/>
                <w:vertAlign w:val="baseline"/>
              </w:rPr>
              <w:t>提供相应清晰截图进行佐证</w:t>
            </w:r>
            <w:r>
              <w:rPr>
                <w:rFonts w:hint="eastAsia" w:ascii="新宋体" w:hAnsi="新宋体" w:eastAsia="新宋体" w:cs="新宋体"/>
                <w:b/>
                <w:bCs/>
                <w:color w:val="auto"/>
                <w:sz w:val="22"/>
                <w:szCs w:val="22"/>
                <w:highlight w:val="none"/>
                <w:vertAlign w:val="baseline"/>
                <w:lang w:val="en-US" w:eastAsia="zh-CN"/>
              </w:rPr>
              <w:t>并加盖</w:t>
            </w:r>
            <w:r>
              <w:rPr>
                <w:rFonts w:ascii="新宋体" w:hAnsi="新宋体" w:eastAsia="新宋体" w:cs="新宋体"/>
                <w:b/>
                <w:bCs/>
                <w:color w:val="auto"/>
                <w:sz w:val="22"/>
                <w:szCs w:val="22"/>
                <w:highlight w:val="none"/>
                <w:vertAlign w:val="baseline"/>
              </w:rPr>
              <w:t>投标单位</w:t>
            </w:r>
            <w:r>
              <w:rPr>
                <w:rFonts w:hint="eastAsia" w:ascii="新宋体" w:hAnsi="新宋体" w:eastAsia="新宋体" w:cs="新宋体"/>
                <w:b/>
                <w:bCs/>
                <w:color w:val="auto"/>
                <w:sz w:val="22"/>
                <w:szCs w:val="22"/>
                <w:highlight w:val="none"/>
                <w:vertAlign w:val="baseline"/>
                <w:lang w:val="en-US" w:eastAsia="zh-CN"/>
              </w:rPr>
              <w:t>公章</w:t>
            </w:r>
            <w:r>
              <w:rPr>
                <w:rFonts w:hint="eastAsia" w:ascii="新宋体" w:hAnsi="新宋体" w:eastAsia="新宋体" w:cs="新宋体"/>
                <w:b/>
                <w:bCs/>
                <w:color w:val="auto"/>
                <w:sz w:val="22"/>
                <w:szCs w:val="22"/>
                <w:highlight w:val="none"/>
                <w:vertAlign w:val="baseline"/>
                <w:lang w:eastAsia="zh-CN"/>
              </w:rPr>
              <w:t>）</w:t>
            </w:r>
          </w:p>
          <w:p w14:paraId="5FE63F0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2.2）具备查找故障位置内容：将万用表的挡位拨至蜂鸣挡，根据题目中的故障现象，选择要检测的电路，然后分别选中万用表红、黑表笔，并将表笔拖到要检测的位置，松开鼠标左键，如果检测的电路，存在断路，则万用表的蜂鸣器将不会发出声音，说明该处线路存在故障，如果检测的电路，不存在断路，则万用表的蜂鸣器将会发出声音，说明该处线路不存在故障。</w:t>
            </w:r>
          </w:p>
          <w:p w14:paraId="285E326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★（2.3）具备排除故障内容：当查找到故障所在位置后，点击“显示故障答题界面”按钮，显示答题界面，在故障答题界面中输入故障的位置，</w:t>
            </w:r>
            <w:r>
              <w:rPr>
                <w:rFonts w:hint="eastAsia" w:ascii="新宋体" w:hAnsi="新宋体" w:eastAsia="新宋体" w:cs="新宋体"/>
                <w:color w:val="auto"/>
                <w:sz w:val="22"/>
                <w:szCs w:val="22"/>
                <w:highlight w:val="none"/>
                <w:vertAlign w:val="baseline"/>
                <w:lang w:val="en-US" w:eastAsia="zh-CN"/>
              </w:rPr>
              <w:t>然</w:t>
            </w:r>
            <w:r>
              <w:rPr>
                <w:rFonts w:ascii="新宋体" w:hAnsi="新宋体" w:eastAsia="新宋体" w:cs="新宋体"/>
                <w:color w:val="auto"/>
                <w:sz w:val="22"/>
                <w:szCs w:val="22"/>
                <w:highlight w:val="none"/>
                <w:vertAlign w:val="baseline"/>
              </w:rPr>
              <w:t>后点击“提交”按钮，提交故障答案，如果答案正确，将会排除该故障，答题界面中将不会再显示该故障，提交答案后，可继续排查其他所存在的故障，直到所有题目的故障排除完毕。</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需</w:t>
            </w:r>
            <w:r>
              <w:rPr>
                <w:rFonts w:ascii="新宋体" w:hAnsi="新宋体" w:eastAsia="新宋体" w:cs="新宋体"/>
                <w:b/>
                <w:bCs/>
                <w:color w:val="auto"/>
                <w:sz w:val="22"/>
                <w:szCs w:val="22"/>
                <w:highlight w:val="none"/>
                <w:vertAlign w:val="baseline"/>
              </w:rPr>
              <w:t>提供相应清晰截图进行佐证</w:t>
            </w:r>
            <w:r>
              <w:rPr>
                <w:rFonts w:hint="eastAsia" w:ascii="新宋体" w:hAnsi="新宋体" w:eastAsia="新宋体" w:cs="新宋体"/>
                <w:b/>
                <w:bCs/>
                <w:color w:val="auto"/>
                <w:sz w:val="22"/>
                <w:szCs w:val="22"/>
                <w:highlight w:val="none"/>
                <w:vertAlign w:val="baseline"/>
                <w:lang w:val="en-US" w:eastAsia="zh-CN"/>
              </w:rPr>
              <w:t>并加盖</w:t>
            </w:r>
            <w:r>
              <w:rPr>
                <w:rFonts w:ascii="新宋体" w:hAnsi="新宋体" w:eastAsia="新宋体" w:cs="新宋体"/>
                <w:b/>
                <w:bCs/>
                <w:color w:val="auto"/>
                <w:sz w:val="22"/>
                <w:szCs w:val="22"/>
                <w:highlight w:val="none"/>
                <w:vertAlign w:val="baseline"/>
              </w:rPr>
              <w:t>投标单位</w:t>
            </w:r>
            <w:r>
              <w:rPr>
                <w:rFonts w:hint="eastAsia" w:ascii="新宋体" w:hAnsi="新宋体" w:eastAsia="新宋体" w:cs="新宋体"/>
                <w:b/>
                <w:bCs/>
                <w:color w:val="auto"/>
                <w:sz w:val="22"/>
                <w:szCs w:val="22"/>
                <w:highlight w:val="none"/>
                <w:vertAlign w:val="baseline"/>
                <w:lang w:val="en-US" w:eastAsia="zh-CN"/>
              </w:rPr>
              <w:t>公章</w:t>
            </w:r>
            <w:r>
              <w:rPr>
                <w:rFonts w:hint="eastAsia" w:ascii="新宋体" w:hAnsi="新宋体" w:eastAsia="新宋体" w:cs="新宋体"/>
                <w:b/>
                <w:bCs/>
                <w:color w:val="auto"/>
                <w:sz w:val="22"/>
                <w:szCs w:val="22"/>
                <w:highlight w:val="none"/>
                <w:vertAlign w:val="baseline"/>
                <w:lang w:eastAsia="zh-CN"/>
              </w:rPr>
              <w:t>）</w:t>
            </w:r>
          </w:p>
          <w:p w14:paraId="6EA63DE7">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三</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软件（教师端）功能要求</w:t>
            </w:r>
          </w:p>
          <w:p w14:paraId="7319D5B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1、软件至少包含设备模块和基本信息模块以及考试模块等三个，</w:t>
            </w:r>
          </w:p>
          <w:p w14:paraId="5DD4A905">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2、</w:t>
            </w:r>
            <w:r>
              <w:rPr>
                <w:rFonts w:ascii="新宋体" w:hAnsi="新宋体" w:eastAsia="新宋体" w:cs="新宋体"/>
                <w:color w:val="auto"/>
                <w:sz w:val="22"/>
                <w:szCs w:val="22"/>
                <w:highlight w:val="none"/>
                <w:vertAlign w:val="baseline"/>
              </w:rPr>
              <w:t>可支持多样化题型，如单选、多选、判断等，教师可灵活调整题型比例，满足、不同层次的考试需求，拥有强大的试题库管理权限。</w:t>
            </w:r>
          </w:p>
          <w:p w14:paraId="783F006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（1）设备信息模块功能要求：包含设备管理和设备模型。</w:t>
            </w:r>
          </w:p>
          <w:p w14:paraId="2CE3753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（1.1）设备管理可进行增加、查询、修改、删除等操作，实现对设备信息的规范管理。</w:t>
            </w:r>
          </w:p>
          <w:p w14:paraId="3D8BB0A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★（1.2）设备模型中至少含有数控技术应用到的16种电路信息单元以及16种故障信息单元都，可进行增加、查询、 修改、删除等操作，如主电路、主轴风扇电路、伺服主电路、刀库电路、排屑电路、控制电源电路、直流电源电路、急停电路、启动电路、刀库气动IO电路、打刀缸气动IO电路、润滑电路、信号灯电路、抱闸电路、冷却电路、通讯电路等内容。</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需</w:t>
            </w:r>
            <w:r>
              <w:rPr>
                <w:rFonts w:ascii="新宋体" w:hAnsi="新宋体" w:eastAsia="新宋体" w:cs="新宋体"/>
                <w:b/>
                <w:bCs/>
                <w:color w:val="auto"/>
                <w:sz w:val="22"/>
                <w:szCs w:val="22"/>
                <w:highlight w:val="none"/>
                <w:vertAlign w:val="baseline"/>
              </w:rPr>
              <w:t>提供相应清晰截图进行佐证</w:t>
            </w:r>
            <w:r>
              <w:rPr>
                <w:rFonts w:hint="eastAsia" w:ascii="新宋体" w:hAnsi="新宋体" w:eastAsia="新宋体" w:cs="新宋体"/>
                <w:b/>
                <w:bCs/>
                <w:color w:val="auto"/>
                <w:sz w:val="22"/>
                <w:szCs w:val="22"/>
                <w:highlight w:val="none"/>
                <w:vertAlign w:val="baseline"/>
                <w:lang w:val="en-US" w:eastAsia="zh-CN"/>
              </w:rPr>
              <w:t>并加盖</w:t>
            </w:r>
            <w:r>
              <w:rPr>
                <w:rFonts w:ascii="新宋体" w:hAnsi="新宋体" w:eastAsia="新宋体" w:cs="新宋体"/>
                <w:b/>
                <w:bCs/>
                <w:color w:val="auto"/>
                <w:sz w:val="22"/>
                <w:szCs w:val="22"/>
                <w:highlight w:val="none"/>
                <w:vertAlign w:val="baseline"/>
              </w:rPr>
              <w:t>投标单位</w:t>
            </w:r>
            <w:r>
              <w:rPr>
                <w:rFonts w:hint="eastAsia" w:ascii="新宋体" w:hAnsi="新宋体" w:eastAsia="新宋体" w:cs="新宋体"/>
                <w:b/>
                <w:bCs/>
                <w:color w:val="auto"/>
                <w:sz w:val="22"/>
                <w:szCs w:val="22"/>
                <w:highlight w:val="none"/>
                <w:vertAlign w:val="baseline"/>
                <w:lang w:val="en-US" w:eastAsia="zh-CN"/>
              </w:rPr>
              <w:t>公章</w:t>
            </w:r>
            <w:r>
              <w:rPr>
                <w:rFonts w:hint="eastAsia" w:ascii="新宋体" w:hAnsi="新宋体" w:eastAsia="新宋体" w:cs="新宋体"/>
                <w:b/>
                <w:bCs/>
                <w:color w:val="auto"/>
                <w:sz w:val="22"/>
                <w:szCs w:val="22"/>
                <w:highlight w:val="none"/>
                <w:vertAlign w:val="baseline"/>
                <w:lang w:eastAsia="zh-CN"/>
              </w:rPr>
              <w:t>）</w:t>
            </w:r>
          </w:p>
          <w:p w14:paraId="7130C85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（2）基本信息模块功能要求：包含学生信息和教师信息以及等级信息。</w:t>
            </w:r>
          </w:p>
          <w:p w14:paraId="2392CEE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（2.1）对学生信息可进行增加、查询、修改、删除等操作，如学生名字、学号、电子邮箱、性别等内容。</w:t>
            </w:r>
          </w:p>
          <w:p w14:paraId="7B91796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（2.2）对教师信息可进行增加、查询、修改、删除等操作，如教师编号、姓名、电子邮箱、性别等内容。</w:t>
            </w:r>
          </w:p>
          <w:p w14:paraId="0252B674">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（2.3）对等级信息可进行增加、查询、修改、删除等操作，如初级、中级、高级等内容。</w:t>
            </w:r>
          </w:p>
          <w:p w14:paraId="38BEB86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（3）考试信息模块功能要求：包含题库信息和试卷列表以及评分表和考试方案与考试成绩等功能。</w:t>
            </w:r>
          </w:p>
          <w:p w14:paraId="12FCF15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（3.1）对题库信息可进行增加、查询、修改、删除、导入、模板下载等操作，如名称、题型类别、试题内容、试题答 案、试题等级等等内容。</w:t>
            </w:r>
          </w:p>
          <w:p w14:paraId="7C66CA0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w:t>
            </w:r>
            <w:r>
              <w:rPr>
                <w:rFonts w:ascii="新宋体" w:hAnsi="新宋体" w:eastAsia="新宋体" w:cs="新宋体"/>
                <w:color w:val="auto"/>
                <w:sz w:val="22"/>
                <w:szCs w:val="22"/>
                <w:highlight w:val="none"/>
                <w:vertAlign w:val="baseline"/>
              </w:rPr>
              <w:t>（3.2）对试卷列表可进行增加、查询、修改、删除、导入等操作，如试卷类型、试卷名称、试卷等级等内容。</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需</w:t>
            </w:r>
            <w:r>
              <w:rPr>
                <w:rFonts w:ascii="新宋体" w:hAnsi="新宋体" w:eastAsia="新宋体" w:cs="新宋体"/>
                <w:b/>
                <w:bCs/>
                <w:color w:val="auto"/>
                <w:sz w:val="22"/>
                <w:szCs w:val="22"/>
                <w:highlight w:val="none"/>
                <w:vertAlign w:val="baseline"/>
              </w:rPr>
              <w:t>提供相应清晰截图进行佐证</w:t>
            </w:r>
            <w:r>
              <w:rPr>
                <w:rFonts w:hint="eastAsia" w:ascii="新宋体" w:hAnsi="新宋体" w:eastAsia="新宋体" w:cs="新宋体"/>
                <w:b/>
                <w:bCs/>
                <w:color w:val="auto"/>
                <w:sz w:val="22"/>
                <w:szCs w:val="22"/>
                <w:highlight w:val="none"/>
                <w:vertAlign w:val="baseline"/>
                <w:lang w:val="en-US" w:eastAsia="zh-CN"/>
              </w:rPr>
              <w:t>并加盖</w:t>
            </w:r>
            <w:r>
              <w:rPr>
                <w:rFonts w:ascii="新宋体" w:hAnsi="新宋体" w:eastAsia="新宋体" w:cs="新宋体"/>
                <w:b/>
                <w:bCs/>
                <w:color w:val="auto"/>
                <w:sz w:val="22"/>
                <w:szCs w:val="22"/>
                <w:highlight w:val="none"/>
                <w:vertAlign w:val="baseline"/>
              </w:rPr>
              <w:t>投标单位</w:t>
            </w:r>
            <w:r>
              <w:rPr>
                <w:rFonts w:hint="eastAsia" w:ascii="新宋体" w:hAnsi="新宋体" w:eastAsia="新宋体" w:cs="新宋体"/>
                <w:b/>
                <w:bCs/>
                <w:color w:val="auto"/>
                <w:sz w:val="22"/>
                <w:szCs w:val="22"/>
                <w:highlight w:val="none"/>
                <w:vertAlign w:val="baseline"/>
                <w:lang w:val="en-US" w:eastAsia="zh-CN"/>
              </w:rPr>
              <w:t>公章</w:t>
            </w:r>
            <w:r>
              <w:rPr>
                <w:rFonts w:hint="eastAsia" w:ascii="新宋体" w:hAnsi="新宋体" w:eastAsia="新宋体" w:cs="新宋体"/>
                <w:b/>
                <w:bCs/>
                <w:color w:val="auto"/>
                <w:sz w:val="22"/>
                <w:szCs w:val="22"/>
                <w:highlight w:val="none"/>
                <w:vertAlign w:val="baseline"/>
                <w:lang w:eastAsia="zh-CN"/>
              </w:rPr>
              <w:t>）</w:t>
            </w:r>
          </w:p>
          <w:p w14:paraId="2805A13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（3.3）对评分表可进行增加、查询、修改、删除等操作，如评分表等内容</w:t>
            </w:r>
          </w:p>
          <w:p w14:paraId="4D718ED2">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（3.4）对考试方案可进行增加、查询、修改、删除等操作，如考试名称、考试区间、考试总分等内容。</w:t>
            </w:r>
          </w:p>
          <w:p w14:paraId="29B5EBA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（3.5）对考试成绩可进行导出等操作。</w:t>
            </w:r>
          </w:p>
        </w:tc>
        <w:tc>
          <w:tcPr>
            <w:tcW w:w="735" w:type="dxa"/>
            <w:noWrap w:val="0"/>
            <w:vAlign w:val="top"/>
          </w:tcPr>
          <w:p w14:paraId="7BCC54E7">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1套</w:t>
            </w:r>
          </w:p>
        </w:tc>
        <w:tc>
          <w:tcPr>
            <w:tcW w:w="720" w:type="dxa"/>
            <w:noWrap w:val="0"/>
            <w:vAlign w:val="top"/>
          </w:tcPr>
          <w:p w14:paraId="57D2C566">
            <w:pPr>
              <w:spacing w:line="460" w:lineRule="exact"/>
              <w:rPr>
                <w:rFonts w:ascii="新宋体" w:hAnsi="新宋体" w:eastAsia="新宋体" w:cs="新宋体"/>
                <w:color w:val="auto"/>
                <w:sz w:val="22"/>
                <w:szCs w:val="22"/>
                <w:highlight w:val="none"/>
                <w:vertAlign w:val="baseline"/>
              </w:rPr>
            </w:pPr>
          </w:p>
        </w:tc>
      </w:tr>
      <w:tr w14:paraId="5169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6BD79D25">
            <w:pPr>
              <w:spacing w:line="460" w:lineRule="exact"/>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3</w:t>
            </w:r>
          </w:p>
        </w:tc>
        <w:tc>
          <w:tcPr>
            <w:tcW w:w="1161" w:type="dxa"/>
            <w:noWrap w:val="0"/>
            <w:vAlign w:val="top"/>
          </w:tcPr>
          <w:p w14:paraId="4856CC93">
            <w:pPr>
              <w:spacing w:line="460" w:lineRule="exact"/>
              <w:rPr>
                <w:rFonts w:hint="default"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立式加工中心单元</w:t>
            </w:r>
          </w:p>
        </w:tc>
        <w:tc>
          <w:tcPr>
            <w:tcW w:w="11662" w:type="dxa"/>
            <w:noWrap w:val="0"/>
            <w:vAlign w:val="top"/>
          </w:tcPr>
          <w:p w14:paraId="61876246">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一、总体要求：</w:t>
            </w:r>
          </w:p>
          <w:p w14:paraId="5C90698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立式加工中心单元要求是一套先进的智能制造平台，融合了高精度加工技术和卓越的工程设计，专为实现复杂零件的高 效加工与精密检测而设计。该系统包括立式数控加工中心光机单元、刀库单元、加工中心主轴单元、润滑单元、打刀缸单元、 航空接插件单元和防护装置等核心组件。每个单元均采用前沿技术，保证系统在各种操作条件下的稳定性和高效性。</w:t>
            </w:r>
          </w:p>
          <w:p w14:paraId="647D305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二、功能要求：</w:t>
            </w:r>
          </w:p>
          <w:p w14:paraId="5F561D0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1、立式数控加工中心光机单元：</w:t>
            </w:r>
          </w:p>
          <w:p w14:paraId="6AAD847A">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w:t>
            </w:r>
            <w:r>
              <w:rPr>
                <w:rFonts w:ascii="新宋体" w:hAnsi="新宋体" w:eastAsia="新宋体" w:cs="新宋体"/>
                <w:color w:val="auto"/>
                <w:sz w:val="22"/>
                <w:szCs w:val="22"/>
                <w:highlight w:val="none"/>
                <w:vertAlign w:val="baseline"/>
              </w:rPr>
              <w:t>高刚性结构：采用高刚性的铸铁结构，包括底座、滑座、工作台、立柱和主轴箱，配备内部加强筋，确保机床的高刚性和抗弯减震性能。通过树脂砂造型并经时效处理，机床的长期使用精度稳定可靠。</w:t>
            </w:r>
          </w:p>
          <w:p w14:paraId="3AA5EF36">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2）</w:t>
            </w:r>
            <w:r>
              <w:rPr>
                <w:rFonts w:ascii="新宋体" w:hAnsi="新宋体" w:eastAsia="新宋体" w:cs="新宋体"/>
                <w:color w:val="auto"/>
                <w:sz w:val="22"/>
                <w:szCs w:val="22"/>
                <w:highlight w:val="none"/>
                <w:vertAlign w:val="baseline"/>
              </w:rPr>
              <w:t>高精度运动：X、Y、Z 三轴均为直线导轨，配合自动润滑系统，支持高速、高精度的运动。每个轴由交流伺服电机驱动，配备绝对式脉冲编码器，无需回零，确保精准的自动定位。</w:t>
            </w:r>
          </w:p>
          <w:p w14:paraId="6B287EA6">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3）</w:t>
            </w:r>
            <w:r>
              <w:rPr>
                <w:rFonts w:ascii="新宋体" w:hAnsi="新宋体" w:eastAsia="新宋体" w:cs="新宋体"/>
                <w:color w:val="auto"/>
                <w:sz w:val="22"/>
                <w:szCs w:val="22"/>
                <w:highlight w:val="none"/>
                <w:vertAlign w:val="baseline"/>
              </w:rPr>
              <w:t>多功能加工：工件在一次装夹后，可完成钻、扩、铰、攻 丝、铣削、镗孔等多道工序，大大提高加工效率。三轴的密闭 防护设计保证了丝杠及导轨的清洁，确保了机床的传动及运动精度。</w:t>
            </w:r>
          </w:p>
          <w:p w14:paraId="562E856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2、刀库单元：</w:t>
            </w:r>
          </w:p>
          <w:p w14:paraId="01F4B756">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高效换刀：采用高质量斗笠式刀库，具备高换刀精度和短换刀时间，经过严格测试，符合可靠性要求，提升加工效率和操作便捷性。</w:t>
            </w:r>
          </w:p>
          <w:p w14:paraId="79F787A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3、加工中心主轴单元：</w:t>
            </w:r>
          </w:p>
          <w:p w14:paraId="139E20B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高速高精度：配备知名品牌高速、高精度主轴单元，轴向和径向承载能力强，转速可达≥10000 rpm，提供卓越的加工 精度和稳定性。</w:t>
            </w:r>
          </w:p>
          <w:p w14:paraId="5A2E51EF">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4、润滑单元：</w:t>
            </w:r>
          </w:p>
          <w:p w14:paraId="47F4782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自动润滑：配置先进的集中自动润滑装置，实现定时、定量的自动间歇式润滑，确保系统的工作稳定性和长期可靠性。</w:t>
            </w:r>
          </w:p>
          <w:p w14:paraId="3E1D368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5、打刀缸单元：</w:t>
            </w:r>
          </w:p>
          <w:p w14:paraId="51211B0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稳定换刀：高品质的打刀缸单元结合气缸和液压缸设计，液压缸与油杯相通，底部配有压杆回程气缸，确保换刀动作的稳定性和可靠性。</w:t>
            </w:r>
          </w:p>
          <w:p w14:paraId="4E7C4433">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6、航空接插件单元：</w:t>
            </w:r>
          </w:p>
          <w:p w14:paraId="7794AD7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简便连接：采用航空接插件用于电气控制单元与加工中心单元的联调，拆装简便，便于系统间的连接与分离，提升维护和调整的便利性。</w:t>
            </w:r>
          </w:p>
          <w:p w14:paraId="59CC131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7、防护装置：</w:t>
            </w:r>
          </w:p>
          <w:p w14:paraId="310DAD3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全闭式保护：机床采用全闭式外防护设计，有效防止切削飞屑溅出机床外部，大幅度提高操作安全性，自动门设计进一步优化了安全性和操作便捷性。</w:t>
            </w:r>
          </w:p>
          <w:p w14:paraId="58188BC6">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立式加工中心单元不仅具备强大的加工能力，还集成了高精度检测与拆装校准功能。学员可以在此平台上进行高效的加工作业，精密的性能检测，以及复杂的拆装与精度校准操作。</w:t>
            </w:r>
          </w:p>
          <w:p w14:paraId="25377E4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该系统的模块化设计与先进技术融合，确保了高效加工、精确检测和可靠维护，为智能制造领域的培训和应用提供了卓越的支持。通过这一系统，学员将掌握最前沿的加工技术和设备维护技能，助力在高精密制造领域取得卓越成就。</w:t>
            </w:r>
          </w:p>
          <w:p w14:paraId="2E8F59E6">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8、整体参数：</w:t>
            </w:r>
          </w:p>
          <w:p w14:paraId="5ED20B3B">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1</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 xml:space="preserve">X/Y/Z 轴行程： ≥600mm×400mm×420mm </w:t>
            </w:r>
          </w:p>
          <w:p w14:paraId="3C64AD30">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2</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主轴端面至工作台面距离：170-590 mm</w:t>
            </w:r>
          </w:p>
          <w:p w14:paraId="7F885D49">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3</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主轴中心至立柱导轨面距离： ≥45</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 xml:space="preserve"> mm</w:t>
            </w:r>
          </w:p>
          <w:p w14:paraId="1D0CD13E">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4</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工作台面积： ≥700×420 mm</w:t>
            </w:r>
          </w:p>
          <w:p w14:paraId="5CBED1C6">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5</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工作台最大负荷： ≥300kg</w:t>
            </w:r>
          </w:p>
          <w:p w14:paraId="68FD37D6">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6</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T 型槽（槽×宽× 中心距）：3 × 18× 125 mm</w:t>
            </w:r>
          </w:p>
          <w:p w14:paraId="15D76D09">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7</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 xml:space="preserve"> 主轴锥口类型：BT40</w:t>
            </w:r>
          </w:p>
          <w:p w14:paraId="49063356">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8</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 xml:space="preserve"> 主轴转速：≥10000 转</w:t>
            </w:r>
          </w:p>
          <w:p w14:paraId="76B9A531">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9</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 xml:space="preserve"> 切削进给速度(X/Y/Z)：1～10000 mm/min</w:t>
            </w:r>
          </w:p>
          <w:p w14:paraId="5ED5524E">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10</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快速移动速度（X/Y/Z 轴）： ≥4</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 xml:space="preserve"> m/min</w:t>
            </w:r>
          </w:p>
          <w:p w14:paraId="7C5152DB">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11</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丝杠螺距：12/16 mm</w:t>
            </w:r>
          </w:p>
          <w:p w14:paraId="168DDB05">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12</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定位精度（X/Y/Z）： ≤0.008 mm</w:t>
            </w:r>
          </w:p>
          <w:p w14:paraId="1CC37E9A">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13</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重复定位精度（X/Y/Z）： ≤0.008 mm</w:t>
            </w:r>
          </w:p>
          <w:p w14:paraId="541FE4E1">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14</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刀库类型：斗笠式 (≥12T）</w:t>
            </w:r>
          </w:p>
          <w:p w14:paraId="6BE7B65B">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15</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 xml:space="preserve">含有气动门、气动夹具。 </w:t>
            </w:r>
          </w:p>
          <w:p w14:paraId="04B74EF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三、仿真软件：</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中标后提供原厂授权证明，自主开发的不用提供授权书。</w:t>
            </w:r>
            <w:r>
              <w:rPr>
                <w:rFonts w:hint="eastAsia" w:ascii="新宋体" w:hAnsi="新宋体" w:eastAsia="新宋体" w:cs="新宋体"/>
                <w:b/>
                <w:bCs/>
                <w:color w:val="auto"/>
                <w:sz w:val="22"/>
                <w:szCs w:val="22"/>
                <w:highlight w:val="none"/>
                <w:vertAlign w:val="baseline"/>
                <w:lang w:eastAsia="zh-CN"/>
              </w:rPr>
              <w:t>）</w:t>
            </w:r>
          </w:p>
          <w:p w14:paraId="21F17E0B">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一</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软件整体要求</w:t>
            </w:r>
          </w:p>
          <w:p w14:paraId="10245B8A">
            <w:pPr>
              <w:spacing w:line="460" w:lineRule="exact"/>
              <w:rPr>
                <w:rFonts w:hint="eastAsia" w:ascii="新宋体" w:hAnsi="新宋体" w:eastAsia="新宋体" w:cs="新宋体"/>
                <w:b/>
                <w:bCs/>
                <w:color w:val="auto"/>
                <w:sz w:val="22"/>
                <w:szCs w:val="22"/>
                <w:highlight w:val="none"/>
                <w:vertAlign w:val="baseline"/>
                <w:lang w:eastAsia="zh-CN"/>
              </w:rPr>
            </w:pPr>
            <w:r>
              <w:rPr>
                <w:rFonts w:hint="eastAsia" w:ascii="新宋体" w:hAnsi="新宋体" w:eastAsia="新宋体" w:cs="新宋体"/>
                <w:b w:val="0"/>
                <w:bCs w:val="0"/>
                <w:color w:val="auto"/>
                <w:sz w:val="22"/>
                <w:szCs w:val="22"/>
                <w:highlight w:val="none"/>
                <w:vertAlign w:val="baseline"/>
                <w:lang w:val="en-US" w:eastAsia="zh-CN"/>
              </w:rPr>
              <w:t>1.</w:t>
            </w:r>
            <w:r>
              <w:rPr>
                <w:rFonts w:hint="eastAsia" w:ascii="新宋体" w:hAnsi="新宋体" w:eastAsia="新宋体" w:cs="新宋体"/>
                <w:b w:val="0"/>
                <w:bCs w:val="0"/>
                <w:color w:val="auto"/>
                <w:sz w:val="22"/>
                <w:szCs w:val="22"/>
                <w:highlight w:val="none"/>
                <w:vertAlign w:val="baseline"/>
                <w:lang w:eastAsia="zh-CN"/>
              </w:rPr>
              <w:t>软件要求采用高度仿真的三维效果界面，能够通过键盘和鼠标完成视角平移、缩放、旋转、复位等视角控制。</w:t>
            </w:r>
            <w:r>
              <w:rPr>
                <w:rFonts w:hint="eastAsia" w:ascii="新宋体" w:hAnsi="新宋体" w:eastAsia="新宋体" w:cs="新宋体"/>
                <w:b/>
                <w:bCs/>
                <w:color w:val="auto"/>
                <w:sz w:val="22"/>
                <w:szCs w:val="22"/>
                <w:highlight w:val="none"/>
                <w:vertAlign w:val="baseline"/>
                <w:lang w:eastAsia="zh-CN"/>
              </w:rPr>
              <w:t>（</w:t>
            </w:r>
            <w:r>
              <w:rPr>
                <w:rFonts w:ascii="新宋体" w:hAnsi="新宋体" w:eastAsia="新宋体" w:cs="新宋体"/>
                <w:b/>
                <w:bCs/>
                <w:color w:val="auto"/>
                <w:sz w:val="22"/>
                <w:szCs w:val="22"/>
                <w:highlight w:val="none"/>
                <w:u w:val="single"/>
                <w:vertAlign w:val="baseline"/>
              </w:rPr>
              <w:t>投标时提供相应的演示视频</w:t>
            </w:r>
            <w:r>
              <w:rPr>
                <w:rFonts w:hint="eastAsia" w:ascii="新宋体" w:hAnsi="新宋体" w:eastAsia="新宋体" w:cs="新宋体"/>
                <w:b/>
                <w:bCs/>
                <w:color w:val="auto"/>
                <w:sz w:val="22"/>
                <w:szCs w:val="22"/>
                <w:highlight w:val="none"/>
                <w:vertAlign w:val="baseline"/>
                <w:lang w:eastAsia="zh-CN"/>
              </w:rPr>
              <w:t>）</w:t>
            </w:r>
          </w:p>
          <w:p w14:paraId="4EFC9F7B">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b w:val="0"/>
                <w:bCs w:val="0"/>
                <w:color w:val="auto"/>
                <w:sz w:val="22"/>
                <w:szCs w:val="22"/>
                <w:highlight w:val="none"/>
                <w:vertAlign w:val="baseline"/>
                <w:lang w:val="en-US" w:eastAsia="zh-CN"/>
              </w:rPr>
              <w:t>2.</w:t>
            </w:r>
            <w:r>
              <w:rPr>
                <w:rFonts w:hint="eastAsia" w:ascii="新宋体" w:hAnsi="新宋体" w:eastAsia="新宋体" w:cs="新宋体"/>
                <w:b w:val="0"/>
                <w:bCs w:val="0"/>
                <w:color w:val="auto"/>
                <w:sz w:val="22"/>
                <w:szCs w:val="22"/>
                <w:highlight w:val="none"/>
                <w:vertAlign w:val="baseline"/>
                <w:lang w:eastAsia="zh-CN"/>
              </w:rPr>
              <w:t>软件要求至少具备数控机床机械安装模式、拆除模式和检测模式，能够对数控设备 X 轴 Y 轴部分进行组装、拆 除和精度检测，在安装模式中用户根据软件所提供数控设 备 X 轴 Y 轴部分的零部件，按照一定的顺序将零部件安装 到设备上；在拆除模式中用户根据数控设备 X 轴 Y 轴部分 上零部件的拆除顺序依次将零部件从设备上拆除；在检测模式中每个项目都需提供详细的检测步骤操作说明。</w:t>
            </w:r>
            <w:r>
              <w:rPr>
                <w:rFonts w:hint="eastAsia" w:ascii="新宋体" w:hAnsi="新宋体" w:eastAsia="新宋体" w:cs="新宋体"/>
                <w:b/>
                <w:bCs/>
                <w:color w:val="auto"/>
                <w:sz w:val="22"/>
                <w:szCs w:val="22"/>
                <w:highlight w:val="none"/>
                <w:vertAlign w:val="baseline"/>
                <w:lang w:eastAsia="zh-CN"/>
              </w:rPr>
              <w:t>（</w:t>
            </w:r>
            <w:r>
              <w:rPr>
                <w:rFonts w:ascii="新宋体" w:hAnsi="新宋体" w:eastAsia="新宋体" w:cs="新宋体"/>
                <w:b/>
                <w:bCs/>
                <w:color w:val="auto"/>
                <w:sz w:val="22"/>
                <w:szCs w:val="22"/>
                <w:highlight w:val="none"/>
                <w:u w:val="single"/>
                <w:vertAlign w:val="baseline"/>
              </w:rPr>
              <w:t>投标时提供相应的演示视频</w:t>
            </w:r>
            <w:r>
              <w:rPr>
                <w:rFonts w:hint="eastAsia" w:ascii="新宋体" w:hAnsi="新宋体" w:eastAsia="新宋体" w:cs="新宋体"/>
                <w:b/>
                <w:bCs/>
                <w:color w:val="auto"/>
                <w:sz w:val="22"/>
                <w:szCs w:val="22"/>
                <w:highlight w:val="none"/>
                <w:vertAlign w:val="baseline"/>
                <w:lang w:eastAsia="zh-CN"/>
              </w:rPr>
              <w:t>）</w:t>
            </w:r>
          </w:p>
          <w:p w14:paraId="028C90C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★3.提供软件的架构图</w:t>
            </w: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需</w:t>
            </w:r>
            <w:r>
              <w:rPr>
                <w:rFonts w:ascii="新宋体" w:hAnsi="新宋体" w:eastAsia="新宋体" w:cs="新宋体"/>
                <w:b/>
                <w:bCs/>
                <w:color w:val="auto"/>
                <w:sz w:val="22"/>
                <w:szCs w:val="22"/>
                <w:highlight w:val="none"/>
                <w:vertAlign w:val="baseline"/>
              </w:rPr>
              <w:t>提供相应清晰截图进行佐证</w:t>
            </w:r>
            <w:r>
              <w:rPr>
                <w:rFonts w:hint="eastAsia" w:ascii="新宋体" w:hAnsi="新宋体" w:eastAsia="新宋体" w:cs="新宋体"/>
                <w:b/>
                <w:bCs/>
                <w:color w:val="auto"/>
                <w:sz w:val="22"/>
                <w:szCs w:val="22"/>
                <w:highlight w:val="none"/>
                <w:vertAlign w:val="baseline"/>
                <w:lang w:val="en-US" w:eastAsia="zh-CN"/>
              </w:rPr>
              <w:t>并加盖</w:t>
            </w:r>
            <w:r>
              <w:rPr>
                <w:rFonts w:ascii="新宋体" w:hAnsi="新宋体" w:eastAsia="新宋体" w:cs="新宋体"/>
                <w:b/>
                <w:bCs/>
                <w:color w:val="auto"/>
                <w:sz w:val="22"/>
                <w:szCs w:val="22"/>
                <w:highlight w:val="none"/>
                <w:vertAlign w:val="baseline"/>
              </w:rPr>
              <w:t>投标单位</w:t>
            </w:r>
            <w:r>
              <w:rPr>
                <w:rFonts w:hint="eastAsia" w:ascii="新宋体" w:hAnsi="新宋体" w:eastAsia="新宋体" w:cs="新宋体"/>
                <w:b/>
                <w:bCs/>
                <w:color w:val="auto"/>
                <w:sz w:val="22"/>
                <w:szCs w:val="22"/>
                <w:highlight w:val="none"/>
                <w:vertAlign w:val="baseline"/>
                <w:lang w:val="en-US" w:eastAsia="zh-CN"/>
              </w:rPr>
              <w:t>公章</w:t>
            </w:r>
            <w:r>
              <w:rPr>
                <w:rFonts w:hint="eastAsia" w:ascii="新宋体" w:hAnsi="新宋体" w:eastAsia="新宋体" w:cs="新宋体"/>
                <w:b/>
                <w:bCs/>
                <w:color w:val="auto"/>
                <w:sz w:val="22"/>
                <w:szCs w:val="22"/>
                <w:highlight w:val="none"/>
                <w:vertAlign w:val="baseline"/>
                <w:lang w:eastAsia="zh-CN"/>
              </w:rPr>
              <w:t>）</w:t>
            </w:r>
          </w:p>
          <w:p w14:paraId="7A18C3D7">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二</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软件功能要求</w:t>
            </w:r>
          </w:p>
          <w:p w14:paraId="43299FB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1、软件采用高度仿真的三维效果界面。</w:t>
            </w:r>
          </w:p>
          <w:p w14:paraId="60AE1384">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进入数控设备维护与维修机械仿真软件的主界面后，能够 进行视角控制：</w:t>
            </w:r>
          </w:p>
          <w:p w14:paraId="10245D4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（1）视角平移：按住键盘上“A”、“S”、“D”、“W”中的任意一键，将上下左右平移视角。</w:t>
            </w:r>
          </w:p>
          <w:p w14:paraId="2AA9CA9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（2）视角缩放：按住键盘上“Q”、“E”中的任意一键或者滚动鼠标滚轮，将放大缩小视角。</w:t>
            </w:r>
          </w:p>
          <w:p w14:paraId="1B67E52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（3）视角旋转：按住鼠标右键，再移动鼠标，将上下左右旋转视角。</w:t>
            </w:r>
          </w:p>
          <w:p w14:paraId="092ABA6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（4）视角复位：按下键盘上“R”，将会把视角复位到初始位置。</w:t>
            </w:r>
          </w:p>
          <w:p w14:paraId="64044B52">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2、主界面模式说明</w:t>
            </w:r>
          </w:p>
          <w:p w14:paraId="6BAA5BE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主界面中有3大部分实训模式：安装模式、拆除模式和检测模式，点击其中任意一种模式，将进入对应的实训模式界面。</w:t>
            </w:r>
          </w:p>
          <w:p w14:paraId="4E53E8E2">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（1）安装模式：用户需将单独的零部件根据安装顺序依次安装到设备上，学习该设备的安装知识。</w:t>
            </w:r>
          </w:p>
          <w:p w14:paraId="16F449B3">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在安装模式界面中，可分为 3 个部分：按钮部分、安装零部件列表部分和安装区域部分。</w:t>
            </w:r>
          </w:p>
          <w:p w14:paraId="3CA18C8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（1.1）按钮部分：“实训项目”按钮和“撤消零部件组装 ”按钮</w:t>
            </w:r>
          </w:p>
          <w:p w14:paraId="4BF5B26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（1.1.1）点击“实训项目”按钮将打开实训模式选择界面，重新选择实训模式。</w:t>
            </w:r>
          </w:p>
          <w:p w14:paraId="6CE318D4">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（1.1.2）点击“撤消零部件组装”按钮将撤消上一步已组装的零部件。</w:t>
            </w:r>
          </w:p>
          <w:p w14:paraId="0308A61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（1.2）安装零部件列表部分：零部件列表内展示了所有需要安装的零部件，每个零部件都有 3 部分组成(零部件图片、 名称及数量)，其中零部件的数量表示软件中该零部件需要的 地方数量，当数量为 0 时，表示该零部件已全部完成组装。</w:t>
            </w:r>
          </w:p>
          <w:p w14:paraId="0EDFCBDF">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（1.3）安装区域部分：所有的安装操作都在该区域进行。</w:t>
            </w:r>
          </w:p>
          <w:p w14:paraId="1EAF8A2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（2）拆除模式：用户需将设备上的零部件根据拆除顺序依次拆除，学习该设备的拆除知识。</w:t>
            </w:r>
          </w:p>
          <w:p w14:paraId="76C9340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根据设备中零部件的拆除顺序，依次将零部件从设备上拆除，具体操作为：</w:t>
            </w:r>
          </w:p>
          <w:p w14:paraId="286B1A0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（2.1）将鼠标移到需要拆除的零部件上，此时零部件将会改变颜色。</w:t>
            </w:r>
          </w:p>
          <w:p w14:paraId="4BD2CAE2">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（2.2）双击鼠标左键，如果该零部件符合拆除的顺序，此时将自动拆除该零部件；如果不符合拆除的顺序，将不会拆除该零部件。</w:t>
            </w:r>
          </w:p>
          <w:p w14:paraId="77230334">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（2.3）重复以上 2 个步骤，直到将所有的零部件拆除完成。</w:t>
            </w:r>
          </w:p>
          <w:p w14:paraId="3FC51F1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w:t>
            </w:r>
            <w:r>
              <w:rPr>
                <w:rFonts w:ascii="新宋体" w:hAnsi="新宋体" w:eastAsia="新宋体" w:cs="新宋体"/>
                <w:color w:val="auto"/>
                <w:sz w:val="22"/>
                <w:szCs w:val="22"/>
                <w:highlight w:val="none"/>
                <w:vertAlign w:val="baseline"/>
              </w:rPr>
              <w:t>检测模式：该模式下总共有12个检测项目：Y轴导轨上母线直线度精度检测、Y轴导轨侧母线直线度精度检测、Y轴两导轨间的等高度检测、Y轴导轨上母线直线度精度检测、直线导轨与Y轴滚珠丝杆上母线精度检测、直线导轨与Y轴滚珠丝杆侧母线精度检测、X轴导轨上母线直线度精度检测、X轴导轨侧母线直线度精度检测、X轴导轨上母线直线度精度检测、X轴两导轨间的等高度检测、直线导轨与X 轴滚珠丝杆上母线精度检测、直线导轨与X轴滚珠丝杆侧母线精度检测。</w:t>
            </w:r>
            <w:r>
              <w:rPr>
                <w:rFonts w:hint="eastAsia" w:ascii="新宋体" w:hAnsi="新宋体" w:eastAsia="新宋体" w:cs="新宋体"/>
                <w:b/>
                <w:bCs/>
                <w:color w:val="auto"/>
                <w:sz w:val="22"/>
                <w:szCs w:val="22"/>
                <w:highlight w:val="none"/>
                <w:vertAlign w:val="baseline"/>
                <w:lang w:eastAsia="zh-CN"/>
              </w:rPr>
              <w:t>（</w:t>
            </w:r>
            <w:r>
              <w:rPr>
                <w:rFonts w:ascii="新宋体" w:hAnsi="新宋体" w:eastAsia="新宋体" w:cs="新宋体"/>
                <w:b/>
                <w:bCs/>
                <w:color w:val="auto"/>
                <w:sz w:val="22"/>
                <w:szCs w:val="22"/>
                <w:highlight w:val="none"/>
                <w:u w:val="single"/>
                <w:vertAlign w:val="baseline"/>
              </w:rPr>
              <w:t>投标时提供相应的演示视频</w:t>
            </w:r>
            <w:r>
              <w:rPr>
                <w:rFonts w:hint="eastAsia" w:ascii="新宋体" w:hAnsi="新宋体" w:eastAsia="新宋体" w:cs="新宋体"/>
                <w:b/>
                <w:bCs/>
                <w:color w:val="auto"/>
                <w:sz w:val="22"/>
                <w:szCs w:val="22"/>
                <w:highlight w:val="none"/>
                <w:vertAlign w:val="baseline"/>
                <w:lang w:eastAsia="zh-CN"/>
              </w:rPr>
              <w:t>）</w:t>
            </w:r>
          </w:p>
          <w:p w14:paraId="2054AF5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在该模式下还包含有以文字的形式描述机床机械功能部件精度检测的操作步骤，方便用户对精度检测方法及知识点的 学习。</w:t>
            </w:r>
          </w:p>
        </w:tc>
        <w:tc>
          <w:tcPr>
            <w:tcW w:w="735" w:type="dxa"/>
            <w:noWrap w:val="0"/>
            <w:vAlign w:val="top"/>
          </w:tcPr>
          <w:p w14:paraId="3A99C8BA">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1套</w:t>
            </w:r>
          </w:p>
        </w:tc>
        <w:tc>
          <w:tcPr>
            <w:tcW w:w="720" w:type="dxa"/>
            <w:noWrap w:val="0"/>
            <w:vAlign w:val="top"/>
          </w:tcPr>
          <w:p w14:paraId="41C699A7">
            <w:pPr>
              <w:spacing w:line="460" w:lineRule="exact"/>
              <w:rPr>
                <w:rFonts w:ascii="新宋体" w:hAnsi="新宋体" w:eastAsia="新宋体" w:cs="新宋体"/>
                <w:color w:val="auto"/>
                <w:sz w:val="22"/>
                <w:szCs w:val="22"/>
                <w:highlight w:val="none"/>
                <w:vertAlign w:val="baseline"/>
              </w:rPr>
            </w:pPr>
          </w:p>
        </w:tc>
      </w:tr>
      <w:tr w14:paraId="4B88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360A0F85">
            <w:pPr>
              <w:spacing w:line="460" w:lineRule="exact"/>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4</w:t>
            </w:r>
          </w:p>
        </w:tc>
        <w:tc>
          <w:tcPr>
            <w:tcW w:w="1161" w:type="dxa"/>
            <w:noWrap w:val="0"/>
            <w:vAlign w:val="top"/>
          </w:tcPr>
          <w:p w14:paraId="1FE33D47">
            <w:pPr>
              <w:spacing w:line="460" w:lineRule="exact"/>
              <w:rPr>
                <w:rFonts w:hint="default"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加工中心主轴机械拆装单元</w:t>
            </w:r>
          </w:p>
        </w:tc>
        <w:tc>
          <w:tcPr>
            <w:tcW w:w="11662" w:type="dxa"/>
            <w:noWrap w:val="0"/>
            <w:vAlign w:val="top"/>
          </w:tcPr>
          <w:p w14:paraId="36F105B3">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一、总体要求:</w:t>
            </w:r>
          </w:p>
          <w:p w14:paraId="38C4265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加工中心主轴机械拆装单元是一套集成先进技术与多功能实训的高端培训系统，旨在提供全面的主轴拆装、维修与调 试实训体验。该系统主要由主轴安装单元和机械拆装实训台组成，专为提升学员的动手能力和专业技能而设计。</w:t>
            </w:r>
          </w:p>
          <w:p w14:paraId="4708F6FF">
            <w:pPr>
              <w:spacing w:line="460" w:lineRule="exact"/>
              <w:rPr>
                <w:rFonts w:hint="eastAsia" w:ascii="新宋体" w:hAnsi="新宋体" w:eastAsia="新宋体" w:cs="新宋体"/>
                <w:color w:val="auto"/>
                <w:sz w:val="22"/>
                <w:szCs w:val="22"/>
                <w:highlight w:val="none"/>
                <w:vertAlign w:val="baseline"/>
                <w:lang w:val="en-US" w:eastAsia="zh-CN"/>
              </w:rPr>
            </w:pPr>
            <w:r>
              <w:rPr>
                <w:rFonts w:ascii="新宋体" w:hAnsi="新宋体" w:eastAsia="新宋体" w:cs="新宋体"/>
                <w:color w:val="auto"/>
                <w:sz w:val="22"/>
                <w:szCs w:val="22"/>
                <w:highlight w:val="none"/>
                <w:vertAlign w:val="baseline"/>
              </w:rPr>
              <w:t>★</w:t>
            </w:r>
            <w:r>
              <w:rPr>
                <w:rFonts w:hint="eastAsia" w:ascii="新宋体" w:hAnsi="新宋体" w:eastAsia="新宋体" w:cs="新宋体"/>
                <w:color w:val="auto"/>
                <w:sz w:val="22"/>
                <w:szCs w:val="22"/>
                <w:highlight w:val="none"/>
                <w:vertAlign w:val="baseline"/>
                <w:lang w:val="en-US" w:eastAsia="zh-CN"/>
              </w:rPr>
              <w:t>1、要求该单元提供教学用的中心主轴装调与检测实训系统。</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需</w:t>
            </w:r>
            <w:r>
              <w:rPr>
                <w:rFonts w:ascii="新宋体" w:hAnsi="新宋体" w:eastAsia="新宋体" w:cs="新宋体"/>
                <w:b/>
                <w:bCs/>
                <w:color w:val="auto"/>
                <w:sz w:val="22"/>
                <w:szCs w:val="22"/>
                <w:highlight w:val="none"/>
                <w:vertAlign w:val="baseline"/>
              </w:rPr>
              <w:t>提供相应清晰截图进行佐证</w:t>
            </w:r>
            <w:r>
              <w:rPr>
                <w:rFonts w:hint="eastAsia" w:ascii="新宋体" w:hAnsi="新宋体" w:eastAsia="新宋体" w:cs="新宋体"/>
                <w:b/>
                <w:bCs/>
                <w:color w:val="auto"/>
                <w:sz w:val="22"/>
                <w:szCs w:val="22"/>
                <w:highlight w:val="none"/>
                <w:vertAlign w:val="baseline"/>
                <w:lang w:val="en-US" w:eastAsia="zh-CN"/>
              </w:rPr>
              <w:t>并加盖</w:t>
            </w:r>
            <w:r>
              <w:rPr>
                <w:rFonts w:ascii="新宋体" w:hAnsi="新宋体" w:eastAsia="新宋体" w:cs="新宋体"/>
                <w:b/>
                <w:bCs/>
                <w:color w:val="auto"/>
                <w:sz w:val="22"/>
                <w:szCs w:val="22"/>
                <w:highlight w:val="none"/>
                <w:vertAlign w:val="baseline"/>
              </w:rPr>
              <w:t>投标单位</w:t>
            </w:r>
            <w:r>
              <w:rPr>
                <w:rFonts w:hint="eastAsia" w:ascii="新宋体" w:hAnsi="新宋体" w:eastAsia="新宋体" w:cs="新宋体"/>
                <w:b/>
                <w:bCs/>
                <w:color w:val="auto"/>
                <w:sz w:val="22"/>
                <w:szCs w:val="22"/>
                <w:highlight w:val="none"/>
                <w:vertAlign w:val="baseline"/>
                <w:lang w:val="en-US" w:eastAsia="zh-CN"/>
              </w:rPr>
              <w:t>公章</w:t>
            </w:r>
            <w:r>
              <w:rPr>
                <w:rFonts w:hint="eastAsia" w:ascii="新宋体" w:hAnsi="新宋体" w:eastAsia="新宋体" w:cs="新宋体"/>
                <w:b/>
                <w:bCs/>
                <w:color w:val="auto"/>
                <w:sz w:val="22"/>
                <w:szCs w:val="22"/>
                <w:highlight w:val="none"/>
                <w:vertAlign w:val="baseline"/>
                <w:lang w:eastAsia="zh-CN"/>
              </w:rPr>
              <w:t>）</w:t>
            </w:r>
          </w:p>
          <w:p w14:paraId="79AD0C36">
            <w:pPr>
              <w:spacing w:line="460" w:lineRule="exact"/>
              <w:rPr>
                <w:rFonts w:hint="eastAsia" w:ascii="新宋体" w:hAnsi="新宋体" w:eastAsia="新宋体" w:cs="新宋体"/>
                <w:color w:val="auto"/>
                <w:sz w:val="22"/>
                <w:szCs w:val="22"/>
                <w:highlight w:val="none"/>
                <w:vertAlign w:val="baseline"/>
                <w:lang w:eastAsia="zh-CN"/>
              </w:rPr>
            </w:pPr>
            <w:r>
              <w:rPr>
                <w:rFonts w:ascii="新宋体" w:hAnsi="新宋体" w:eastAsia="新宋体" w:cs="新宋体"/>
                <w:color w:val="auto"/>
                <w:sz w:val="22"/>
                <w:szCs w:val="22"/>
                <w:highlight w:val="none"/>
                <w:vertAlign w:val="baseline"/>
              </w:rPr>
              <w:t>★</w:t>
            </w:r>
            <w:r>
              <w:rPr>
                <w:rFonts w:hint="eastAsia" w:ascii="新宋体" w:hAnsi="新宋体" w:eastAsia="新宋体" w:cs="新宋体"/>
                <w:color w:val="auto"/>
                <w:sz w:val="22"/>
                <w:szCs w:val="22"/>
                <w:highlight w:val="none"/>
                <w:vertAlign w:val="baseline"/>
                <w:lang w:val="en-US" w:eastAsia="zh-CN"/>
              </w:rPr>
              <w:t>2、要求该系统需涉及教学设备技术领域，专门为教学开发研制，应至少包括主轴套简、主轴套简内的主轴、主轴内的拉刀爪整组和依次套设在主轴上的隔组件</w:t>
            </w: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需</w:t>
            </w:r>
            <w:r>
              <w:rPr>
                <w:rFonts w:ascii="新宋体" w:hAnsi="新宋体" w:eastAsia="新宋体" w:cs="新宋体"/>
                <w:b/>
                <w:bCs/>
                <w:color w:val="auto"/>
                <w:sz w:val="22"/>
                <w:szCs w:val="22"/>
                <w:highlight w:val="none"/>
                <w:vertAlign w:val="baseline"/>
              </w:rPr>
              <w:t>提供相应清晰截图进行佐证</w:t>
            </w:r>
            <w:r>
              <w:rPr>
                <w:rFonts w:hint="eastAsia" w:ascii="新宋体" w:hAnsi="新宋体" w:eastAsia="新宋体" w:cs="新宋体"/>
                <w:b/>
                <w:bCs/>
                <w:color w:val="auto"/>
                <w:sz w:val="22"/>
                <w:szCs w:val="22"/>
                <w:highlight w:val="none"/>
                <w:vertAlign w:val="baseline"/>
                <w:lang w:val="en-US" w:eastAsia="zh-CN"/>
              </w:rPr>
              <w:t>并加盖</w:t>
            </w:r>
            <w:r>
              <w:rPr>
                <w:rFonts w:ascii="新宋体" w:hAnsi="新宋体" w:eastAsia="新宋体" w:cs="新宋体"/>
                <w:b/>
                <w:bCs/>
                <w:color w:val="auto"/>
                <w:sz w:val="22"/>
                <w:szCs w:val="22"/>
                <w:highlight w:val="none"/>
                <w:vertAlign w:val="baseline"/>
              </w:rPr>
              <w:t>投标单位</w:t>
            </w:r>
            <w:r>
              <w:rPr>
                <w:rFonts w:hint="eastAsia" w:ascii="新宋体" w:hAnsi="新宋体" w:eastAsia="新宋体" w:cs="新宋体"/>
                <w:b/>
                <w:bCs/>
                <w:color w:val="auto"/>
                <w:sz w:val="22"/>
                <w:szCs w:val="22"/>
                <w:highlight w:val="none"/>
                <w:vertAlign w:val="baseline"/>
                <w:lang w:val="en-US" w:eastAsia="zh-CN"/>
              </w:rPr>
              <w:t>公章</w:t>
            </w:r>
            <w:r>
              <w:rPr>
                <w:rFonts w:hint="eastAsia" w:ascii="新宋体" w:hAnsi="新宋体" w:eastAsia="新宋体" w:cs="新宋体"/>
                <w:b/>
                <w:bCs/>
                <w:color w:val="auto"/>
                <w:sz w:val="22"/>
                <w:szCs w:val="22"/>
                <w:highlight w:val="none"/>
                <w:vertAlign w:val="baseline"/>
                <w:lang w:eastAsia="zh-CN"/>
              </w:rPr>
              <w:t>）</w:t>
            </w:r>
          </w:p>
          <w:p w14:paraId="3088BB3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二、功能要求：</w:t>
            </w:r>
          </w:p>
          <w:p w14:paraId="720F0F9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1、主轴安装单元：</w:t>
            </w:r>
          </w:p>
          <w:p w14:paraId="0508AC86">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多功能整合：主轴安装单元作为一体化的实训设备，集主轴的机械拆装、维修保养、精度调试、性能检测及电气调试于一体。设备不仅展示了主轴的内部机械结构，还支持精确检测主轴各部件之间的精度。</w:t>
            </w:r>
          </w:p>
          <w:p w14:paraId="46A0592F">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全面保养与调试：学员可以进行主轴的全面保养，培养维护设备的良好习惯，从而延长设备使用寿命。电气调试功能则允许学员对安装后的主轴进行运行验证，确保其性能稳定。</w:t>
            </w:r>
          </w:p>
          <w:p w14:paraId="202B9532">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工艺流程展示：从零件安装到最终检测，系统完整展示了主轴在出厂前的所有工艺流程，帮助学生深入了解主轴的制造和检验过程，增强其对功能部件的知识欲望。</w:t>
            </w:r>
          </w:p>
          <w:p w14:paraId="2087990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精密构造：采用 BT40 主轴，配备前后轴承、松拉刀机构，主轴与电动机通过联轴节直连，确保高效、稳定的操作。BT40 主轴可安装于≥700mm×280mm×270mm 的主轴安装支撑架上，主轴安装支撑架采用厚度≥10mm 的钢板焊接而成，在其安装支撑架上预先安装了三相异步电动机，主轴与电机通过联轴器直连，快速完成主轴的高速运转。支撑架采用钢板焊接打磨工艺，多方位进行了加强肋的焊接，大大提高了支撑架的整体刚性，能够保证主轴在支撑架上的高速运行。</w:t>
            </w:r>
          </w:p>
          <w:p w14:paraId="5CF3A2C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2、机械拆装实训台：</w:t>
            </w:r>
          </w:p>
          <w:p w14:paraId="1C1627F3">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多功能应用：机械拆装实训台用于多种生产用途，包括拆装、维修、钳工、模具装配、包装和检测。其特殊处理的桌面具有防腐蚀和抗冲击性能，适应严苛的操作环境。</w:t>
            </w:r>
          </w:p>
          <w:p w14:paraId="602B0BD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灵活配置：配备方型网孔板，用户可以根据实际需求灵活配置各种工具挂钩和零件盒，同时内置抽屉方便工具存储和分类，促进5S管理理念的实施，培养学生良好的工作习惯。</w:t>
            </w:r>
          </w:p>
          <w:p w14:paraId="0437CB7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高效工作台：桌面采用高压合成板和亮光黑色热固性树脂高压板，耐磨耐用。桌面边缘以PVC 胶条封边，保护桌边不易受损。</w:t>
            </w:r>
          </w:p>
          <w:p w14:paraId="340FFD83">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集成电气系统：实训台配备电气控制箱，内置变频器，驱动三相异步电动机，从而带动主轴旋转，模拟真实工作环境中的操作情况，提升实训的真实性和实用性。</w:t>
            </w:r>
          </w:p>
          <w:p w14:paraId="6ECDFC34">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加工中心主轴机械拆装单元提供了一流的实训平台，学员不仅能掌握主轴的拆装和维修技能，还能体验到主轴在安装、 保养、精度调试及性能检测中的实际操作。通过这种综合性的培训设备，学生能够全面理解主轴的工艺流程和技术细节，提升其专业技术水平和操作能力，同时减少教学难度，激发学习兴趣，为智能制造领域培养出更具竞争力的人才。</w:t>
            </w:r>
          </w:p>
          <w:p w14:paraId="1DA33A9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3、整体参数</w:t>
            </w:r>
          </w:p>
          <w:p w14:paraId="3AFFC29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3.1 主轴机械拆装台： ≥1100mm×700mm×1700mm</w:t>
            </w:r>
          </w:p>
          <w:p w14:paraId="064BAFB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3.2 变频器参数：</w:t>
            </w:r>
          </w:p>
          <w:p w14:paraId="5881B41F">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额定电压：三相 AC380-460V；</w:t>
            </w:r>
          </w:p>
          <w:p w14:paraId="0DDD521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 xml:space="preserve">适配电机功率：0.1kW 至 3.7kW； </w:t>
            </w:r>
          </w:p>
          <w:p w14:paraId="315AC50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控制方式：V/F 闭环控制；</w:t>
            </w:r>
          </w:p>
          <w:p w14:paraId="5A9556D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 xml:space="preserve">输出电压调节方式：PWM 控制； </w:t>
            </w:r>
          </w:p>
          <w:p w14:paraId="7575305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防护等级：IP20。</w:t>
            </w:r>
          </w:p>
          <w:p w14:paraId="23DB282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3.3主轴：</w:t>
            </w:r>
            <w:r>
              <w:rPr>
                <w:rFonts w:hint="eastAsia" w:ascii="新宋体" w:hAnsi="新宋体" w:eastAsia="新宋体" w:cs="新宋体"/>
                <w:color w:val="auto"/>
                <w:sz w:val="22"/>
                <w:szCs w:val="22"/>
                <w:highlight w:val="none"/>
                <w:vertAlign w:val="baseline"/>
              </w:rPr>
              <w:t>BT40</w:t>
            </w:r>
          </w:p>
          <w:p w14:paraId="1730C6E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 xml:space="preserve">3.4三相异步电动机： </w:t>
            </w:r>
          </w:p>
          <w:p w14:paraId="2E4CBB4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 xml:space="preserve">额定功率： ≥1.5kW   </w:t>
            </w:r>
          </w:p>
          <w:p w14:paraId="3D89B31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额定电压：380V</w:t>
            </w:r>
          </w:p>
          <w:p w14:paraId="70467DC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额定转速： ≥1400rpm</w:t>
            </w:r>
          </w:p>
          <w:p w14:paraId="524BE9A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 xml:space="preserve">绝缘等级：B 级 </w:t>
            </w:r>
          </w:p>
          <w:p w14:paraId="32EE854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防护等级：IP54</w:t>
            </w:r>
          </w:p>
          <w:p w14:paraId="03C1D416">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3.5 联轴节：22mm/24mm</w:t>
            </w:r>
          </w:p>
          <w:p w14:paraId="465DEEA4">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 xml:space="preserve">3.6 包含漏电保护、继电器等 </w:t>
            </w:r>
          </w:p>
          <w:p w14:paraId="205901A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三、</w:t>
            </w:r>
            <w:r>
              <w:rPr>
                <w:rFonts w:ascii="新宋体" w:hAnsi="新宋体" w:eastAsia="新宋体" w:cs="新宋体"/>
                <w:color w:val="auto"/>
                <w:sz w:val="22"/>
                <w:szCs w:val="22"/>
                <w:highlight w:val="none"/>
              </w:rPr>
              <w:t>配套课程</w:t>
            </w:r>
            <w:r>
              <w:rPr>
                <w:rFonts w:hint="eastAsia" w:ascii="新宋体" w:hAnsi="新宋体" w:eastAsia="新宋体" w:cs="新宋体"/>
                <w:color w:val="auto"/>
                <w:sz w:val="22"/>
                <w:szCs w:val="22"/>
                <w:highlight w:val="none"/>
                <w:lang w:val="en-US" w:eastAsia="zh-CN"/>
              </w:rPr>
              <w:t>资源</w:t>
            </w:r>
            <w:r>
              <w:rPr>
                <w:rFonts w:ascii="新宋体" w:hAnsi="新宋体" w:eastAsia="新宋体" w:cs="新宋体"/>
                <w:color w:val="auto"/>
                <w:sz w:val="22"/>
                <w:szCs w:val="22"/>
                <w:highlight w:val="none"/>
                <w:vertAlign w:val="baseline"/>
              </w:rPr>
              <w:t>：</w:t>
            </w:r>
          </w:p>
          <w:p w14:paraId="0C4B0A11">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ascii="新宋体" w:hAnsi="新宋体" w:eastAsia="新宋体" w:cs="新宋体"/>
                <w:color w:val="auto"/>
                <w:sz w:val="22"/>
                <w:szCs w:val="22"/>
                <w:highlight w:val="none"/>
              </w:rPr>
              <w:t>提供主轴总装图，内容至少包含零件型号、明细、数量等清单；提供主轴详细安装工艺卡，内容要求符合安装规范、内容完整；</w:t>
            </w:r>
            <w:r>
              <w:rPr>
                <w:rFonts w:ascii="新宋体" w:hAnsi="新宋体" w:eastAsia="新宋体" w:cs="新宋体"/>
                <w:b/>
                <w:bCs/>
                <w:color w:val="auto"/>
                <w:sz w:val="22"/>
                <w:szCs w:val="22"/>
                <w:highlight w:val="none"/>
                <w:u w:val="single"/>
                <w:vertAlign w:val="baseline"/>
              </w:rPr>
              <w:t>（投标时提供相应的演示视频）</w:t>
            </w:r>
          </w:p>
          <w:p w14:paraId="6BC8E95D">
            <w:pPr>
              <w:spacing w:line="460" w:lineRule="exact"/>
              <w:rPr>
                <w:rFonts w:ascii="新宋体" w:hAnsi="新宋体" w:eastAsia="新宋体" w:cs="新宋体"/>
                <w:b/>
                <w:bCs/>
                <w:color w:val="auto"/>
                <w:sz w:val="22"/>
                <w:szCs w:val="22"/>
                <w:highlight w:val="none"/>
                <w:u w:val="single"/>
                <w:vertAlign w:val="baseline"/>
              </w:rPr>
            </w:pPr>
            <w:r>
              <w:rPr>
                <w:rFonts w:hint="eastAsia" w:ascii="新宋体" w:hAnsi="新宋体" w:eastAsia="新宋体" w:cs="新宋体"/>
                <w:color w:val="auto"/>
                <w:sz w:val="22"/>
                <w:szCs w:val="22"/>
                <w:highlight w:val="none"/>
                <w:lang w:val="en-US" w:eastAsia="zh-CN"/>
              </w:rPr>
              <w:t>2、</w:t>
            </w:r>
            <w:r>
              <w:rPr>
                <w:rFonts w:ascii="新宋体" w:hAnsi="新宋体" w:eastAsia="新宋体" w:cs="新宋体"/>
                <w:color w:val="auto"/>
                <w:sz w:val="22"/>
                <w:szCs w:val="22"/>
                <w:highlight w:val="none"/>
              </w:rPr>
              <w:t>提供主轴拆卸详细操作视频；提供主轴安装与精度检测详细视频，内容至少包含主轴安装过程各项精度检测需要与工艺卡匹配、与电机同轴度检测与调整。</w:t>
            </w:r>
            <w:r>
              <w:rPr>
                <w:rFonts w:ascii="新宋体" w:hAnsi="新宋体" w:eastAsia="新宋体" w:cs="新宋体"/>
                <w:b/>
                <w:bCs/>
                <w:color w:val="auto"/>
                <w:sz w:val="22"/>
                <w:szCs w:val="22"/>
                <w:highlight w:val="none"/>
                <w:u w:val="single"/>
                <w:vertAlign w:val="baseline"/>
              </w:rPr>
              <w:t>（投标时提供相应的演示视频）</w:t>
            </w:r>
          </w:p>
          <w:p w14:paraId="4D9D664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w:t>
            </w:r>
            <w:r>
              <w:rPr>
                <w:rFonts w:hint="eastAsia" w:ascii="新宋体" w:hAnsi="新宋体" w:eastAsia="新宋体" w:cs="新宋体"/>
                <w:color w:val="auto"/>
                <w:sz w:val="22"/>
                <w:szCs w:val="22"/>
                <w:highlight w:val="none"/>
                <w:vertAlign w:val="baseline"/>
                <w:lang w:val="en-US" w:eastAsia="zh-CN"/>
              </w:rPr>
              <w:t>3、</w:t>
            </w:r>
            <w:r>
              <w:rPr>
                <w:rFonts w:ascii="新宋体" w:hAnsi="新宋体" w:eastAsia="新宋体" w:cs="新宋体"/>
                <w:color w:val="auto"/>
                <w:sz w:val="22"/>
                <w:szCs w:val="22"/>
                <w:highlight w:val="none"/>
                <w:vertAlign w:val="baseline"/>
              </w:rPr>
              <w:t>提供主轴拆装软件。</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需</w:t>
            </w:r>
            <w:r>
              <w:rPr>
                <w:rFonts w:ascii="新宋体" w:hAnsi="新宋体" w:eastAsia="新宋体" w:cs="新宋体"/>
                <w:b/>
                <w:bCs/>
                <w:color w:val="auto"/>
                <w:sz w:val="22"/>
                <w:szCs w:val="22"/>
                <w:highlight w:val="none"/>
                <w:vertAlign w:val="baseline"/>
              </w:rPr>
              <w:t>提供相应清晰截图进行佐证</w:t>
            </w:r>
            <w:r>
              <w:rPr>
                <w:rFonts w:hint="eastAsia" w:ascii="新宋体" w:hAnsi="新宋体" w:eastAsia="新宋体" w:cs="新宋体"/>
                <w:b/>
                <w:bCs/>
                <w:color w:val="auto"/>
                <w:sz w:val="22"/>
                <w:szCs w:val="22"/>
                <w:highlight w:val="none"/>
                <w:vertAlign w:val="baseline"/>
                <w:lang w:val="en-US" w:eastAsia="zh-CN"/>
              </w:rPr>
              <w:t>并加盖</w:t>
            </w:r>
            <w:r>
              <w:rPr>
                <w:rFonts w:ascii="新宋体" w:hAnsi="新宋体" w:eastAsia="新宋体" w:cs="新宋体"/>
                <w:b/>
                <w:bCs/>
                <w:color w:val="auto"/>
                <w:sz w:val="22"/>
                <w:szCs w:val="22"/>
                <w:highlight w:val="none"/>
                <w:vertAlign w:val="baseline"/>
              </w:rPr>
              <w:t>投标单位</w:t>
            </w:r>
            <w:r>
              <w:rPr>
                <w:rFonts w:hint="eastAsia" w:ascii="新宋体" w:hAnsi="新宋体" w:eastAsia="新宋体" w:cs="新宋体"/>
                <w:b/>
                <w:bCs/>
                <w:color w:val="auto"/>
                <w:sz w:val="22"/>
                <w:szCs w:val="22"/>
                <w:highlight w:val="none"/>
                <w:vertAlign w:val="baseline"/>
                <w:lang w:val="en-US" w:eastAsia="zh-CN"/>
              </w:rPr>
              <w:t>公章</w:t>
            </w:r>
            <w:r>
              <w:rPr>
                <w:rFonts w:hint="eastAsia" w:ascii="新宋体" w:hAnsi="新宋体" w:eastAsia="新宋体" w:cs="新宋体"/>
                <w:b/>
                <w:bCs/>
                <w:color w:val="auto"/>
                <w:sz w:val="22"/>
                <w:szCs w:val="22"/>
                <w:highlight w:val="none"/>
                <w:vertAlign w:val="baseline"/>
                <w:lang w:eastAsia="zh-CN"/>
              </w:rPr>
              <w:t>）</w:t>
            </w:r>
          </w:p>
        </w:tc>
        <w:tc>
          <w:tcPr>
            <w:tcW w:w="735" w:type="dxa"/>
            <w:noWrap w:val="0"/>
            <w:vAlign w:val="top"/>
          </w:tcPr>
          <w:p w14:paraId="3D7A0BDD">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1套</w:t>
            </w:r>
          </w:p>
        </w:tc>
        <w:tc>
          <w:tcPr>
            <w:tcW w:w="720" w:type="dxa"/>
            <w:noWrap w:val="0"/>
            <w:vAlign w:val="top"/>
          </w:tcPr>
          <w:p w14:paraId="26B0056C">
            <w:pPr>
              <w:spacing w:line="460" w:lineRule="exact"/>
              <w:rPr>
                <w:rFonts w:ascii="新宋体" w:hAnsi="新宋体" w:eastAsia="新宋体" w:cs="新宋体"/>
                <w:color w:val="auto"/>
                <w:sz w:val="22"/>
                <w:szCs w:val="22"/>
                <w:highlight w:val="none"/>
                <w:vertAlign w:val="baseline"/>
              </w:rPr>
            </w:pPr>
          </w:p>
        </w:tc>
      </w:tr>
      <w:tr w14:paraId="5785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top"/>
          </w:tcPr>
          <w:p w14:paraId="47671461">
            <w:pPr>
              <w:spacing w:line="460" w:lineRule="exact"/>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5</w:t>
            </w:r>
          </w:p>
        </w:tc>
        <w:tc>
          <w:tcPr>
            <w:tcW w:w="1161" w:type="dxa"/>
            <w:noWrap w:val="0"/>
            <w:vAlign w:val="top"/>
          </w:tcPr>
          <w:p w14:paraId="34D188C4">
            <w:pPr>
              <w:spacing w:line="460" w:lineRule="exact"/>
              <w:rPr>
                <w:rFonts w:hint="default"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智能仓储与工业机器人单元</w:t>
            </w:r>
          </w:p>
        </w:tc>
        <w:tc>
          <w:tcPr>
            <w:tcW w:w="11662" w:type="dxa"/>
            <w:noWrap w:val="0"/>
            <w:vAlign w:val="top"/>
          </w:tcPr>
          <w:p w14:paraId="6742575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一、总体要求：</w:t>
            </w:r>
          </w:p>
          <w:p w14:paraId="09225C5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智能仓储与工业机器人实训设备是一套高度集成、先进的系统，专为智能制造和自动化技术的教学而设计。该系统由六轴工业机器人单元和立体仓库组合单元、可编程控制模块以及人机操作模块组成，融合了现代工业技术的精髓，全面展示了自动化仓储与机器人控制的前沿应用。配备有与设备相对应的多种虚拟仿真软件，方便用户快速学习智能制造产线的制造工艺流程与操作。</w:t>
            </w:r>
          </w:p>
          <w:p w14:paraId="79DB798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二、功能要求：</w:t>
            </w:r>
          </w:p>
          <w:p w14:paraId="6829FED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1、六轴工业机器人单元</w:t>
            </w:r>
          </w:p>
          <w:p w14:paraId="7E925E0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六轴工业机器人单元集成了精密化、柔性化、智能化和软件应用开发等先进制造技术，体现了工业自动化的最高水平。 该单元主要由以下三部分组成：</w:t>
            </w:r>
          </w:p>
          <w:p w14:paraId="5769D0FD">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w:t>
            </w:r>
            <w:r>
              <w:rPr>
                <w:rFonts w:ascii="新宋体" w:hAnsi="新宋体" w:eastAsia="新宋体" w:cs="新宋体"/>
                <w:color w:val="auto"/>
                <w:sz w:val="22"/>
                <w:szCs w:val="22"/>
                <w:highlight w:val="none"/>
                <w:vertAlign w:val="baseline"/>
              </w:rPr>
              <w:t>主体系统：包括机座和执行机构，其中执行机构由臂部、腕部和手部组成，能够实现复杂的空间运动和多种操作任务。其结构设计合理、耐用，保证了长期高效的工作性能。</w:t>
            </w:r>
          </w:p>
          <w:p w14:paraId="67672DD5">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2）</w:t>
            </w:r>
            <w:r>
              <w:rPr>
                <w:rFonts w:ascii="新宋体" w:hAnsi="新宋体" w:eastAsia="新宋体" w:cs="新宋体"/>
                <w:color w:val="auto"/>
                <w:sz w:val="22"/>
                <w:szCs w:val="22"/>
                <w:highlight w:val="none"/>
                <w:vertAlign w:val="baseline"/>
              </w:rPr>
              <w:t>驱动系统：包括动力装置和传动机构，通过高效能的电机和精密传动部件，使执行机构产生精确且稳定的动作，满足各种工业应用需求。</w:t>
            </w:r>
          </w:p>
          <w:p w14:paraId="2CA246CC">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3）</w:t>
            </w:r>
            <w:r>
              <w:rPr>
                <w:rFonts w:ascii="新宋体" w:hAnsi="新宋体" w:eastAsia="新宋体" w:cs="新宋体"/>
                <w:color w:val="auto"/>
                <w:sz w:val="22"/>
                <w:szCs w:val="22"/>
                <w:highlight w:val="none"/>
                <w:vertAlign w:val="baseline"/>
              </w:rPr>
              <w:t>控制系统：配备先进的控制单元，能够根据输入的程序对驱动系统和执行机构进行精准控制。系统支持程序化操作，具备实时监控和优化功能，提高生产效率，降低成本，并实现智能决策。</w:t>
            </w:r>
          </w:p>
          <w:p w14:paraId="49356EC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其特点包括：</w:t>
            </w:r>
          </w:p>
          <w:p w14:paraId="3C9AEC86">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w:t>
            </w:r>
            <w:r>
              <w:rPr>
                <w:rFonts w:ascii="新宋体" w:hAnsi="新宋体" w:eastAsia="新宋体" w:cs="新宋体"/>
                <w:color w:val="auto"/>
                <w:sz w:val="22"/>
                <w:szCs w:val="22"/>
                <w:highlight w:val="none"/>
                <w:vertAlign w:val="baseline"/>
              </w:rPr>
              <w:t>可编程性：支持灵活的编程和自定义操作，适应各种复杂任务。</w:t>
            </w:r>
          </w:p>
          <w:p w14:paraId="36999DEC">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2）</w:t>
            </w:r>
            <w:r>
              <w:rPr>
                <w:rFonts w:ascii="新宋体" w:hAnsi="新宋体" w:eastAsia="新宋体" w:cs="新宋体"/>
                <w:color w:val="auto"/>
                <w:sz w:val="22"/>
                <w:szCs w:val="22"/>
                <w:highlight w:val="none"/>
                <w:vertAlign w:val="baseline"/>
              </w:rPr>
              <w:t>拟人化：仿真人工操作的精细动作，提高了生产的灵活性和适应性。</w:t>
            </w:r>
          </w:p>
          <w:p w14:paraId="549001F2">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3）</w:t>
            </w:r>
            <w:r>
              <w:rPr>
                <w:rFonts w:ascii="新宋体" w:hAnsi="新宋体" w:eastAsia="新宋体" w:cs="新宋体"/>
                <w:color w:val="auto"/>
                <w:sz w:val="22"/>
                <w:szCs w:val="22"/>
                <w:highlight w:val="none"/>
                <w:vertAlign w:val="baseline"/>
              </w:rPr>
              <w:t>通用性：广泛应用于多个行业，如自动化生产线、质量检测、装配等。</w:t>
            </w:r>
          </w:p>
          <w:p w14:paraId="6F83F7FE">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4）</w:t>
            </w:r>
            <w:r>
              <w:rPr>
                <w:rFonts w:ascii="新宋体" w:hAnsi="新宋体" w:eastAsia="新宋体" w:cs="新宋体"/>
                <w:color w:val="auto"/>
                <w:sz w:val="22"/>
                <w:szCs w:val="22"/>
                <w:highlight w:val="none"/>
                <w:vertAlign w:val="baseline"/>
              </w:rPr>
              <w:t>智能化：集成先进的智能控制技术，优化生产过程，减少资源消耗和环境污染。</w:t>
            </w:r>
          </w:p>
          <w:p w14:paraId="25C8BBF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2、立体仓库组合单元</w:t>
            </w:r>
          </w:p>
          <w:p w14:paraId="6F74C386">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立体仓库组合单元采用创新的三层设计，每层配有4个库位，能够有效存储毛坯材料和成品工件。其设计包括：</w:t>
            </w:r>
          </w:p>
          <w:p w14:paraId="13FCF892">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w:t>
            </w:r>
            <w:r>
              <w:rPr>
                <w:rFonts w:ascii="新宋体" w:hAnsi="新宋体" w:eastAsia="新宋体" w:cs="新宋体"/>
                <w:color w:val="auto"/>
                <w:sz w:val="22"/>
                <w:szCs w:val="22"/>
                <w:highlight w:val="none"/>
                <w:vertAlign w:val="baseline"/>
              </w:rPr>
              <w:t>仓储系统：每个工件位置安装有高精度传感器，用于实时检测库存状态。系统通过视觉检测模块和快换工具模块，实现智能化的仓储管理。</w:t>
            </w:r>
          </w:p>
          <w:p w14:paraId="031D9926">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2）</w:t>
            </w:r>
            <w:r>
              <w:rPr>
                <w:rFonts w:ascii="新宋体" w:hAnsi="新宋体" w:eastAsia="新宋体" w:cs="新宋体"/>
                <w:color w:val="auto"/>
                <w:sz w:val="22"/>
                <w:szCs w:val="22"/>
                <w:highlight w:val="none"/>
                <w:vertAlign w:val="baseline"/>
              </w:rPr>
              <w:t>视觉检测模块：由工业视觉系统、视觉显示器、视觉光源和固定底板等组件组成。能够对工件的形状、颜色和坐标（X/Y/Z）进行精准检测。通过以太网和模拟量通道将检测结果实时传送至机器人系统，实现自动分拣和定位抓取，展示了机器视觉在机器人控制系统中的关键应用。</w:t>
            </w:r>
          </w:p>
          <w:p w14:paraId="21F9CF70">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3）</w:t>
            </w:r>
            <w:r>
              <w:rPr>
                <w:rFonts w:ascii="新宋体" w:hAnsi="新宋体" w:eastAsia="新宋体" w:cs="新宋体"/>
                <w:color w:val="auto"/>
                <w:sz w:val="22"/>
                <w:szCs w:val="22"/>
                <w:highlight w:val="none"/>
                <w:vertAlign w:val="baseline"/>
              </w:rPr>
              <w:t>快换工具模块：配备快换支架、检测传感器等组成。根据不同的操作需求，提供多种快换工具，支持模块化和工具种类的灵活更换。工具支架具备定位和检测功能，提高了工具更换的效率和准确性。</w:t>
            </w:r>
          </w:p>
          <w:p w14:paraId="0DE7CA8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立体仓库组合单元的特点包括：</w:t>
            </w:r>
          </w:p>
          <w:p w14:paraId="7847EB1C">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w:t>
            </w:r>
            <w:r>
              <w:rPr>
                <w:rFonts w:ascii="新宋体" w:hAnsi="新宋体" w:eastAsia="新宋体" w:cs="新宋体"/>
                <w:color w:val="auto"/>
                <w:sz w:val="22"/>
                <w:szCs w:val="22"/>
                <w:highlight w:val="none"/>
                <w:vertAlign w:val="baseline"/>
              </w:rPr>
              <w:t>智能仓储：通过实时检测和视觉识别技术，实现高效的仓储管理和智能化操作。</w:t>
            </w:r>
          </w:p>
          <w:p w14:paraId="61FDAF6A">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2）</w:t>
            </w:r>
            <w:r>
              <w:rPr>
                <w:rFonts w:ascii="新宋体" w:hAnsi="新宋体" w:eastAsia="新宋体" w:cs="新宋体"/>
                <w:color w:val="auto"/>
                <w:sz w:val="22"/>
                <w:szCs w:val="22"/>
                <w:highlight w:val="none"/>
                <w:vertAlign w:val="baseline"/>
              </w:rPr>
              <w:t>模块化设计：支持灵活扩展和定制，满足不同应用场景的需求。</w:t>
            </w:r>
          </w:p>
          <w:p w14:paraId="6ACD648E">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3）</w:t>
            </w:r>
            <w:r>
              <w:rPr>
                <w:rFonts w:ascii="新宋体" w:hAnsi="新宋体" w:eastAsia="新宋体" w:cs="新宋体"/>
                <w:color w:val="auto"/>
                <w:sz w:val="22"/>
                <w:szCs w:val="22"/>
                <w:highlight w:val="none"/>
                <w:vertAlign w:val="baseline"/>
              </w:rPr>
              <w:t>高效工具管理：快换工具模块提升了工具更换的速度和准确性，优化了生产流程。</w:t>
            </w:r>
          </w:p>
          <w:p w14:paraId="2331F28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3、可编程控制模块</w:t>
            </w:r>
          </w:p>
          <w:p w14:paraId="189CAB33">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可编程控制模块是系统中的核心部分，提供灵活的控制与管理功能。其主要功能包括：</w:t>
            </w:r>
          </w:p>
          <w:p w14:paraId="5E00CA1B">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w:t>
            </w:r>
            <w:r>
              <w:rPr>
                <w:rFonts w:ascii="新宋体" w:hAnsi="新宋体" w:eastAsia="新宋体" w:cs="新宋体"/>
                <w:color w:val="auto"/>
                <w:sz w:val="22"/>
                <w:szCs w:val="22"/>
                <w:highlight w:val="none"/>
                <w:vertAlign w:val="baseline"/>
              </w:rPr>
              <w:t>程序化控制：支持复杂的控制程序编写和调试，实现对设备的精确控制和优化。</w:t>
            </w:r>
          </w:p>
          <w:p w14:paraId="6A0545FA">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2）</w:t>
            </w:r>
            <w:r>
              <w:rPr>
                <w:rFonts w:ascii="新宋体" w:hAnsi="新宋体" w:eastAsia="新宋体" w:cs="新宋体"/>
                <w:color w:val="auto"/>
                <w:sz w:val="22"/>
                <w:szCs w:val="22"/>
                <w:highlight w:val="none"/>
                <w:vertAlign w:val="baseline"/>
              </w:rPr>
              <w:t>实时监控：能够实时监测系统运行状态，提供数据反馈和异常报警，确保系统的稳定性和安全性。</w:t>
            </w:r>
          </w:p>
          <w:p w14:paraId="4E29A7D0">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3）</w:t>
            </w:r>
            <w:r>
              <w:rPr>
                <w:rFonts w:ascii="新宋体" w:hAnsi="新宋体" w:eastAsia="新宋体" w:cs="新宋体"/>
                <w:color w:val="auto"/>
                <w:sz w:val="22"/>
                <w:szCs w:val="22"/>
                <w:highlight w:val="none"/>
                <w:vertAlign w:val="baseline"/>
              </w:rPr>
              <w:t>智能调度：通过智能算法优化生产调度，提高生产效率，降低资源消耗。</w:t>
            </w:r>
          </w:p>
          <w:p w14:paraId="5F913FB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可编程控制模块的特点包括：</w:t>
            </w:r>
          </w:p>
          <w:p w14:paraId="4CC19FB7">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w:t>
            </w:r>
            <w:r>
              <w:rPr>
                <w:rFonts w:ascii="新宋体" w:hAnsi="新宋体" w:eastAsia="新宋体" w:cs="新宋体"/>
                <w:color w:val="auto"/>
                <w:sz w:val="22"/>
                <w:szCs w:val="22"/>
                <w:highlight w:val="none"/>
                <w:vertAlign w:val="baseline"/>
              </w:rPr>
              <w:t>灵活性：支持多种编程语言和控制策略，满足不同应用需求。</w:t>
            </w:r>
          </w:p>
          <w:p w14:paraId="63F39FA6">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2）</w:t>
            </w:r>
            <w:r>
              <w:rPr>
                <w:rFonts w:ascii="新宋体" w:hAnsi="新宋体" w:eastAsia="新宋体" w:cs="新宋体"/>
                <w:color w:val="auto"/>
                <w:sz w:val="22"/>
                <w:szCs w:val="22"/>
                <w:highlight w:val="none"/>
                <w:vertAlign w:val="baseline"/>
              </w:rPr>
              <w:t>高效性：优化控制算法，提高系统响应速度和处理能力。</w:t>
            </w:r>
          </w:p>
          <w:p w14:paraId="3226368B">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3）</w:t>
            </w:r>
            <w:r>
              <w:rPr>
                <w:rFonts w:ascii="新宋体" w:hAnsi="新宋体" w:eastAsia="新宋体" w:cs="新宋体"/>
                <w:color w:val="auto"/>
                <w:sz w:val="22"/>
                <w:szCs w:val="22"/>
                <w:highlight w:val="none"/>
                <w:vertAlign w:val="baseline"/>
              </w:rPr>
              <w:t>智能化：集成先进的监控和调度功能，提升系统智能化水平。</w:t>
            </w:r>
          </w:p>
          <w:p w14:paraId="2ADAC2B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4、人机操作模块</w:t>
            </w:r>
          </w:p>
          <w:p w14:paraId="7952F70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人机操作模块为用户提供友好的交互界面和操作体验。其主要功能包括：</w:t>
            </w:r>
          </w:p>
          <w:p w14:paraId="401CFCA8">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w:t>
            </w:r>
            <w:r>
              <w:rPr>
                <w:rFonts w:ascii="新宋体" w:hAnsi="新宋体" w:eastAsia="新宋体" w:cs="新宋体"/>
                <w:color w:val="auto"/>
                <w:sz w:val="22"/>
                <w:szCs w:val="22"/>
                <w:highlight w:val="none"/>
                <w:vertAlign w:val="baseline"/>
              </w:rPr>
              <w:t>用户界面：配备高分辨率触摸屏和图形化操作界面，方便用户进行系统配置、参数调整和实时监控。</w:t>
            </w:r>
          </w:p>
          <w:p w14:paraId="2D120CE1">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2）</w:t>
            </w:r>
            <w:r>
              <w:rPr>
                <w:rFonts w:ascii="新宋体" w:hAnsi="新宋体" w:eastAsia="新宋体" w:cs="新宋体"/>
                <w:color w:val="auto"/>
                <w:sz w:val="22"/>
                <w:szCs w:val="22"/>
                <w:highlight w:val="none"/>
                <w:vertAlign w:val="baseline"/>
              </w:rPr>
              <w:t>操作简便：通过直观的操作流程和人性化设计，降低操作难度，提高使用效率。</w:t>
            </w:r>
          </w:p>
          <w:p w14:paraId="6E32EF8B">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3）</w:t>
            </w:r>
            <w:r>
              <w:rPr>
                <w:rFonts w:ascii="新宋体" w:hAnsi="新宋体" w:eastAsia="新宋体" w:cs="新宋体"/>
                <w:color w:val="auto"/>
                <w:sz w:val="22"/>
                <w:szCs w:val="22"/>
                <w:highlight w:val="none"/>
                <w:vertAlign w:val="baseline"/>
              </w:rPr>
              <w:t>数据分析：支持实时数据分析和报告生成，帮助用户了解系统运行状态和生产效率。</w:t>
            </w:r>
          </w:p>
          <w:p w14:paraId="7B1AA7DF">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人机操作模块的特点包括：</w:t>
            </w:r>
          </w:p>
          <w:p w14:paraId="1F973CBF">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w:t>
            </w:r>
            <w:r>
              <w:rPr>
                <w:rFonts w:ascii="新宋体" w:hAnsi="新宋体" w:eastAsia="新宋体" w:cs="新宋体"/>
                <w:color w:val="auto"/>
                <w:sz w:val="22"/>
                <w:szCs w:val="22"/>
                <w:highlight w:val="none"/>
                <w:vertAlign w:val="baseline"/>
              </w:rPr>
              <w:t>直观性：图形化界面简化操作流程，提升用户体验。</w:t>
            </w:r>
          </w:p>
          <w:p w14:paraId="0382E5F2">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2）</w:t>
            </w:r>
            <w:r>
              <w:rPr>
                <w:rFonts w:ascii="新宋体" w:hAnsi="新宋体" w:eastAsia="新宋体" w:cs="新宋体"/>
                <w:color w:val="auto"/>
                <w:sz w:val="22"/>
                <w:szCs w:val="22"/>
                <w:highlight w:val="none"/>
                <w:vertAlign w:val="baseline"/>
              </w:rPr>
              <w:t>高效性：实时数据展示和分析功能，支持决策和优化。</w:t>
            </w:r>
          </w:p>
          <w:p w14:paraId="05289CED">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3）</w:t>
            </w:r>
            <w:r>
              <w:rPr>
                <w:rFonts w:ascii="新宋体" w:hAnsi="新宋体" w:eastAsia="新宋体" w:cs="新宋体"/>
                <w:color w:val="auto"/>
                <w:sz w:val="22"/>
                <w:szCs w:val="22"/>
                <w:highlight w:val="none"/>
                <w:vertAlign w:val="baseline"/>
              </w:rPr>
              <w:t>智能化：集成智能提示和操作建议，提升操作便捷性。</w:t>
            </w:r>
          </w:p>
          <w:p w14:paraId="1BF707D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智能仓储与工业机器人实训设备为学员提供了一个全面的自动化培训平台，通过对工业机器人和智能仓储系统的深度 学习和操作，培养学员在智能制造领域的实践能力和技术水平。这一系统的高端配置和先进技术展示了现代工业自动化的顶尖水平，为未来的智能制造人才奠定了坚实的基础。</w:t>
            </w:r>
          </w:p>
          <w:p w14:paraId="5894C46F">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5、整体参数</w:t>
            </w:r>
          </w:p>
          <w:p w14:paraId="32756B7F">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5.1 外形尺寸： ≥1600×1100×1800mm</w:t>
            </w:r>
          </w:p>
          <w:p w14:paraId="6DE3BECA">
            <w:pPr>
              <w:spacing w:line="460" w:lineRule="exact"/>
              <w:rPr>
                <w:rFonts w:hint="eastAsia" w:ascii="新宋体" w:hAnsi="新宋体" w:eastAsia="新宋体" w:cs="新宋体"/>
                <w:color w:val="auto"/>
                <w:sz w:val="22"/>
                <w:szCs w:val="22"/>
                <w:highlight w:val="none"/>
                <w:vertAlign w:val="baseline"/>
                <w:lang w:eastAsia="zh-CN"/>
              </w:rPr>
            </w:pPr>
            <w:r>
              <w:rPr>
                <w:rFonts w:ascii="新宋体" w:hAnsi="新宋体" w:eastAsia="新宋体" w:cs="新宋体"/>
                <w:color w:val="auto"/>
                <w:sz w:val="22"/>
                <w:szCs w:val="22"/>
                <w:highlight w:val="none"/>
                <w:vertAlign w:val="baseline"/>
              </w:rPr>
              <w:t>5.2可编程控制器：主流品牌</w:t>
            </w:r>
            <w:r>
              <w:rPr>
                <w:rFonts w:hint="eastAsia" w:ascii="新宋体" w:hAnsi="新宋体" w:eastAsia="新宋体" w:cs="新宋体"/>
                <w:color w:val="auto"/>
                <w:sz w:val="22"/>
                <w:szCs w:val="22"/>
                <w:highlight w:val="none"/>
                <w:vertAlign w:val="baseline"/>
                <w:lang w:eastAsia="zh-CN"/>
              </w:rPr>
              <w:t>；</w:t>
            </w:r>
          </w:p>
          <w:p w14:paraId="7D719F42">
            <w:pPr>
              <w:spacing w:line="460" w:lineRule="exact"/>
              <w:rPr>
                <w:rFonts w:hint="eastAsia" w:ascii="新宋体" w:hAnsi="新宋体" w:eastAsia="新宋体" w:cs="新宋体"/>
                <w:color w:val="auto"/>
                <w:sz w:val="22"/>
                <w:szCs w:val="22"/>
                <w:highlight w:val="none"/>
                <w:vertAlign w:val="baseline"/>
                <w:lang w:eastAsia="zh-CN"/>
              </w:rPr>
            </w:pPr>
            <w:r>
              <w:rPr>
                <w:rFonts w:hint="eastAsia" w:ascii="新宋体" w:hAnsi="新宋体" w:eastAsia="新宋体" w:cs="新宋体"/>
                <w:color w:val="auto"/>
                <w:sz w:val="22"/>
                <w:szCs w:val="22"/>
                <w:highlight w:val="none"/>
                <w:vertAlign w:val="baseline"/>
                <w:lang w:val="en-US" w:eastAsia="zh-CN"/>
              </w:rPr>
              <w:t>5.2.1</w:t>
            </w:r>
            <w:r>
              <w:rPr>
                <w:rFonts w:ascii="新宋体" w:hAnsi="新宋体" w:eastAsia="新宋体" w:cs="新宋体"/>
                <w:color w:val="auto"/>
                <w:sz w:val="22"/>
                <w:szCs w:val="22"/>
                <w:highlight w:val="none"/>
                <w:vertAlign w:val="baseline"/>
              </w:rPr>
              <w:t>用户存储器容量： ≥ 100K/4MB</w:t>
            </w:r>
            <w:r>
              <w:rPr>
                <w:rFonts w:hint="eastAsia" w:ascii="新宋体" w:hAnsi="新宋体" w:eastAsia="新宋体" w:cs="新宋体"/>
                <w:color w:val="auto"/>
                <w:sz w:val="22"/>
                <w:szCs w:val="22"/>
                <w:highlight w:val="none"/>
                <w:vertAlign w:val="baseline"/>
                <w:lang w:eastAsia="zh-CN"/>
              </w:rPr>
              <w:t>；</w:t>
            </w:r>
          </w:p>
          <w:p w14:paraId="44C7091A">
            <w:pPr>
              <w:spacing w:line="460" w:lineRule="exact"/>
              <w:rPr>
                <w:rFonts w:hint="eastAsia" w:ascii="新宋体" w:hAnsi="新宋体" w:eastAsia="新宋体" w:cs="新宋体"/>
                <w:color w:val="auto"/>
                <w:sz w:val="22"/>
                <w:szCs w:val="22"/>
                <w:highlight w:val="none"/>
                <w:vertAlign w:val="baseline"/>
                <w:lang w:eastAsia="zh-CN"/>
              </w:rPr>
            </w:pPr>
            <w:r>
              <w:rPr>
                <w:rFonts w:hint="eastAsia" w:ascii="新宋体" w:hAnsi="新宋体" w:eastAsia="新宋体" w:cs="新宋体"/>
                <w:color w:val="auto"/>
                <w:sz w:val="22"/>
                <w:szCs w:val="22"/>
                <w:highlight w:val="none"/>
                <w:vertAlign w:val="baseline"/>
                <w:lang w:val="en-US" w:eastAsia="zh-CN"/>
              </w:rPr>
              <w:t>5.2.2</w:t>
            </w:r>
            <w:r>
              <w:rPr>
                <w:rFonts w:ascii="新宋体" w:hAnsi="新宋体" w:eastAsia="新宋体" w:cs="新宋体"/>
                <w:color w:val="auto"/>
                <w:sz w:val="22"/>
                <w:szCs w:val="22"/>
                <w:highlight w:val="none"/>
                <w:vertAlign w:val="baseline"/>
              </w:rPr>
              <w:t>数字量通道：≥1</w:t>
            </w:r>
            <w:r>
              <w:rPr>
                <w:rFonts w:hint="eastAsia" w:ascii="新宋体" w:hAnsi="新宋体" w:eastAsia="新宋体" w:cs="新宋体"/>
                <w:color w:val="auto"/>
                <w:sz w:val="22"/>
                <w:szCs w:val="22"/>
                <w:highlight w:val="none"/>
                <w:vertAlign w:val="baseline"/>
                <w:lang w:val="en-US" w:eastAsia="zh-CN"/>
              </w:rPr>
              <w:t>0</w:t>
            </w:r>
            <w:r>
              <w:rPr>
                <w:rFonts w:ascii="新宋体" w:hAnsi="新宋体" w:eastAsia="新宋体" w:cs="新宋体"/>
                <w:color w:val="auto"/>
                <w:sz w:val="22"/>
                <w:szCs w:val="22"/>
                <w:highlight w:val="none"/>
                <w:vertAlign w:val="baseline"/>
              </w:rPr>
              <w:t>DI/10DO</w:t>
            </w:r>
            <w:r>
              <w:rPr>
                <w:rFonts w:hint="eastAsia" w:ascii="新宋体" w:hAnsi="新宋体" w:eastAsia="新宋体" w:cs="新宋体"/>
                <w:color w:val="auto"/>
                <w:sz w:val="22"/>
                <w:szCs w:val="22"/>
                <w:highlight w:val="none"/>
                <w:vertAlign w:val="baseline"/>
                <w:lang w:eastAsia="zh-CN"/>
              </w:rPr>
              <w:t>；</w:t>
            </w:r>
          </w:p>
          <w:p w14:paraId="1872D31D">
            <w:pPr>
              <w:spacing w:line="460" w:lineRule="exact"/>
              <w:rPr>
                <w:rFonts w:hint="eastAsia" w:ascii="新宋体" w:hAnsi="新宋体" w:eastAsia="新宋体" w:cs="新宋体"/>
                <w:color w:val="auto"/>
                <w:sz w:val="22"/>
                <w:szCs w:val="22"/>
                <w:highlight w:val="none"/>
                <w:vertAlign w:val="baseline"/>
                <w:lang w:eastAsia="zh-CN"/>
              </w:rPr>
            </w:pPr>
            <w:r>
              <w:rPr>
                <w:rFonts w:hint="eastAsia" w:ascii="新宋体" w:hAnsi="新宋体" w:eastAsia="新宋体" w:cs="新宋体"/>
                <w:color w:val="auto"/>
                <w:sz w:val="22"/>
                <w:szCs w:val="22"/>
                <w:highlight w:val="none"/>
                <w:vertAlign w:val="baseline"/>
                <w:lang w:val="en-US" w:eastAsia="zh-CN"/>
              </w:rPr>
              <w:t>5.2.3</w:t>
            </w:r>
            <w:r>
              <w:rPr>
                <w:rFonts w:ascii="新宋体" w:hAnsi="新宋体" w:eastAsia="新宋体" w:cs="新宋体"/>
                <w:color w:val="auto"/>
                <w:sz w:val="22"/>
                <w:szCs w:val="22"/>
                <w:highlight w:val="none"/>
                <w:vertAlign w:val="baseline"/>
              </w:rPr>
              <w:t>模拟量通道：≥2AI/AO； AI(0-10v)AO(0-20mA)</w:t>
            </w:r>
            <w:r>
              <w:rPr>
                <w:rFonts w:hint="eastAsia" w:ascii="新宋体" w:hAnsi="新宋体" w:eastAsia="新宋体" w:cs="新宋体"/>
                <w:color w:val="auto"/>
                <w:sz w:val="22"/>
                <w:szCs w:val="22"/>
                <w:highlight w:val="none"/>
                <w:vertAlign w:val="baseline"/>
                <w:lang w:eastAsia="zh-CN"/>
              </w:rPr>
              <w:t>；</w:t>
            </w:r>
          </w:p>
          <w:p w14:paraId="762960F7">
            <w:pPr>
              <w:spacing w:line="460" w:lineRule="exact"/>
              <w:rPr>
                <w:rFonts w:hint="eastAsia" w:ascii="新宋体" w:hAnsi="新宋体" w:eastAsia="新宋体" w:cs="新宋体"/>
                <w:color w:val="auto"/>
                <w:sz w:val="22"/>
                <w:szCs w:val="22"/>
                <w:highlight w:val="none"/>
                <w:vertAlign w:val="baseline"/>
                <w:lang w:eastAsia="zh-CN"/>
              </w:rPr>
            </w:pPr>
            <w:r>
              <w:rPr>
                <w:rFonts w:hint="eastAsia" w:ascii="新宋体" w:hAnsi="新宋体" w:eastAsia="新宋体" w:cs="新宋体"/>
                <w:color w:val="auto"/>
                <w:sz w:val="22"/>
                <w:szCs w:val="22"/>
                <w:highlight w:val="none"/>
                <w:vertAlign w:val="baseline"/>
                <w:lang w:val="en-US" w:eastAsia="zh-CN"/>
              </w:rPr>
              <w:t>5.2.4</w:t>
            </w:r>
            <w:r>
              <w:rPr>
                <w:rFonts w:ascii="新宋体" w:hAnsi="新宋体" w:eastAsia="新宋体" w:cs="新宋体"/>
                <w:color w:val="auto"/>
                <w:sz w:val="22"/>
                <w:szCs w:val="22"/>
                <w:highlight w:val="none"/>
                <w:vertAlign w:val="baseline"/>
              </w:rPr>
              <w:t>位存储器容量： ≥8</w:t>
            </w:r>
            <w:r>
              <w:rPr>
                <w:rFonts w:hint="eastAsia" w:ascii="新宋体" w:hAnsi="新宋体" w:eastAsia="新宋体" w:cs="新宋体"/>
                <w:color w:val="auto"/>
                <w:sz w:val="22"/>
                <w:szCs w:val="22"/>
                <w:highlight w:val="none"/>
                <w:vertAlign w:val="baseline"/>
                <w:lang w:val="en-US" w:eastAsia="zh-CN"/>
              </w:rPr>
              <w:t>000</w:t>
            </w:r>
            <w:r>
              <w:rPr>
                <w:rFonts w:ascii="新宋体" w:hAnsi="新宋体" w:eastAsia="新宋体" w:cs="新宋体"/>
                <w:color w:val="auto"/>
                <w:sz w:val="22"/>
                <w:szCs w:val="22"/>
                <w:highlight w:val="none"/>
                <w:vertAlign w:val="baseline"/>
              </w:rPr>
              <w:t>byte</w:t>
            </w:r>
            <w:r>
              <w:rPr>
                <w:rFonts w:hint="eastAsia" w:ascii="新宋体" w:hAnsi="新宋体" w:eastAsia="新宋体" w:cs="新宋体"/>
                <w:color w:val="auto"/>
                <w:sz w:val="22"/>
                <w:szCs w:val="22"/>
                <w:highlight w:val="none"/>
                <w:vertAlign w:val="baseline"/>
                <w:lang w:eastAsia="zh-CN"/>
              </w:rPr>
              <w:t>；</w:t>
            </w:r>
          </w:p>
          <w:p w14:paraId="1A4234FF">
            <w:pPr>
              <w:spacing w:line="460" w:lineRule="exact"/>
              <w:rPr>
                <w:rFonts w:hint="eastAsia" w:ascii="新宋体" w:hAnsi="新宋体" w:eastAsia="新宋体" w:cs="新宋体"/>
                <w:color w:val="auto"/>
                <w:sz w:val="22"/>
                <w:szCs w:val="22"/>
                <w:highlight w:val="none"/>
                <w:vertAlign w:val="baseline"/>
                <w:lang w:eastAsia="zh-CN"/>
              </w:rPr>
            </w:pPr>
            <w:r>
              <w:rPr>
                <w:rFonts w:hint="eastAsia" w:ascii="新宋体" w:hAnsi="新宋体" w:eastAsia="新宋体" w:cs="新宋体"/>
                <w:color w:val="auto"/>
                <w:sz w:val="22"/>
                <w:szCs w:val="22"/>
                <w:highlight w:val="none"/>
                <w:vertAlign w:val="baseline"/>
                <w:lang w:val="en-US" w:eastAsia="zh-CN"/>
              </w:rPr>
              <w:t>5.2.5</w:t>
            </w:r>
            <w:r>
              <w:rPr>
                <w:rFonts w:ascii="新宋体" w:hAnsi="新宋体" w:eastAsia="新宋体" w:cs="新宋体"/>
                <w:color w:val="auto"/>
                <w:sz w:val="22"/>
                <w:szCs w:val="22"/>
                <w:highlight w:val="none"/>
                <w:vertAlign w:val="baseline"/>
              </w:rPr>
              <w:t>布尔运算执行速度： ≥0.08us/指令</w:t>
            </w:r>
            <w:r>
              <w:rPr>
                <w:rFonts w:hint="eastAsia" w:ascii="新宋体" w:hAnsi="新宋体" w:eastAsia="新宋体" w:cs="新宋体"/>
                <w:color w:val="auto"/>
                <w:sz w:val="22"/>
                <w:szCs w:val="22"/>
                <w:highlight w:val="none"/>
                <w:vertAlign w:val="baseline"/>
                <w:lang w:eastAsia="zh-CN"/>
              </w:rPr>
              <w:t>；</w:t>
            </w:r>
          </w:p>
          <w:p w14:paraId="5841D67E">
            <w:pPr>
              <w:spacing w:line="460" w:lineRule="exact"/>
              <w:rPr>
                <w:rFonts w:hint="eastAsia" w:ascii="新宋体" w:hAnsi="新宋体" w:eastAsia="新宋体" w:cs="新宋体"/>
                <w:color w:val="auto"/>
                <w:sz w:val="22"/>
                <w:szCs w:val="22"/>
                <w:highlight w:val="none"/>
                <w:vertAlign w:val="baseline"/>
                <w:lang w:eastAsia="zh-CN"/>
              </w:rPr>
            </w:pPr>
            <w:r>
              <w:rPr>
                <w:rFonts w:hint="eastAsia" w:ascii="新宋体" w:hAnsi="新宋体" w:eastAsia="新宋体" w:cs="新宋体"/>
                <w:color w:val="auto"/>
                <w:sz w:val="22"/>
                <w:szCs w:val="22"/>
                <w:highlight w:val="none"/>
                <w:vertAlign w:val="baseline"/>
                <w:lang w:val="en-US" w:eastAsia="zh-CN"/>
              </w:rPr>
              <w:t>5.2.6</w:t>
            </w:r>
            <w:r>
              <w:rPr>
                <w:rFonts w:ascii="新宋体" w:hAnsi="新宋体" w:eastAsia="新宋体" w:cs="新宋体"/>
                <w:color w:val="auto"/>
                <w:sz w:val="22"/>
                <w:szCs w:val="22"/>
                <w:highlight w:val="none"/>
                <w:vertAlign w:val="baseline"/>
              </w:rPr>
              <w:t>移动字执行速度： ≥1.7us/指令</w:t>
            </w:r>
            <w:r>
              <w:rPr>
                <w:rFonts w:hint="eastAsia" w:ascii="新宋体" w:hAnsi="新宋体" w:eastAsia="新宋体" w:cs="新宋体"/>
                <w:color w:val="auto"/>
                <w:sz w:val="22"/>
                <w:szCs w:val="22"/>
                <w:highlight w:val="none"/>
                <w:vertAlign w:val="baseline"/>
                <w:lang w:eastAsia="zh-CN"/>
              </w:rPr>
              <w:t>；</w:t>
            </w:r>
          </w:p>
          <w:p w14:paraId="7C440AF7">
            <w:pPr>
              <w:spacing w:line="460" w:lineRule="exact"/>
              <w:rPr>
                <w:rFonts w:hint="eastAsia" w:ascii="新宋体" w:hAnsi="新宋体" w:eastAsia="新宋体" w:cs="新宋体"/>
                <w:color w:val="auto"/>
                <w:sz w:val="22"/>
                <w:szCs w:val="22"/>
                <w:highlight w:val="none"/>
                <w:vertAlign w:val="baseline"/>
                <w:lang w:eastAsia="zh-CN"/>
              </w:rPr>
            </w:pPr>
            <w:r>
              <w:rPr>
                <w:rFonts w:hint="eastAsia" w:ascii="新宋体" w:hAnsi="新宋体" w:eastAsia="新宋体" w:cs="新宋体"/>
                <w:color w:val="auto"/>
                <w:sz w:val="22"/>
                <w:szCs w:val="22"/>
                <w:highlight w:val="none"/>
                <w:vertAlign w:val="baseline"/>
                <w:lang w:val="en-US" w:eastAsia="zh-CN"/>
              </w:rPr>
              <w:t>5.2.7</w:t>
            </w:r>
            <w:r>
              <w:rPr>
                <w:rFonts w:ascii="新宋体" w:hAnsi="新宋体" w:eastAsia="新宋体" w:cs="新宋体"/>
                <w:color w:val="auto"/>
                <w:sz w:val="22"/>
                <w:szCs w:val="22"/>
                <w:highlight w:val="none"/>
                <w:vertAlign w:val="baseline"/>
              </w:rPr>
              <w:t>实数数学运算执行速度： ≥2us/指令</w:t>
            </w:r>
            <w:r>
              <w:rPr>
                <w:rFonts w:hint="eastAsia" w:ascii="新宋体" w:hAnsi="新宋体" w:eastAsia="新宋体" w:cs="新宋体"/>
                <w:color w:val="auto"/>
                <w:sz w:val="22"/>
                <w:szCs w:val="22"/>
                <w:highlight w:val="none"/>
                <w:vertAlign w:val="baseline"/>
                <w:lang w:eastAsia="zh-CN"/>
              </w:rPr>
              <w:t>；</w:t>
            </w:r>
          </w:p>
          <w:p w14:paraId="6CF9816E">
            <w:pPr>
              <w:spacing w:line="460" w:lineRule="exact"/>
              <w:rPr>
                <w:rFonts w:hint="eastAsia" w:ascii="新宋体" w:hAnsi="新宋体" w:eastAsia="新宋体" w:cs="新宋体"/>
                <w:color w:val="auto"/>
                <w:sz w:val="22"/>
                <w:szCs w:val="22"/>
                <w:highlight w:val="none"/>
                <w:vertAlign w:val="baseline"/>
                <w:lang w:eastAsia="zh-CN"/>
              </w:rPr>
            </w:pPr>
            <w:r>
              <w:rPr>
                <w:rFonts w:hint="eastAsia" w:ascii="新宋体" w:hAnsi="新宋体" w:eastAsia="新宋体" w:cs="新宋体"/>
                <w:color w:val="auto"/>
                <w:sz w:val="22"/>
                <w:szCs w:val="22"/>
                <w:highlight w:val="none"/>
                <w:vertAlign w:val="baseline"/>
                <w:lang w:val="en-US" w:eastAsia="zh-CN"/>
              </w:rPr>
              <w:t>5.2.8</w:t>
            </w:r>
            <w:r>
              <w:rPr>
                <w:rFonts w:ascii="新宋体" w:hAnsi="新宋体" w:eastAsia="新宋体" w:cs="新宋体"/>
                <w:color w:val="auto"/>
                <w:sz w:val="22"/>
                <w:szCs w:val="22"/>
                <w:highlight w:val="none"/>
                <w:vertAlign w:val="baseline"/>
              </w:rPr>
              <w:t>以太网端口数： ≥2</w:t>
            </w:r>
            <w:r>
              <w:rPr>
                <w:rFonts w:hint="eastAsia" w:ascii="新宋体" w:hAnsi="新宋体" w:eastAsia="新宋体" w:cs="新宋体"/>
                <w:color w:val="auto"/>
                <w:sz w:val="22"/>
                <w:szCs w:val="22"/>
                <w:highlight w:val="none"/>
                <w:vertAlign w:val="baseline"/>
                <w:lang w:eastAsia="zh-CN"/>
              </w:rPr>
              <w:t>；</w:t>
            </w:r>
          </w:p>
          <w:p w14:paraId="54C652CF">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5.2.9</w:t>
            </w:r>
            <w:r>
              <w:rPr>
                <w:rFonts w:ascii="新宋体" w:hAnsi="新宋体" w:eastAsia="新宋体" w:cs="新宋体"/>
                <w:color w:val="auto"/>
                <w:sz w:val="22"/>
                <w:szCs w:val="22"/>
                <w:highlight w:val="none"/>
                <w:vertAlign w:val="baseline"/>
              </w:rPr>
              <w:t>数据传输率： ≥10/100Mb/s。</w:t>
            </w:r>
          </w:p>
          <w:p w14:paraId="4D4F7D2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5.3 嵌入式一体化控制面板：≥10.2 英寸TFT 1024×600 分辨率</w:t>
            </w:r>
          </w:p>
          <w:p w14:paraId="33E8AE0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5.4 视觉检测模块：主流品牌，包含视觉控制器、工业相机、FA镜头、机器视觉环形光源、机器视觉光源线、液晶显示器等</w:t>
            </w:r>
          </w:p>
          <w:p w14:paraId="0224770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5.5 快换工具：含一个母头、二个子头、三套可更换式夹爪，用于夹取不同类型的工件</w:t>
            </w:r>
          </w:p>
          <w:p w14:paraId="134287F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5.6 工业交换机：8 口 DIN 导轨安装</w:t>
            </w:r>
          </w:p>
          <w:p w14:paraId="4DF049A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5.7 工业机器人：</w:t>
            </w:r>
          </w:p>
          <w:p w14:paraId="2F4F918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5.7.1 最大臂展： ≥1400mm</w:t>
            </w:r>
          </w:p>
          <w:p w14:paraId="0307F3C5">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5.7.2 有效载荷： ≥12kg</w:t>
            </w:r>
          </w:p>
          <w:p w14:paraId="7457353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5.7.3 重复定位精度： ±0.03mm</w:t>
            </w:r>
          </w:p>
          <w:p w14:paraId="627C110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5.7.4 轴数： ≥6</w:t>
            </w:r>
          </w:p>
          <w:p w14:paraId="5373A6A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5.7.5 最大单轴速度：</w:t>
            </w:r>
          </w:p>
          <w:p w14:paraId="537EFE9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 J1 轴： ≥260 °/sec</w:t>
            </w:r>
          </w:p>
          <w:p w14:paraId="616BD288">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 J2 轴： ≥240 °/sec</w:t>
            </w:r>
          </w:p>
          <w:p w14:paraId="0585444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 J3 轴： ≥260 °/sec</w:t>
            </w:r>
          </w:p>
          <w:p w14:paraId="275B1DC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 J4 轴： ≥430 °/sec</w:t>
            </w:r>
          </w:p>
          <w:p w14:paraId="2BFB52D4">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 J5 轴： ≥450 °/sec</w:t>
            </w:r>
          </w:p>
          <w:p w14:paraId="1D083BB0">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6) J6 轴： ≥720 °/sec</w:t>
            </w:r>
          </w:p>
          <w:p w14:paraId="6829E97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5.7.6 各轴运动范围：</w:t>
            </w:r>
          </w:p>
          <w:p w14:paraId="391DE72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 J1 轴： ≥340 °</w:t>
            </w:r>
          </w:p>
          <w:p w14:paraId="4A20A5FF">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2) J2 轴： ≥230 °</w:t>
            </w:r>
          </w:p>
          <w:p w14:paraId="005451CD">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3) J3 轴： ≥450 °</w:t>
            </w:r>
          </w:p>
          <w:p w14:paraId="2B3E0D7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4) J4 轴： ≥380 °</w:t>
            </w:r>
          </w:p>
          <w:p w14:paraId="2A52381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 J5 轴： ≥360 °</w:t>
            </w:r>
          </w:p>
          <w:p w14:paraId="70AA400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6) J6 轴： ≥900 °</w:t>
            </w:r>
          </w:p>
          <w:p w14:paraId="22604231">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5.7.7 机器人本体质量： ≥145Kg</w:t>
            </w:r>
          </w:p>
          <w:p w14:paraId="7F2C4F5F">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 xml:space="preserve">5.7.8 配有底座、气动手抓， ≥16 路输入/输出。 </w:t>
            </w:r>
          </w:p>
          <w:p w14:paraId="311E77B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三、配套仿真软件</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中标后提供原厂授权证明，自主开发的不用提供授权书。</w:t>
            </w:r>
            <w:r>
              <w:rPr>
                <w:rFonts w:hint="eastAsia" w:ascii="新宋体" w:hAnsi="新宋体" w:eastAsia="新宋体" w:cs="新宋体"/>
                <w:b/>
                <w:bCs/>
                <w:color w:val="auto"/>
                <w:sz w:val="22"/>
                <w:szCs w:val="22"/>
                <w:highlight w:val="none"/>
                <w:vertAlign w:val="baseline"/>
                <w:lang w:eastAsia="zh-CN"/>
              </w:rPr>
              <w:t>）</w:t>
            </w:r>
          </w:p>
          <w:p w14:paraId="0DE45A2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数据交互系统：该系统要求具备强大的数据交换能力，能够无缝连接机器人（ROBOT）、数控系统（CNC）及可编程逻辑控制器（PLC），通过多样化的通讯协议实现设备间的数据通讯。该系统应显著优于传统的 I/O 点连接方式，在无需配线的同时，提升通讯的稳定性和便捷性。</w:t>
            </w:r>
          </w:p>
          <w:p w14:paraId="40CA843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（1）该软件要求至少包含菜单栏、功能栏、设备栏、元件栏、 通讯栏，其中菜单栏能够完成文件的新建、打开（.ysd 文件）、保存、另存、退出等，也支持添加、修改、删除设备/元件等 功能，同时提供连接与断开设备通讯功能；功能栏要求集成菜 单栏所有功能，包括新建、打开、保存、另存、设备/元件的 添加、修改、删除、连接与断开；设备栏要求能够显示项目中 所有已添加的设备，支持通过点击或右键菜单对设备进行操作；元件栏要求能够根据设备类型（如 FANUC 数控系统、FANUC 机器人、西门子PLC 等），添加并管理相应的通讯元件，如 X、 Y、R、DI、DO，I，Q，DB 等；通讯栏要求能够实现设备间元件的关联设置，支持条件触发（如设备 A 元件置 1 时，设备 B 关联元件接通）。</w:t>
            </w:r>
            <w:r>
              <w:rPr>
                <w:rFonts w:ascii="新宋体" w:hAnsi="新宋体" w:eastAsia="新宋体" w:cs="新宋体"/>
                <w:b/>
                <w:bCs/>
                <w:color w:val="auto"/>
                <w:sz w:val="22"/>
                <w:szCs w:val="22"/>
                <w:highlight w:val="none"/>
                <w:u w:val="single"/>
                <w:vertAlign w:val="baseline"/>
              </w:rPr>
              <w:t>（投标时提供相应的演示视频）</w:t>
            </w:r>
          </w:p>
          <w:p w14:paraId="5AC25969">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w:t>
            </w:r>
            <w:r>
              <w:rPr>
                <w:rFonts w:hint="eastAsia" w:ascii="新宋体" w:hAnsi="新宋体" w:eastAsia="新宋体" w:cs="新宋体"/>
                <w:color w:val="auto"/>
                <w:sz w:val="22"/>
                <w:szCs w:val="22"/>
                <w:highlight w:val="none"/>
                <w:vertAlign w:val="baseline"/>
                <w:lang w:val="en-US" w:eastAsia="zh-CN"/>
              </w:rPr>
              <w:t>2</w:t>
            </w:r>
            <w:r>
              <w:rPr>
                <w:rFonts w:ascii="新宋体" w:hAnsi="新宋体" w:eastAsia="新宋体" w:cs="新宋体"/>
                <w:color w:val="auto"/>
                <w:sz w:val="22"/>
                <w:szCs w:val="22"/>
                <w:highlight w:val="none"/>
                <w:vertAlign w:val="baseline"/>
              </w:rPr>
              <w:t>）该软件要求支持多种通讯协议，确保与不同品牌的机器人 （FANUC，ABB，埃夫特等）、数控系统（FANUC，广数 GSK 等）、 PLC（西门子，汇川等）兼容。</w:t>
            </w:r>
            <w:r>
              <w:rPr>
                <w:rFonts w:ascii="新宋体" w:hAnsi="新宋体" w:eastAsia="新宋体" w:cs="新宋体"/>
                <w:b/>
                <w:bCs/>
                <w:color w:val="auto"/>
                <w:sz w:val="22"/>
                <w:szCs w:val="22"/>
                <w:highlight w:val="none"/>
                <w:u w:val="single"/>
                <w:vertAlign w:val="baseline"/>
              </w:rPr>
              <w:t>（投标时提供相应的演示视频）</w:t>
            </w:r>
          </w:p>
          <w:p w14:paraId="76EE1E33">
            <w:pPr>
              <w:spacing w:line="460" w:lineRule="exact"/>
              <w:rPr>
                <w:rFonts w:hint="eastAsia" w:ascii="新宋体" w:hAnsi="新宋体" w:eastAsia="新宋体" w:cs="新宋体"/>
                <w:color w:val="auto"/>
                <w:sz w:val="22"/>
                <w:szCs w:val="22"/>
                <w:highlight w:val="none"/>
                <w:vertAlign w:val="baseline"/>
                <w:lang w:eastAsia="zh-CN"/>
              </w:rPr>
            </w:pPr>
            <w:r>
              <w:rPr>
                <w:rFonts w:ascii="新宋体" w:hAnsi="新宋体" w:eastAsia="新宋体" w:cs="新宋体"/>
                <w:color w:val="auto"/>
                <w:sz w:val="22"/>
                <w:szCs w:val="22"/>
                <w:highlight w:val="none"/>
                <w:vertAlign w:val="baseline"/>
              </w:rPr>
              <w:t>★（</w:t>
            </w:r>
            <w:r>
              <w:rPr>
                <w:rFonts w:hint="eastAsia" w:ascii="新宋体" w:hAnsi="新宋体" w:eastAsia="新宋体" w:cs="新宋体"/>
                <w:color w:val="auto"/>
                <w:sz w:val="22"/>
                <w:szCs w:val="22"/>
                <w:highlight w:val="none"/>
                <w:vertAlign w:val="baseline"/>
                <w:lang w:val="en-US" w:eastAsia="zh-CN"/>
              </w:rPr>
              <w:t>3</w:t>
            </w:r>
            <w:r>
              <w:rPr>
                <w:rFonts w:ascii="新宋体" w:hAnsi="新宋体" w:eastAsia="新宋体" w:cs="新宋体"/>
                <w:color w:val="auto"/>
                <w:sz w:val="22"/>
                <w:szCs w:val="22"/>
                <w:highlight w:val="none"/>
                <w:vertAlign w:val="baseline"/>
              </w:rPr>
              <w:t>）稳定性与效率：确保数据交换过程中的高稳定性和低延迟。</w:t>
            </w:r>
            <w:r>
              <w:rPr>
                <w:rFonts w:hint="eastAsia" w:ascii="新宋体" w:hAnsi="新宋体" w:eastAsia="新宋体" w:cs="新宋体"/>
                <w:b/>
                <w:bCs/>
                <w:color w:val="auto"/>
                <w:sz w:val="22"/>
                <w:szCs w:val="22"/>
                <w:highlight w:val="none"/>
                <w:vertAlign w:val="baseline"/>
                <w:lang w:eastAsia="zh-CN"/>
              </w:rPr>
              <w:t>（</w:t>
            </w:r>
            <w:r>
              <w:rPr>
                <w:rFonts w:hint="eastAsia" w:ascii="新宋体" w:hAnsi="新宋体" w:eastAsia="新宋体" w:cs="新宋体"/>
                <w:b/>
                <w:bCs/>
                <w:color w:val="auto"/>
                <w:sz w:val="22"/>
                <w:szCs w:val="22"/>
                <w:highlight w:val="none"/>
                <w:vertAlign w:val="baseline"/>
                <w:lang w:val="en-US" w:eastAsia="zh-CN"/>
              </w:rPr>
              <w:t>提供承诺函，格式自拟</w:t>
            </w:r>
            <w:r>
              <w:rPr>
                <w:rFonts w:hint="eastAsia" w:ascii="新宋体" w:hAnsi="新宋体" w:eastAsia="新宋体" w:cs="新宋体"/>
                <w:b/>
                <w:bCs/>
                <w:color w:val="auto"/>
                <w:sz w:val="22"/>
                <w:szCs w:val="22"/>
                <w:highlight w:val="none"/>
                <w:vertAlign w:val="baseline"/>
                <w:lang w:eastAsia="zh-CN"/>
              </w:rPr>
              <w:t>）</w:t>
            </w:r>
          </w:p>
          <w:p w14:paraId="562BBA87">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eastAsia="zh-CN"/>
              </w:rPr>
              <w:t>（</w:t>
            </w:r>
            <w:r>
              <w:rPr>
                <w:rFonts w:hint="eastAsia" w:ascii="新宋体" w:hAnsi="新宋体" w:eastAsia="新宋体" w:cs="新宋体"/>
                <w:color w:val="auto"/>
                <w:sz w:val="22"/>
                <w:szCs w:val="22"/>
                <w:highlight w:val="none"/>
                <w:vertAlign w:val="baseline"/>
                <w:lang w:val="en-US" w:eastAsia="zh-CN"/>
              </w:rPr>
              <w:t>4</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用户界面：界面友好，操作简便，提供直观的图形化操作界面。</w:t>
            </w:r>
          </w:p>
        </w:tc>
        <w:tc>
          <w:tcPr>
            <w:tcW w:w="735" w:type="dxa"/>
            <w:noWrap w:val="0"/>
            <w:vAlign w:val="top"/>
          </w:tcPr>
          <w:p w14:paraId="39E3049A">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1套</w:t>
            </w:r>
          </w:p>
        </w:tc>
        <w:tc>
          <w:tcPr>
            <w:tcW w:w="720" w:type="dxa"/>
            <w:noWrap w:val="0"/>
            <w:vAlign w:val="top"/>
          </w:tcPr>
          <w:p w14:paraId="010A7569">
            <w:pPr>
              <w:spacing w:line="460" w:lineRule="exact"/>
              <w:rPr>
                <w:rFonts w:ascii="新宋体" w:hAnsi="新宋体" w:eastAsia="新宋体" w:cs="新宋体"/>
                <w:color w:val="auto"/>
                <w:sz w:val="22"/>
                <w:szCs w:val="22"/>
                <w:highlight w:val="none"/>
                <w:vertAlign w:val="baseline"/>
              </w:rPr>
            </w:pPr>
          </w:p>
        </w:tc>
      </w:tr>
      <w:tr w14:paraId="3A7E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14:paraId="0936D69D">
            <w:pPr>
              <w:spacing w:line="460" w:lineRule="exact"/>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6</w:t>
            </w:r>
          </w:p>
        </w:tc>
        <w:tc>
          <w:tcPr>
            <w:tcW w:w="1161" w:type="dxa"/>
            <w:noWrap w:val="0"/>
            <w:vAlign w:val="top"/>
          </w:tcPr>
          <w:p w14:paraId="6D6550E2">
            <w:pPr>
              <w:spacing w:line="460" w:lineRule="exact"/>
              <w:rPr>
                <w:rFonts w:hint="default"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工件测头</w:t>
            </w:r>
          </w:p>
        </w:tc>
        <w:tc>
          <w:tcPr>
            <w:tcW w:w="11662" w:type="dxa"/>
            <w:noWrap w:val="0"/>
            <w:vAlign w:val="top"/>
          </w:tcPr>
          <w:p w14:paraId="21C9B29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测针触发方向： ±X/±Y/+Z；</w:t>
            </w:r>
          </w:p>
          <w:p w14:paraId="5EE0602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测针各向触发保护行程：XY： ±12 ° , Z： ≥+6mm；</w:t>
            </w:r>
          </w:p>
          <w:p w14:paraId="4E774BF4">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测针测力：XY：≥0.50/0.90 N（低侧力/高测力）；+Z：≥5.85 N；</w:t>
            </w:r>
          </w:p>
          <w:p w14:paraId="3FD84D6C">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单向重复性精度：≤1.00 μm；</w:t>
            </w:r>
          </w:p>
          <w:p w14:paraId="69696BEB">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主要应用：用于工件找正和检测；</w:t>
            </w:r>
          </w:p>
          <w:p w14:paraId="7716F514">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兼容接口：Primo Interface（接口）；</w:t>
            </w:r>
          </w:p>
          <w:p w14:paraId="17E55D2A">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开启/关闭选项：无线电开启→无线电关闭，旋转开启→ 旋转关闭。</w:t>
            </w:r>
          </w:p>
        </w:tc>
        <w:tc>
          <w:tcPr>
            <w:tcW w:w="735" w:type="dxa"/>
            <w:noWrap w:val="0"/>
            <w:vAlign w:val="top"/>
          </w:tcPr>
          <w:p w14:paraId="79E6C58C">
            <w:pPr>
              <w:spacing w:line="460" w:lineRule="exac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1套</w:t>
            </w:r>
          </w:p>
        </w:tc>
        <w:tc>
          <w:tcPr>
            <w:tcW w:w="720" w:type="dxa"/>
            <w:noWrap w:val="0"/>
            <w:vAlign w:val="top"/>
          </w:tcPr>
          <w:p w14:paraId="2F5393B6">
            <w:pPr>
              <w:spacing w:line="460" w:lineRule="exact"/>
              <w:rPr>
                <w:rFonts w:ascii="新宋体" w:hAnsi="新宋体" w:eastAsia="新宋体" w:cs="新宋体"/>
                <w:color w:val="auto"/>
                <w:sz w:val="22"/>
                <w:szCs w:val="22"/>
                <w:highlight w:val="none"/>
                <w:vertAlign w:val="baseline"/>
              </w:rPr>
            </w:pPr>
          </w:p>
        </w:tc>
      </w:tr>
      <w:tr w14:paraId="4D31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top"/>
          </w:tcPr>
          <w:p w14:paraId="057F3346">
            <w:pPr>
              <w:spacing w:line="460" w:lineRule="exact"/>
              <w:rPr>
                <w:rFonts w:hint="default"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7</w:t>
            </w:r>
          </w:p>
        </w:tc>
        <w:tc>
          <w:tcPr>
            <w:tcW w:w="1161" w:type="dxa"/>
            <w:noWrap w:val="0"/>
            <w:vAlign w:val="top"/>
          </w:tcPr>
          <w:p w14:paraId="5261B85F">
            <w:pPr>
              <w:spacing w:line="460" w:lineRule="exact"/>
              <w:rPr>
                <w:rFonts w:hint="default"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安全防护单元</w:t>
            </w:r>
          </w:p>
        </w:tc>
        <w:tc>
          <w:tcPr>
            <w:tcW w:w="11662" w:type="dxa"/>
            <w:noWrap w:val="0"/>
            <w:vAlign w:val="top"/>
          </w:tcPr>
          <w:p w14:paraId="1C60872E">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安全防护单元通过其全面的设计和高标准的制造，提供了一个极为安全和高效的工业防护解决方案。它不仅满足现代工业环境中的安全需求，还通过高强度的安全网、稳固的立柱、便捷的活动门和先进的安全门锁系统，为操作人员和设备提供了全面的保护。此防护单元符合国际安全生产规范，为企业创造了一个安全、可靠的工作环境。</w:t>
            </w:r>
          </w:p>
          <w:p w14:paraId="002DB117">
            <w:pPr>
              <w:spacing w:line="460" w:lineRule="exact"/>
              <w:rPr>
                <w:rFonts w:ascii="新宋体" w:hAnsi="新宋体" w:eastAsia="新宋体" w:cs="新宋体"/>
                <w:color w:val="auto"/>
                <w:sz w:val="22"/>
                <w:szCs w:val="22"/>
                <w:highlight w:val="none"/>
                <w:vertAlign w:val="baseline"/>
              </w:rPr>
            </w:pPr>
            <w:r>
              <w:rPr>
                <w:rFonts w:ascii="新宋体" w:hAnsi="新宋体" w:eastAsia="新宋体" w:cs="新宋体"/>
                <w:color w:val="auto"/>
                <w:sz w:val="22"/>
                <w:szCs w:val="22"/>
                <w:highlight w:val="none"/>
                <w:vertAlign w:val="baseline"/>
              </w:rPr>
              <w:t>防护网板：不少于 4 片</w:t>
            </w:r>
            <w:r>
              <w:rPr>
                <w:rFonts w:hint="eastAsia" w:ascii="新宋体" w:hAnsi="新宋体" w:eastAsia="新宋体" w:cs="新宋体"/>
                <w:color w:val="auto"/>
                <w:sz w:val="22"/>
                <w:szCs w:val="22"/>
                <w:highlight w:val="none"/>
                <w:vertAlign w:val="baseline"/>
                <w:lang w:eastAsia="zh-CN"/>
              </w:rPr>
              <w:t>，</w:t>
            </w:r>
            <w:r>
              <w:rPr>
                <w:rFonts w:ascii="新宋体" w:hAnsi="新宋体" w:eastAsia="新宋体" w:cs="新宋体"/>
                <w:color w:val="auto"/>
                <w:sz w:val="22"/>
                <w:szCs w:val="22"/>
                <w:highlight w:val="none"/>
                <w:vertAlign w:val="baseline"/>
              </w:rPr>
              <w:t>立柱：不少于 5 根</w:t>
            </w:r>
          </w:p>
        </w:tc>
        <w:tc>
          <w:tcPr>
            <w:tcW w:w="735" w:type="dxa"/>
            <w:noWrap w:val="0"/>
            <w:vAlign w:val="top"/>
          </w:tcPr>
          <w:p w14:paraId="25E376D3">
            <w:pPr>
              <w:spacing w:line="460" w:lineRule="exact"/>
              <w:rPr>
                <w:rFonts w:hint="default"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color w:val="auto"/>
                <w:sz w:val="22"/>
                <w:szCs w:val="22"/>
                <w:highlight w:val="none"/>
                <w:vertAlign w:val="baseline"/>
                <w:lang w:val="en-US" w:eastAsia="zh-CN"/>
              </w:rPr>
              <w:t>1套</w:t>
            </w:r>
          </w:p>
        </w:tc>
        <w:tc>
          <w:tcPr>
            <w:tcW w:w="720" w:type="dxa"/>
            <w:noWrap w:val="0"/>
            <w:vAlign w:val="top"/>
          </w:tcPr>
          <w:p w14:paraId="3599D6FE">
            <w:pPr>
              <w:spacing w:line="460" w:lineRule="exact"/>
              <w:rPr>
                <w:rFonts w:ascii="新宋体" w:hAnsi="新宋体" w:eastAsia="新宋体" w:cs="新宋体"/>
                <w:color w:val="auto"/>
                <w:sz w:val="22"/>
                <w:szCs w:val="22"/>
                <w:highlight w:val="none"/>
                <w:vertAlign w:val="baseline"/>
              </w:rPr>
            </w:pPr>
          </w:p>
        </w:tc>
      </w:tr>
    </w:tbl>
    <w:p w14:paraId="1D3516D4">
      <w:pPr>
        <w:spacing w:line="460" w:lineRule="exact"/>
        <w:rPr>
          <w:rFonts w:hint="default" w:ascii="新宋体" w:hAnsi="新宋体" w:eastAsia="新宋体" w:cs="新宋体"/>
          <w:color w:val="auto"/>
          <w:sz w:val="22"/>
          <w:szCs w:val="22"/>
          <w:highlight w:val="none"/>
          <w:lang w:val="en-US" w:eastAsia="zh-CN"/>
        </w:rPr>
      </w:pPr>
    </w:p>
    <w:p w14:paraId="668685A6">
      <w:pPr>
        <w:pStyle w:val="19"/>
        <w:spacing w:line="460" w:lineRule="exact"/>
        <w:ind w:firstLine="440" w:firstLineChars="200"/>
        <w:rPr>
          <w:rFonts w:ascii="新宋体" w:hAnsi="新宋体" w:eastAsia="新宋体" w:cs="新宋体"/>
          <w:color w:val="auto"/>
          <w:sz w:val="22"/>
          <w:szCs w:val="22"/>
          <w:highlight w:val="none"/>
        </w:rPr>
      </w:pPr>
    </w:p>
    <w:p w14:paraId="478F4A29">
      <w:pPr>
        <w:snapToGrid w:val="0"/>
        <w:spacing w:line="460" w:lineRule="exact"/>
        <w:jc w:val="both"/>
        <w:outlineLvl w:val="0"/>
        <w:rPr>
          <w:rFonts w:hint="eastAsia" w:ascii="新宋体" w:hAnsi="新宋体" w:eastAsia="新宋体" w:cs="新宋体"/>
          <w:b/>
          <w:bCs/>
          <w:color w:val="auto"/>
          <w:spacing w:val="-6"/>
          <w:sz w:val="22"/>
          <w:highlight w:val="none"/>
        </w:rPr>
        <w:sectPr>
          <w:pgSz w:w="16838" w:h="11906" w:orient="landscape"/>
          <w:pgMar w:top="1134" w:right="1134" w:bottom="1134" w:left="1134" w:header="851" w:footer="992" w:gutter="0"/>
          <w:cols w:space="720" w:num="1"/>
          <w:docGrid w:linePitch="312" w:charSpace="0"/>
        </w:sectPr>
      </w:pPr>
    </w:p>
    <w:p w14:paraId="5935471E">
      <w:pPr>
        <w:snapToGrid w:val="0"/>
        <w:spacing w:line="460" w:lineRule="exact"/>
        <w:ind w:firstLine="643" w:firstLineChars="200"/>
        <w:jc w:val="center"/>
        <w:outlineLvl w:val="0"/>
        <w:rPr>
          <w:rFonts w:ascii="新宋体" w:hAnsi="新宋体" w:eastAsia="新宋体" w:cs="新宋体"/>
          <w:b/>
          <w:bCs/>
          <w:color w:val="auto"/>
          <w:kern w:val="36"/>
          <w:sz w:val="32"/>
          <w:szCs w:val="32"/>
          <w:highlight w:val="none"/>
        </w:rPr>
      </w:pPr>
      <w:bookmarkStart w:id="122" w:name="_Toc2397"/>
      <w:bookmarkStart w:id="123" w:name="_Toc29161"/>
      <w:r>
        <w:rPr>
          <w:rFonts w:hint="eastAsia" w:ascii="新宋体" w:hAnsi="新宋体" w:eastAsia="新宋体" w:cs="新宋体"/>
          <w:b/>
          <w:bCs/>
          <w:color w:val="auto"/>
          <w:kern w:val="36"/>
          <w:sz w:val="32"/>
          <w:szCs w:val="32"/>
          <w:highlight w:val="none"/>
        </w:rPr>
        <w:t>第六部分</w:t>
      </w:r>
      <w:r>
        <w:rPr>
          <w:rFonts w:hint="eastAsia" w:ascii="新宋体" w:hAnsi="新宋体" w:eastAsia="新宋体" w:cs="新宋体"/>
          <w:b/>
          <w:bCs/>
          <w:color w:val="auto"/>
          <w:kern w:val="36"/>
          <w:sz w:val="32"/>
          <w:szCs w:val="32"/>
          <w:highlight w:val="none"/>
          <w:lang w:val="en-US" w:eastAsia="zh-CN"/>
        </w:rPr>
        <w:t xml:space="preserve">   </w:t>
      </w:r>
      <w:r>
        <w:rPr>
          <w:rFonts w:hint="eastAsia" w:ascii="新宋体" w:hAnsi="新宋体" w:eastAsia="新宋体" w:cs="新宋体"/>
          <w:b/>
          <w:bCs/>
          <w:color w:val="auto"/>
          <w:kern w:val="36"/>
          <w:sz w:val="32"/>
          <w:szCs w:val="32"/>
          <w:highlight w:val="none"/>
        </w:rPr>
        <w:t>评标原则及方法</w:t>
      </w:r>
      <w:bookmarkEnd w:id="122"/>
      <w:bookmarkEnd w:id="123"/>
    </w:p>
    <w:p w14:paraId="2E8BA6F4">
      <w:pPr>
        <w:pStyle w:val="3"/>
        <w:adjustRightInd w:val="0"/>
        <w:snapToGrid w:val="0"/>
        <w:spacing w:after="0" w:line="460" w:lineRule="exact"/>
        <w:ind w:firstLine="422" w:firstLineChars="200"/>
        <w:jc w:val="center"/>
        <w:rPr>
          <w:rFonts w:ascii="新宋体" w:hAnsi="新宋体" w:eastAsia="新宋体" w:cs="新宋体"/>
          <w:b/>
          <w:color w:val="auto"/>
          <w:highlight w:val="none"/>
        </w:rPr>
      </w:pPr>
      <w:r>
        <w:rPr>
          <w:rFonts w:hint="eastAsia" w:ascii="新宋体" w:hAnsi="新宋体" w:eastAsia="新宋体" w:cs="新宋体"/>
          <w:b/>
          <w:color w:val="auto"/>
          <w:highlight w:val="none"/>
        </w:rPr>
        <w:t>根据《中华人民共和国政府采购法》等相关法规特制定以下评标办法。</w:t>
      </w:r>
    </w:p>
    <w:p w14:paraId="12B8B4E3">
      <w:pPr>
        <w:spacing w:line="460" w:lineRule="exact"/>
        <w:ind w:firstLine="442" w:firstLineChars="200"/>
        <w:outlineLvl w:val="1"/>
        <w:rPr>
          <w:rFonts w:ascii="宋体" w:hAnsi="宋体" w:cs="宋体"/>
          <w:b/>
          <w:color w:val="auto"/>
          <w:sz w:val="22"/>
          <w:szCs w:val="22"/>
          <w:highlight w:val="none"/>
        </w:rPr>
      </w:pPr>
      <w:bookmarkStart w:id="124" w:name="_Toc9287"/>
      <w:bookmarkStart w:id="125" w:name="_Toc10273"/>
      <w:bookmarkStart w:id="126" w:name="_Toc12454"/>
      <w:bookmarkStart w:id="127" w:name="_Toc15713"/>
      <w:bookmarkStart w:id="128" w:name="_Toc4407"/>
      <w:bookmarkStart w:id="129" w:name="_Toc26166"/>
      <w:bookmarkStart w:id="130" w:name="_Toc32700"/>
      <w:r>
        <w:rPr>
          <w:rFonts w:hint="eastAsia" w:ascii="宋体" w:hAnsi="宋体" w:cs="宋体"/>
          <w:b/>
          <w:color w:val="auto"/>
          <w:sz w:val="22"/>
          <w:szCs w:val="22"/>
          <w:highlight w:val="none"/>
        </w:rPr>
        <w:t>一、总 则</w:t>
      </w:r>
      <w:bookmarkEnd w:id="124"/>
      <w:bookmarkEnd w:id="125"/>
      <w:bookmarkEnd w:id="126"/>
      <w:bookmarkEnd w:id="127"/>
      <w:bookmarkEnd w:id="128"/>
      <w:bookmarkEnd w:id="129"/>
      <w:bookmarkEnd w:id="130"/>
    </w:p>
    <w:p w14:paraId="014C5262">
      <w:pPr>
        <w:spacing w:line="460" w:lineRule="exact"/>
        <w:ind w:firstLine="440" w:firstLineChars="200"/>
        <w:rPr>
          <w:rFonts w:ascii="宋体" w:hAnsi="宋体" w:cs="宋体"/>
          <w:b/>
          <w:color w:val="auto"/>
          <w:sz w:val="22"/>
          <w:highlight w:val="none"/>
        </w:rPr>
      </w:pPr>
      <w:r>
        <w:rPr>
          <w:rFonts w:hint="eastAsia" w:ascii="宋体" w:hAnsi="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02FAB93">
      <w:pPr>
        <w:spacing w:line="460" w:lineRule="exact"/>
        <w:ind w:firstLine="442" w:firstLineChars="200"/>
        <w:outlineLvl w:val="1"/>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二、评标组织</w:t>
      </w:r>
      <w:bookmarkEnd w:id="106"/>
      <w:bookmarkEnd w:id="107"/>
      <w:bookmarkEnd w:id="108"/>
      <w:bookmarkEnd w:id="109"/>
      <w:bookmarkEnd w:id="110"/>
      <w:bookmarkEnd w:id="111"/>
      <w:bookmarkEnd w:id="112"/>
    </w:p>
    <w:p w14:paraId="49AF52A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评标工作由采购人组建的评标委员会负责，评标全过程由有关部门指导监督。</w:t>
      </w:r>
    </w:p>
    <w:p w14:paraId="3C49935C">
      <w:pPr>
        <w:spacing w:line="460" w:lineRule="exact"/>
        <w:ind w:firstLine="442" w:firstLineChars="200"/>
        <w:outlineLvl w:val="1"/>
        <w:rPr>
          <w:rFonts w:hint="eastAsia" w:ascii="宋体" w:hAnsi="宋体" w:eastAsia="宋体" w:cs="宋体"/>
          <w:b/>
          <w:color w:val="auto"/>
          <w:sz w:val="22"/>
          <w:szCs w:val="22"/>
          <w:highlight w:val="none"/>
        </w:rPr>
      </w:pPr>
      <w:bookmarkStart w:id="131" w:name="_Toc30575"/>
      <w:bookmarkStart w:id="132" w:name="_Toc67"/>
      <w:bookmarkStart w:id="133" w:name="_Toc10167"/>
      <w:bookmarkStart w:id="134" w:name="_Toc16121"/>
      <w:bookmarkStart w:id="135" w:name="_Toc15153"/>
      <w:bookmarkStart w:id="136" w:name="_Toc32755"/>
      <w:bookmarkStart w:id="137" w:name="_Toc12006"/>
      <w:r>
        <w:rPr>
          <w:rFonts w:hint="eastAsia" w:ascii="宋体" w:hAnsi="宋体" w:eastAsia="宋体" w:cs="宋体"/>
          <w:b/>
          <w:color w:val="auto"/>
          <w:sz w:val="22"/>
          <w:szCs w:val="22"/>
          <w:highlight w:val="none"/>
        </w:rPr>
        <w:t>三、评标程序</w:t>
      </w:r>
      <w:bookmarkEnd w:id="131"/>
      <w:bookmarkEnd w:id="132"/>
      <w:bookmarkEnd w:id="133"/>
      <w:bookmarkEnd w:id="134"/>
      <w:bookmarkEnd w:id="135"/>
      <w:bookmarkEnd w:id="136"/>
      <w:bookmarkEnd w:id="137"/>
    </w:p>
    <w:p w14:paraId="519FD663">
      <w:pPr>
        <w:spacing w:line="460" w:lineRule="exact"/>
        <w:ind w:firstLine="440" w:firstLineChars="200"/>
        <w:rPr>
          <w:rFonts w:ascii="宋体" w:hAnsi="宋体" w:cs="宋体"/>
          <w:color w:val="auto"/>
          <w:sz w:val="22"/>
          <w:szCs w:val="22"/>
          <w:highlight w:val="none"/>
        </w:rPr>
      </w:pPr>
      <w:r>
        <w:rPr>
          <w:rFonts w:hint="eastAsia" w:ascii="宋体" w:hAnsi="宋体" w:cs="宋体"/>
          <w:bCs/>
          <w:color w:val="auto"/>
          <w:sz w:val="22"/>
          <w:szCs w:val="22"/>
          <w:highlight w:val="none"/>
        </w:rPr>
        <w:t>评标委员按照招标文件中规定的评标方法和标准，对投标文件进行商务和技术评估，综合比较与评价</w:t>
      </w:r>
      <w:r>
        <w:rPr>
          <w:rFonts w:hint="eastAsia" w:ascii="宋体" w:hAnsi="宋体" w:cs="宋体"/>
          <w:color w:val="auto"/>
          <w:sz w:val="22"/>
          <w:szCs w:val="22"/>
          <w:highlight w:val="none"/>
        </w:rPr>
        <w:t>，根据综合评审结果，提交评审报告。</w:t>
      </w:r>
    </w:p>
    <w:p w14:paraId="5FF7CF75">
      <w:pPr>
        <w:spacing w:line="460" w:lineRule="exact"/>
        <w:ind w:firstLine="442" w:firstLineChars="200"/>
        <w:outlineLvl w:val="1"/>
        <w:rPr>
          <w:rFonts w:hint="eastAsia" w:ascii="宋体" w:hAnsi="宋体" w:eastAsia="宋体" w:cs="宋体"/>
          <w:b/>
          <w:color w:val="auto"/>
          <w:sz w:val="22"/>
          <w:szCs w:val="22"/>
          <w:highlight w:val="none"/>
        </w:rPr>
      </w:pPr>
      <w:bookmarkStart w:id="138" w:name="_Toc18291"/>
      <w:r>
        <w:rPr>
          <w:rFonts w:hint="eastAsia" w:ascii="宋体" w:hAnsi="宋体" w:eastAsia="宋体" w:cs="宋体"/>
          <w:b/>
          <w:color w:val="auto"/>
          <w:sz w:val="22"/>
          <w:szCs w:val="22"/>
          <w:highlight w:val="none"/>
        </w:rPr>
        <w:t>四、评标办法</w:t>
      </w:r>
      <w:bookmarkEnd w:id="138"/>
    </w:p>
    <w:p w14:paraId="39CBF496">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1.本次评标采用综合评分法，总分100分，其中技术资信</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0分（技术资信权</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0%），价格</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0分（价格权值</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0%）。即最大限度地满足招标文件实质性要求前提下，按照招标文件中规定的各项评分内容评审后，以评标总得分最高的供应商，作为中标供应商。</w:t>
      </w:r>
    </w:p>
    <w:p w14:paraId="5212658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2.投标截止时间止及评审期间，如出现有效供应商＜3家时，本项目废标，并重新组织招标。</w:t>
      </w:r>
    </w:p>
    <w:p w14:paraId="59B20537">
      <w:pPr>
        <w:spacing w:line="460" w:lineRule="exact"/>
        <w:ind w:firstLine="442" w:firstLineChars="200"/>
        <w:outlineLvl w:val="1"/>
        <w:rPr>
          <w:rFonts w:hint="eastAsia" w:ascii="宋体" w:hAnsi="宋体" w:eastAsia="宋体" w:cs="宋体"/>
          <w:b/>
          <w:color w:val="auto"/>
          <w:sz w:val="22"/>
          <w:szCs w:val="22"/>
          <w:highlight w:val="none"/>
        </w:rPr>
      </w:pPr>
      <w:bookmarkStart w:id="139" w:name="_Toc14451"/>
      <w:r>
        <w:rPr>
          <w:rFonts w:hint="eastAsia" w:ascii="宋体" w:hAnsi="宋体" w:eastAsia="宋体" w:cs="宋体"/>
          <w:b/>
          <w:color w:val="auto"/>
          <w:sz w:val="22"/>
          <w:szCs w:val="22"/>
          <w:highlight w:val="none"/>
        </w:rPr>
        <w:t>五、综合评分法</w:t>
      </w:r>
      <w:bookmarkEnd w:id="139"/>
    </w:p>
    <w:p w14:paraId="11BE664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各评委成员按下列评分项目进行评判，每人一张评分计算票，并记名。投标响应文件各项评分内容由评标委员会成员各自评分，如某张票的一个因素项目超过规定的范围，则该张票无效。各评标委员会成员对各供应商的各项评分内容评分的算术平均值为各供应商技术分得分（小数点后按四舍五入保留2位）。</w:t>
      </w:r>
    </w:p>
    <w:p w14:paraId="00972C4E">
      <w:pPr>
        <w:tabs>
          <w:tab w:val="left" w:pos="1365"/>
        </w:tabs>
        <w:spacing w:line="460" w:lineRule="exact"/>
        <w:ind w:firstLine="442" w:firstLineChars="200"/>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2、商务技术评分（</w:t>
      </w:r>
      <w:r>
        <w:rPr>
          <w:rFonts w:hint="eastAsia" w:ascii="新宋体" w:hAnsi="新宋体" w:eastAsia="新宋体" w:cs="新宋体"/>
          <w:b/>
          <w:bCs/>
          <w:color w:val="auto"/>
          <w:kern w:val="0"/>
          <w:sz w:val="22"/>
          <w:szCs w:val="22"/>
          <w:highlight w:val="none"/>
          <w:lang w:val="en-US" w:eastAsia="zh-CN"/>
        </w:rPr>
        <w:t>7</w:t>
      </w:r>
      <w:r>
        <w:rPr>
          <w:rFonts w:hint="eastAsia" w:ascii="新宋体" w:hAnsi="新宋体" w:eastAsia="新宋体" w:cs="新宋体"/>
          <w:b/>
          <w:bCs/>
          <w:color w:val="auto"/>
          <w:kern w:val="0"/>
          <w:sz w:val="22"/>
          <w:szCs w:val="22"/>
          <w:highlight w:val="none"/>
        </w:rPr>
        <w:t>0分）</w:t>
      </w:r>
    </w:p>
    <w:tbl>
      <w:tblPr>
        <w:tblStyle w:val="39"/>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32"/>
        <w:gridCol w:w="735"/>
        <w:gridCol w:w="6285"/>
        <w:gridCol w:w="896"/>
      </w:tblGrid>
      <w:tr w14:paraId="4260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noWrap w:val="0"/>
            <w:vAlign w:val="center"/>
          </w:tcPr>
          <w:p w14:paraId="66D089B8">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132" w:type="dxa"/>
            <w:noWrap w:val="0"/>
            <w:vAlign w:val="center"/>
          </w:tcPr>
          <w:p w14:paraId="3ED88D3A">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评分因素</w:t>
            </w:r>
          </w:p>
        </w:tc>
        <w:tc>
          <w:tcPr>
            <w:tcW w:w="735" w:type="dxa"/>
            <w:noWrap w:val="0"/>
            <w:vAlign w:val="center"/>
          </w:tcPr>
          <w:p w14:paraId="0E56DB78">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分值</w:t>
            </w:r>
          </w:p>
        </w:tc>
        <w:tc>
          <w:tcPr>
            <w:tcW w:w="6285" w:type="dxa"/>
            <w:noWrap w:val="0"/>
            <w:vAlign w:val="center"/>
          </w:tcPr>
          <w:p w14:paraId="02E71222">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评分细则</w:t>
            </w:r>
          </w:p>
        </w:tc>
        <w:tc>
          <w:tcPr>
            <w:tcW w:w="896" w:type="dxa"/>
            <w:noWrap w:val="0"/>
            <w:vAlign w:val="center"/>
          </w:tcPr>
          <w:p w14:paraId="79F64F77">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3654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vMerge w:val="restart"/>
            <w:noWrap w:val="0"/>
            <w:vAlign w:val="center"/>
          </w:tcPr>
          <w:p w14:paraId="7A2817F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132" w:type="dxa"/>
            <w:vMerge w:val="restart"/>
            <w:noWrap w:val="0"/>
            <w:vAlign w:val="center"/>
          </w:tcPr>
          <w:p w14:paraId="72EF5D4B">
            <w:pPr>
              <w:spacing w:line="460" w:lineRule="exact"/>
              <w:jc w:val="lef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供应商情况</w:t>
            </w:r>
          </w:p>
        </w:tc>
        <w:tc>
          <w:tcPr>
            <w:tcW w:w="735" w:type="dxa"/>
            <w:noWrap w:val="0"/>
            <w:vAlign w:val="center"/>
          </w:tcPr>
          <w:p w14:paraId="0836099C">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6285" w:type="dxa"/>
            <w:noWrap w:val="0"/>
            <w:vAlign w:val="center"/>
          </w:tcPr>
          <w:p w14:paraId="051B5D31">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投标人或投标产品制造商具有有效期内的</w:t>
            </w:r>
            <w:r>
              <w:rPr>
                <w:rFonts w:ascii="新宋体" w:hAnsi="新宋体" w:eastAsia="新宋体" w:cs="新宋体"/>
                <w:color w:val="auto"/>
                <w:sz w:val="22"/>
                <w:szCs w:val="22"/>
                <w:highlight w:val="none"/>
              </w:rPr>
              <w:fldChar w:fldCharType="begin"/>
            </w:r>
            <w:r>
              <w:rPr>
                <w:rFonts w:ascii="新宋体" w:hAnsi="新宋体" w:eastAsia="新宋体" w:cs="新宋体"/>
                <w:color w:val="auto"/>
                <w:sz w:val="22"/>
                <w:szCs w:val="22"/>
                <w:highlight w:val="none"/>
              </w:rPr>
              <w:instrText xml:space="preserve"> HYPERLINK "https://www.baidu.com/s?rsv_dl=re_dqa_generate&amp;sa=re_dqa_generate&amp;wd=ISO9001%E8%B4%A8%E9%87%8F%E7%AE%A1%E7%90%86%E4%BD%93%E7%B3%BB%E8%AE%A4%E8%AF%81&amp;rsv_pq=e8aeff44000003d0&amp;oq=%E4%B8%89%E4%BD%93%E7%B3%BB%E8%AE%A4%E8%AF%81%E8%AF%81%E4%B9%A6%E5%85%B7%E4%BD%93&amp;rsv_t=f14aOmFtRpjJfROMhiOWQLrL2lYJK+OoOsXvXuMFE/lmbWWVh+jmGdsqvMQ&amp;tn=baidu&amp;ie=utf-8" \t "https://www.baidu.com/_blank" </w:instrText>
            </w:r>
            <w:r>
              <w:rPr>
                <w:rFonts w:ascii="新宋体" w:hAnsi="新宋体" w:eastAsia="新宋体" w:cs="新宋体"/>
                <w:color w:val="auto"/>
                <w:sz w:val="22"/>
                <w:szCs w:val="22"/>
                <w:highlight w:val="none"/>
              </w:rPr>
              <w:fldChar w:fldCharType="separate"/>
            </w:r>
            <w:r>
              <w:rPr>
                <w:rFonts w:hint="default" w:ascii="新宋体" w:hAnsi="新宋体" w:eastAsia="新宋体" w:cs="新宋体"/>
                <w:color w:val="auto"/>
                <w:sz w:val="22"/>
                <w:szCs w:val="22"/>
                <w:highlight w:val="none"/>
              </w:rPr>
              <w:t>ISO9001质量管理体系认证</w:t>
            </w:r>
            <w:r>
              <w:rPr>
                <w:rFonts w:hint="default" w:ascii="新宋体" w:hAnsi="新宋体" w:eastAsia="新宋体" w:cs="新宋体"/>
                <w:color w:val="auto"/>
                <w:sz w:val="22"/>
                <w:szCs w:val="22"/>
                <w:highlight w:val="none"/>
              </w:rPr>
              <w:fldChar w:fldCharType="end"/>
            </w:r>
            <w:r>
              <w:rPr>
                <w:rFonts w:hint="default" w:ascii="新宋体" w:hAnsi="新宋体" w:eastAsia="新宋体" w:cs="新宋体"/>
                <w:color w:val="auto"/>
                <w:sz w:val="22"/>
                <w:szCs w:val="22"/>
                <w:highlight w:val="none"/>
              </w:rPr>
              <w:t>、</w:t>
            </w:r>
            <w:r>
              <w:rPr>
                <w:rFonts w:hint="default" w:ascii="新宋体" w:hAnsi="新宋体" w:eastAsia="新宋体" w:cs="新宋体"/>
                <w:color w:val="auto"/>
                <w:sz w:val="22"/>
                <w:szCs w:val="22"/>
                <w:highlight w:val="none"/>
              </w:rPr>
              <w:fldChar w:fldCharType="begin"/>
            </w:r>
            <w:r>
              <w:rPr>
                <w:rFonts w:hint="default" w:ascii="新宋体" w:hAnsi="新宋体" w:eastAsia="新宋体" w:cs="新宋体"/>
                <w:color w:val="auto"/>
                <w:sz w:val="22"/>
                <w:szCs w:val="22"/>
                <w:highlight w:val="none"/>
              </w:rPr>
              <w:instrText xml:space="preserve"> HYPERLINK "https://www.baidu.com/s?rsv_dl=re_dqa_generate&amp;sa=re_dqa_generate&amp;wd=ISO14001%E7%8E%AF%E5%A2%83%E7%AE%A1%E7%90%86%E4%BD%93%E7%B3%BB%E8%AE%A4%E8%AF%81&amp;rsv_pq=e8aeff44000003d0&amp;oq=%E4%B8%89%E4%BD%93%E7%B3%BB%E8%AE%A4%E8%AF%81%E8%AF%81%E4%B9%A6%E5%85%B7%E4%BD%93&amp;rsv_t=f14aOmFtRpjJfROMhiOWQLrL2lYJK+OoOsXvXuMFE/lmbWWVh+jmGdsqvMQ&amp;tn=baidu&amp;ie=utf-8" \t "https://www.baidu.com/_blank" </w:instrText>
            </w:r>
            <w:r>
              <w:rPr>
                <w:rFonts w:hint="default" w:ascii="新宋体" w:hAnsi="新宋体" w:eastAsia="新宋体" w:cs="新宋体"/>
                <w:color w:val="auto"/>
                <w:sz w:val="22"/>
                <w:szCs w:val="22"/>
                <w:highlight w:val="none"/>
              </w:rPr>
              <w:fldChar w:fldCharType="separate"/>
            </w:r>
            <w:r>
              <w:rPr>
                <w:rFonts w:hint="default" w:ascii="新宋体" w:hAnsi="新宋体" w:eastAsia="新宋体" w:cs="新宋体"/>
                <w:color w:val="auto"/>
                <w:sz w:val="22"/>
                <w:szCs w:val="22"/>
                <w:highlight w:val="none"/>
              </w:rPr>
              <w:t>ISO14001环境管理体系认证</w:t>
            </w:r>
            <w:r>
              <w:rPr>
                <w:rFonts w:hint="default"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eastAsia="zh-CN"/>
              </w:rPr>
              <w:t>、</w:t>
            </w:r>
            <w:r>
              <w:rPr>
                <w:rFonts w:hint="default" w:ascii="新宋体" w:hAnsi="新宋体" w:eastAsia="新宋体" w:cs="新宋体"/>
                <w:color w:val="auto"/>
                <w:sz w:val="22"/>
                <w:szCs w:val="22"/>
                <w:highlight w:val="none"/>
              </w:rPr>
              <w:fldChar w:fldCharType="begin"/>
            </w:r>
            <w:r>
              <w:rPr>
                <w:rFonts w:hint="default" w:ascii="新宋体" w:hAnsi="新宋体" w:eastAsia="新宋体" w:cs="新宋体"/>
                <w:color w:val="auto"/>
                <w:sz w:val="22"/>
                <w:szCs w:val="22"/>
                <w:highlight w:val="none"/>
              </w:rPr>
              <w:instrText xml:space="preserve"> HYPERLINK "https://www.baidu.com/s?rsv_dl=re_dqa_generate&amp;sa=re_dqa_generate&amp;wd=ISO45001%E8%81%8C%E4%B8%9A%E5%81%A5%E5%BA%B7%E5%AE%89%E5%85%A8%E7%AE%A1%E7%90%86%E4%BD%93%E7%B3%BB%E8%AE%A4%E8%AF%81&amp;rsv_pq=e8aeff44000003d0&amp;oq=%E4%B8%89%E4%BD%93%E7%B3%BB%E8%AE%A4%E8%AF%81%E8%AF%81%E4%B9%A6%E5%85%B7%E4%BD%93&amp;rsv_t=f14aOmFtRpjJfROMhiOWQLrL2lYJK+OoOsXvXuMFE/lmbWWVh+jmGdsqvMQ&amp;tn=baidu&amp;ie=utf-8" \t "https://www.baidu.com/_blank" </w:instrText>
            </w:r>
            <w:r>
              <w:rPr>
                <w:rFonts w:hint="default" w:ascii="新宋体" w:hAnsi="新宋体" w:eastAsia="新宋体" w:cs="新宋体"/>
                <w:color w:val="auto"/>
                <w:sz w:val="22"/>
                <w:szCs w:val="22"/>
                <w:highlight w:val="none"/>
              </w:rPr>
              <w:fldChar w:fldCharType="separate"/>
            </w:r>
            <w:r>
              <w:rPr>
                <w:rFonts w:hint="default" w:ascii="新宋体" w:hAnsi="新宋体" w:eastAsia="新宋体" w:cs="新宋体"/>
                <w:color w:val="auto"/>
                <w:sz w:val="22"/>
                <w:szCs w:val="22"/>
                <w:highlight w:val="none"/>
              </w:rPr>
              <w:t>ISO45001职业健康安全管理体系认证</w:t>
            </w:r>
            <w:r>
              <w:rPr>
                <w:rFonts w:hint="default" w:ascii="新宋体" w:hAnsi="新宋体" w:eastAsia="新宋体" w:cs="新宋体"/>
                <w:color w:val="auto"/>
                <w:sz w:val="22"/>
                <w:szCs w:val="22"/>
                <w:highlight w:val="none"/>
              </w:rPr>
              <w:fldChar w:fldCharType="end"/>
            </w:r>
            <w:r>
              <w:rPr>
                <w:rFonts w:ascii="新宋体" w:hAnsi="新宋体" w:eastAsia="新宋体" w:cs="新宋体"/>
                <w:color w:val="auto"/>
                <w:sz w:val="22"/>
                <w:szCs w:val="22"/>
                <w:highlight w:val="none"/>
              </w:rPr>
              <w:t>的</w:t>
            </w:r>
            <w:r>
              <w:rPr>
                <w:rFonts w:hint="eastAsia" w:ascii="新宋体" w:hAnsi="新宋体" w:eastAsia="新宋体" w:cs="新宋体"/>
                <w:color w:val="auto"/>
                <w:sz w:val="22"/>
                <w:szCs w:val="22"/>
                <w:highlight w:val="none"/>
                <w:lang w:eastAsia="zh-CN"/>
              </w:rPr>
              <w:t>，</w:t>
            </w:r>
            <w:r>
              <w:rPr>
                <w:rFonts w:ascii="新宋体" w:hAnsi="新宋体" w:eastAsia="新宋体" w:cs="新宋体"/>
                <w:color w:val="auto"/>
                <w:sz w:val="22"/>
                <w:szCs w:val="22"/>
                <w:highlight w:val="none"/>
              </w:rPr>
              <w:t>每项得1分</w:t>
            </w:r>
            <w:r>
              <w:rPr>
                <w:rFonts w:hint="eastAsia" w:ascii="新宋体" w:hAnsi="新宋体" w:eastAsia="新宋体" w:cs="新宋体"/>
                <w:color w:val="auto"/>
                <w:sz w:val="22"/>
                <w:szCs w:val="22"/>
                <w:highlight w:val="none"/>
                <w:lang w:eastAsia="zh-CN"/>
              </w:rPr>
              <w:t>，</w:t>
            </w:r>
            <w:r>
              <w:rPr>
                <w:rFonts w:ascii="新宋体" w:hAnsi="新宋体" w:eastAsia="新宋体" w:cs="新宋体"/>
                <w:color w:val="auto"/>
                <w:sz w:val="22"/>
                <w:szCs w:val="22"/>
                <w:highlight w:val="none"/>
              </w:rPr>
              <w:t>最高得3分。</w:t>
            </w:r>
          </w:p>
          <w:p w14:paraId="4AEC3826">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提供证书扫描件以及在全国认证认可信息公共服务平台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http://cx.cnca.cn/CertECloud/index/index/page?currentPosition=</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上证书状态为“有效”的查询结果网页截图加盖公章，否则不得分。</w:t>
            </w:r>
          </w:p>
        </w:tc>
        <w:tc>
          <w:tcPr>
            <w:tcW w:w="896" w:type="dxa"/>
            <w:noWrap w:val="0"/>
            <w:vAlign w:val="center"/>
          </w:tcPr>
          <w:p w14:paraId="65564995">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客观分</w:t>
            </w:r>
          </w:p>
        </w:tc>
      </w:tr>
      <w:tr w14:paraId="10AB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vMerge w:val="continue"/>
            <w:noWrap w:val="0"/>
            <w:vAlign w:val="center"/>
          </w:tcPr>
          <w:p w14:paraId="348C7194">
            <w:pPr>
              <w:spacing w:line="460" w:lineRule="exact"/>
              <w:jc w:val="center"/>
              <w:rPr>
                <w:rFonts w:hint="eastAsia" w:ascii="新宋体" w:hAnsi="新宋体" w:eastAsia="新宋体" w:cs="新宋体"/>
                <w:color w:val="auto"/>
                <w:sz w:val="22"/>
                <w:szCs w:val="22"/>
                <w:highlight w:val="none"/>
              </w:rPr>
            </w:pPr>
          </w:p>
        </w:tc>
        <w:tc>
          <w:tcPr>
            <w:tcW w:w="1132" w:type="dxa"/>
            <w:vMerge w:val="continue"/>
            <w:noWrap w:val="0"/>
            <w:vAlign w:val="center"/>
          </w:tcPr>
          <w:p w14:paraId="6849AE22">
            <w:pPr>
              <w:spacing w:line="460" w:lineRule="exact"/>
              <w:jc w:val="left"/>
              <w:rPr>
                <w:rFonts w:hint="eastAsia" w:ascii="新宋体" w:hAnsi="新宋体" w:eastAsia="新宋体" w:cs="新宋体"/>
                <w:color w:val="auto"/>
                <w:sz w:val="22"/>
                <w:szCs w:val="22"/>
                <w:highlight w:val="none"/>
                <w:lang w:val="en-US" w:eastAsia="zh-CN"/>
              </w:rPr>
            </w:pPr>
          </w:p>
        </w:tc>
        <w:tc>
          <w:tcPr>
            <w:tcW w:w="735" w:type="dxa"/>
            <w:noWrap w:val="0"/>
            <w:vAlign w:val="center"/>
          </w:tcPr>
          <w:p w14:paraId="4F770D83">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2分</w:t>
            </w:r>
          </w:p>
        </w:tc>
        <w:tc>
          <w:tcPr>
            <w:tcW w:w="6285" w:type="dxa"/>
            <w:noWrap w:val="0"/>
            <w:vAlign w:val="center"/>
          </w:tcPr>
          <w:p w14:paraId="09314578">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供应商能够协助采购人开展智能制造领域工程师认证测评，得 2 分；</w:t>
            </w:r>
            <w:r>
              <w:rPr>
                <w:rFonts w:hint="eastAsia"/>
                <w:color w:val="auto"/>
                <w:highlight w:val="none"/>
                <w:lang w:val="en-US" w:eastAsia="zh-CN"/>
              </w:rPr>
              <w:t>提供承诺函</w:t>
            </w:r>
            <w:r>
              <w:rPr>
                <w:rFonts w:ascii="新宋体" w:hAnsi="新宋体" w:eastAsia="新宋体" w:cs="新宋体"/>
                <w:color w:val="auto"/>
                <w:sz w:val="22"/>
                <w:szCs w:val="22"/>
                <w:highlight w:val="none"/>
                <w:lang w:val="zh-CN"/>
              </w:rPr>
              <w:t>(格式自拟)</w:t>
            </w:r>
            <w:r>
              <w:rPr>
                <w:rFonts w:hint="eastAsia"/>
                <w:color w:val="auto"/>
                <w:highlight w:val="none"/>
                <w:lang w:val="en-US" w:eastAsia="zh-CN"/>
              </w:rPr>
              <w:t>，</w:t>
            </w:r>
            <w:r>
              <w:rPr>
                <w:rFonts w:ascii="新宋体" w:hAnsi="新宋体" w:eastAsia="新宋体" w:cs="新宋体"/>
                <w:color w:val="auto"/>
                <w:sz w:val="22"/>
                <w:szCs w:val="22"/>
                <w:highlight w:val="none"/>
              </w:rPr>
              <w:t>未提供或不符合要求的不得分。</w:t>
            </w:r>
          </w:p>
        </w:tc>
        <w:tc>
          <w:tcPr>
            <w:tcW w:w="896" w:type="dxa"/>
            <w:noWrap w:val="0"/>
            <w:vAlign w:val="center"/>
          </w:tcPr>
          <w:p w14:paraId="364E0534">
            <w:pPr>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客观分</w:t>
            </w:r>
          </w:p>
        </w:tc>
      </w:tr>
      <w:tr w14:paraId="131C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95" w:type="dxa"/>
            <w:noWrap w:val="0"/>
            <w:vAlign w:val="center"/>
          </w:tcPr>
          <w:p w14:paraId="33CD058E">
            <w:pPr>
              <w:spacing w:line="460" w:lineRule="exact"/>
              <w:jc w:val="center"/>
              <w:rPr>
                <w:rFonts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2</w:t>
            </w:r>
          </w:p>
        </w:tc>
        <w:tc>
          <w:tcPr>
            <w:tcW w:w="1132" w:type="dxa"/>
            <w:noWrap w:val="0"/>
            <w:vAlign w:val="center"/>
          </w:tcPr>
          <w:p w14:paraId="1E0E46BB">
            <w:pPr>
              <w:spacing w:line="460" w:lineRule="exact"/>
              <w:jc w:val="left"/>
              <w:rPr>
                <w:rFonts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对应于招标文件货物技术规格及配置等的偏离度</w:t>
            </w:r>
          </w:p>
        </w:tc>
        <w:tc>
          <w:tcPr>
            <w:tcW w:w="735" w:type="dxa"/>
            <w:noWrap w:val="0"/>
            <w:vAlign w:val="center"/>
          </w:tcPr>
          <w:p w14:paraId="2F204F12">
            <w:pPr>
              <w:spacing w:line="460" w:lineRule="exact"/>
              <w:jc w:val="center"/>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24分</w:t>
            </w:r>
          </w:p>
        </w:tc>
        <w:tc>
          <w:tcPr>
            <w:tcW w:w="6285" w:type="dxa"/>
            <w:noWrap w:val="0"/>
            <w:vAlign w:val="center"/>
          </w:tcPr>
          <w:p w14:paraId="517A3232">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评标小组将根据投标人提供的技术参数偏离表,对照招标要求的技术参数及投标人按要求提供的产品技术性能指标进行评分，满分</w:t>
            </w:r>
            <w:r>
              <w:rPr>
                <w:rFonts w:hint="eastAsia" w:ascii="新宋体" w:hAnsi="新宋体" w:eastAsia="新宋体" w:cs="新宋体"/>
                <w:color w:val="auto"/>
                <w:sz w:val="22"/>
                <w:szCs w:val="22"/>
                <w:highlight w:val="none"/>
                <w:lang w:val="en-US" w:eastAsia="zh-CN"/>
              </w:rPr>
              <w:t>24</w:t>
            </w:r>
            <w:r>
              <w:rPr>
                <w:rFonts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需要视频演示的除外</w:t>
            </w:r>
            <w:r>
              <w:rPr>
                <w:rFonts w:hint="eastAsia" w:ascii="新宋体" w:hAnsi="新宋体" w:eastAsia="新宋体" w:cs="新宋体"/>
                <w:color w:val="auto"/>
                <w:sz w:val="22"/>
                <w:szCs w:val="22"/>
                <w:highlight w:val="none"/>
                <w:lang w:eastAsia="zh-CN"/>
              </w:rPr>
              <w:t>）</w:t>
            </w:r>
            <w:r>
              <w:rPr>
                <w:rFonts w:ascii="新宋体" w:hAnsi="新宋体" w:eastAsia="新宋体" w:cs="新宋体"/>
                <w:color w:val="auto"/>
                <w:sz w:val="22"/>
                <w:szCs w:val="22"/>
                <w:highlight w:val="none"/>
              </w:rPr>
              <w:t>具体评分要求:</w:t>
            </w:r>
          </w:p>
          <w:p w14:paraId="2AEB95D3">
            <w:pPr>
              <w:spacing w:line="460" w:lineRule="exact"/>
              <w:jc w:val="left"/>
              <w:rPr>
                <w:rFonts w:hint="eastAsia" w:ascii="新宋体" w:hAnsi="新宋体" w:eastAsia="新宋体" w:cs="新宋体"/>
                <w:color w:val="auto"/>
                <w:sz w:val="22"/>
                <w:szCs w:val="22"/>
                <w:highlight w:val="none"/>
                <w:lang w:eastAsia="zh-CN"/>
              </w:rPr>
            </w:pPr>
            <w:r>
              <w:rPr>
                <w:rFonts w:ascii="新宋体" w:hAnsi="新宋体" w:eastAsia="新宋体" w:cs="新宋体"/>
                <w:color w:val="auto"/>
                <w:sz w:val="22"/>
                <w:szCs w:val="22"/>
                <w:highlight w:val="none"/>
              </w:rPr>
              <w:t>1.完全符合技术参数要求的得</w:t>
            </w:r>
            <w:r>
              <w:rPr>
                <w:rFonts w:hint="eastAsia" w:ascii="新宋体" w:hAnsi="新宋体" w:eastAsia="新宋体" w:cs="新宋体"/>
                <w:color w:val="auto"/>
                <w:sz w:val="22"/>
                <w:szCs w:val="22"/>
                <w:highlight w:val="none"/>
                <w:lang w:val="en-US" w:eastAsia="zh-CN"/>
              </w:rPr>
              <w:t>24</w:t>
            </w:r>
            <w:r>
              <w:rPr>
                <w:rFonts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p>
          <w:p w14:paraId="4F17AF3A">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en-US" w:eastAsia="zh-CN"/>
              </w:rPr>
              <w:t>带</w:t>
            </w:r>
            <w:r>
              <w:rPr>
                <w:rFonts w:ascii="新宋体" w:hAnsi="新宋体" w:eastAsia="新宋体" w:cs="新宋体"/>
                <w:color w:val="auto"/>
                <w:sz w:val="22"/>
                <w:szCs w:val="22"/>
                <w:highlight w:val="none"/>
              </w:rPr>
              <w:t>“★”条款技术参数不满足招标要求</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负偏离</w:t>
            </w:r>
            <w:r>
              <w:rPr>
                <w:rFonts w:hint="eastAsia" w:ascii="新宋体" w:hAnsi="新宋体" w:eastAsia="新宋体" w:cs="新宋体"/>
                <w:color w:val="auto"/>
                <w:sz w:val="22"/>
                <w:szCs w:val="22"/>
                <w:highlight w:val="none"/>
                <w:lang w:eastAsia="zh-CN"/>
              </w:rPr>
              <w:t>）</w:t>
            </w:r>
            <w:r>
              <w:rPr>
                <w:rFonts w:ascii="新宋体" w:hAnsi="新宋体" w:eastAsia="新宋体" w:cs="新宋体"/>
                <w:color w:val="auto"/>
                <w:sz w:val="22"/>
                <w:szCs w:val="22"/>
                <w:highlight w:val="none"/>
              </w:rPr>
              <w:t>的每项扣</w:t>
            </w:r>
            <w:r>
              <w:rPr>
                <w:rFonts w:hint="eastAsia" w:ascii="新宋体" w:hAnsi="新宋体" w:eastAsia="新宋体" w:cs="新宋体"/>
                <w:color w:val="auto"/>
                <w:sz w:val="22"/>
                <w:szCs w:val="22"/>
                <w:highlight w:val="none"/>
                <w:lang w:val="en-US" w:eastAsia="zh-CN"/>
              </w:rPr>
              <w:t>1</w:t>
            </w:r>
            <w:r>
              <w:rPr>
                <w:rFonts w:ascii="新宋体" w:hAnsi="新宋体" w:eastAsia="新宋体" w:cs="新宋体"/>
                <w:color w:val="auto"/>
                <w:sz w:val="22"/>
                <w:szCs w:val="22"/>
                <w:highlight w:val="none"/>
              </w:rPr>
              <w:t>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共16条，16分</w:t>
            </w:r>
            <w:r>
              <w:rPr>
                <w:rFonts w:hint="eastAsia" w:ascii="新宋体" w:hAnsi="新宋体" w:eastAsia="新宋体" w:cs="新宋体"/>
                <w:color w:val="auto"/>
                <w:sz w:val="22"/>
                <w:szCs w:val="22"/>
                <w:highlight w:val="none"/>
                <w:lang w:eastAsia="zh-CN"/>
              </w:rPr>
              <w:t>）</w:t>
            </w:r>
          </w:p>
          <w:p w14:paraId="65DB8BF9">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非“★”的指标</w:t>
            </w:r>
            <w:r>
              <w:rPr>
                <w:rFonts w:ascii="新宋体" w:hAnsi="新宋体" w:eastAsia="新宋体" w:cs="新宋体"/>
                <w:color w:val="auto"/>
                <w:sz w:val="22"/>
                <w:szCs w:val="22"/>
                <w:highlight w:val="none"/>
              </w:rPr>
              <w:t>条款技术参数不满足招标要求</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负偏离</w:t>
            </w:r>
            <w:r>
              <w:rPr>
                <w:rFonts w:hint="eastAsia" w:ascii="新宋体" w:hAnsi="新宋体" w:eastAsia="新宋体" w:cs="新宋体"/>
                <w:color w:val="auto"/>
                <w:sz w:val="22"/>
                <w:szCs w:val="22"/>
                <w:highlight w:val="none"/>
                <w:lang w:eastAsia="zh-CN"/>
              </w:rPr>
              <w:t>）</w:t>
            </w:r>
            <w:r>
              <w:rPr>
                <w:rFonts w:ascii="新宋体" w:hAnsi="新宋体" w:eastAsia="新宋体" w:cs="新宋体"/>
                <w:color w:val="auto"/>
                <w:sz w:val="22"/>
                <w:szCs w:val="22"/>
                <w:highlight w:val="none"/>
              </w:rPr>
              <w:t>的每项扣</w:t>
            </w:r>
            <w:r>
              <w:rPr>
                <w:rFonts w:hint="eastAsia" w:ascii="新宋体" w:hAnsi="新宋体" w:eastAsia="新宋体" w:cs="新宋体"/>
                <w:color w:val="auto"/>
                <w:sz w:val="22"/>
                <w:szCs w:val="22"/>
                <w:highlight w:val="none"/>
                <w:lang w:val="en-US" w:eastAsia="zh-CN"/>
              </w:rPr>
              <w:t>0.4</w:t>
            </w:r>
            <w:r>
              <w:rPr>
                <w:rFonts w:ascii="新宋体" w:hAnsi="新宋体" w:eastAsia="新宋体" w:cs="新宋体"/>
                <w:color w:val="auto"/>
                <w:sz w:val="22"/>
                <w:szCs w:val="22"/>
                <w:highlight w:val="none"/>
              </w:rPr>
              <w:t>分；</w:t>
            </w:r>
          </w:p>
          <w:p w14:paraId="75BDF45C">
            <w:pPr>
              <w:spacing w:line="460" w:lineRule="exact"/>
              <w:jc w:val="lef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本项扣完为止。</w:t>
            </w:r>
          </w:p>
        </w:tc>
        <w:tc>
          <w:tcPr>
            <w:tcW w:w="896" w:type="dxa"/>
            <w:noWrap w:val="0"/>
            <w:vAlign w:val="center"/>
          </w:tcPr>
          <w:p w14:paraId="75D853AA">
            <w:pPr>
              <w:spacing w:line="460" w:lineRule="exact"/>
              <w:jc w:val="center"/>
              <w:rPr>
                <w:rFonts w:ascii="新宋体" w:hAnsi="新宋体" w:eastAsia="新宋体" w:cs="新宋体"/>
                <w:b/>
                <w:color w:val="auto"/>
                <w:sz w:val="22"/>
                <w:szCs w:val="22"/>
                <w:highlight w:val="none"/>
              </w:rPr>
            </w:pPr>
            <w:r>
              <w:rPr>
                <w:rFonts w:hint="eastAsia" w:ascii="新宋体" w:hAnsi="新宋体" w:eastAsia="新宋体" w:cs="新宋体"/>
                <w:color w:val="auto"/>
                <w:kern w:val="0"/>
                <w:sz w:val="22"/>
                <w:szCs w:val="22"/>
                <w:highlight w:val="none"/>
              </w:rPr>
              <w:t>客观分</w:t>
            </w:r>
          </w:p>
        </w:tc>
      </w:tr>
      <w:tr w14:paraId="6C2A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95" w:type="dxa"/>
            <w:noWrap w:val="0"/>
            <w:vAlign w:val="center"/>
          </w:tcPr>
          <w:p w14:paraId="435C37A0">
            <w:pPr>
              <w:spacing w:line="460" w:lineRule="exact"/>
              <w:jc w:val="center"/>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3</w:t>
            </w:r>
          </w:p>
        </w:tc>
        <w:tc>
          <w:tcPr>
            <w:tcW w:w="1132" w:type="dxa"/>
            <w:noWrap w:val="0"/>
            <w:vAlign w:val="center"/>
          </w:tcPr>
          <w:p w14:paraId="5EF748D8">
            <w:pPr>
              <w:spacing w:line="460" w:lineRule="exact"/>
              <w:jc w:val="left"/>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软件著作权</w:t>
            </w:r>
          </w:p>
        </w:tc>
        <w:tc>
          <w:tcPr>
            <w:tcW w:w="735" w:type="dxa"/>
            <w:noWrap w:val="0"/>
            <w:vAlign w:val="center"/>
          </w:tcPr>
          <w:p w14:paraId="692E0BA6">
            <w:pPr>
              <w:spacing w:line="460" w:lineRule="exact"/>
              <w:jc w:val="center"/>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3分</w:t>
            </w:r>
          </w:p>
        </w:tc>
        <w:tc>
          <w:tcPr>
            <w:tcW w:w="6285" w:type="dxa"/>
            <w:noWrap w:val="0"/>
            <w:vAlign w:val="center"/>
          </w:tcPr>
          <w:p w14:paraId="32A29E28">
            <w:pPr>
              <w:spacing w:line="460" w:lineRule="exact"/>
              <w:jc w:val="lef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提供与本项目相关（设备配套软件）的软件著作权证书，每提供一个软件著作权证书，得1分，最多得3分。（提供证书复印件加盖投标人公章）</w:t>
            </w:r>
          </w:p>
        </w:tc>
        <w:tc>
          <w:tcPr>
            <w:tcW w:w="896" w:type="dxa"/>
            <w:noWrap w:val="0"/>
            <w:vAlign w:val="center"/>
          </w:tcPr>
          <w:p w14:paraId="2AED758F">
            <w:pPr>
              <w:spacing w:line="460" w:lineRule="exact"/>
              <w:jc w:val="center"/>
              <w:rPr>
                <w:rFonts w:hint="eastAsia" w:ascii="新宋体" w:hAnsi="新宋体" w:eastAsia="新宋体" w:cs="新宋体"/>
                <w:color w:val="auto"/>
                <w:kern w:val="0"/>
                <w:sz w:val="22"/>
                <w:szCs w:val="22"/>
                <w:highlight w:val="none"/>
              </w:rPr>
            </w:pPr>
          </w:p>
        </w:tc>
      </w:tr>
      <w:tr w14:paraId="16DB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5" w:type="dxa"/>
            <w:noWrap w:val="0"/>
            <w:vAlign w:val="center"/>
          </w:tcPr>
          <w:p w14:paraId="5321BCF9">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p>
        </w:tc>
        <w:tc>
          <w:tcPr>
            <w:tcW w:w="1132" w:type="dxa"/>
            <w:noWrap w:val="0"/>
            <w:vAlign w:val="center"/>
          </w:tcPr>
          <w:p w14:paraId="2BCB562C">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项目团队  能力</w:t>
            </w:r>
          </w:p>
        </w:tc>
        <w:tc>
          <w:tcPr>
            <w:tcW w:w="735" w:type="dxa"/>
            <w:noWrap w:val="0"/>
            <w:vAlign w:val="center"/>
          </w:tcPr>
          <w:p w14:paraId="185F2250">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6285" w:type="dxa"/>
            <w:noWrap w:val="0"/>
            <w:vAlign w:val="center"/>
          </w:tcPr>
          <w:p w14:paraId="7C3108B7">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根据投标人针对本项目提出的拟派项目实施团队情况，包括拟派项目实施团队配置的人员数量、人员专业水平（至少具备两名数控机床装调维修工、三名数控机床装调维修工）、类似工作经验、分工情况等，</w:t>
            </w:r>
            <w:r>
              <w:rPr>
                <w:rFonts w:hint="eastAsia" w:ascii="新宋体" w:hAnsi="新宋体" w:eastAsia="新宋体" w:cs="新宋体"/>
                <w:color w:val="auto"/>
                <w:sz w:val="22"/>
                <w:szCs w:val="22"/>
                <w:highlight w:val="none"/>
                <w:lang w:val="en-US" w:eastAsia="zh-CN"/>
              </w:rPr>
              <w:t>由评委综合评分</w:t>
            </w:r>
            <w:r>
              <w:rPr>
                <w:rFonts w:ascii="新宋体" w:hAnsi="新宋体" w:eastAsia="新宋体" w:cs="新宋体"/>
                <w:color w:val="auto"/>
                <w:sz w:val="22"/>
                <w:szCs w:val="22"/>
                <w:highlight w:val="none"/>
              </w:rPr>
              <w:t>。</w:t>
            </w:r>
          </w:p>
          <w:p w14:paraId="5D90BF71">
            <w:pPr>
              <w:spacing w:line="460" w:lineRule="exact"/>
              <w:jc w:val="left"/>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实施团队人员专业水平高、经验丰富，分工合理的得3分；</w:t>
            </w:r>
          </w:p>
          <w:p w14:paraId="701AED28">
            <w:pPr>
              <w:spacing w:line="460" w:lineRule="exact"/>
              <w:jc w:val="left"/>
              <w:rPr>
                <w:rFonts w:hint="eastAsia"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实施团队人员专业水平、经验，分工一般的得2分；</w:t>
            </w:r>
          </w:p>
          <w:p w14:paraId="6213951B">
            <w:pPr>
              <w:spacing w:line="460" w:lineRule="exact"/>
              <w:jc w:val="left"/>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lang w:val="en-US" w:eastAsia="zh-CN"/>
              </w:rPr>
              <w:t>实施团队人员专业水平、经验，分工差的得1分；</w:t>
            </w:r>
          </w:p>
          <w:p w14:paraId="2D533DFD">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b/>
                <w:bCs/>
                <w:color w:val="auto"/>
                <w:sz w:val="22"/>
                <w:szCs w:val="22"/>
                <w:highlight w:val="none"/>
              </w:rPr>
              <w:t>注：人员专业水平项需提供有效证书扫描件及其在投标人单位的社保参保证明加盖公章，否则不得分。</w:t>
            </w:r>
          </w:p>
        </w:tc>
        <w:tc>
          <w:tcPr>
            <w:tcW w:w="896" w:type="dxa"/>
            <w:noWrap w:val="0"/>
            <w:vAlign w:val="center"/>
          </w:tcPr>
          <w:p w14:paraId="6B57A6C0">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主</w:t>
            </w:r>
            <w:r>
              <w:rPr>
                <w:rFonts w:hint="eastAsia" w:ascii="新宋体" w:hAnsi="新宋体" w:eastAsia="新宋体" w:cs="新宋体"/>
                <w:color w:val="auto"/>
                <w:sz w:val="22"/>
                <w:szCs w:val="22"/>
                <w:highlight w:val="none"/>
              </w:rPr>
              <w:t>观分</w:t>
            </w:r>
          </w:p>
        </w:tc>
      </w:tr>
      <w:tr w14:paraId="3508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noWrap w:val="0"/>
            <w:vAlign w:val="center"/>
          </w:tcPr>
          <w:p w14:paraId="68D5F0F6">
            <w:pPr>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5</w:t>
            </w:r>
          </w:p>
        </w:tc>
        <w:tc>
          <w:tcPr>
            <w:tcW w:w="1132" w:type="dxa"/>
            <w:noWrap w:val="0"/>
            <w:vAlign w:val="center"/>
          </w:tcPr>
          <w:p w14:paraId="28A780C1">
            <w:pPr>
              <w:spacing w:line="460" w:lineRule="exact"/>
              <w:jc w:val="left"/>
              <w:rPr>
                <w:rFonts w:ascii="宋体" w:hAnsi="宋体" w:cs="宋体"/>
                <w:color w:val="auto"/>
                <w:sz w:val="22"/>
                <w:szCs w:val="22"/>
                <w:highlight w:val="none"/>
              </w:rPr>
            </w:pPr>
            <w:r>
              <w:rPr>
                <w:rFonts w:ascii="宋体" w:hAnsi="宋体" w:cs="宋体"/>
                <w:color w:val="auto"/>
                <w:sz w:val="22"/>
                <w:szCs w:val="22"/>
                <w:highlight w:val="none"/>
              </w:rPr>
              <w:t>项目组织 实施方案 及措施保 障</w:t>
            </w:r>
          </w:p>
        </w:tc>
        <w:tc>
          <w:tcPr>
            <w:tcW w:w="735" w:type="dxa"/>
            <w:noWrap w:val="0"/>
            <w:vAlign w:val="center"/>
          </w:tcPr>
          <w:p w14:paraId="1D843536">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6285" w:type="dxa"/>
            <w:noWrap w:val="0"/>
            <w:vAlign w:val="center"/>
          </w:tcPr>
          <w:p w14:paraId="44E27AE7">
            <w:pPr>
              <w:spacing w:line="460" w:lineRule="exact"/>
              <w:jc w:val="left"/>
              <w:rPr>
                <w:rFonts w:ascii="新宋体" w:hAnsi="新宋体" w:eastAsia="新宋体" w:cs="新宋体"/>
                <w:bCs/>
                <w:color w:val="auto"/>
                <w:sz w:val="22"/>
                <w:szCs w:val="22"/>
                <w:highlight w:val="none"/>
              </w:rPr>
            </w:pPr>
            <w:r>
              <w:rPr>
                <w:rFonts w:ascii="新宋体" w:hAnsi="新宋体" w:eastAsia="新宋体" w:cs="新宋体"/>
                <w:bCs/>
                <w:color w:val="auto"/>
                <w:sz w:val="22"/>
                <w:szCs w:val="22"/>
                <w:highlight w:val="none"/>
              </w:rPr>
              <w:t>根据投标人针对本次项目提出的具体组织实施方案，包括详细组织实施方案、安装阶段沟通机制以及为保障项目顺利实施的各项措施（如质量保证、工期保证等）等内容的完整性、合理性、科学性，由评委在分值范围内进行打分。</w:t>
            </w:r>
          </w:p>
          <w:p w14:paraId="14AD5DF6">
            <w:pPr>
              <w:pStyle w:val="19"/>
              <w:spacing w:line="460" w:lineRule="exact"/>
              <w:rPr>
                <w:rFonts w:ascii="新宋体" w:hAnsi="新宋体" w:eastAsia="新宋体" w:cs="新宋体"/>
                <w:bCs/>
                <w:color w:val="auto"/>
                <w:kern w:val="2"/>
                <w:sz w:val="22"/>
                <w:szCs w:val="22"/>
                <w:highlight w:val="none"/>
              </w:rPr>
            </w:pPr>
            <w:r>
              <w:rPr>
                <w:rFonts w:hint="eastAsia" w:ascii="新宋体" w:hAnsi="新宋体" w:eastAsia="新宋体" w:cs="新宋体"/>
                <w:bCs/>
                <w:color w:val="auto"/>
                <w:kern w:val="2"/>
                <w:sz w:val="22"/>
                <w:szCs w:val="22"/>
                <w:highlight w:val="none"/>
              </w:rPr>
              <w:t>方案</w:t>
            </w:r>
            <w:r>
              <w:rPr>
                <w:rFonts w:hint="eastAsia" w:ascii="新宋体" w:hAnsi="新宋体" w:eastAsia="新宋体" w:cs="新宋体"/>
                <w:bCs/>
                <w:color w:val="auto"/>
                <w:kern w:val="2"/>
                <w:sz w:val="22"/>
                <w:szCs w:val="22"/>
                <w:highlight w:val="none"/>
                <w:lang w:val="en-US" w:eastAsia="zh-CN"/>
              </w:rPr>
              <w:t>完整、</w:t>
            </w:r>
            <w:r>
              <w:rPr>
                <w:rFonts w:hint="eastAsia" w:ascii="新宋体" w:hAnsi="新宋体" w:eastAsia="新宋体" w:cs="新宋体"/>
                <w:bCs/>
                <w:color w:val="auto"/>
                <w:kern w:val="2"/>
                <w:sz w:val="22"/>
                <w:szCs w:val="22"/>
                <w:highlight w:val="none"/>
              </w:rPr>
              <w:t>合理、</w:t>
            </w:r>
            <w:r>
              <w:rPr>
                <w:rFonts w:hint="eastAsia" w:ascii="新宋体" w:hAnsi="新宋体" w:eastAsia="新宋体" w:cs="新宋体"/>
                <w:bCs/>
                <w:color w:val="auto"/>
                <w:kern w:val="2"/>
                <w:sz w:val="22"/>
                <w:szCs w:val="22"/>
                <w:highlight w:val="none"/>
                <w:lang w:val="en-US" w:eastAsia="zh-CN"/>
              </w:rPr>
              <w:t>科学</w:t>
            </w:r>
            <w:r>
              <w:rPr>
                <w:rFonts w:hint="eastAsia" w:ascii="新宋体" w:hAnsi="新宋体" w:eastAsia="新宋体" w:cs="新宋体"/>
                <w:bCs/>
                <w:color w:val="auto"/>
                <w:kern w:val="2"/>
                <w:sz w:val="22"/>
                <w:szCs w:val="22"/>
                <w:highlight w:val="none"/>
              </w:rPr>
              <w:t>的得3分；</w:t>
            </w:r>
          </w:p>
          <w:p w14:paraId="2AB0679D">
            <w:pPr>
              <w:pStyle w:val="19"/>
              <w:spacing w:line="460" w:lineRule="exact"/>
              <w:rPr>
                <w:rFonts w:ascii="新宋体" w:hAnsi="新宋体" w:eastAsia="新宋体" w:cs="新宋体"/>
                <w:bCs/>
                <w:color w:val="auto"/>
                <w:kern w:val="2"/>
                <w:sz w:val="22"/>
                <w:szCs w:val="22"/>
                <w:highlight w:val="none"/>
              </w:rPr>
            </w:pPr>
            <w:r>
              <w:rPr>
                <w:rFonts w:hint="eastAsia" w:ascii="新宋体" w:hAnsi="新宋体" w:eastAsia="新宋体" w:cs="新宋体"/>
                <w:bCs/>
                <w:color w:val="auto"/>
                <w:kern w:val="2"/>
                <w:sz w:val="22"/>
                <w:szCs w:val="22"/>
                <w:highlight w:val="none"/>
              </w:rPr>
              <w:t>方案</w:t>
            </w:r>
            <w:r>
              <w:rPr>
                <w:rFonts w:hint="eastAsia" w:ascii="新宋体" w:hAnsi="新宋体" w:eastAsia="新宋体" w:cs="新宋体"/>
                <w:bCs/>
                <w:color w:val="auto"/>
                <w:kern w:val="2"/>
                <w:sz w:val="22"/>
                <w:szCs w:val="22"/>
                <w:highlight w:val="none"/>
                <w:lang w:val="en-US" w:eastAsia="zh-CN"/>
              </w:rPr>
              <w:t>完整性、</w:t>
            </w:r>
            <w:r>
              <w:rPr>
                <w:rFonts w:hint="eastAsia" w:ascii="新宋体" w:hAnsi="新宋体" w:eastAsia="新宋体" w:cs="新宋体"/>
                <w:bCs/>
                <w:color w:val="auto"/>
                <w:kern w:val="2"/>
                <w:sz w:val="22"/>
                <w:szCs w:val="22"/>
                <w:highlight w:val="none"/>
              </w:rPr>
              <w:t>合理性、</w:t>
            </w:r>
            <w:r>
              <w:rPr>
                <w:rFonts w:hint="eastAsia" w:ascii="新宋体" w:hAnsi="新宋体" w:eastAsia="新宋体" w:cs="新宋体"/>
                <w:bCs/>
                <w:color w:val="auto"/>
                <w:kern w:val="2"/>
                <w:sz w:val="22"/>
                <w:szCs w:val="22"/>
                <w:highlight w:val="none"/>
                <w:lang w:val="en-US" w:eastAsia="zh-CN"/>
              </w:rPr>
              <w:t>科学</w:t>
            </w:r>
            <w:r>
              <w:rPr>
                <w:rFonts w:hint="eastAsia" w:ascii="新宋体" w:hAnsi="新宋体" w:eastAsia="新宋体" w:cs="新宋体"/>
                <w:bCs/>
                <w:color w:val="auto"/>
                <w:kern w:val="2"/>
                <w:sz w:val="22"/>
                <w:szCs w:val="22"/>
                <w:highlight w:val="none"/>
              </w:rPr>
              <w:t>性一般的得2分；</w:t>
            </w:r>
          </w:p>
          <w:p w14:paraId="0A326CDE">
            <w:pPr>
              <w:pStyle w:val="19"/>
              <w:spacing w:line="460" w:lineRule="exact"/>
              <w:rPr>
                <w:rFonts w:ascii="新宋体" w:hAnsi="新宋体" w:eastAsia="新宋体" w:cs="新宋体"/>
                <w:bCs/>
                <w:color w:val="auto"/>
                <w:kern w:val="2"/>
                <w:sz w:val="22"/>
                <w:szCs w:val="22"/>
                <w:highlight w:val="none"/>
              </w:rPr>
            </w:pPr>
            <w:r>
              <w:rPr>
                <w:rFonts w:hint="eastAsia" w:ascii="新宋体" w:hAnsi="新宋体" w:eastAsia="新宋体" w:cs="新宋体"/>
                <w:bCs/>
                <w:color w:val="auto"/>
                <w:kern w:val="2"/>
                <w:sz w:val="22"/>
                <w:szCs w:val="22"/>
                <w:highlight w:val="none"/>
              </w:rPr>
              <w:t>方案</w:t>
            </w:r>
            <w:r>
              <w:rPr>
                <w:rFonts w:hint="eastAsia" w:ascii="新宋体" w:hAnsi="新宋体" w:eastAsia="新宋体" w:cs="新宋体"/>
                <w:bCs/>
                <w:color w:val="auto"/>
                <w:kern w:val="2"/>
                <w:sz w:val="22"/>
                <w:szCs w:val="22"/>
                <w:highlight w:val="none"/>
                <w:lang w:val="en-US" w:eastAsia="zh-CN"/>
              </w:rPr>
              <w:t>完整性、</w:t>
            </w:r>
            <w:r>
              <w:rPr>
                <w:rFonts w:hint="eastAsia" w:ascii="新宋体" w:hAnsi="新宋体" w:eastAsia="新宋体" w:cs="新宋体"/>
                <w:bCs/>
                <w:color w:val="auto"/>
                <w:kern w:val="2"/>
                <w:sz w:val="22"/>
                <w:szCs w:val="22"/>
                <w:highlight w:val="none"/>
              </w:rPr>
              <w:t>合理性、</w:t>
            </w:r>
            <w:r>
              <w:rPr>
                <w:rFonts w:hint="eastAsia" w:ascii="新宋体" w:hAnsi="新宋体" w:eastAsia="新宋体" w:cs="新宋体"/>
                <w:bCs/>
                <w:color w:val="auto"/>
                <w:kern w:val="2"/>
                <w:sz w:val="22"/>
                <w:szCs w:val="22"/>
                <w:highlight w:val="none"/>
                <w:lang w:val="en-US" w:eastAsia="zh-CN"/>
              </w:rPr>
              <w:t>科学</w:t>
            </w:r>
            <w:r>
              <w:rPr>
                <w:rFonts w:hint="eastAsia" w:ascii="新宋体" w:hAnsi="新宋体" w:eastAsia="新宋体" w:cs="新宋体"/>
                <w:bCs/>
                <w:color w:val="auto"/>
                <w:kern w:val="2"/>
                <w:sz w:val="22"/>
                <w:szCs w:val="22"/>
                <w:highlight w:val="none"/>
              </w:rPr>
              <w:t>性差的得1分；</w:t>
            </w:r>
          </w:p>
          <w:p w14:paraId="2EA4F1CC">
            <w:pPr>
              <w:spacing w:line="460" w:lineRule="exact"/>
              <w:jc w:val="left"/>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rPr>
              <w:t>未提供的不得分</w:t>
            </w:r>
            <w:r>
              <w:rPr>
                <w:rFonts w:hint="eastAsia" w:ascii="新宋体" w:hAnsi="新宋体" w:eastAsia="新宋体" w:cs="新宋体"/>
                <w:bCs/>
                <w:color w:val="auto"/>
                <w:sz w:val="22"/>
                <w:szCs w:val="22"/>
                <w:highlight w:val="none"/>
                <w:lang w:eastAsia="zh-CN"/>
              </w:rPr>
              <w:t>。</w:t>
            </w:r>
          </w:p>
        </w:tc>
        <w:tc>
          <w:tcPr>
            <w:tcW w:w="896" w:type="dxa"/>
            <w:noWrap w:val="0"/>
            <w:vAlign w:val="center"/>
          </w:tcPr>
          <w:p w14:paraId="72B1F82C">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主观分</w:t>
            </w:r>
          </w:p>
        </w:tc>
      </w:tr>
      <w:tr w14:paraId="1FC3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5" w:type="dxa"/>
            <w:noWrap w:val="0"/>
            <w:vAlign w:val="center"/>
          </w:tcPr>
          <w:p w14:paraId="531E1CD2">
            <w:pPr>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6</w:t>
            </w:r>
          </w:p>
        </w:tc>
        <w:tc>
          <w:tcPr>
            <w:tcW w:w="1132" w:type="dxa"/>
            <w:noWrap w:val="0"/>
            <w:vAlign w:val="center"/>
          </w:tcPr>
          <w:p w14:paraId="0DCACADC">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培训方案</w:t>
            </w:r>
          </w:p>
        </w:tc>
        <w:tc>
          <w:tcPr>
            <w:tcW w:w="735" w:type="dxa"/>
            <w:noWrap w:val="0"/>
            <w:vAlign w:val="center"/>
          </w:tcPr>
          <w:p w14:paraId="04C04D6E">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6285" w:type="dxa"/>
            <w:noWrap w:val="0"/>
            <w:vAlign w:val="center"/>
          </w:tcPr>
          <w:p w14:paraId="27603566">
            <w:pPr>
              <w:widowControl/>
              <w:adjustRightInd w:val="0"/>
              <w:snapToGrid w:val="0"/>
              <w:spacing w:line="460" w:lineRule="exac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根据投标人针对本项目提供操作培训方案、维护培训方案、其他形式培训方案，方案要求具体至培训目的、时间、地点、内容、频次、培训教师专业职称、是否达到培训预期目的评价标准、结业验收、考核形式、与用户定期联系培训方式、方法等，由</w:t>
            </w:r>
            <w:r>
              <w:rPr>
                <w:rFonts w:hint="eastAsia" w:ascii="新宋体" w:hAnsi="新宋体" w:eastAsia="新宋体" w:cs="新宋体"/>
                <w:color w:val="auto"/>
                <w:sz w:val="22"/>
                <w:szCs w:val="22"/>
                <w:highlight w:val="none"/>
                <w:lang w:val="en-US" w:eastAsia="zh-CN"/>
              </w:rPr>
              <w:t>评委综合评分</w:t>
            </w:r>
            <w:r>
              <w:rPr>
                <w:rFonts w:ascii="新宋体" w:hAnsi="新宋体" w:eastAsia="新宋体" w:cs="新宋体"/>
                <w:color w:val="auto"/>
                <w:sz w:val="22"/>
                <w:szCs w:val="22"/>
                <w:highlight w:val="none"/>
              </w:rPr>
              <w:t>。</w:t>
            </w:r>
          </w:p>
          <w:p w14:paraId="31A8470B">
            <w:pPr>
              <w:pStyle w:val="19"/>
              <w:spacing w:line="460" w:lineRule="exact"/>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培训</w:t>
            </w:r>
            <w:r>
              <w:rPr>
                <w:rFonts w:hint="eastAsia" w:ascii="新宋体" w:hAnsi="新宋体" w:eastAsia="新宋体" w:cs="新宋体"/>
                <w:color w:val="auto"/>
                <w:kern w:val="2"/>
                <w:sz w:val="22"/>
                <w:szCs w:val="22"/>
                <w:highlight w:val="none"/>
                <w:lang w:val="en-US" w:eastAsia="zh-CN"/>
              </w:rPr>
              <w:t>维护方案、</w:t>
            </w:r>
            <w:r>
              <w:rPr>
                <w:rFonts w:hint="eastAsia" w:ascii="新宋体" w:hAnsi="新宋体" w:eastAsia="新宋体" w:cs="新宋体"/>
                <w:color w:val="auto"/>
                <w:kern w:val="2"/>
                <w:sz w:val="22"/>
                <w:szCs w:val="22"/>
                <w:highlight w:val="none"/>
              </w:rPr>
              <w:t>计划完整、有效、合理的得</w:t>
            </w:r>
            <w:r>
              <w:rPr>
                <w:rFonts w:hint="eastAsia" w:ascii="新宋体" w:hAnsi="新宋体" w:eastAsia="新宋体" w:cs="新宋体"/>
                <w:color w:val="auto"/>
                <w:kern w:val="2"/>
                <w:sz w:val="22"/>
                <w:szCs w:val="22"/>
                <w:highlight w:val="none"/>
                <w:lang w:val="en-US" w:eastAsia="zh-CN"/>
              </w:rPr>
              <w:t>3</w:t>
            </w:r>
            <w:r>
              <w:rPr>
                <w:rFonts w:hint="eastAsia" w:ascii="新宋体" w:hAnsi="新宋体" w:eastAsia="新宋体" w:cs="新宋体"/>
                <w:color w:val="auto"/>
                <w:kern w:val="2"/>
                <w:sz w:val="22"/>
                <w:szCs w:val="22"/>
                <w:highlight w:val="none"/>
              </w:rPr>
              <w:t>分；</w:t>
            </w:r>
          </w:p>
          <w:p w14:paraId="3B194F78">
            <w:pPr>
              <w:pStyle w:val="19"/>
              <w:spacing w:line="460" w:lineRule="exact"/>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培训</w:t>
            </w:r>
            <w:r>
              <w:rPr>
                <w:rFonts w:hint="eastAsia" w:ascii="新宋体" w:hAnsi="新宋体" w:eastAsia="新宋体" w:cs="新宋体"/>
                <w:color w:val="auto"/>
                <w:kern w:val="2"/>
                <w:sz w:val="22"/>
                <w:szCs w:val="22"/>
                <w:highlight w:val="none"/>
                <w:lang w:val="en-US" w:eastAsia="zh-CN"/>
              </w:rPr>
              <w:t>维护方案</w:t>
            </w:r>
            <w:r>
              <w:rPr>
                <w:rFonts w:hint="eastAsia" w:ascii="新宋体" w:hAnsi="新宋体" w:eastAsia="新宋体" w:cs="新宋体"/>
                <w:color w:val="auto"/>
                <w:kern w:val="2"/>
                <w:sz w:val="22"/>
                <w:szCs w:val="22"/>
                <w:highlight w:val="none"/>
              </w:rPr>
              <w:t>计划一般的得</w:t>
            </w:r>
            <w:r>
              <w:rPr>
                <w:rFonts w:hint="eastAsia" w:ascii="新宋体" w:hAnsi="新宋体" w:eastAsia="新宋体" w:cs="新宋体"/>
                <w:color w:val="auto"/>
                <w:kern w:val="2"/>
                <w:sz w:val="22"/>
                <w:szCs w:val="22"/>
                <w:highlight w:val="none"/>
                <w:lang w:val="en-US" w:eastAsia="zh-CN"/>
              </w:rPr>
              <w:t>2</w:t>
            </w:r>
            <w:r>
              <w:rPr>
                <w:rFonts w:hint="eastAsia" w:ascii="新宋体" w:hAnsi="新宋体" w:eastAsia="新宋体" w:cs="新宋体"/>
                <w:color w:val="auto"/>
                <w:kern w:val="2"/>
                <w:sz w:val="22"/>
                <w:szCs w:val="22"/>
                <w:highlight w:val="none"/>
              </w:rPr>
              <w:t>分；</w:t>
            </w:r>
          </w:p>
          <w:p w14:paraId="4EF3D54E">
            <w:pPr>
              <w:pStyle w:val="19"/>
              <w:spacing w:line="460" w:lineRule="exact"/>
              <w:rPr>
                <w:rFonts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培训</w:t>
            </w:r>
            <w:r>
              <w:rPr>
                <w:rFonts w:hint="eastAsia" w:ascii="新宋体" w:hAnsi="新宋体" w:eastAsia="新宋体" w:cs="新宋体"/>
                <w:color w:val="auto"/>
                <w:kern w:val="2"/>
                <w:sz w:val="22"/>
                <w:szCs w:val="22"/>
                <w:highlight w:val="none"/>
                <w:lang w:val="en-US" w:eastAsia="zh-CN"/>
              </w:rPr>
              <w:t>维护方案</w:t>
            </w:r>
            <w:r>
              <w:rPr>
                <w:rFonts w:hint="eastAsia" w:ascii="新宋体" w:hAnsi="新宋体" w:eastAsia="新宋体" w:cs="新宋体"/>
                <w:color w:val="auto"/>
                <w:kern w:val="2"/>
                <w:sz w:val="22"/>
                <w:szCs w:val="22"/>
                <w:highlight w:val="none"/>
              </w:rPr>
              <w:t>计划差的得1分；</w:t>
            </w:r>
          </w:p>
          <w:p w14:paraId="445318A7">
            <w:pPr>
              <w:widowControl/>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未提供不得分。</w:t>
            </w:r>
          </w:p>
        </w:tc>
        <w:tc>
          <w:tcPr>
            <w:tcW w:w="896" w:type="dxa"/>
            <w:noWrap w:val="0"/>
            <w:vAlign w:val="center"/>
          </w:tcPr>
          <w:p w14:paraId="1E102F32">
            <w:pPr>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主观分</w:t>
            </w:r>
          </w:p>
        </w:tc>
      </w:tr>
      <w:tr w14:paraId="7C5B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95" w:type="dxa"/>
            <w:vMerge w:val="restart"/>
            <w:noWrap w:val="0"/>
            <w:vAlign w:val="center"/>
          </w:tcPr>
          <w:p w14:paraId="5B8EF82D">
            <w:pPr>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7</w:t>
            </w:r>
          </w:p>
        </w:tc>
        <w:tc>
          <w:tcPr>
            <w:tcW w:w="1132" w:type="dxa"/>
            <w:vMerge w:val="restart"/>
            <w:noWrap w:val="0"/>
            <w:vAlign w:val="center"/>
          </w:tcPr>
          <w:p w14:paraId="54B36785">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售后服务</w:t>
            </w:r>
          </w:p>
        </w:tc>
        <w:tc>
          <w:tcPr>
            <w:tcW w:w="735" w:type="dxa"/>
            <w:noWrap w:val="0"/>
            <w:vAlign w:val="center"/>
          </w:tcPr>
          <w:p w14:paraId="7AD2B4F1">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6285" w:type="dxa"/>
            <w:noWrap w:val="0"/>
            <w:vAlign w:val="center"/>
          </w:tcPr>
          <w:p w14:paraId="7737E983">
            <w:pPr>
              <w:widowControl/>
              <w:adjustRightInd w:val="0"/>
              <w:snapToGrid w:val="0"/>
              <w:spacing w:line="460" w:lineRule="exact"/>
              <w:rPr>
                <w:rFonts w:ascii="新宋体" w:hAnsi="新宋体" w:eastAsia="新宋体" w:cs="新宋体"/>
                <w:color w:val="auto"/>
                <w:sz w:val="22"/>
                <w:szCs w:val="22"/>
                <w:highlight w:val="none"/>
                <w:lang w:val="zh-CN"/>
              </w:rPr>
            </w:pPr>
            <w:r>
              <w:rPr>
                <w:rFonts w:ascii="新宋体" w:hAnsi="新宋体" w:eastAsia="新宋体" w:cs="新宋体"/>
                <w:color w:val="auto"/>
                <w:sz w:val="22"/>
                <w:szCs w:val="22"/>
                <w:highlight w:val="none"/>
                <w:lang w:val="zh-CN"/>
              </w:rPr>
              <w:t>设备硬件3年质保期，软件及资源3年免费升级，</w:t>
            </w:r>
            <w:r>
              <w:rPr>
                <w:rFonts w:ascii="新宋体" w:hAnsi="新宋体" w:eastAsia="新宋体" w:cs="新宋体"/>
                <w:color w:val="auto"/>
                <w:sz w:val="22"/>
                <w:szCs w:val="22"/>
                <w:highlight w:val="none"/>
                <w:u w:val="none"/>
                <w:lang w:val="zh-CN"/>
              </w:rPr>
              <w:t>设备硬件质保期</w:t>
            </w:r>
            <w:r>
              <w:rPr>
                <w:rFonts w:hint="eastAsia" w:ascii="新宋体" w:hAnsi="新宋体" w:eastAsia="新宋体" w:cs="新宋体"/>
                <w:color w:val="auto"/>
                <w:sz w:val="22"/>
                <w:szCs w:val="22"/>
                <w:highlight w:val="none"/>
                <w:u w:val="none"/>
                <w:lang w:val="zh-CN"/>
              </w:rPr>
              <w:t>、</w:t>
            </w:r>
            <w:r>
              <w:rPr>
                <w:rFonts w:ascii="新宋体" w:hAnsi="新宋体" w:eastAsia="新宋体" w:cs="新宋体"/>
                <w:color w:val="auto"/>
                <w:sz w:val="22"/>
                <w:szCs w:val="22"/>
                <w:highlight w:val="none"/>
                <w:u w:val="none"/>
                <w:lang w:val="zh-CN"/>
              </w:rPr>
              <w:t>软件及资源免费升级</w:t>
            </w:r>
            <w:r>
              <w:rPr>
                <w:rFonts w:hint="eastAsia" w:ascii="新宋体" w:hAnsi="新宋体" w:eastAsia="新宋体" w:cs="新宋体"/>
                <w:color w:val="auto"/>
                <w:sz w:val="22"/>
                <w:szCs w:val="22"/>
                <w:highlight w:val="none"/>
                <w:u w:val="none"/>
                <w:lang w:val="zh-CN"/>
              </w:rPr>
              <w:t>，</w:t>
            </w:r>
            <w:r>
              <w:rPr>
                <w:rFonts w:hint="eastAsia" w:ascii="新宋体" w:hAnsi="新宋体" w:eastAsia="新宋体" w:cs="新宋体"/>
                <w:color w:val="auto"/>
                <w:sz w:val="22"/>
                <w:szCs w:val="22"/>
                <w:highlight w:val="none"/>
                <w:lang w:val="en-US" w:eastAsia="zh-CN"/>
              </w:rPr>
              <w:t>同时每</w:t>
            </w:r>
            <w:r>
              <w:rPr>
                <w:rFonts w:ascii="新宋体" w:hAnsi="新宋体" w:eastAsia="新宋体" w:cs="新宋体"/>
                <w:color w:val="auto"/>
                <w:sz w:val="22"/>
                <w:szCs w:val="22"/>
                <w:highlight w:val="none"/>
                <w:lang w:val="zh-CN"/>
              </w:rPr>
              <w:t>增加1年，得1分，</w:t>
            </w:r>
            <w:r>
              <w:rPr>
                <w:rFonts w:hint="eastAsia" w:ascii="新宋体" w:hAnsi="新宋体" w:eastAsia="新宋体" w:cs="新宋体"/>
                <w:color w:val="auto"/>
                <w:sz w:val="22"/>
                <w:szCs w:val="22"/>
                <w:highlight w:val="none"/>
                <w:lang w:val="en-US" w:eastAsia="zh-CN"/>
              </w:rPr>
              <w:t>增加部分不足1年的不计分，</w:t>
            </w:r>
            <w:r>
              <w:rPr>
                <w:rFonts w:ascii="新宋体" w:hAnsi="新宋体" w:eastAsia="新宋体" w:cs="新宋体"/>
                <w:color w:val="auto"/>
                <w:sz w:val="22"/>
                <w:szCs w:val="22"/>
                <w:highlight w:val="none"/>
                <w:lang w:val="zh-CN"/>
              </w:rPr>
              <w:t>本项最多得3分。</w:t>
            </w:r>
          </w:p>
          <w:p w14:paraId="279CFD4E">
            <w:pPr>
              <w:widowControl/>
              <w:adjustRightInd w:val="0"/>
              <w:snapToGrid w:val="0"/>
              <w:spacing w:line="460" w:lineRule="exact"/>
              <w:rPr>
                <w:rFonts w:ascii="新宋体" w:hAnsi="新宋体" w:eastAsia="新宋体" w:cs="新宋体"/>
                <w:color w:val="auto"/>
                <w:sz w:val="22"/>
                <w:szCs w:val="22"/>
                <w:highlight w:val="none"/>
                <w:lang w:val="zh-CN"/>
              </w:rPr>
            </w:pPr>
            <w:r>
              <w:rPr>
                <w:rFonts w:ascii="新宋体" w:hAnsi="新宋体" w:eastAsia="新宋体" w:cs="新宋体"/>
                <w:color w:val="auto"/>
                <w:sz w:val="22"/>
                <w:szCs w:val="22"/>
                <w:highlight w:val="none"/>
                <w:lang w:val="zh-CN"/>
              </w:rPr>
              <w:t>注：需提供质保期承诺函(格式自拟)并加盖投标人公章</w:t>
            </w:r>
            <w:r>
              <w:rPr>
                <w:rFonts w:hint="eastAsia" w:ascii="新宋体" w:hAnsi="新宋体" w:eastAsia="新宋体" w:cs="新宋体"/>
                <w:color w:val="auto"/>
                <w:sz w:val="22"/>
                <w:szCs w:val="22"/>
                <w:highlight w:val="none"/>
                <w:lang w:val="zh-CN"/>
              </w:rPr>
              <w:t>，</w:t>
            </w:r>
            <w:r>
              <w:rPr>
                <w:rFonts w:ascii="新宋体" w:hAnsi="新宋体" w:eastAsia="新宋体" w:cs="新宋体"/>
                <w:color w:val="auto"/>
                <w:sz w:val="22"/>
                <w:szCs w:val="22"/>
                <w:highlight w:val="none"/>
                <w:lang w:val="zh-CN"/>
              </w:rPr>
              <w:t>否则不得分。</w:t>
            </w:r>
          </w:p>
        </w:tc>
        <w:tc>
          <w:tcPr>
            <w:tcW w:w="896" w:type="dxa"/>
            <w:noWrap w:val="0"/>
            <w:vAlign w:val="center"/>
          </w:tcPr>
          <w:p w14:paraId="024D72AE">
            <w:pPr>
              <w:spacing w:line="460" w:lineRule="exact"/>
              <w:jc w:val="left"/>
              <w:rPr>
                <w:rFonts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val="en-US" w:eastAsia="zh-CN"/>
              </w:rPr>
              <w:t>客</w:t>
            </w:r>
            <w:r>
              <w:rPr>
                <w:rFonts w:hint="eastAsia" w:ascii="新宋体" w:hAnsi="新宋体" w:eastAsia="新宋体" w:cs="新宋体"/>
                <w:color w:val="auto"/>
                <w:sz w:val="22"/>
                <w:szCs w:val="22"/>
                <w:highlight w:val="none"/>
              </w:rPr>
              <w:t>观分</w:t>
            </w:r>
          </w:p>
        </w:tc>
      </w:tr>
      <w:tr w14:paraId="251E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vMerge w:val="continue"/>
            <w:noWrap w:val="0"/>
            <w:vAlign w:val="center"/>
          </w:tcPr>
          <w:p w14:paraId="72D040A2">
            <w:pPr>
              <w:spacing w:line="460" w:lineRule="exact"/>
              <w:jc w:val="center"/>
              <w:rPr>
                <w:rFonts w:hint="eastAsia" w:ascii="新宋体" w:hAnsi="新宋体" w:eastAsia="新宋体" w:cs="新宋体"/>
                <w:color w:val="auto"/>
                <w:sz w:val="22"/>
                <w:szCs w:val="22"/>
                <w:highlight w:val="none"/>
              </w:rPr>
            </w:pPr>
          </w:p>
        </w:tc>
        <w:tc>
          <w:tcPr>
            <w:tcW w:w="1132" w:type="dxa"/>
            <w:vMerge w:val="continue"/>
            <w:noWrap w:val="0"/>
            <w:vAlign w:val="center"/>
          </w:tcPr>
          <w:p w14:paraId="2FE58614">
            <w:pPr>
              <w:spacing w:line="460" w:lineRule="exact"/>
              <w:jc w:val="left"/>
              <w:rPr>
                <w:rFonts w:ascii="新宋体" w:hAnsi="新宋体" w:eastAsia="新宋体" w:cs="新宋体"/>
                <w:color w:val="auto"/>
                <w:sz w:val="22"/>
                <w:szCs w:val="22"/>
                <w:highlight w:val="none"/>
              </w:rPr>
            </w:pPr>
          </w:p>
        </w:tc>
        <w:tc>
          <w:tcPr>
            <w:tcW w:w="735" w:type="dxa"/>
            <w:noWrap w:val="0"/>
            <w:vAlign w:val="center"/>
          </w:tcPr>
          <w:p w14:paraId="422EF9E4">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6285" w:type="dxa"/>
            <w:noWrap w:val="0"/>
            <w:vAlign w:val="center"/>
          </w:tcPr>
          <w:p w14:paraId="275F300F">
            <w:pPr>
              <w:widowControl/>
              <w:adjustRightInd w:val="0"/>
              <w:snapToGrid w:val="0"/>
              <w:spacing w:line="460" w:lineRule="exact"/>
              <w:rPr>
                <w:rFonts w:ascii="新宋体" w:hAnsi="新宋体" w:eastAsia="新宋体" w:cs="新宋体"/>
                <w:color w:val="auto"/>
                <w:sz w:val="22"/>
                <w:szCs w:val="22"/>
                <w:highlight w:val="none"/>
                <w:lang w:val="zh-CN"/>
              </w:rPr>
            </w:pPr>
            <w:r>
              <w:rPr>
                <w:rFonts w:ascii="新宋体" w:hAnsi="新宋体" w:eastAsia="新宋体" w:cs="新宋体"/>
                <w:color w:val="auto"/>
                <w:sz w:val="22"/>
                <w:szCs w:val="22"/>
                <w:highlight w:val="none"/>
                <w:lang w:val="zh-CN"/>
              </w:rPr>
              <w:t>服务方案：根据投标人服务能力、售后服务认证证书、日常运维、售后服务响应时间、备品备件,</w:t>
            </w:r>
            <w:r>
              <w:rPr>
                <w:rFonts w:hint="eastAsia" w:ascii="新宋体" w:hAnsi="新宋体" w:eastAsia="新宋体" w:cs="新宋体"/>
                <w:color w:val="auto"/>
                <w:sz w:val="22"/>
                <w:szCs w:val="22"/>
                <w:highlight w:val="none"/>
                <w:lang w:val="en-US" w:eastAsia="zh-CN"/>
              </w:rPr>
              <w:t>由评委综合评分</w:t>
            </w:r>
            <w:r>
              <w:rPr>
                <w:rFonts w:ascii="新宋体" w:hAnsi="新宋体" w:eastAsia="新宋体" w:cs="新宋体"/>
                <w:color w:val="auto"/>
                <w:sz w:val="22"/>
                <w:szCs w:val="22"/>
                <w:highlight w:val="none"/>
                <w:lang w:val="zh-CN"/>
              </w:rPr>
              <w:t>。</w:t>
            </w:r>
          </w:p>
          <w:p w14:paraId="1FB1FB2C">
            <w:pPr>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方案完整、</w:t>
            </w:r>
            <w:r>
              <w:rPr>
                <w:rFonts w:hint="eastAsia" w:ascii="新宋体" w:hAnsi="新宋体" w:eastAsia="新宋体" w:cs="新宋体"/>
                <w:color w:val="auto"/>
                <w:sz w:val="22"/>
                <w:szCs w:val="22"/>
                <w:highlight w:val="none"/>
                <w:lang w:val="en-US" w:eastAsia="zh-CN"/>
              </w:rPr>
              <w:t>服务响应迅速、</w:t>
            </w:r>
            <w:r>
              <w:rPr>
                <w:rFonts w:hint="eastAsia" w:ascii="新宋体" w:hAnsi="新宋体" w:eastAsia="新宋体" w:cs="新宋体"/>
                <w:color w:val="auto"/>
                <w:sz w:val="22"/>
                <w:szCs w:val="22"/>
                <w:highlight w:val="none"/>
              </w:rPr>
              <w:t>具体细致且规范合理的得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p w14:paraId="430F69BA">
            <w:pPr>
              <w:adjustRightInd w:val="0"/>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方案完整性、</w:t>
            </w:r>
            <w:r>
              <w:rPr>
                <w:rFonts w:hint="eastAsia" w:ascii="新宋体" w:hAnsi="新宋体" w:eastAsia="新宋体" w:cs="新宋体"/>
                <w:color w:val="auto"/>
                <w:sz w:val="22"/>
                <w:szCs w:val="22"/>
                <w:highlight w:val="none"/>
                <w:lang w:val="en-US" w:eastAsia="zh-CN"/>
              </w:rPr>
              <w:t>服务响应速度</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规范性、合理性一般的得</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分；</w:t>
            </w:r>
          </w:p>
          <w:p w14:paraId="70F0F178">
            <w:pPr>
              <w:widowControl/>
              <w:adjustRightInd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方案完整性、</w:t>
            </w:r>
            <w:r>
              <w:rPr>
                <w:rFonts w:hint="eastAsia" w:ascii="新宋体" w:hAnsi="新宋体" w:eastAsia="新宋体" w:cs="新宋体"/>
                <w:color w:val="auto"/>
                <w:sz w:val="22"/>
                <w:szCs w:val="22"/>
                <w:highlight w:val="none"/>
                <w:lang w:val="en-US" w:eastAsia="zh-CN"/>
              </w:rPr>
              <w:t>服务响应速度</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规范性、合理性差的得1分；</w:t>
            </w:r>
          </w:p>
          <w:p w14:paraId="5963B55E">
            <w:pPr>
              <w:widowControl/>
              <w:adjustRightInd w:val="0"/>
              <w:snapToGrid w:val="0"/>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未提供不得分。</w:t>
            </w:r>
          </w:p>
        </w:tc>
        <w:tc>
          <w:tcPr>
            <w:tcW w:w="896" w:type="dxa"/>
            <w:noWrap w:val="0"/>
            <w:vAlign w:val="center"/>
          </w:tcPr>
          <w:p w14:paraId="5BC91AA9">
            <w:pPr>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主观分</w:t>
            </w:r>
          </w:p>
        </w:tc>
      </w:tr>
      <w:tr w14:paraId="6EF0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5" w:type="dxa"/>
            <w:noWrap w:val="0"/>
            <w:vAlign w:val="center"/>
          </w:tcPr>
          <w:p w14:paraId="216588A8">
            <w:pPr>
              <w:spacing w:line="460" w:lineRule="exact"/>
              <w:jc w:val="center"/>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8</w:t>
            </w:r>
          </w:p>
        </w:tc>
        <w:tc>
          <w:tcPr>
            <w:tcW w:w="1132" w:type="dxa"/>
            <w:noWrap w:val="0"/>
            <w:vAlign w:val="center"/>
          </w:tcPr>
          <w:p w14:paraId="77426076">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同类</w:t>
            </w:r>
            <w:r>
              <w:rPr>
                <w:rFonts w:ascii="新宋体" w:hAnsi="新宋体" w:eastAsia="新宋体" w:cs="新宋体"/>
                <w:color w:val="auto"/>
                <w:sz w:val="22"/>
                <w:szCs w:val="22"/>
                <w:highlight w:val="none"/>
              </w:rPr>
              <w:t>业绩</w:t>
            </w:r>
          </w:p>
        </w:tc>
        <w:tc>
          <w:tcPr>
            <w:tcW w:w="735" w:type="dxa"/>
            <w:noWrap w:val="0"/>
            <w:vAlign w:val="center"/>
          </w:tcPr>
          <w:p w14:paraId="43FA3001">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 xml:space="preserve">3分 </w:t>
            </w:r>
          </w:p>
        </w:tc>
        <w:tc>
          <w:tcPr>
            <w:tcW w:w="6285" w:type="dxa"/>
            <w:noWrap w:val="0"/>
            <w:vAlign w:val="center"/>
          </w:tcPr>
          <w:p w14:paraId="6D0041DB">
            <w:pPr>
              <w:widowControl/>
              <w:adjustRightInd w:val="0"/>
              <w:snapToGrid w:val="0"/>
              <w:spacing w:line="460" w:lineRule="exac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投标人或投标产品制造商自2022年1月1日（以合同签订时间为准）以来，承担过的同类项目业绩，每个得1分，最多得3分。</w:t>
            </w:r>
          </w:p>
          <w:p w14:paraId="0778180C">
            <w:pPr>
              <w:widowControl/>
              <w:adjustRightInd w:val="0"/>
              <w:snapToGrid w:val="0"/>
              <w:spacing w:line="460" w:lineRule="exac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注：1.合同业绩须为本次投标人或投标产品制造商的业绩，投标人的独立法人子公司、参股公司的业绩均不予认可。</w:t>
            </w:r>
          </w:p>
          <w:p w14:paraId="6D5115C9">
            <w:pPr>
              <w:widowControl/>
              <w:adjustRightInd w:val="0"/>
              <w:snapToGrid w:val="0"/>
              <w:spacing w:line="460" w:lineRule="exac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2.投标文件中须提供清晰可辨的合同扫描件，证明材料加盖公章。</w:t>
            </w:r>
          </w:p>
          <w:p w14:paraId="3EDA1EEC">
            <w:pPr>
              <w:widowControl/>
              <w:adjustRightInd w:val="0"/>
              <w:snapToGrid w:val="0"/>
              <w:spacing w:line="460" w:lineRule="exac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3.如投标人提供的合同扫描件因模糊不清而造成评标委员会在评审时做出对投标人不利的评审由投标人自行承担。</w:t>
            </w:r>
          </w:p>
        </w:tc>
        <w:tc>
          <w:tcPr>
            <w:tcW w:w="896" w:type="dxa"/>
            <w:noWrap w:val="0"/>
            <w:vAlign w:val="center"/>
          </w:tcPr>
          <w:p w14:paraId="5436D91A">
            <w:pPr>
              <w:spacing w:line="460" w:lineRule="exact"/>
              <w:jc w:val="left"/>
              <w:rPr>
                <w:rFonts w:ascii="新宋体" w:hAnsi="新宋体" w:eastAsia="新宋体" w:cs="新宋体"/>
                <w:color w:val="auto"/>
                <w:spacing w:val="-6"/>
                <w:sz w:val="22"/>
                <w:szCs w:val="22"/>
                <w:highlight w:val="none"/>
              </w:rPr>
            </w:pPr>
            <w:r>
              <w:rPr>
                <w:rFonts w:hint="eastAsia" w:ascii="新宋体" w:hAnsi="新宋体" w:eastAsia="新宋体" w:cs="新宋体"/>
                <w:color w:val="auto"/>
                <w:kern w:val="0"/>
                <w:sz w:val="22"/>
                <w:szCs w:val="22"/>
                <w:highlight w:val="none"/>
              </w:rPr>
              <w:t>客观分</w:t>
            </w:r>
          </w:p>
        </w:tc>
      </w:tr>
      <w:tr w14:paraId="5AAB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vMerge w:val="restart"/>
            <w:noWrap w:val="0"/>
            <w:vAlign w:val="center"/>
          </w:tcPr>
          <w:p w14:paraId="0A549DC7">
            <w:pPr>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1132" w:type="dxa"/>
            <w:vMerge w:val="restart"/>
            <w:noWrap w:val="0"/>
            <w:vAlign w:val="center"/>
          </w:tcPr>
          <w:p w14:paraId="22D70E2E">
            <w:pPr>
              <w:spacing w:line="460" w:lineRule="exact"/>
              <w:jc w:val="left"/>
              <w:rPr>
                <w:rFonts w:hint="eastAsia" w:ascii="新宋体" w:hAnsi="新宋体" w:eastAsia="新宋体" w:cs="新宋体"/>
                <w:color w:val="auto"/>
                <w:sz w:val="22"/>
                <w:szCs w:val="22"/>
                <w:highlight w:val="none"/>
                <w:lang w:eastAsia="zh-CN"/>
              </w:rPr>
            </w:pPr>
            <w:r>
              <w:rPr>
                <w:rFonts w:ascii="新宋体" w:hAnsi="新宋体" w:eastAsia="新宋体" w:cs="新宋体"/>
                <w:color w:val="auto"/>
                <w:sz w:val="22"/>
                <w:szCs w:val="22"/>
                <w:highlight w:val="none"/>
              </w:rPr>
              <w:t>演示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投标人可将演示内容录成视频（需在实际系统中演示，录制成视频，直接提供PPT、截图等方式间接演示的不得分）（含语音介绍）</w:t>
            </w:r>
            <w:r>
              <w:rPr>
                <w:color w:val="auto"/>
                <w:highlight w:val="none"/>
              </w:rPr>
              <w:fldChar w:fldCharType="begin"/>
            </w:r>
            <w:r>
              <w:rPr>
                <w:color w:val="auto"/>
                <w:highlight w:val="none"/>
              </w:rPr>
              <w:instrText xml:space="preserve">HYPERLINK "mailto:压缩并加密（加密密码由投标人自行保管），在本项目投标截至时间前发送至1005783819@qq.com邮箱，逾期未发送视频的视为无演示。时间不超过15分钟。"</w:instrText>
            </w:r>
            <w:r>
              <w:rPr>
                <w:color w:val="auto"/>
                <w:highlight w:val="none"/>
              </w:rPr>
              <w:fldChar w:fldCharType="separate"/>
            </w:r>
            <w:r>
              <w:rPr>
                <w:rFonts w:hint="eastAsia" w:ascii="新宋体" w:hAnsi="新宋体" w:eastAsia="新宋体" w:cs="新宋体"/>
                <w:color w:val="auto"/>
                <w:sz w:val="22"/>
                <w:szCs w:val="22"/>
                <w:highlight w:val="none"/>
              </w:rPr>
              <w:t>压缩并加密（加密密码由投标人自行保管），在本项目投标截至时间前发送至</w:t>
            </w:r>
            <w:r>
              <w:rPr>
                <w:rFonts w:hint="eastAsia" w:ascii="新宋体" w:hAnsi="新宋体" w:eastAsia="新宋体" w:cs="新宋体"/>
                <w:color w:val="auto"/>
                <w:sz w:val="22"/>
                <w:szCs w:val="22"/>
                <w:highlight w:val="none"/>
                <w:lang w:val="en-US" w:eastAsia="zh-CN"/>
              </w:rPr>
              <w:t>5130378</w:t>
            </w:r>
            <w:r>
              <w:rPr>
                <w:rFonts w:hint="eastAsia" w:ascii="新宋体" w:hAnsi="新宋体" w:eastAsia="新宋体" w:cs="新宋体"/>
                <w:color w:val="auto"/>
                <w:sz w:val="22"/>
                <w:szCs w:val="22"/>
                <w:highlight w:val="none"/>
              </w:rPr>
              <w:t>@qq.com邮箱，逾期未发送视频的视为无演示。时间不超过15分钟。</w:t>
            </w:r>
            <w:r>
              <w:rPr>
                <w:rFonts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eastAsia="zh-CN"/>
              </w:rPr>
              <w:t>）</w:t>
            </w:r>
          </w:p>
        </w:tc>
        <w:tc>
          <w:tcPr>
            <w:tcW w:w="735" w:type="dxa"/>
            <w:noWrap w:val="0"/>
            <w:vAlign w:val="center"/>
          </w:tcPr>
          <w:p w14:paraId="6FD9E4DC">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c>
          <w:tcPr>
            <w:tcW w:w="6285" w:type="dxa"/>
            <w:noWrap w:val="0"/>
            <w:vAlign w:val="center"/>
          </w:tcPr>
          <w:p w14:paraId="74846FA3">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vertAlign w:val="baseline"/>
                <w:lang w:val="en-US" w:eastAsia="zh-CN"/>
              </w:rPr>
              <w:t>副控制柜</w:t>
            </w:r>
            <w:r>
              <w:rPr>
                <w:rFonts w:ascii="新宋体" w:hAnsi="新宋体" w:eastAsia="新宋体" w:cs="新宋体"/>
                <w:color w:val="auto"/>
                <w:sz w:val="22"/>
                <w:szCs w:val="22"/>
                <w:highlight w:val="none"/>
                <w:vertAlign w:val="baseline"/>
              </w:rPr>
              <w:t>电气设计与连接仿真软件</w:t>
            </w:r>
            <w:r>
              <w:rPr>
                <w:rFonts w:ascii="新宋体" w:hAnsi="新宋体" w:eastAsia="新宋体" w:cs="新宋体"/>
                <w:color w:val="auto"/>
                <w:sz w:val="22"/>
                <w:szCs w:val="22"/>
                <w:highlight w:val="none"/>
              </w:rPr>
              <w:t>演示：</w:t>
            </w:r>
          </w:p>
          <w:p w14:paraId="33BB00E7">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1）具备数控设备电气接线考核模式和排故考核模式，接线考核模式中，服务端将发送接线考核的试题至软件，软件将自动生成具体的接线考核内容；排故考核模式中，服务端将发送排故考核的试题至软件，软件将自动生成相应的故障排除考核内容。</w:t>
            </w:r>
          </w:p>
          <w:p w14:paraId="4020568A">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2）软件要求至少含有 16 个以下数控技术常用控制电路： 抱闸电路、打刀缸气动 IO 电路、刀库电路、刀库气动 IO 电路、急停电路、控制电源电路、冷却电路、排屑电路、 启动电路、润滑电路、伺服主电路、信号灯电路、直流电 源电路、主电路、主轴风扇电路、通讯电路</w:t>
            </w:r>
          </w:p>
          <w:p w14:paraId="1564648E">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3）软件要求具备学生端和教师端，学生端至少具备考试报名模块和考试信息模块以及模拟测试模块，教师端至少具备设备模块和基本信息模块以及考试模块等。</w:t>
            </w:r>
          </w:p>
          <w:p w14:paraId="66A72186">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 xml:space="preserve">注：投标人每完整演示一条演示要点，得 </w:t>
            </w:r>
            <w:r>
              <w:rPr>
                <w:rFonts w:hint="eastAsia" w:ascii="新宋体" w:hAnsi="新宋体" w:eastAsia="新宋体" w:cs="新宋体"/>
                <w:color w:val="auto"/>
                <w:sz w:val="22"/>
                <w:szCs w:val="22"/>
                <w:highlight w:val="none"/>
                <w:lang w:val="en-US" w:eastAsia="zh-CN"/>
              </w:rPr>
              <w:t>2</w:t>
            </w:r>
            <w:r>
              <w:rPr>
                <w:rFonts w:ascii="新宋体" w:hAnsi="新宋体" w:eastAsia="新宋体" w:cs="新宋体"/>
                <w:color w:val="auto"/>
                <w:sz w:val="22"/>
                <w:szCs w:val="22"/>
                <w:highlight w:val="none"/>
              </w:rPr>
              <w:t xml:space="preserve"> 分，本项共 </w:t>
            </w:r>
            <w:r>
              <w:rPr>
                <w:rFonts w:hint="eastAsia" w:ascii="新宋体" w:hAnsi="新宋体" w:eastAsia="新宋体" w:cs="新宋体"/>
                <w:color w:val="auto"/>
                <w:sz w:val="22"/>
                <w:szCs w:val="22"/>
                <w:highlight w:val="none"/>
                <w:lang w:val="en-US" w:eastAsia="zh-CN"/>
              </w:rPr>
              <w:t>6</w:t>
            </w:r>
            <w:r>
              <w:rPr>
                <w:rFonts w:ascii="新宋体" w:hAnsi="新宋体" w:eastAsia="新宋体" w:cs="新宋体"/>
                <w:color w:val="auto"/>
                <w:sz w:val="22"/>
                <w:szCs w:val="22"/>
                <w:highlight w:val="none"/>
              </w:rPr>
              <w:t xml:space="preserve"> 分，未演示或演示不合格的不得分。</w:t>
            </w:r>
          </w:p>
        </w:tc>
        <w:tc>
          <w:tcPr>
            <w:tcW w:w="896" w:type="dxa"/>
            <w:noWrap w:val="0"/>
            <w:vAlign w:val="center"/>
          </w:tcPr>
          <w:p w14:paraId="371EAF97">
            <w:pPr>
              <w:spacing w:line="460" w:lineRule="exact"/>
              <w:ind w:right="-252"/>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客观分</w:t>
            </w:r>
          </w:p>
        </w:tc>
      </w:tr>
      <w:tr w14:paraId="17A8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5" w:type="dxa"/>
            <w:vMerge w:val="continue"/>
            <w:noWrap w:val="0"/>
            <w:vAlign w:val="center"/>
          </w:tcPr>
          <w:p w14:paraId="781DE9C5">
            <w:pPr>
              <w:spacing w:line="460" w:lineRule="exact"/>
              <w:jc w:val="center"/>
              <w:rPr>
                <w:rFonts w:ascii="新宋体" w:hAnsi="新宋体" w:eastAsia="新宋体" w:cs="新宋体"/>
                <w:color w:val="auto"/>
                <w:sz w:val="22"/>
                <w:szCs w:val="22"/>
                <w:highlight w:val="none"/>
              </w:rPr>
            </w:pPr>
          </w:p>
        </w:tc>
        <w:tc>
          <w:tcPr>
            <w:tcW w:w="1132" w:type="dxa"/>
            <w:vMerge w:val="continue"/>
            <w:noWrap w:val="0"/>
            <w:vAlign w:val="center"/>
          </w:tcPr>
          <w:p w14:paraId="7FCD8B53">
            <w:pPr>
              <w:spacing w:line="460" w:lineRule="exact"/>
              <w:jc w:val="left"/>
              <w:rPr>
                <w:rFonts w:ascii="新宋体" w:hAnsi="新宋体" w:eastAsia="新宋体" w:cs="新宋体"/>
                <w:color w:val="auto"/>
                <w:sz w:val="22"/>
                <w:szCs w:val="22"/>
                <w:highlight w:val="none"/>
              </w:rPr>
            </w:pPr>
          </w:p>
        </w:tc>
        <w:tc>
          <w:tcPr>
            <w:tcW w:w="735" w:type="dxa"/>
            <w:noWrap w:val="0"/>
            <w:vAlign w:val="center"/>
          </w:tcPr>
          <w:p w14:paraId="5BA3B5E6">
            <w:pPr>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6分</w:t>
            </w:r>
          </w:p>
        </w:tc>
        <w:tc>
          <w:tcPr>
            <w:tcW w:w="6285" w:type="dxa"/>
            <w:noWrap w:val="0"/>
            <w:vAlign w:val="center"/>
          </w:tcPr>
          <w:p w14:paraId="2B9E0347">
            <w:pPr>
              <w:spacing w:line="460" w:lineRule="exact"/>
              <w:jc w:val="left"/>
              <w:rPr>
                <w:rFonts w:ascii="新宋体" w:hAnsi="新宋体" w:eastAsia="新宋体" w:cs="新宋体"/>
                <w:color w:val="auto"/>
                <w:sz w:val="22"/>
                <w:szCs w:val="22"/>
                <w:highlight w:val="none"/>
                <w:vertAlign w:val="baseline"/>
              </w:rPr>
            </w:pPr>
            <w:r>
              <w:rPr>
                <w:rFonts w:hint="eastAsia" w:ascii="新宋体" w:hAnsi="新宋体" w:eastAsia="新宋体" w:cs="新宋体"/>
                <w:color w:val="auto"/>
                <w:sz w:val="22"/>
                <w:szCs w:val="22"/>
                <w:highlight w:val="none"/>
                <w:vertAlign w:val="baseline"/>
                <w:lang w:val="en-US" w:eastAsia="zh-CN"/>
              </w:rPr>
              <w:t>立式加工中心单元</w:t>
            </w:r>
            <w:r>
              <w:rPr>
                <w:rFonts w:ascii="新宋体" w:hAnsi="新宋体" w:eastAsia="新宋体" w:cs="新宋体"/>
                <w:color w:val="auto"/>
                <w:sz w:val="22"/>
                <w:szCs w:val="22"/>
                <w:highlight w:val="none"/>
                <w:vertAlign w:val="baseline"/>
              </w:rPr>
              <w:t>仿真软件</w:t>
            </w:r>
            <w:r>
              <w:rPr>
                <w:rFonts w:hint="eastAsia" w:ascii="新宋体" w:hAnsi="新宋体" w:eastAsia="新宋体" w:cs="新宋体"/>
                <w:color w:val="auto"/>
                <w:sz w:val="22"/>
                <w:szCs w:val="22"/>
                <w:highlight w:val="none"/>
                <w:vertAlign w:val="baseline"/>
                <w:lang w:val="en-US" w:eastAsia="zh-CN"/>
              </w:rPr>
              <w:t>演示：</w:t>
            </w:r>
          </w:p>
          <w:p w14:paraId="361F5C84">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1）软件要求采用高度仿真的三维效果界面，能够通过键 盘和鼠标完成视角平移、缩放、旋转、复位等视角控制。</w:t>
            </w:r>
          </w:p>
          <w:p w14:paraId="6D7176B5">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2）软件要求至少具备数控机床机械安装模式、拆除模式 和检测模式，能够对数控设备 X 轴 Y 轴部分进行组装、拆 除和精度检测，在安装模式中用户根据软件所提供数控设 备 X 轴 Y 轴部分的零部件，按照一定的顺序将零部件安装 到设备上；在拆除模式中用户根据数控设备 X 轴 Y 轴部分 上零部件的拆除顺序依次将零部件从设备上拆除；在检测 模式中每个项目都需提供详细的检测步骤操作说明。</w:t>
            </w:r>
          </w:p>
          <w:p w14:paraId="7DFA70E8">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3）检测模式要求至少以下提供12种精度检测项目：Y轴导轨上母线直线度精度检测、Y 轴导轨侧母线直线度精度检测、Y轴两导轨间的等高度检测、Y 轴导轨上母线直线度精度检测、直线导轨与Y轴滚珠丝杆上母线精度检测、直线导轨与Y轴滚珠丝杆侧母线精度检测、X 轴导轨上母线直线度精度检测、X轴导轨侧母线直线度精度检测、X 轴导轨上母线直线度精度检测、X轴两导轨间的等高度检测、直线导轨与 X 轴滚珠丝杆上母线精度检测、直线导轨与 X 轴滚珠丝杆侧母线精度检测。</w:t>
            </w:r>
          </w:p>
          <w:p w14:paraId="65453BE8">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 xml:space="preserve">注：投标人每完整演示一条演示要点，得 </w:t>
            </w:r>
            <w:r>
              <w:rPr>
                <w:rFonts w:hint="eastAsia" w:ascii="新宋体" w:hAnsi="新宋体" w:eastAsia="新宋体" w:cs="新宋体"/>
                <w:color w:val="auto"/>
                <w:sz w:val="22"/>
                <w:szCs w:val="22"/>
                <w:highlight w:val="none"/>
                <w:lang w:val="en-US" w:eastAsia="zh-CN"/>
              </w:rPr>
              <w:t>2</w:t>
            </w:r>
            <w:r>
              <w:rPr>
                <w:rFonts w:ascii="新宋体" w:hAnsi="新宋体" w:eastAsia="新宋体" w:cs="新宋体"/>
                <w:color w:val="auto"/>
                <w:sz w:val="22"/>
                <w:szCs w:val="22"/>
                <w:highlight w:val="none"/>
              </w:rPr>
              <w:t xml:space="preserve"> 分，本项共 </w:t>
            </w:r>
            <w:r>
              <w:rPr>
                <w:rFonts w:hint="eastAsia" w:ascii="新宋体" w:hAnsi="新宋体" w:eastAsia="新宋体" w:cs="新宋体"/>
                <w:color w:val="auto"/>
                <w:sz w:val="22"/>
                <w:szCs w:val="22"/>
                <w:highlight w:val="none"/>
                <w:lang w:val="en-US" w:eastAsia="zh-CN"/>
              </w:rPr>
              <w:t>6</w:t>
            </w:r>
            <w:r>
              <w:rPr>
                <w:rFonts w:ascii="新宋体" w:hAnsi="新宋体" w:eastAsia="新宋体" w:cs="新宋体"/>
                <w:color w:val="auto"/>
                <w:sz w:val="22"/>
                <w:szCs w:val="22"/>
                <w:highlight w:val="none"/>
              </w:rPr>
              <w:t xml:space="preserve"> 分，未演示或演示不合格的不得分。</w:t>
            </w:r>
          </w:p>
        </w:tc>
        <w:tc>
          <w:tcPr>
            <w:tcW w:w="896" w:type="dxa"/>
            <w:noWrap w:val="0"/>
            <w:vAlign w:val="center"/>
          </w:tcPr>
          <w:p w14:paraId="2178D166">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客</w:t>
            </w:r>
            <w:r>
              <w:rPr>
                <w:rFonts w:hint="eastAsia" w:ascii="新宋体" w:hAnsi="新宋体" w:eastAsia="新宋体" w:cs="新宋体"/>
                <w:color w:val="auto"/>
                <w:sz w:val="22"/>
                <w:szCs w:val="22"/>
                <w:highlight w:val="none"/>
              </w:rPr>
              <w:t>观分</w:t>
            </w:r>
          </w:p>
        </w:tc>
      </w:tr>
      <w:tr w14:paraId="635C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695" w:type="dxa"/>
            <w:vMerge w:val="continue"/>
            <w:noWrap w:val="0"/>
            <w:vAlign w:val="center"/>
          </w:tcPr>
          <w:p w14:paraId="37F4AE51">
            <w:pPr>
              <w:spacing w:line="460" w:lineRule="exact"/>
              <w:jc w:val="center"/>
              <w:rPr>
                <w:rFonts w:ascii="新宋体" w:hAnsi="新宋体" w:eastAsia="新宋体" w:cs="新宋体"/>
                <w:color w:val="auto"/>
                <w:sz w:val="22"/>
                <w:szCs w:val="22"/>
                <w:highlight w:val="none"/>
              </w:rPr>
            </w:pPr>
          </w:p>
        </w:tc>
        <w:tc>
          <w:tcPr>
            <w:tcW w:w="1132" w:type="dxa"/>
            <w:vMerge w:val="continue"/>
            <w:noWrap w:val="0"/>
            <w:vAlign w:val="center"/>
          </w:tcPr>
          <w:p w14:paraId="6710F1A9">
            <w:pPr>
              <w:spacing w:line="460" w:lineRule="exact"/>
              <w:jc w:val="left"/>
              <w:rPr>
                <w:rFonts w:ascii="新宋体" w:hAnsi="新宋体" w:eastAsia="新宋体" w:cs="新宋体"/>
                <w:color w:val="auto"/>
                <w:sz w:val="22"/>
                <w:szCs w:val="22"/>
                <w:highlight w:val="none"/>
              </w:rPr>
            </w:pPr>
          </w:p>
        </w:tc>
        <w:tc>
          <w:tcPr>
            <w:tcW w:w="735" w:type="dxa"/>
            <w:noWrap w:val="0"/>
            <w:vAlign w:val="center"/>
          </w:tcPr>
          <w:p w14:paraId="360CB09D">
            <w:pPr>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4分</w:t>
            </w:r>
          </w:p>
        </w:tc>
        <w:tc>
          <w:tcPr>
            <w:tcW w:w="6285" w:type="dxa"/>
            <w:noWrap w:val="0"/>
            <w:vAlign w:val="center"/>
          </w:tcPr>
          <w:p w14:paraId="29EBB41A">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vertAlign w:val="baseline"/>
                <w:lang w:val="en-US" w:eastAsia="zh-CN"/>
              </w:rPr>
              <w:t>加工中心主轴机械拆装单元</w:t>
            </w:r>
            <w:r>
              <w:rPr>
                <w:rFonts w:ascii="新宋体" w:hAnsi="新宋体" w:eastAsia="新宋体" w:cs="新宋体"/>
                <w:color w:val="auto"/>
                <w:sz w:val="22"/>
                <w:szCs w:val="22"/>
                <w:highlight w:val="none"/>
              </w:rPr>
              <w:t>配套课程资源</w:t>
            </w:r>
            <w:r>
              <w:rPr>
                <w:rFonts w:hint="eastAsia" w:ascii="新宋体" w:hAnsi="新宋体" w:eastAsia="新宋体" w:cs="新宋体"/>
                <w:color w:val="auto"/>
                <w:sz w:val="22"/>
                <w:szCs w:val="22"/>
                <w:highlight w:val="none"/>
                <w:lang w:val="en-US" w:eastAsia="zh-CN"/>
              </w:rPr>
              <w:t>演示</w:t>
            </w:r>
            <w:r>
              <w:rPr>
                <w:rFonts w:ascii="新宋体" w:hAnsi="新宋体" w:eastAsia="新宋体" w:cs="新宋体"/>
                <w:color w:val="auto"/>
                <w:sz w:val="22"/>
                <w:szCs w:val="22"/>
                <w:highlight w:val="none"/>
              </w:rPr>
              <w:t>：</w:t>
            </w:r>
          </w:p>
          <w:p w14:paraId="134D93D2">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1）提供主轴总装图，内容至少包含零件型号、明细、数量等清单；提供主轴详细安装工艺卡，内容要求符合安装规范、内容完整；</w:t>
            </w:r>
          </w:p>
          <w:p w14:paraId="4ADEDA21">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ascii="新宋体" w:hAnsi="新宋体" w:eastAsia="新宋体" w:cs="新宋体"/>
                <w:color w:val="auto"/>
                <w:sz w:val="22"/>
                <w:szCs w:val="22"/>
                <w:highlight w:val="none"/>
              </w:rPr>
              <w:t>提供主轴拆卸详细操作视频；提供主轴安装与精度检测详细视频，内容至少包含主轴安装过程各项精度检测需要与工艺卡匹配、与电机同轴度检测与调整。</w:t>
            </w:r>
          </w:p>
          <w:p w14:paraId="4A015B8C">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注：投标人每完整演示一条以上功能并符合要求，得 2 分， 本项共 4 分，未演示或演示不合格的不得分。</w:t>
            </w:r>
          </w:p>
        </w:tc>
        <w:tc>
          <w:tcPr>
            <w:tcW w:w="896" w:type="dxa"/>
            <w:noWrap w:val="0"/>
            <w:vAlign w:val="center"/>
          </w:tcPr>
          <w:p w14:paraId="49AFF3F1">
            <w:pPr>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客</w:t>
            </w:r>
            <w:r>
              <w:rPr>
                <w:rFonts w:hint="eastAsia" w:ascii="新宋体" w:hAnsi="新宋体" w:eastAsia="新宋体" w:cs="新宋体"/>
                <w:color w:val="auto"/>
                <w:sz w:val="22"/>
                <w:szCs w:val="22"/>
                <w:highlight w:val="none"/>
              </w:rPr>
              <w:t>观分</w:t>
            </w:r>
          </w:p>
        </w:tc>
      </w:tr>
      <w:tr w14:paraId="756C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95" w:type="dxa"/>
            <w:vMerge w:val="continue"/>
            <w:noWrap w:val="0"/>
            <w:vAlign w:val="center"/>
          </w:tcPr>
          <w:p w14:paraId="13EECA40">
            <w:pPr>
              <w:spacing w:line="460" w:lineRule="exact"/>
              <w:jc w:val="center"/>
              <w:rPr>
                <w:rFonts w:ascii="新宋体" w:hAnsi="新宋体" w:eastAsia="新宋体" w:cs="新宋体"/>
                <w:color w:val="auto"/>
                <w:sz w:val="22"/>
                <w:szCs w:val="22"/>
                <w:highlight w:val="none"/>
              </w:rPr>
            </w:pPr>
          </w:p>
        </w:tc>
        <w:tc>
          <w:tcPr>
            <w:tcW w:w="1132" w:type="dxa"/>
            <w:vMerge w:val="continue"/>
            <w:noWrap w:val="0"/>
            <w:vAlign w:val="center"/>
          </w:tcPr>
          <w:p w14:paraId="273A9244">
            <w:pPr>
              <w:spacing w:line="460" w:lineRule="exact"/>
              <w:jc w:val="left"/>
              <w:rPr>
                <w:rFonts w:ascii="新宋体" w:hAnsi="新宋体" w:eastAsia="新宋体" w:cs="新宋体"/>
                <w:color w:val="auto"/>
                <w:sz w:val="22"/>
                <w:szCs w:val="22"/>
                <w:highlight w:val="none"/>
              </w:rPr>
            </w:pPr>
          </w:p>
        </w:tc>
        <w:tc>
          <w:tcPr>
            <w:tcW w:w="735" w:type="dxa"/>
            <w:noWrap w:val="0"/>
            <w:vAlign w:val="center"/>
          </w:tcPr>
          <w:p w14:paraId="561DA0B8">
            <w:pPr>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4分</w:t>
            </w:r>
          </w:p>
        </w:tc>
        <w:tc>
          <w:tcPr>
            <w:tcW w:w="6285" w:type="dxa"/>
            <w:noWrap w:val="0"/>
            <w:vAlign w:val="center"/>
          </w:tcPr>
          <w:p w14:paraId="60C7C90D">
            <w:pPr>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vertAlign w:val="baseline"/>
                <w:lang w:val="en-US" w:eastAsia="zh-CN"/>
              </w:rPr>
              <w:t>智能仓储与工业机器人实训设备</w:t>
            </w:r>
            <w:r>
              <w:rPr>
                <w:rFonts w:ascii="新宋体" w:hAnsi="新宋体" w:eastAsia="新宋体" w:cs="新宋体"/>
                <w:color w:val="auto"/>
                <w:sz w:val="22"/>
                <w:szCs w:val="22"/>
                <w:highlight w:val="none"/>
                <w:vertAlign w:val="baseline"/>
              </w:rPr>
              <w:t>配套仿真软件</w:t>
            </w:r>
            <w:r>
              <w:rPr>
                <w:rFonts w:hint="eastAsia" w:ascii="新宋体" w:hAnsi="新宋体" w:eastAsia="新宋体" w:cs="新宋体"/>
                <w:color w:val="auto"/>
                <w:sz w:val="22"/>
                <w:szCs w:val="22"/>
                <w:highlight w:val="none"/>
                <w:vertAlign w:val="baseline"/>
                <w:lang w:val="en-US" w:eastAsia="zh-CN"/>
              </w:rPr>
              <w:t>演示</w:t>
            </w:r>
            <w:r>
              <w:rPr>
                <w:rFonts w:ascii="新宋体" w:hAnsi="新宋体" w:eastAsia="新宋体" w:cs="新宋体"/>
                <w:color w:val="auto"/>
                <w:sz w:val="22"/>
                <w:szCs w:val="22"/>
                <w:highlight w:val="none"/>
              </w:rPr>
              <w:t>：</w:t>
            </w:r>
          </w:p>
          <w:p w14:paraId="58B41C3B">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1）该软件要求至少包含菜单栏、功能栏、设备栏、元件栏、通讯栏，其中菜单栏能够完成文件的新建、打开（.ysd 文件）、保存、另存、退出等，也支持添加、修改、删除 设备/元件等功能，同时提供连接与断开设备通讯功能；功能栏要求集成菜单栏所有功能，包括新建、打开、保存、另存、设备/元件的添加、修改、删除、连接与断开；设备栏要求能够显示项目中所有已添加的设备，支持通过点 击或右键菜单对设备进行操作；元件栏要求能够根据设备类型（如 FANUC 数控系统、FANUC 机器人、西门子 PLC 等），添加并管理相应的通讯元件，如 X、Y、R、DI、DO，I，Q，DB 等；通讯栏要求能够实现设备间元件的关联设置，支持 条件触发（如设备 A 元件置 1 时，设备 B 关联元件接通）。</w:t>
            </w:r>
          </w:p>
          <w:p w14:paraId="4326903A">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2）该软件要求支持多种通讯协议，确保与不同品牌的机器人（FANUC，ABB，埃夫特等）、数控系统（FANUC，广数 GSK 等）、PLC（西门子，汇川等）兼容。</w:t>
            </w:r>
          </w:p>
          <w:p w14:paraId="18E8E24D">
            <w:pPr>
              <w:spacing w:line="460" w:lineRule="exact"/>
              <w:jc w:val="left"/>
              <w:rPr>
                <w:rFonts w:ascii="新宋体" w:hAnsi="新宋体" w:eastAsia="新宋体" w:cs="新宋体"/>
                <w:color w:val="auto"/>
                <w:sz w:val="22"/>
                <w:szCs w:val="22"/>
                <w:highlight w:val="none"/>
              </w:rPr>
            </w:pPr>
            <w:r>
              <w:rPr>
                <w:rFonts w:ascii="新宋体" w:hAnsi="新宋体" w:eastAsia="新宋体" w:cs="新宋体"/>
                <w:color w:val="auto"/>
                <w:sz w:val="22"/>
                <w:szCs w:val="22"/>
                <w:highlight w:val="none"/>
              </w:rPr>
              <w:t>注：以上两个功能模块演示需为同一个软件的功能模块，不接受不同软件拼接演示。投标人每完整演示一条以上功能并符合要求，得 2 分，本项共 4 分，未演示或演示不合格的不得分。</w:t>
            </w:r>
          </w:p>
        </w:tc>
        <w:tc>
          <w:tcPr>
            <w:tcW w:w="896" w:type="dxa"/>
            <w:noWrap w:val="0"/>
            <w:vAlign w:val="center"/>
          </w:tcPr>
          <w:p w14:paraId="0A0CCFB6">
            <w:pPr>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客</w:t>
            </w:r>
            <w:r>
              <w:rPr>
                <w:rFonts w:hint="eastAsia" w:ascii="新宋体" w:hAnsi="新宋体" w:eastAsia="新宋体" w:cs="新宋体"/>
                <w:color w:val="auto"/>
                <w:sz w:val="22"/>
                <w:szCs w:val="22"/>
                <w:highlight w:val="none"/>
              </w:rPr>
              <w:t>观分</w:t>
            </w:r>
          </w:p>
        </w:tc>
      </w:tr>
    </w:tbl>
    <w:p w14:paraId="247AB28D">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lang w:val="en-US" w:eastAsia="zh-CN"/>
        </w:rPr>
        <w:t>3、</w:t>
      </w:r>
      <w:r>
        <w:rPr>
          <w:rFonts w:hint="eastAsia" w:ascii="新宋体" w:hAnsi="新宋体" w:eastAsia="新宋体" w:cs="新宋体"/>
          <w:color w:val="auto"/>
          <w:sz w:val="22"/>
          <w:highlight w:val="none"/>
        </w:rPr>
        <w:t>报价评分（</w:t>
      </w:r>
      <w:r>
        <w:rPr>
          <w:rFonts w:hint="eastAsia" w:ascii="新宋体" w:hAnsi="新宋体" w:eastAsia="新宋体" w:cs="新宋体"/>
          <w:color w:val="auto"/>
          <w:sz w:val="22"/>
          <w:highlight w:val="none"/>
          <w:lang w:val="en-US" w:eastAsia="zh-CN"/>
        </w:rPr>
        <w:t>3</w:t>
      </w:r>
      <w:r>
        <w:rPr>
          <w:rFonts w:hint="eastAsia" w:ascii="新宋体" w:hAnsi="新宋体" w:eastAsia="新宋体" w:cs="新宋体"/>
          <w:color w:val="auto"/>
          <w:sz w:val="22"/>
          <w:highlight w:val="none"/>
        </w:rPr>
        <w:t>0分）：</w:t>
      </w:r>
    </w:p>
    <w:p w14:paraId="0DF0EDB7">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满足招标文件要求且投标报价最低的投标报价为评标基准价，其余投标人投标报价与该基准价对比，计算出商务报价评分值（保留小数2位）：</w:t>
      </w:r>
    </w:p>
    <w:p w14:paraId="0B45B321">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1）有效投标人的投标报价等于评标基准价时其报价分为满分</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30</w:t>
      </w:r>
      <w:r>
        <w:rPr>
          <w:rFonts w:hint="eastAsia" w:ascii="宋体" w:hAnsi="宋体" w:cs="宋体"/>
          <w:color w:val="auto"/>
          <w:sz w:val="22"/>
          <w:szCs w:val="22"/>
          <w:highlight w:val="none"/>
        </w:rPr>
        <w:t>分）</w:t>
      </w:r>
      <w:r>
        <w:rPr>
          <w:rFonts w:hint="eastAsia" w:ascii="宋体" w:hAnsi="宋体" w:cs="宋体"/>
          <w:color w:val="auto"/>
          <w:sz w:val="22"/>
          <w:szCs w:val="22"/>
          <w:highlight w:val="none"/>
        </w:rPr>
        <w:t>；</w:t>
      </w:r>
    </w:p>
    <w:p w14:paraId="6BCA0536">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2）其他投标人的价格分按以下公式计算：</w:t>
      </w:r>
    </w:p>
    <w:p w14:paraId="707B2E56">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投标报价得分=（评分基准价/投标人投标报价）× 价格权值 ×100（保留小数2位）</w:t>
      </w:r>
    </w:p>
    <w:p w14:paraId="3FC2988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有效投标人的综合得分为技术分和商务（报价）分的总和。</w:t>
      </w:r>
    </w:p>
    <w:bookmarkEnd w:id="74"/>
    <w:bookmarkEnd w:id="75"/>
    <w:bookmarkEnd w:id="76"/>
    <w:bookmarkEnd w:id="113"/>
    <w:bookmarkEnd w:id="114"/>
    <w:bookmarkEnd w:id="115"/>
    <w:bookmarkEnd w:id="116"/>
    <w:bookmarkEnd w:id="117"/>
    <w:p w14:paraId="0D02D7A8">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5、</w:t>
      </w:r>
      <w:r>
        <w:rPr>
          <w:rFonts w:hint="eastAsia" w:ascii="新宋体" w:hAnsi="新宋体" w:eastAsia="新宋体" w:cs="新宋体"/>
          <w:color w:val="auto"/>
          <w:kern w:val="0"/>
          <w:sz w:val="22"/>
          <w:szCs w:val="22"/>
          <w:highlight w:val="none"/>
        </w:rPr>
        <w:t>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7764FBD4">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DFF0897">
      <w:pPr>
        <w:spacing w:line="460" w:lineRule="exact"/>
        <w:ind w:firstLine="442" w:firstLineChars="200"/>
        <w:outlineLvl w:val="1"/>
        <w:rPr>
          <w:rFonts w:hint="eastAsia" w:ascii="宋体" w:hAnsi="宋体" w:eastAsia="宋体" w:cs="宋体"/>
          <w:b/>
          <w:color w:val="auto"/>
          <w:sz w:val="22"/>
          <w:szCs w:val="22"/>
          <w:highlight w:val="none"/>
        </w:rPr>
      </w:pPr>
      <w:bookmarkStart w:id="140" w:name="_Toc4727"/>
      <w:bookmarkStart w:id="141" w:name="_Toc3647"/>
      <w:bookmarkStart w:id="142" w:name="_Toc2482"/>
      <w:bookmarkStart w:id="143" w:name="_Toc18694"/>
      <w:bookmarkStart w:id="144" w:name="_Toc15578"/>
      <w:bookmarkStart w:id="145" w:name="_Toc19345"/>
      <w:bookmarkStart w:id="146" w:name="_Toc13268"/>
      <w:r>
        <w:rPr>
          <w:rFonts w:hint="eastAsia" w:ascii="宋体" w:hAnsi="宋体" w:eastAsia="宋体" w:cs="宋体"/>
          <w:b/>
          <w:color w:val="auto"/>
          <w:sz w:val="22"/>
          <w:szCs w:val="22"/>
          <w:highlight w:val="none"/>
        </w:rPr>
        <w:t>六、定标办法</w:t>
      </w:r>
      <w:bookmarkEnd w:id="140"/>
      <w:bookmarkEnd w:id="141"/>
      <w:bookmarkEnd w:id="142"/>
      <w:bookmarkEnd w:id="143"/>
      <w:bookmarkEnd w:id="144"/>
      <w:bookmarkEnd w:id="145"/>
      <w:bookmarkEnd w:id="146"/>
    </w:p>
    <w:p w14:paraId="7BE0ADD6">
      <w:pPr>
        <w:spacing w:line="46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确定中标候选人</w:t>
      </w:r>
    </w:p>
    <w:p w14:paraId="0AD662E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1.1由评标委员会确定中标候选人。</w:t>
      </w:r>
    </w:p>
    <w:p w14:paraId="7DC0F5BE">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采购人推荐。</w:t>
      </w:r>
    </w:p>
    <w:p w14:paraId="6E78BCDC">
      <w:pPr>
        <w:spacing w:line="460" w:lineRule="exact"/>
        <w:ind w:firstLine="440" w:firstLineChars="200"/>
        <w:rPr>
          <w:rFonts w:hint="eastAsia" w:ascii="新宋体" w:hAnsi="新宋体" w:eastAsia="新宋体" w:cs="新宋体"/>
          <w:color w:val="auto"/>
          <w:sz w:val="22"/>
          <w:highlight w:val="none"/>
        </w:rPr>
      </w:pPr>
      <w:r>
        <w:rPr>
          <w:rFonts w:hint="eastAsia" w:ascii="宋体" w:hAnsi="宋体" w:cs="宋体"/>
          <w:color w:val="auto"/>
          <w:sz w:val="22"/>
          <w:szCs w:val="22"/>
          <w:highlight w:val="none"/>
        </w:rPr>
        <w:t>2、确定中标人</w:t>
      </w:r>
    </w:p>
    <w:p w14:paraId="027221E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采购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30E1519E">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如中标人放弃中标；或未能在规定时间内与采购人签订合同的；或者经质疑，采购人审查后，确因排名第一的候选人在本次采购活动中存在违法违规行为或其他原因使质疑成立的，采购人可以视情况直接确定排名第二的候选人为中标人或重新组织招标。</w:t>
      </w:r>
    </w:p>
    <w:p w14:paraId="4774B853">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中标人确定后，采购人将在指定媒体公告中标结果，采购人向中标人发出中标通知书。</w:t>
      </w:r>
    </w:p>
    <w:p w14:paraId="0E1486E9">
      <w:pPr>
        <w:spacing w:line="460" w:lineRule="exact"/>
        <w:ind w:firstLine="442" w:firstLineChars="200"/>
        <w:outlineLvl w:val="1"/>
        <w:rPr>
          <w:rFonts w:hint="eastAsia" w:ascii="宋体" w:hAnsi="宋体" w:eastAsia="宋体" w:cs="宋体"/>
          <w:b/>
          <w:color w:val="auto"/>
          <w:sz w:val="22"/>
          <w:szCs w:val="22"/>
          <w:highlight w:val="none"/>
        </w:rPr>
      </w:pPr>
      <w:bookmarkStart w:id="147" w:name="_Toc3629"/>
      <w:bookmarkStart w:id="148" w:name="_Toc25361"/>
      <w:bookmarkStart w:id="149" w:name="_Toc1379"/>
      <w:bookmarkStart w:id="150" w:name="_Toc2652"/>
      <w:bookmarkStart w:id="151" w:name="_Toc19656"/>
      <w:bookmarkStart w:id="152" w:name="_Toc13992"/>
      <w:bookmarkStart w:id="153" w:name="_Toc17587"/>
      <w:r>
        <w:rPr>
          <w:rFonts w:hint="eastAsia" w:ascii="宋体" w:hAnsi="宋体" w:eastAsia="宋体" w:cs="宋体"/>
          <w:b/>
          <w:color w:val="auto"/>
          <w:sz w:val="22"/>
          <w:szCs w:val="22"/>
          <w:highlight w:val="none"/>
        </w:rPr>
        <w:t>七、投标人义务</w:t>
      </w:r>
      <w:bookmarkEnd w:id="147"/>
      <w:bookmarkEnd w:id="148"/>
      <w:bookmarkEnd w:id="149"/>
      <w:bookmarkEnd w:id="150"/>
      <w:bookmarkEnd w:id="151"/>
      <w:bookmarkEnd w:id="152"/>
      <w:bookmarkEnd w:id="153"/>
    </w:p>
    <w:p w14:paraId="6C90F8CB">
      <w:pPr>
        <w:spacing w:line="460" w:lineRule="exact"/>
        <w:ind w:firstLine="440" w:firstLineChars="200"/>
        <w:rPr>
          <w:rFonts w:ascii="宋体" w:hAnsi="宋体" w:cs="宋体"/>
          <w:color w:val="auto"/>
          <w:highlight w:val="none"/>
        </w:rPr>
      </w:pPr>
      <w:r>
        <w:rPr>
          <w:rFonts w:hint="eastAsia" w:ascii="宋体" w:hAnsi="宋体" w:cs="宋体"/>
          <w:color w:val="auto"/>
          <w:sz w:val="22"/>
          <w:szCs w:val="22"/>
          <w:highlight w:val="none"/>
        </w:rPr>
        <w:t>投标人应随时接受评标委员会的询标，解答包括有关的商务、技术问题等。评标结束，所有评标资料存招标机构备查。</w:t>
      </w:r>
    </w:p>
    <w:p w14:paraId="638ABC0C">
      <w:pPr>
        <w:spacing w:line="460" w:lineRule="exact"/>
        <w:rPr>
          <w:rFonts w:ascii="新宋体" w:hAnsi="新宋体" w:eastAsia="新宋体" w:cs="新宋体"/>
          <w:color w:val="auto"/>
          <w:sz w:val="22"/>
          <w:szCs w:val="22"/>
          <w:highlight w:val="none"/>
        </w:rPr>
      </w:pPr>
    </w:p>
    <w:sectPr>
      <w:headerReference r:id="rId13" w:type="default"/>
      <w:footerReference r:id="rId14"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_x000B__x000C_">
    <w:altName w:val="微软雅黑"/>
    <w:panose1 w:val="00000000000000000000"/>
    <w:charset w:val="00"/>
    <w:family w:val="roman"/>
    <w:pitch w:val="default"/>
    <w:sig w:usb0="00000000" w:usb1="00000000" w:usb2="00000000" w:usb3="00000000" w:csb0="00040001" w:csb1="00000000"/>
  </w:font>
  <w:font w:name="Univers 57 Condensed">
    <w:altName w:val="宋体"/>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Helvetica Neue">
    <w:altName w:val="Times New Roman"/>
    <w:panose1 w:val="00000000000000000000"/>
    <w:charset w:val="00"/>
    <w:family w:val="auto"/>
    <w:pitch w:val="default"/>
    <w:sig w:usb0="00000000" w:usb1="00000000" w:usb2="00000010" w:usb3="00000000" w:csb0="00000000" w:csb1="00000000"/>
  </w:font>
  <w:font w:name="Tahoma">
    <w:panose1 w:val="020B0604030504040204"/>
    <w:charset w:val="00"/>
    <w:family w:val="swiss"/>
    <w:pitch w:val="default"/>
    <w:sig w:usb0="E1002EFF" w:usb1="C000605B" w:usb2="00000029" w:usb3="00000000" w:csb0="200101FF" w:csb1="20280000"/>
  </w:font>
  <w:font w:name="DaxPro-CondRegular">
    <w:altName w:val="宋体"/>
    <w:panose1 w:val="00000000000000000000"/>
    <w:charset w:val="86"/>
    <w:family w:val="swiss"/>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auto"/>
    <w:pitch w:val="default"/>
    <w:sig w:usb0="0000020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7C39A">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7C63">
    <w:pPr>
      <w:pStyle w:val="24"/>
      <w:tabs>
        <w:tab w:val="center" w:pos="481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1047"/>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71B8121C"/>
                      </w:txbxContent>
                    </wps:txbx>
                    <wps:bodyPr vert="horz" wrap="none" lIns="0" tIns="0" rIns="0" bIns="0" anchor="t" anchorCtr="0">
                      <a:spAutoFit/>
                    </wps:bodyPr>
                  </wps:wsp>
                </a:graphicData>
              </a:graphic>
            </wp:anchor>
          </w:drawing>
        </mc:Choice>
        <mc:Fallback>
          <w:pict>
            <v:shape id="文本框 1047"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kFT5rQAAAAAwEAAA8AAAAA&#10;AAAAAQAgAAAAIgAAAGRycy9kb3ducmV2LnhtbFBLAQIUABQAAAAIAIdO4kAwRcKt4wEAAMEDAAAO&#10;AAAAAAAAAAEAIAAAAB8BAABkcnMvZTJvRG9jLnhtbFBLBQYAAAAABgAGAFkBAAB0BQAAAAA=&#10;">
              <v:fill on="f" focussize="0,0"/>
              <v:stroke on="f"/>
              <v:imagedata o:title=""/>
              <o:lock v:ext="edit" aspectratio="f"/>
              <v:textbox inset="0mm,0mm,0mm,0mm" style="mso-fit-shape-to-text:t;">
                <w:txbxContent>
                  <w:p w14:paraId="71B8121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FB84C">
    <w:pPr>
      <w:pStyle w:val="2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104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0B20420F">
                          <w:pPr>
                            <w:pStyle w:val="24"/>
                          </w:pPr>
                        </w:p>
                      </w:txbxContent>
                    </wps:txbx>
                    <wps:bodyPr vert="horz" wrap="none" lIns="0" tIns="0" rIns="0" bIns="0" anchor="t" anchorCtr="0">
                      <a:spAutoFit/>
                    </wps:bodyPr>
                  </wps:wsp>
                </a:graphicData>
              </a:graphic>
            </wp:anchor>
          </w:drawing>
        </mc:Choice>
        <mc:Fallback>
          <w:pict>
            <v:shape id="文本框 1048"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5X5J0AAAAAMBAAAPAAAA&#10;AAAAAAEAIAAAACIAAABkcnMvZG93bnJldi54bWxQSwECFAAUAAAACACHTuJApXLEu+QBAADBAwAA&#10;DgAAAAAAAAABACAAAAAfAQAAZHJzL2Uyb0RvYy54bWxQSwUGAAAAAAYABgBZAQAAdQUAAAAA&#10;">
              <v:fill on="f" focussize="0,0"/>
              <v:stroke on="f"/>
              <v:imagedata o:title=""/>
              <o:lock v:ext="edit" aspectratio="f"/>
              <v:textbox inset="0mm,0mm,0mm,0mm" style="mso-fit-shape-to-text:t;">
                <w:txbxContent>
                  <w:p w14:paraId="0B20420F">
                    <w:pPr>
                      <w:pStyle w:val="2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52EA">
    <w:pPr>
      <w:pStyle w:val="24"/>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1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62288DD8">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4vdRNAAAAACAQAADwAAAAAA&#10;AAABACAAAAAiAAAAZHJzL2Rvd25yZXYueG1sUEsBAhQAFAAAAAgAh07iQIYQ2x3iAQAAvgMAAA4A&#10;AAAAAAAAAQAgAAAAHwEAAGRycy9lMm9Eb2MueG1sUEsFBgAAAAAGAAYAWQEAAHMFAAAAAA==&#10;">
              <v:fill on="f" focussize="0,0"/>
              <v:stroke on="f"/>
              <v:imagedata o:title=""/>
              <o:lock v:ext="edit" aspectratio="f"/>
              <v:textbox inset="0mm,0mm,0mm,0mm" style="mso-fit-shape-to-text:t;">
                <w:txbxContent>
                  <w:p w14:paraId="62288DD8">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A34B">
    <w:pPr>
      <w:pStyle w:val="2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7FB92812">
                          <w:pPr>
                            <w:pStyle w:val="24"/>
                          </w:pPr>
                          <w:r>
                            <w:fldChar w:fldCharType="begin"/>
                          </w:r>
                          <w:r>
                            <w:instrText xml:space="preserve"> PAGE  \* MERGEFORMAT </w:instrText>
                          </w:r>
                          <w:r>
                            <w:fldChar w:fldCharType="separate"/>
                          </w:r>
                          <w:r>
                            <w:t>23</w:t>
                          </w:r>
                          <w:r>
                            <w:fldChar w:fldCharType="end"/>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Pi91E0AAAAAIBAAAPAAAAAAAA&#10;AAEAIAAAACIAAABkcnMvZG93bnJldi54bWxQSwECFAAUAAAACACHTuJAtSddk+EBAAC/AwAADgAA&#10;AAAAAAABACAAAAAfAQAAZHJzL2Uyb0RvYy54bWxQSwUGAAAAAAYABgBZAQAAcgUAAAAA&#10;">
              <v:fill on="f" focussize="0,0"/>
              <v:stroke on="f"/>
              <v:imagedata o:title=""/>
              <o:lock v:ext="edit" aspectratio="f"/>
              <v:textbox inset="0mm,0mm,0mm,0mm" style="mso-fit-shape-to-text:t;">
                <w:txbxContent>
                  <w:p w14:paraId="7FB92812">
                    <w:pPr>
                      <w:pStyle w:val="2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15A7B">
    <w:pPr>
      <w:pStyle w:val="24"/>
      <w:ind w:right="360" w:firstLine="4500" w:firstLineChars="250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1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3BE21E3F">
                          <w:pPr>
                            <w:pStyle w:val="24"/>
                          </w:pPr>
                          <w:r>
                            <w:fldChar w:fldCharType="begin"/>
                          </w:r>
                          <w:r>
                            <w:instrText xml:space="preserve"> PAGE  \* MERGEFORMAT </w:instrText>
                          </w:r>
                          <w:r>
                            <w:fldChar w:fldCharType="separate"/>
                          </w:r>
                          <w:r>
                            <w:t>38</w:t>
                          </w:r>
                          <w:r>
                            <w:fldChar w:fldCharType="end"/>
                          </w:r>
                        </w:p>
                      </w:txbxContent>
                    </wps:txbx>
                    <wps:bodyPr vert="horz" wrap="none" lIns="0" tIns="0" rIns="0" bIns="0" anchor="t" anchorCtr="0">
                      <a:spAutoFit/>
                    </wps:bodyPr>
                  </wps:wsp>
                </a:graphicData>
              </a:graphic>
            </wp:anchor>
          </w:drawing>
        </mc:Choice>
        <mc:Fallback>
          <w:pict>
            <v:shape id="文本框 19"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V+SdAAAAADAQAADwAAAAAA&#10;AAABACAAAAAiAAAAZHJzL2Rvd25yZXYueG1sUEsBAhQAFAAAAAgAh07iQCkiJCPiAQAAwAMAAA4A&#10;AAAAAAAAAQAgAAAAHwEAAGRycy9lMm9Eb2MueG1sUEsFBgAAAAAGAAYAWQEAAHMFAAAAAA==&#10;">
              <v:fill on="f" focussize="0,0"/>
              <v:stroke on="f"/>
              <v:imagedata o:title=""/>
              <o:lock v:ext="edit" aspectratio="f"/>
              <v:textbox inset="0mm,0mm,0mm,0mm" style="mso-fit-shape-to-text:t;">
                <w:txbxContent>
                  <w:p w14:paraId="3BE21E3F">
                    <w:pPr>
                      <w:pStyle w:val="2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AC3B8">
    <w:pPr>
      <w:pStyle w:val="24"/>
      <w:ind w:right="360" w:firstLine="4500" w:firstLineChars="250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1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6F34F217">
                          <w:pPr>
                            <w:pStyle w:val="24"/>
                          </w:pPr>
                          <w:r>
                            <w:fldChar w:fldCharType="begin"/>
                          </w:r>
                          <w:r>
                            <w:instrText xml:space="preserve"> PAGE  \* MERGEFORMAT </w:instrText>
                          </w:r>
                          <w:r>
                            <w:fldChar w:fldCharType="separate"/>
                          </w:r>
                          <w:r>
                            <w:t>38</w:t>
                          </w:r>
                          <w:r>
                            <w:fldChar w:fldCharType="end"/>
                          </w:r>
                        </w:p>
                      </w:txbxContent>
                    </wps:txbx>
                    <wps:bodyPr vert="horz" wrap="none" lIns="0" tIns="0" rIns="0" bIns="0" anchor="t" anchorCtr="0">
                      <a:spAutoFit/>
                    </wps:bodyPr>
                  </wps:wsp>
                </a:graphicData>
              </a:graphic>
            </wp:anchor>
          </w:drawing>
        </mc:Choice>
        <mc:Fallback>
          <w:pict>
            <v:shape id="文本框 19"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V+SdAAAAADAQAADwAAAAAA&#10;AAABACAAAAAiAAAAZHJzL2Rvd25yZXYueG1sUEsBAhQAFAAAAAgAh07iQNDTrxXiAQAAvwMAAA4A&#10;AAAAAAAAAQAgAAAAHwEAAGRycy9lMm9Eb2MueG1sUEsFBgAAAAAGAAYAWQEAAHMFAAAAAA==&#10;">
              <v:fill on="f" focussize="0,0"/>
              <v:stroke on="f"/>
              <v:imagedata o:title=""/>
              <o:lock v:ext="edit" aspectratio="f"/>
              <v:textbox inset="0mm,0mm,0mm,0mm" style="mso-fit-shape-to-text:t;">
                <w:txbxContent>
                  <w:p w14:paraId="6F34F217">
                    <w:pPr>
                      <w:pStyle w:val="2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4B9D">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32836">
    <w:pPr>
      <w:pStyle w:val="25"/>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67197">
    <w:pPr>
      <w:pStyle w:val="25"/>
      <w:pBdr>
        <w:bottom w:val="none" w:color="auto" w:sz="0" w:space="0"/>
      </w:pBdr>
      <w:ind w:firstLine="180" w:firstLineChars="100"/>
      <w:jc w:val="left"/>
    </w:pPr>
  </w:p>
  <w:p w14:paraId="46F4BCC2">
    <w:pPr>
      <w:pStyle w:val="25"/>
      <w:pBdr>
        <w:bottom w:val="none" w:color="auto" w:sz="0" w:space="0"/>
      </w:pBdr>
      <w:jc w:val="lef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723A9">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D5BF7">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1F181"/>
    <w:multiLevelType w:val="singleLevel"/>
    <w:tmpl w:val="CD31F1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GM3Y2E2MjcyYWI1NTRlNjI1YjdmYzE4OWE5MzQifQ=="/>
  </w:docVars>
  <w:rsids>
    <w:rsidRoot w:val="002216D9"/>
    <w:rsid w:val="00000BBE"/>
    <w:rsid w:val="00000BD8"/>
    <w:rsid w:val="0000187B"/>
    <w:rsid w:val="00001C4C"/>
    <w:rsid w:val="0000207D"/>
    <w:rsid w:val="000024BB"/>
    <w:rsid w:val="00002641"/>
    <w:rsid w:val="00002BE9"/>
    <w:rsid w:val="00002CBE"/>
    <w:rsid w:val="00002EC1"/>
    <w:rsid w:val="000038C5"/>
    <w:rsid w:val="00004258"/>
    <w:rsid w:val="00004E9B"/>
    <w:rsid w:val="00005269"/>
    <w:rsid w:val="00005611"/>
    <w:rsid w:val="00005855"/>
    <w:rsid w:val="00005CE8"/>
    <w:rsid w:val="00005EAB"/>
    <w:rsid w:val="000062CB"/>
    <w:rsid w:val="0000633E"/>
    <w:rsid w:val="00006DBC"/>
    <w:rsid w:val="000071AE"/>
    <w:rsid w:val="00007710"/>
    <w:rsid w:val="00010031"/>
    <w:rsid w:val="00010A1A"/>
    <w:rsid w:val="0001169F"/>
    <w:rsid w:val="00011C91"/>
    <w:rsid w:val="00013AB2"/>
    <w:rsid w:val="00013B76"/>
    <w:rsid w:val="00013F22"/>
    <w:rsid w:val="000144E5"/>
    <w:rsid w:val="000158B8"/>
    <w:rsid w:val="000164FE"/>
    <w:rsid w:val="00017084"/>
    <w:rsid w:val="000170D1"/>
    <w:rsid w:val="00017895"/>
    <w:rsid w:val="00020DA9"/>
    <w:rsid w:val="0002127E"/>
    <w:rsid w:val="00021F93"/>
    <w:rsid w:val="00021FBD"/>
    <w:rsid w:val="000228DA"/>
    <w:rsid w:val="00023169"/>
    <w:rsid w:val="00023DCA"/>
    <w:rsid w:val="00024A2E"/>
    <w:rsid w:val="000251A7"/>
    <w:rsid w:val="00025976"/>
    <w:rsid w:val="00026FDD"/>
    <w:rsid w:val="0002797E"/>
    <w:rsid w:val="00030499"/>
    <w:rsid w:val="0003069F"/>
    <w:rsid w:val="00030803"/>
    <w:rsid w:val="000309D6"/>
    <w:rsid w:val="00030C9F"/>
    <w:rsid w:val="00030F73"/>
    <w:rsid w:val="0003105D"/>
    <w:rsid w:val="00031E36"/>
    <w:rsid w:val="000328BA"/>
    <w:rsid w:val="00032B0D"/>
    <w:rsid w:val="00032D23"/>
    <w:rsid w:val="00034F40"/>
    <w:rsid w:val="00035BE8"/>
    <w:rsid w:val="00035D48"/>
    <w:rsid w:val="00035E9F"/>
    <w:rsid w:val="000361A9"/>
    <w:rsid w:val="00036269"/>
    <w:rsid w:val="00036C06"/>
    <w:rsid w:val="000371BF"/>
    <w:rsid w:val="00037787"/>
    <w:rsid w:val="00040A19"/>
    <w:rsid w:val="00041049"/>
    <w:rsid w:val="0004186A"/>
    <w:rsid w:val="000427F1"/>
    <w:rsid w:val="00042881"/>
    <w:rsid w:val="00042ADC"/>
    <w:rsid w:val="00043457"/>
    <w:rsid w:val="0004372F"/>
    <w:rsid w:val="000440A1"/>
    <w:rsid w:val="00044286"/>
    <w:rsid w:val="00044A48"/>
    <w:rsid w:val="0004556C"/>
    <w:rsid w:val="00045870"/>
    <w:rsid w:val="00045F48"/>
    <w:rsid w:val="00047D7F"/>
    <w:rsid w:val="00051C96"/>
    <w:rsid w:val="000526AE"/>
    <w:rsid w:val="00052922"/>
    <w:rsid w:val="00052AC8"/>
    <w:rsid w:val="00054744"/>
    <w:rsid w:val="00054C9B"/>
    <w:rsid w:val="00054CF7"/>
    <w:rsid w:val="00054F3A"/>
    <w:rsid w:val="00055285"/>
    <w:rsid w:val="00055A5B"/>
    <w:rsid w:val="00056409"/>
    <w:rsid w:val="00056A0A"/>
    <w:rsid w:val="00056B43"/>
    <w:rsid w:val="00057225"/>
    <w:rsid w:val="0005730A"/>
    <w:rsid w:val="00057FC7"/>
    <w:rsid w:val="000615C3"/>
    <w:rsid w:val="00064E53"/>
    <w:rsid w:val="00065248"/>
    <w:rsid w:val="0006580A"/>
    <w:rsid w:val="00065928"/>
    <w:rsid w:val="00066E86"/>
    <w:rsid w:val="000670C6"/>
    <w:rsid w:val="0006715B"/>
    <w:rsid w:val="000718FB"/>
    <w:rsid w:val="00071B6D"/>
    <w:rsid w:val="000721AA"/>
    <w:rsid w:val="00072B7E"/>
    <w:rsid w:val="00072FF1"/>
    <w:rsid w:val="000733EB"/>
    <w:rsid w:val="00073505"/>
    <w:rsid w:val="000736E1"/>
    <w:rsid w:val="00074599"/>
    <w:rsid w:val="00074997"/>
    <w:rsid w:val="00076433"/>
    <w:rsid w:val="00077071"/>
    <w:rsid w:val="00083CBB"/>
    <w:rsid w:val="000844D2"/>
    <w:rsid w:val="000845A6"/>
    <w:rsid w:val="00084A6C"/>
    <w:rsid w:val="00084D58"/>
    <w:rsid w:val="00086241"/>
    <w:rsid w:val="000878DD"/>
    <w:rsid w:val="00087AE7"/>
    <w:rsid w:val="00091BA2"/>
    <w:rsid w:val="00091ECB"/>
    <w:rsid w:val="00092803"/>
    <w:rsid w:val="00092D3E"/>
    <w:rsid w:val="00094E2E"/>
    <w:rsid w:val="00095286"/>
    <w:rsid w:val="00095887"/>
    <w:rsid w:val="000960A6"/>
    <w:rsid w:val="00096E74"/>
    <w:rsid w:val="00097149"/>
    <w:rsid w:val="00097307"/>
    <w:rsid w:val="000973D4"/>
    <w:rsid w:val="00097559"/>
    <w:rsid w:val="000A14F0"/>
    <w:rsid w:val="000A1920"/>
    <w:rsid w:val="000A230B"/>
    <w:rsid w:val="000A26ED"/>
    <w:rsid w:val="000A33B0"/>
    <w:rsid w:val="000A39F4"/>
    <w:rsid w:val="000A3A12"/>
    <w:rsid w:val="000A3B68"/>
    <w:rsid w:val="000A40CA"/>
    <w:rsid w:val="000A59CE"/>
    <w:rsid w:val="000A5F64"/>
    <w:rsid w:val="000A64D7"/>
    <w:rsid w:val="000A67BC"/>
    <w:rsid w:val="000A69BA"/>
    <w:rsid w:val="000A6CA5"/>
    <w:rsid w:val="000A7641"/>
    <w:rsid w:val="000A78E6"/>
    <w:rsid w:val="000B0C91"/>
    <w:rsid w:val="000B10E3"/>
    <w:rsid w:val="000B12E3"/>
    <w:rsid w:val="000B19A2"/>
    <w:rsid w:val="000B21F6"/>
    <w:rsid w:val="000B3866"/>
    <w:rsid w:val="000B3AC5"/>
    <w:rsid w:val="000B3ED2"/>
    <w:rsid w:val="000B42C2"/>
    <w:rsid w:val="000B4560"/>
    <w:rsid w:val="000B472F"/>
    <w:rsid w:val="000B4B96"/>
    <w:rsid w:val="000B4BA9"/>
    <w:rsid w:val="000B541C"/>
    <w:rsid w:val="000B5F74"/>
    <w:rsid w:val="000B675C"/>
    <w:rsid w:val="000B6D15"/>
    <w:rsid w:val="000B705D"/>
    <w:rsid w:val="000B722A"/>
    <w:rsid w:val="000B73E8"/>
    <w:rsid w:val="000B756B"/>
    <w:rsid w:val="000B7A5D"/>
    <w:rsid w:val="000C0B57"/>
    <w:rsid w:val="000C0D59"/>
    <w:rsid w:val="000C1D3A"/>
    <w:rsid w:val="000C2556"/>
    <w:rsid w:val="000C2836"/>
    <w:rsid w:val="000C2E31"/>
    <w:rsid w:val="000C36C6"/>
    <w:rsid w:val="000C3A0F"/>
    <w:rsid w:val="000C42F6"/>
    <w:rsid w:val="000C4D02"/>
    <w:rsid w:val="000C4FB4"/>
    <w:rsid w:val="000C5508"/>
    <w:rsid w:val="000C5841"/>
    <w:rsid w:val="000C5BC9"/>
    <w:rsid w:val="000C64B2"/>
    <w:rsid w:val="000C6D6D"/>
    <w:rsid w:val="000C734F"/>
    <w:rsid w:val="000C7549"/>
    <w:rsid w:val="000C7A50"/>
    <w:rsid w:val="000C7D97"/>
    <w:rsid w:val="000D03CF"/>
    <w:rsid w:val="000D0493"/>
    <w:rsid w:val="000D0732"/>
    <w:rsid w:val="000D20D0"/>
    <w:rsid w:val="000D2582"/>
    <w:rsid w:val="000D2647"/>
    <w:rsid w:val="000D322D"/>
    <w:rsid w:val="000D399C"/>
    <w:rsid w:val="000D53DB"/>
    <w:rsid w:val="000D5654"/>
    <w:rsid w:val="000D5675"/>
    <w:rsid w:val="000D58DA"/>
    <w:rsid w:val="000D5A09"/>
    <w:rsid w:val="000D5A14"/>
    <w:rsid w:val="000D5BA2"/>
    <w:rsid w:val="000D5D21"/>
    <w:rsid w:val="000D5FFC"/>
    <w:rsid w:val="000D6150"/>
    <w:rsid w:val="000D7D7C"/>
    <w:rsid w:val="000E074C"/>
    <w:rsid w:val="000E0CBD"/>
    <w:rsid w:val="000E116B"/>
    <w:rsid w:val="000E1448"/>
    <w:rsid w:val="000E16CA"/>
    <w:rsid w:val="000E1A9E"/>
    <w:rsid w:val="000E303A"/>
    <w:rsid w:val="000E37F7"/>
    <w:rsid w:val="000E4635"/>
    <w:rsid w:val="000E4645"/>
    <w:rsid w:val="000E4E4A"/>
    <w:rsid w:val="000E56E5"/>
    <w:rsid w:val="000E5E10"/>
    <w:rsid w:val="000E617D"/>
    <w:rsid w:val="000E6A5F"/>
    <w:rsid w:val="000E7A46"/>
    <w:rsid w:val="000E7C23"/>
    <w:rsid w:val="000E7D11"/>
    <w:rsid w:val="000F0091"/>
    <w:rsid w:val="000F1A07"/>
    <w:rsid w:val="000F25F2"/>
    <w:rsid w:val="000F35D8"/>
    <w:rsid w:val="000F36C0"/>
    <w:rsid w:val="000F39EF"/>
    <w:rsid w:val="000F3BCD"/>
    <w:rsid w:val="000F491D"/>
    <w:rsid w:val="000F5081"/>
    <w:rsid w:val="000F528D"/>
    <w:rsid w:val="000F53C1"/>
    <w:rsid w:val="000F583A"/>
    <w:rsid w:val="000F656D"/>
    <w:rsid w:val="000F6A0C"/>
    <w:rsid w:val="000F6CA4"/>
    <w:rsid w:val="000F6D0C"/>
    <w:rsid w:val="000F74A8"/>
    <w:rsid w:val="000F7787"/>
    <w:rsid w:val="001002EE"/>
    <w:rsid w:val="00100772"/>
    <w:rsid w:val="0010081E"/>
    <w:rsid w:val="001012A1"/>
    <w:rsid w:val="00101A5E"/>
    <w:rsid w:val="00101FF2"/>
    <w:rsid w:val="00102B6F"/>
    <w:rsid w:val="00102EC8"/>
    <w:rsid w:val="00103469"/>
    <w:rsid w:val="00103AFD"/>
    <w:rsid w:val="001043A9"/>
    <w:rsid w:val="00105888"/>
    <w:rsid w:val="00105E95"/>
    <w:rsid w:val="00106B01"/>
    <w:rsid w:val="00106FC2"/>
    <w:rsid w:val="0010784E"/>
    <w:rsid w:val="00110B2E"/>
    <w:rsid w:val="00110EB4"/>
    <w:rsid w:val="00110FDF"/>
    <w:rsid w:val="0011192E"/>
    <w:rsid w:val="00111B7D"/>
    <w:rsid w:val="00112028"/>
    <w:rsid w:val="0011279A"/>
    <w:rsid w:val="0011298D"/>
    <w:rsid w:val="00112D05"/>
    <w:rsid w:val="00113297"/>
    <w:rsid w:val="001136BF"/>
    <w:rsid w:val="001137FB"/>
    <w:rsid w:val="0011389C"/>
    <w:rsid w:val="001152AF"/>
    <w:rsid w:val="00115C35"/>
    <w:rsid w:val="001162DC"/>
    <w:rsid w:val="0011688B"/>
    <w:rsid w:val="00116C1C"/>
    <w:rsid w:val="00117D03"/>
    <w:rsid w:val="00120444"/>
    <w:rsid w:val="001209C9"/>
    <w:rsid w:val="001216EC"/>
    <w:rsid w:val="001221B9"/>
    <w:rsid w:val="0012234B"/>
    <w:rsid w:val="00122462"/>
    <w:rsid w:val="0012327B"/>
    <w:rsid w:val="00123396"/>
    <w:rsid w:val="00123520"/>
    <w:rsid w:val="0012378A"/>
    <w:rsid w:val="001246BF"/>
    <w:rsid w:val="00125B8B"/>
    <w:rsid w:val="0012726B"/>
    <w:rsid w:val="00127D9E"/>
    <w:rsid w:val="00130C83"/>
    <w:rsid w:val="00131016"/>
    <w:rsid w:val="00131202"/>
    <w:rsid w:val="00131975"/>
    <w:rsid w:val="00132004"/>
    <w:rsid w:val="0013289D"/>
    <w:rsid w:val="001328D2"/>
    <w:rsid w:val="001332AA"/>
    <w:rsid w:val="00133624"/>
    <w:rsid w:val="00133754"/>
    <w:rsid w:val="00133BB5"/>
    <w:rsid w:val="00133E37"/>
    <w:rsid w:val="0013418F"/>
    <w:rsid w:val="001358FB"/>
    <w:rsid w:val="00136B1F"/>
    <w:rsid w:val="001376EC"/>
    <w:rsid w:val="00137C25"/>
    <w:rsid w:val="001403C7"/>
    <w:rsid w:val="001404DA"/>
    <w:rsid w:val="00140DFF"/>
    <w:rsid w:val="0014195D"/>
    <w:rsid w:val="0014204A"/>
    <w:rsid w:val="0014302D"/>
    <w:rsid w:val="001438F3"/>
    <w:rsid w:val="00143AFC"/>
    <w:rsid w:val="00144BEF"/>
    <w:rsid w:val="00144CBB"/>
    <w:rsid w:val="00144E10"/>
    <w:rsid w:val="00145209"/>
    <w:rsid w:val="00145345"/>
    <w:rsid w:val="00145A44"/>
    <w:rsid w:val="00146205"/>
    <w:rsid w:val="0014621D"/>
    <w:rsid w:val="00150984"/>
    <w:rsid w:val="00150A0B"/>
    <w:rsid w:val="00152344"/>
    <w:rsid w:val="00153298"/>
    <w:rsid w:val="001536F4"/>
    <w:rsid w:val="001538E6"/>
    <w:rsid w:val="0015452B"/>
    <w:rsid w:val="00154CCD"/>
    <w:rsid w:val="00155D80"/>
    <w:rsid w:val="001560E6"/>
    <w:rsid w:val="00156464"/>
    <w:rsid w:val="00157416"/>
    <w:rsid w:val="00157529"/>
    <w:rsid w:val="00157705"/>
    <w:rsid w:val="00157FC1"/>
    <w:rsid w:val="00160840"/>
    <w:rsid w:val="00161C17"/>
    <w:rsid w:val="00161F7A"/>
    <w:rsid w:val="00161FB4"/>
    <w:rsid w:val="00162875"/>
    <w:rsid w:val="00163C0C"/>
    <w:rsid w:val="00163E6E"/>
    <w:rsid w:val="001656D9"/>
    <w:rsid w:val="001657E3"/>
    <w:rsid w:val="00165C6F"/>
    <w:rsid w:val="00166EFF"/>
    <w:rsid w:val="0016733E"/>
    <w:rsid w:val="00170621"/>
    <w:rsid w:val="00171213"/>
    <w:rsid w:val="0017137C"/>
    <w:rsid w:val="0017161C"/>
    <w:rsid w:val="00172194"/>
    <w:rsid w:val="0017241A"/>
    <w:rsid w:val="00172821"/>
    <w:rsid w:val="00172AF6"/>
    <w:rsid w:val="00172F94"/>
    <w:rsid w:val="00173152"/>
    <w:rsid w:val="00173F39"/>
    <w:rsid w:val="00174ADD"/>
    <w:rsid w:val="00174FF2"/>
    <w:rsid w:val="00175769"/>
    <w:rsid w:val="00175903"/>
    <w:rsid w:val="00176536"/>
    <w:rsid w:val="00176FD4"/>
    <w:rsid w:val="00177518"/>
    <w:rsid w:val="001777C4"/>
    <w:rsid w:val="001805FA"/>
    <w:rsid w:val="00180905"/>
    <w:rsid w:val="00181957"/>
    <w:rsid w:val="0018213E"/>
    <w:rsid w:val="00182985"/>
    <w:rsid w:val="00182FD3"/>
    <w:rsid w:val="001837BC"/>
    <w:rsid w:val="00183CD2"/>
    <w:rsid w:val="001850FD"/>
    <w:rsid w:val="001854B7"/>
    <w:rsid w:val="001860FC"/>
    <w:rsid w:val="0018684E"/>
    <w:rsid w:val="00186C3D"/>
    <w:rsid w:val="00190B61"/>
    <w:rsid w:val="00190C69"/>
    <w:rsid w:val="00190EEE"/>
    <w:rsid w:val="0019169C"/>
    <w:rsid w:val="00191DAE"/>
    <w:rsid w:val="00193B33"/>
    <w:rsid w:val="00193B7D"/>
    <w:rsid w:val="0019440C"/>
    <w:rsid w:val="00194782"/>
    <w:rsid w:val="00195295"/>
    <w:rsid w:val="001955FD"/>
    <w:rsid w:val="00195B93"/>
    <w:rsid w:val="00196216"/>
    <w:rsid w:val="00196443"/>
    <w:rsid w:val="00196EE9"/>
    <w:rsid w:val="00197851"/>
    <w:rsid w:val="001A014B"/>
    <w:rsid w:val="001A0D8E"/>
    <w:rsid w:val="001A2DCB"/>
    <w:rsid w:val="001A2F59"/>
    <w:rsid w:val="001A41FE"/>
    <w:rsid w:val="001A4580"/>
    <w:rsid w:val="001A52DA"/>
    <w:rsid w:val="001A5FAF"/>
    <w:rsid w:val="001A6953"/>
    <w:rsid w:val="001A6D3F"/>
    <w:rsid w:val="001A7104"/>
    <w:rsid w:val="001A7A98"/>
    <w:rsid w:val="001B0339"/>
    <w:rsid w:val="001B051F"/>
    <w:rsid w:val="001B08BE"/>
    <w:rsid w:val="001B1122"/>
    <w:rsid w:val="001B1B83"/>
    <w:rsid w:val="001B1F25"/>
    <w:rsid w:val="001B20C9"/>
    <w:rsid w:val="001B2760"/>
    <w:rsid w:val="001B27BE"/>
    <w:rsid w:val="001B35D7"/>
    <w:rsid w:val="001B3B9E"/>
    <w:rsid w:val="001B3C27"/>
    <w:rsid w:val="001B5050"/>
    <w:rsid w:val="001B5236"/>
    <w:rsid w:val="001B557D"/>
    <w:rsid w:val="001B6094"/>
    <w:rsid w:val="001B7F9F"/>
    <w:rsid w:val="001C0085"/>
    <w:rsid w:val="001C00EA"/>
    <w:rsid w:val="001C09FC"/>
    <w:rsid w:val="001C184F"/>
    <w:rsid w:val="001C1BAD"/>
    <w:rsid w:val="001C1F1E"/>
    <w:rsid w:val="001C25DF"/>
    <w:rsid w:val="001C2893"/>
    <w:rsid w:val="001C35B2"/>
    <w:rsid w:val="001C56D1"/>
    <w:rsid w:val="001C6734"/>
    <w:rsid w:val="001C7AE1"/>
    <w:rsid w:val="001D00CC"/>
    <w:rsid w:val="001D100C"/>
    <w:rsid w:val="001D11F2"/>
    <w:rsid w:val="001D27FE"/>
    <w:rsid w:val="001D3A08"/>
    <w:rsid w:val="001D3A10"/>
    <w:rsid w:val="001D4164"/>
    <w:rsid w:val="001D506E"/>
    <w:rsid w:val="001D6313"/>
    <w:rsid w:val="001D67AD"/>
    <w:rsid w:val="001D7077"/>
    <w:rsid w:val="001D7094"/>
    <w:rsid w:val="001E0055"/>
    <w:rsid w:val="001E0B38"/>
    <w:rsid w:val="001E0CB0"/>
    <w:rsid w:val="001E0DE9"/>
    <w:rsid w:val="001E1645"/>
    <w:rsid w:val="001E2A0D"/>
    <w:rsid w:val="001E2B17"/>
    <w:rsid w:val="001E3FAA"/>
    <w:rsid w:val="001E40B2"/>
    <w:rsid w:val="001E52F2"/>
    <w:rsid w:val="001E53FB"/>
    <w:rsid w:val="001E568B"/>
    <w:rsid w:val="001E5984"/>
    <w:rsid w:val="001E5EE0"/>
    <w:rsid w:val="001E6268"/>
    <w:rsid w:val="001E6A9D"/>
    <w:rsid w:val="001E73D5"/>
    <w:rsid w:val="001E7759"/>
    <w:rsid w:val="001E7956"/>
    <w:rsid w:val="001E795D"/>
    <w:rsid w:val="001E7BDF"/>
    <w:rsid w:val="001F070F"/>
    <w:rsid w:val="001F08CE"/>
    <w:rsid w:val="001F221E"/>
    <w:rsid w:val="001F2607"/>
    <w:rsid w:val="001F26D8"/>
    <w:rsid w:val="001F2CE5"/>
    <w:rsid w:val="001F41F8"/>
    <w:rsid w:val="001F47DD"/>
    <w:rsid w:val="001F49A3"/>
    <w:rsid w:val="001F4AF0"/>
    <w:rsid w:val="001F5055"/>
    <w:rsid w:val="001F59DB"/>
    <w:rsid w:val="001F5B09"/>
    <w:rsid w:val="001F639B"/>
    <w:rsid w:val="001F6641"/>
    <w:rsid w:val="001F67DA"/>
    <w:rsid w:val="001F683B"/>
    <w:rsid w:val="001F697C"/>
    <w:rsid w:val="001F6B94"/>
    <w:rsid w:val="001F705F"/>
    <w:rsid w:val="001F764C"/>
    <w:rsid w:val="001F7C17"/>
    <w:rsid w:val="00201685"/>
    <w:rsid w:val="00201A56"/>
    <w:rsid w:val="00201AA1"/>
    <w:rsid w:val="00202402"/>
    <w:rsid w:val="00202C65"/>
    <w:rsid w:val="00204296"/>
    <w:rsid w:val="002053DE"/>
    <w:rsid w:val="002056A9"/>
    <w:rsid w:val="0020588E"/>
    <w:rsid w:val="002058A2"/>
    <w:rsid w:val="00205BBB"/>
    <w:rsid w:val="00206A86"/>
    <w:rsid w:val="00207785"/>
    <w:rsid w:val="00207872"/>
    <w:rsid w:val="00210B44"/>
    <w:rsid w:val="00210C64"/>
    <w:rsid w:val="0021144F"/>
    <w:rsid w:val="00211BF5"/>
    <w:rsid w:val="00213031"/>
    <w:rsid w:val="0021322B"/>
    <w:rsid w:val="00213C67"/>
    <w:rsid w:val="0021446B"/>
    <w:rsid w:val="002145D2"/>
    <w:rsid w:val="00214B1F"/>
    <w:rsid w:val="0021583A"/>
    <w:rsid w:val="00216156"/>
    <w:rsid w:val="00216242"/>
    <w:rsid w:val="00217654"/>
    <w:rsid w:val="0021767E"/>
    <w:rsid w:val="002179AF"/>
    <w:rsid w:val="0022020D"/>
    <w:rsid w:val="00221313"/>
    <w:rsid w:val="002216D9"/>
    <w:rsid w:val="00221D31"/>
    <w:rsid w:val="00222DC2"/>
    <w:rsid w:val="00223537"/>
    <w:rsid w:val="00223AC6"/>
    <w:rsid w:val="00224B66"/>
    <w:rsid w:val="00224F87"/>
    <w:rsid w:val="00225FDC"/>
    <w:rsid w:val="00226384"/>
    <w:rsid w:val="00226E4B"/>
    <w:rsid w:val="00227264"/>
    <w:rsid w:val="002279A0"/>
    <w:rsid w:val="002300A9"/>
    <w:rsid w:val="0023056B"/>
    <w:rsid w:val="00232438"/>
    <w:rsid w:val="00232AA4"/>
    <w:rsid w:val="002338D5"/>
    <w:rsid w:val="0023444C"/>
    <w:rsid w:val="002347BB"/>
    <w:rsid w:val="00235612"/>
    <w:rsid w:val="00235DA4"/>
    <w:rsid w:val="00236BC5"/>
    <w:rsid w:val="00236F93"/>
    <w:rsid w:val="0024057A"/>
    <w:rsid w:val="002411B4"/>
    <w:rsid w:val="00241FAD"/>
    <w:rsid w:val="00241FD3"/>
    <w:rsid w:val="00242E5F"/>
    <w:rsid w:val="002438A0"/>
    <w:rsid w:val="00243E49"/>
    <w:rsid w:val="002445C4"/>
    <w:rsid w:val="002447D0"/>
    <w:rsid w:val="00244EBD"/>
    <w:rsid w:val="00246460"/>
    <w:rsid w:val="002469FB"/>
    <w:rsid w:val="00247330"/>
    <w:rsid w:val="00247429"/>
    <w:rsid w:val="0025014C"/>
    <w:rsid w:val="002516D2"/>
    <w:rsid w:val="002534B8"/>
    <w:rsid w:val="00253AD9"/>
    <w:rsid w:val="00253BDE"/>
    <w:rsid w:val="00254802"/>
    <w:rsid w:val="00254F44"/>
    <w:rsid w:val="002557C0"/>
    <w:rsid w:val="002558B9"/>
    <w:rsid w:val="00256105"/>
    <w:rsid w:val="0025680A"/>
    <w:rsid w:val="00256840"/>
    <w:rsid w:val="002574FB"/>
    <w:rsid w:val="00257799"/>
    <w:rsid w:val="002602E3"/>
    <w:rsid w:val="00260EDA"/>
    <w:rsid w:val="002625D4"/>
    <w:rsid w:val="00264CC7"/>
    <w:rsid w:val="0026543A"/>
    <w:rsid w:val="00265BD3"/>
    <w:rsid w:val="00265C25"/>
    <w:rsid w:val="00265C67"/>
    <w:rsid w:val="00266187"/>
    <w:rsid w:val="00266785"/>
    <w:rsid w:val="00266884"/>
    <w:rsid w:val="00266B53"/>
    <w:rsid w:val="00267674"/>
    <w:rsid w:val="00267886"/>
    <w:rsid w:val="002678EA"/>
    <w:rsid w:val="002705E5"/>
    <w:rsid w:val="00270BE1"/>
    <w:rsid w:val="0027104D"/>
    <w:rsid w:val="00271564"/>
    <w:rsid w:val="00272E44"/>
    <w:rsid w:val="002740CE"/>
    <w:rsid w:val="00275C41"/>
    <w:rsid w:val="0027624A"/>
    <w:rsid w:val="00276DB0"/>
    <w:rsid w:val="00276DC6"/>
    <w:rsid w:val="002774AC"/>
    <w:rsid w:val="002775AA"/>
    <w:rsid w:val="002776E3"/>
    <w:rsid w:val="002805E7"/>
    <w:rsid w:val="0028069B"/>
    <w:rsid w:val="0028079C"/>
    <w:rsid w:val="00280C62"/>
    <w:rsid w:val="00281A40"/>
    <w:rsid w:val="002824BC"/>
    <w:rsid w:val="00282ADF"/>
    <w:rsid w:val="00284042"/>
    <w:rsid w:val="00284073"/>
    <w:rsid w:val="00284B8B"/>
    <w:rsid w:val="00284EF4"/>
    <w:rsid w:val="00285712"/>
    <w:rsid w:val="0028642B"/>
    <w:rsid w:val="00286DC7"/>
    <w:rsid w:val="00286FED"/>
    <w:rsid w:val="00287ADA"/>
    <w:rsid w:val="0029107D"/>
    <w:rsid w:val="00291690"/>
    <w:rsid w:val="00292966"/>
    <w:rsid w:val="00292969"/>
    <w:rsid w:val="00292B74"/>
    <w:rsid w:val="0029307F"/>
    <w:rsid w:val="002932E2"/>
    <w:rsid w:val="0029330B"/>
    <w:rsid w:val="00293A01"/>
    <w:rsid w:val="00293C44"/>
    <w:rsid w:val="00293FED"/>
    <w:rsid w:val="00295393"/>
    <w:rsid w:val="00296902"/>
    <w:rsid w:val="00296A3C"/>
    <w:rsid w:val="0029760E"/>
    <w:rsid w:val="00297D0B"/>
    <w:rsid w:val="002A0CF4"/>
    <w:rsid w:val="002A0F7B"/>
    <w:rsid w:val="002A1496"/>
    <w:rsid w:val="002A1B5D"/>
    <w:rsid w:val="002A1CCA"/>
    <w:rsid w:val="002A25D3"/>
    <w:rsid w:val="002A287D"/>
    <w:rsid w:val="002A2EBE"/>
    <w:rsid w:val="002A33A4"/>
    <w:rsid w:val="002A33D0"/>
    <w:rsid w:val="002A3687"/>
    <w:rsid w:val="002A378E"/>
    <w:rsid w:val="002A43FB"/>
    <w:rsid w:val="002A45DE"/>
    <w:rsid w:val="002A49B5"/>
    <w:rsid w:val="002A4DE3"/>
    <w:rsid w:val="002A5045"/>
    <w:rsid w:val="002A5511"/>
    <w:rsid w:val="002A58A0"/>
    <w:rsid w:val="002A58E9"/>
    <w:rsid w:val="002A6070"/>
    <w:rsid w:val="002A61E4"/>
    <w:rsid w:val="002A6C80"/>
    <w:rsid w:val="002A7D0A"/>
    <w:rsid w:val="002B0452"/>
    <w:rsid w:val="002B1C4C"/>
    <w:rsid w:val="002B1F18"/>
    <w:rsid w:val="002B2845"/>
    <w:rsid w:val="002B287E"/>
    <w:rsid w:val="002B2A48"/>
    <w:rsid w:val="002B2ABB"/>
    <w:rsid w:val="002B2D1B"/>
    <w:rsid w:val="002B3601"/>
    <w:rsid w:val="002B38DB"/>
    <w:rsid w:val="002B437A"/>
    <w:rsid w:val="002B5996"/>
    <w:rsid w:val="002B62DB"/>
    <w:rsid w:val="002B6327"/>
    <w:rsid w:val="002B65EF"/>
    <w:rsid w:val="002B6B2C"/>
    <w:rsid w:val="002B6F29"/>
    <w:rsid w:val="002B6F72"/>
    <w:rsid w:val="002B719B"/>
    <w:rsid w:val="002B71E1"/>
    <w:rsid w:val="002B7685"/>
    <w:rsid w:val="002B7AE9"/>
    <w:rsid w:val="002C02EC"/>
    <w:rsid w:val="002C0439"/>
    <w:rsid w:val="002C05BB"/>
    <w:rsid w:val="002C20D2"/>
    <w:rsid w:val="002C2184"/>
    <w:rsid w:val="002C2D53"/>
    <w:rsid w:val="002C366D"/>
    <w:rsid w:val="002C384C"/>
    <w:rsid w:val="002C5571"/>
    <w:rsid w:val="002C6CC6"/>
    <w:rsid w:val="002C7454"/>
    <w:rsid w:val="002C751D"/>
    <w:rsid w:val="002C77D8"/>
    <w:rsid w:val="002C77FE"/>
    <w:rsid w:val="002C7A0B"/>
    <w:rsid w:val="002D097C"/>
    <w:rsid w:val="002D0C52"/>
    <w:rsid w:val="002D0DBB"/>
    <w:rsid w:val="002D0DC0"/>
    <w:rsid w:val="002D1235"/>
    <w:rsid w:val="002D1F09"/>
    <w:rsid w:val="002D213F"/>
    <w:rsid w:val="002D2D15"/>
    <w:rsid w:val="002D3400"/>
    <w:rsid w:val="002D4613"/>
    <w:rsid w:val="002D508F"/>
    <w:rsid w:val="002D57C4"/>
    <w:rsid w:val="002D58C1"/>
    <w:rsid w:val="002D598B"/>
    <w:rsid w:val="002D720C"/>
    <w:rsid w:val="002E022C"/>
    <w:rsid w:val="002E0A39"/>
    <w:rsid w:val="002E28A2"/>
    <w:rsid w:val="002E3192"/>
    <w:rsid w:val="002E32D5"/>
    <w:rsid w:val="002E3322"/>
    <w:rsid w:val="002E3759"/>
    <w:rsid w:val="002E409B"/>
    <w:rsid w:val="002E4AB7"/>
    <w:rsid w:val="002E6D8A"/>
    <w:rsid w:val="002E6EE9"/>
    <w:rsid w:val="002E7283"/>
    <w:rsid w:val="002E7621"/>
    <w:rsid w:val="002E7EE3"/>
    <w:rsid w:val="002F0234"/>
    <w:rsid w:val="002F0267"/>
    <w:rsid w:val="002F0444"/>
    <w:rsid w:val="002F0710"/>
    <w:rsid w:val="002F0F09"/>
    <w:rsid w:val="002F1204"/>
    <w:rsid w:val="002F1C0A"/>
    <w:rsid w:val="002F2351"/>
    <w:rsid w:val="002F25BB"/>
    <w:rsid w:val="002F2B04"/>
    <w:rsid w:val="002F2D40"/>
    <w:rsid w:val="002F2FBC"/>
    <w:rsid w:val="002F3A0A"/>
    <w:rsid w:val="002F3A31"/>
    <w:rsid w:val="002F3C4C"/>
    <w:rsid w:val="002F4C2B"/>
    <w:rsid w:val="002F6DDC"/>
    <w:rsid w:val="002F6DEA"/>
    <w:rsid w:val="002F703D"/>
    <w:rsid w:val="002F705F"/>
    <w:rsid w:val="002F7CC1"/>
    <w:rsid w:val="0030046E"/>
    <w:rsid w:val="00300589"/>
    <w:rsid w:val="00300639"/>
    <w:rsid w:val="00301393"/>
    <w:rsid w:val="0030397B"/>
    <w:rsid w:val="00303BC5"/>
    <w:rsid w:val="00304BAE"/>
    <w:rsid w:val="003051D4"/>
    <w:rsid w:val="00305217"/>
    <w:rsid w:val="00305780"/>
    <w:rsid w:val="00305DAC"/>
    <w:rsid w:val="003060FA"/>
    <w:rsid w:val="003064E4"/>
    <w:rsid w:val="00306ABE"/>
    <w:rsid w:val="00307B66"/>
    <w:rsid w:val="00307BFB"/>
    <w:rsid w:val="00310B10"/>
    <w:rsid w:val="0031106E"/>
    <w:rsid w:val="0031131A"/>
    <w:rsid w:val="0031196D"/>
    <w:rsid w:val="00311C88"/>
    <w:rsid w:val="00311D94"/>
    <w:rsid w:val="00312676"/>
    <w:rsid w:val="00312A93"/>
    <w:rsid w:val="00313711"/>
    <w:rsid w:val="00314799"/>
    <w:rsid w:val="00314B8C"/>
    <w:rsid w:val="00314CDE"/>
    <w:rsid w:val="00315135"/>
    <w:rsid w:val="003157D7"/>
    <w:rsid w:val="00315F37"/>
    <w:rsid w:val="00317A3A"/>
    <w:rsid w:val="003204AD"/>
    <w:rsid w:val="003207A3"/>
    <w:rsid w:val="00320F61"/>
    <w:rsid w:val="003213BF"/>
    <w:rsid w:val="00321420"/>
    <w:rsid w:val="00321AF7"/>
    <w:rsid w:val="0032256B"/>
    <w:rsid w:val="00323425"/>
    <w:rsid w:val="003236A8"/>
    <w:rsid w:val="00324185"/>
    <w:rsid w:val="00324740"/>
    <w:rsid w:val="00325438"/>
    <w:rsid w:val="00325BF1"/>
    <w:rsid w:val="0032756F"/>
    <w:rsid w:val="00327AC0"/>
    <w:rsid w:val="00327F10"/>
    <w:rsid w:val="00327F1D"/>
    <w:rsid w:val="00327F9C"/>
    <w:rsid w:val="00330337"/>
    <w:rsid w:val="003304FC"/>
    <w:rsid w:val="00331BDA"/>
    <w:rsid w:val="00332155"/>
    <w:rsid w:val="003327D2"/>
    <w:rsid w:val="00333644"/>
    <w:rsid w:val="0033410B"/>
    <w:rsid w:val="003346A0"/>
    <w:rsid w:val="00334B0C"/>
    <w:rsid w:val="00334E7A"/>
    <w:rsid w:val="00334F43"/>
    <w:rsid w:val="0033549D"/>
    <w:rsid w:val="0033550A"/>
    <w:rsid w:val="00336584"/>
    <w:rsid w:val="00336F38"/>
    <w:rsid w:val="00336F3D"/>
    <w:rsid w:val="00336FA4"/>
    <w:rsid w:val="00341EBC"/>
    <w:rsid w:val="0034201E"/>
    <w:rsid w:val="0034232D"/>
    <w:rsid w:val="0034255E"/>
    <w:rsid w:val="00343356"/>
    <w:rsid w:val="0034336F"/>
    <w:rsid w:val="00344717"/>
    <w:rsid w:val="00344809"/>
    <w:rsid w:val="00344B8C"/>
    <w:rsid w:val="00344ED7"/>
    <w:rsid w:val="00345B67"/>
    <w:rsid w:val="00345D6A"/>
    <w:rsid w:val="00346C42"/>
    <w:rsid w:val="00347297"/>
    <w:rsid w:val="003472EB"/>
    <w:rsid w:val="003475A2"/>
    <w:rsid w:val="003517B2"/>
    <w:rsid w:val="00351A0E"/>
    <w:rsid w:val="00351AE3"/>
    <w:rsid w:val="00351CDD"/>
    <w:rsid w:val="00351E59"/>
    <w:rsid w:val="0035251B"/>
    <w:rsid w:val="003526D5"/>
    <w:rsid w:val="00352AC6"/>
    <w:rsid w:val="00354399"/>
    <w:rsid w:val="003569BE"/>
    <w:rsid w:val="00356DF0"/>
    <w:rsid w:val="00356E6B"/>
    <w:rsid w:val="00357472"/>
    <w:rsid w:val="0035774D"/>
    <w:rsid w:val="00357FFE"/>
    <w:rsid w:val="0036027E"/>
    <w:rsid w:val="00360A98"/>
    <w:rsid w:val="00360DE5"/>
    <w:rsid w:val="00362017"/>
    <w:rsid w:val="003621EA"/>
    <w:rsid w:val="00362AEE"/>
    <w:rsid w:val="0036359C"/>
    <w:rsid w:val="0036380F"/>
    <w:rsid w:val="00363D63"/>
    <w:rsid w:val="00363F4D"/>
    <w:rsid w:val="00363FA4"/>
    <w:rsid w:val="00364791"/>
    <w:rsid w:val="00364E30"/>
    <w:rsid w:val="00365030"/>
    <w:rsid w:val="0036561E"/>
    <w:rsid w:val="00365AC1"/>
    <w:rsid w:val="00365C87"/>
    <w:rsid w:val="00365F56"/>
    <w:rsid w:val="0036655D"/>
    <w:rsid w:val="00366933"/>
    <w:rsid w:val="00366C51"/>
    <w:rsid w:val="00366D5D"/>
    <w:rsid w:val="00366D7E"/>
    <w:rsid w:val="00366E92"/>
    <w:rsid w:val="00366F60"/>
    <w:rsid w:val="00367B00"/>
    <w:rsid w:val="0037006A"/>
    <w:rsid w:val="00370C67"/>
    <w:rsid w:val="00370D17"/>
    <w:rsid w:val="00370E8D"/>
    <w:rsid w:val="003720B5"/>
    <w:rsid w:val="00372E35"/>
    <w:rsid w:val="00374F99"/>
    <w:rsid w:val="0037529A"/>
    <w:rsid w:val="00375A52"/>
    <w:rsid w:val="00376163"/>
    <w:rsid w:val="003761D9"/>
    <w:rsid w:val="003763E7"/>
    <w:rsid w:val="00377685"/>
    <w:rsid w:val="00380E87"/>
    <w:rsid w:val="00381218"/>
    <w:rsid w:val="00381881"/>
    <w:rsid w:val="00382489"/>
    <w:rsid w:val="00382B7D"/>
    <w:rsid w:val="00382E3F"/>
    <w:rsid w:val="00382F81"/>
    <w:rsid w:val="0038340D"/>
    <w:rsid w:val="003834F4"/>
    <w:rsid w:val="003848BA"/>
    <w:rsid w:val="00384A8A"/>
    <w:rsid w:val="00385AFF"/>
    <w:rsid w:val="00386298"/>
    <w:rsid w:val="00386AA1"/>
    <w:rsid w:val="00387A54"/>
    <w:rsid w:val="00391124"/>
    <w:rsid w:val="0039275E"/>
    <w:rsid w:val="00392C87"/>
    <w:rsid w:val="00394AEE"/>
    <w:rsid w:val="00396A12"/>
    <w:rsid w:val="00397281"/>
    <w:rsid w:val="003979B4"/>
    <w:rsid w:val="003A02A7"/>
    <w:rsid w:val="003A0CCC"/>
    <w:rsid w:val="003A1723"/>
    <w:rsid w:val="003A1B87"/>
    <w:rsid w:val="003A1FB3"/>
    <w:rsid w:val="003A21B3"/>
    <w:rsid w:val="003A2F5F"/>
    <w:rsid w:val="003A3250"/>
    <w:rsid w:val="003A3785"/>
    <w:rsid w:val="003A3E5A"/>
    <w:rsid w:val="003A4062"/>
    <w:rsid w:val="003A442E"/>
    <w:rsid w:val="003A4DEC"/>
    <w:rsid w:val="003A4EB6"/>
    <w:rsid w:val="003A5193"/>
    <w:rsid w:val="003A669C"/>
    <w:rsid w:val="003A797C"/>
    <w:rsid w:val="003A7A2E"/>
    <w:rsid w:val="003A7FA6"/>
    <w:rsid w:val="003B00D7"/>
    <w:rsid w:val="003B0977"/>
    <w:rsid w:val="003B0F38"/>
    <w:rsid w:val="003B1705"/>
    <w:rsid w:val="003B2218"/>
    <w:rsid w:val="003B2985"/>
    <w:rsid w:val="003B303B"/>
    <w:rsid w:val="003B30A5"/>
    <w:rsid w:val="003B3FDF"/>
    <w:rsid w:val="003B4DD5"/>
    <w:rsid w:val="003B501A"/>
    <w:rsid w:val="003B510D"/>
    <w:rsid w:val="003B56F9"/>
    <w:rsid w:val="003B651F"/>
    <w:rsid w:val="003B6A09"/>
    <w:rsid w:val="003B6F73"/>
    <w:rsid w:val="003B7B41"/>
    <w:rsid w:val="003B7F7A"/>
    <w:rsid w:val="003B7FD5"/>
    <w:rsid w:val="003C0798"/>
    <w:rsid w:val="003C0DD6"/>
    <w:rsid w:val="003C0F63"/>
    <w:rsid w:val="003C0FB7"/>
    <w:rsid w:val="003C1B66"/>
    <w:rsid w:val="003C1B92"/>
    <w:rsid w:val="003C1F9F"/>
    <w:rsid w:val="003C30F5"/>
    <w:rsid w:val="003C3870"/>
    <w:rsid w:val="003C3931"/>
    <w:rsid w:val="003C3CEF"/>
    <w:rsid w:val="003C61A4"/>
    <w:rsid w:val="003C624E"/>
    <w:rsid w:val="003C6443"/>
    <w:rsid w:val="003C6585"/>
    <w:rsid w:val="003C784B"/>
    <w:rsid w:val="003C7B01"/>
    <w:rsid w:val="003D0802"/>
    <w:rsid w:val="003D0806"/>
    <w:rsid w:val="003D13BC"/>
    <w:rsid w:val="003D22D6"/>
    <w:rsid w:val="003D2D89"/>
    <w:rsid w:val="003D3C57"/>
    <w:rsid w:val="003D3F40"/>
    <w:rsid w:val="003D539F"/>
    <w:rsid w:val="003D5FA4"/>
    <w:rsid w:val="003D61DD"/>
    <w:rsid w:val="003D6B43"/>
    <w:rsid w:val="003D77B9"/>
    <w:rsid w:val="003D7E23"/>
    <w:rsid w:val="003D7E3E"/>
    <w:rsid w:val="003E01F4"/>
    <w:rsid w:val="003E086B"/>
    <w:rsid w:val="003E08FF"/>
    <w:rsid w:val="003E0DF4"/>
    <w:rsid w:val="003E2E29"/>
    <w:rsid w:val="003E36E3"/>
    <w:rsid w:val="003E3A36"/>
    <w:rsid w:val="003E3A8F"/>
    <w:rsid w:val="003E4086"/>
    <w:rsid w:val="003E41ED"/>
    <w:rsid w:val="003E4728"/>
    <w:rsid w:val="003E4E81"/>
    <w:rsid w:val="003E5DBC"/>
    <w:rsid w:val="003E60F7"/>
    <w:rsid w:val="003E6264"/>
    <w:rsid w:val="003E79D1"/>
    <w:rsid w:val="003E7FBB"/>
    <w:rsid w:val="003F06AE"/>
    <w:rsid w:val="003F1619"/>
    <w:rsid w:val="003F1E73"/>
    <w:rsid w:val="003F1F7C"/>
    <w:rsid w:val="003F2E16"/>
    <w:rsid w:val="003F30AE"/>
    <w:rsid w:val="003F39CA"/>
    <w:rsid w:val="003F428D"/>
    <w:rsid w:val="003F4D21"/>
    <w:rsid w:val="003F533E"/>
    <w:rsid w:val="003F53E9"/>
    <w:rsid w:val="003F5951"/>
    <w:rsid w:val="003F5FD3"/>
    <w:rsid w:val="003F63E5"/>
    <w:rsid w:val="003F7538"/>
    <w:rsid w:val="003F783D"/>
    <w:rsid w:val="003F7DD7"/>
    <w:rsid w:val="00400AF4"/>
    <w:rsid w:val="00400F1B"/>
    <w:rsid w:val="004017C4"/>
    <w:rsid w:val="0040207F"/>
    <w:rsid w:val="00402194"/>
    <w:rsid w:val="004039C7"/>
    <w:rsid w:val="0040569B"/>
    <w:rsid w:val="0040670D"/>
    <w:rsid w:val="004070DD"/>
    <w:rsid w:val="00407453"/>
    <w:rsid w:val="00410403"/>
    <w:rsid w:val="00410606"/>
    <w:rsid w:val="00410888"/>
    <w:rsid w:val="004118AC"/>
    <w:rsid w:val="00411B1C"/>
    <w:rsid w:val="00411BAE"/>
    <w:rsid w:val="00411E00"/>
    <w:rsid w:val="00411E8C"/>
    <w:rsid w:val="004120D1"/>
    <w:rsid w:val="00412267"/>
    <w:rsid w:val="00412A1B"/>
    <w:rsid w:val="004131B8"/>
    <w:rsid w:val="0041460F"/>
    <w:rsid w:val="00414641"/>
    <w:rsid w:val="00414662"/>
    <w:rsid w:val="004160E0"/>
    <w:rsid w:val="004166C2"/>
    <w:rsid w:val="0041674B"/>
    <w:rsid w:val="004177B9"/>
    <w:rsid w:val="00417FA8"/>
    <w:rsid w:val="00420AF2"/>
    <w:rsid w:val="00421176"/>
    <w:rsid w:val="004215CC"/>
    <w:rsid w:val="004216F9"/>
    <w:rsid w:val="00421A10"/>
    <w:rsid w:val="00421C1B"/>
    <w:rsid w:val="004222E0"/>
    <w:rsid w:val="004229C2"/>
    <w:rsid w:val="00423423"/>
    <w:rsid w:val="00424285"/>
    <w:rsid w:val="004247C8"/>
    <w:rsid w:val="00425C9C"/>
    <w:rsid w:val="0042789A"/>
    <w:rsid w:val="00427C45"/>
    <w:rsid w:val="00430665"/>
    <w:rsid w:val="00430E93"/>
    <w:rsid w:val="00431DCA"/>
    <w:rsid w:val="00432210"/>
    <w:rsid w:val="00433331"/>
    <w:rsid w:val="00434658"/>
    <w:rsid w:val="00434703"/>
    <w:rsid w:val="00434F60"/>
    <w:rsid w:val="004365B9"/>
    <w:rsid w:val="00436792"/>
    <w:rsid w:val="00436B9F"/>
    <w:rsid w:val="00440296"/>
    <w:rsid w:val="00441337"/>
    <w:rsid w:val="0044145C"/>
    <w:rsid w:val="004415EE"/>
    <w:rsid w:val="00441B00"/>
    <w:rsid w:val="0044244C"/>
    <w:rsid w:val="00442BF0"/>
    <w:rsid w:val="00442D05"/>
    <w:rsid w:val="00443FED"/>
    <w:rsid w:val="00444A9D"/>
    <w:rsid w:val="004451EE"/>
    <w:rsid w:val="00445447"/>
    <w:rsid w:val="004457EE"/>
    <w:rsid w:val="00445E44"/>
    <w:rsid w:val="004465F9"/>
    <w:rsid w:val="00446A68"/>
    <w:rsid w:val="00447FF7"/>
    <w:rsid w:val="00450732"/>
    <w:rsid w:val="00451780"/>
    <w:rsid w:val="00451D33"/>
    <w:rsid w:val="00452B4B"/>
    <w:rsid w:val="0045332F"/>
    <w:rsid w:val="00453F6A"/>
    <w:rsid w:val="0045424D"/>
    <w:rsid w:val="004548D7"/>
    <w:rsid w:val="004549A4"/>
    <w:rsid w:val="00454B0F"/>
    <w:rsid w:val="00454BB6"/>
    <w:rsid w:val="004554D0"/>
    <w:rsid w:val="00455811"/>
    <w:rsid w:val="0045598F"/>
    <w:rsid w:val="00455DA9"/>
    <w:rsid w:val="0045635F"/>
    <w:rsid w:val="00456646"/>
    <w:rsid w:val="00456DC3"/>
    <w:rsid w:val="00456F5F"/>
    <w:rsid w:val="004575B6"/>
    <w:rsid w:val="004577D1"/>
    <w:rsid w:val="004600EA"/>
    <w:rsid w:val="0046024A"/>
    <w:rsid w:val="004602F8"/>
    <w:rsid w:val="004603A7"/>
    <w:rsid w:val="00461485"/>
    <w:rsid w:val="00461D9B"/>
    <w:rsid w:val="004624D7"/>
    <w:rsid w:val="00462DC5"/>
    <w:rsid w:val="0046322A"/>
    <w:rsid w:val="004636E6"/>
    <w:rsid w:val="004647CE"/>
    <w:rsid w:val="004651AC"/>
    <w:rsid w:val="00465C9D"/>
    <w:rsid w:val="00465FD0"/>
    <w:rsid w:val="00466A84"/>
    <w:rsid w:val="00466BAA"/>
    <w:rsid w:val="00466E20"/>
    <w:rsid w:val="00467861"/>
    <w:rsid w:val="00467FAF"/>
    <w:rsid w:val="004708AF"/>
    <w:rsid w:val="004713F1"/>
    <w:rsid w:val="0047143A"/>
    <w:rsid w:val="004746D9"/>
    <w:rsid w:val="00474809"/>
    <w:rsid w:val="00476045"/>
    <w:rsid w:val="004761C1"/>
    <w:rsid w:val="00476308"/>
    <w:rsid w:val="00477BC0"/>
    <w:rsid w:val="00480338"/>
    <w:rsid w:val="0048082C"/>
    <w:rsid w:val="00480CA0"/>
    <w:rsid w:val="004817BE"/>
    <w:rsid w:val="0048238D"/>
    <w:rsid w:val="00482791"/>
    <w:rsid w:val="00483041"/>
    <w:rsid w:val="004831E8"/>
    <w:rsid w:val="00483DBF"/>
    <w:rsid w:val="0048414E"/>
    <w:rsid w:val="0048421F"/>
    <w:rsid w:val="00485502"/>
    <w:rsid w:val="004857AB"/>
    <w:rsid w:val="004866C9"/>
    <w:rsid w:val="00487330"/>
    <w:rsid w:val="004877A0"/>
    <w:rsid w:val="00487807"/>
    <w:rsid w:val="00487C64"/>
    <w:rsid w:val="00490E3C"/>
    <w:rsid w:val="00492F0B"/>
    <w:rsid w:val="00492F8D"/>
    <w:rsid w:val="0049361D"/>
    <w:rsid w:val="00493794"/>
    <w:rsid w:val="00493D87"/>
    <w:rsid w:val="00494271"/>
    <w:rsid w:val="00494BBD"/>
    <w:rsid w:val="0049573B"/>
    <w:rsid w:val="00495B7C"/>
    <w:rsid w:val="00495DF7"/>
    <w:rsid w:val="00496397"/>
    <w:rsid w:val="00496472"/>
    <w:rsid w:val="00497083"/>
    <w:rsid w:val="004970E9"/>
    <w:rsid w:val="00497299"/>
    <w:rsid w:val="0049795B"/>
    <w:rsid w:val="00497A48"/>
    <w:rsid w:val="00497C0F"/>
    <w:rsid w:val="004A0132"/>
    <w:rsid w:val="004A0452"/>
    <w:rsid w:val="004A159F"/>
    <w:rsid w:val="004A1AA8"/>
    <w:rsid w:val="004A1ABF"/>
    <w:rsid w:val="004A23AC"/>
    <w:rsid w:val="004A256F"/>
    <w:rsid w:val="004A26D1"/>
    <w:rsid w:val="004A3578"/>
    <w:rsid w:val="004A43AB"/>
    <w:rsid w:val="004A45FA"/>
    <w:rsid w:val="004A4A66"/>
    <w:rsid w:val="004A4AAC"/>
    <w:rsid w:val="004A4F88"/>
    <w:rsid w:val="004A5A5D"/>
    <w:rsid w:val="004A5F6E"/>
    <w:rsid w:val="004A6613"/>
    <w:rsid w:val="004A7071"/>
    <w:rsid w:val="004A7216"/>
    <w:rsid w:val="004A77D1"/>
    <w:rsid w:val="004B0366"/>
    <w:rsid w:val="004B072A"/>
    <w:rsid w:val="004B0F8F"/>
    <w:rsid w:val="004B1233"/>
    <w:rsid w:val="004B1B3A"/>
    <w:rsid w:val="004B2299"/>
    <w:rsid w:val="004B26EE"/>
    <w:rsid w:val="004B3142"/>
    <w:rsid w:val="004B39C8"/>
    <w:rsid w:val="004B3B59"/>
    <w:rsid w:val="004B4567"/>
    <w:rsid w:val="004B56F7"/>
    <w:rsid w:val="004B5A1D"/>
    <w:rsid w:val="004B5F31"/>
    <w:rsid w:val="004B672B"/>
    <w:rsid w:val="004C06B3"/>
    <w:rsid w:val="004C075C"/>
    <w:rsid w:val="004C0767"/>
    <w:rsid w:val="004C0ADB"/>
    <w:rsid w:val="004C102A"/>
    <w:rsid w:val="004C1657"/>
    <w:rsid w:val="004C193C"/>
    <w:rsid w:val="004C2E69"/>
    <w:rsid w:val="004C2F91"/>
    <w:rsid w:val="004C3B0F"/>
    <w:rsid w:val="004C4383"/>
    <w:rsid w:val="004C463B"/>
    <w:rsid w:val="004C4684"/>
    <w:rsid w:val="004C4A7D"/>
    <w:rsid w:val="004C4DD0"/>
    <w:rsid w:val="004C4E0C"/>
    <w:rsid w:val="004C5018"/>
    <w:rsid w:val="004C5D64"/>
    <w:rsid w:val="004C68EE"/>
    <w:rsid w:val="004C6B41"/>
    <w:rsid w:val="004C6CCF"/>
    <w:rsid w:val="004C6E4C"/>
    <w:rsid w:val="004C6E6A"/>
    <w:rsid w:val="004D003D"/>
    <w:rsid w:val="004D011C"/>
    <w:rsid w:val="004D0C55"/>
    <w:rsid w:val="004D11D8"/>
    <w:rsid w:val="004D19EE"/>
    <w:rsid w:val="004D2785"/>
    <w:rsid w:val="004D2CE3"/>
    <w:rsid w:val="004D3AAB"/>
    <w:rsid w:val="004D4A9E"/>
    <w:rsid w:val="004D5755"/>
    <w:rsid w:val="004D5E87"/>
    <w:rsid w:val="004D65AB"/>
    <w:rsid w:val="004D6617"/>
    <w:rsid w:val="004D78E5"/>
    <w:rsid w:val="004D7B3F"/>
    <w:rsid w:val="004D7DFD"/>
    <w:rsid w:val="004E0B8A"/>
    <w:rsid w:val="004E0CD1"/>
    <w:rsid w:val="004E17C6"/>
    <w:rsid w:val="004E1C5D"/>
    <w:rsid w:val="004E1DEB"/>
    <w:rsid w:val="004E2BB4"/>
    <w:rsid w:val="004E2E20"/>
    <w:rsid w:val="004E310E"/>
    <w:rsid w:val="004E3386"/>
    <w:rsid w:val="004E3AB6"/>
    <w:rsid w:val="004E4EEF"/>
    <w:rsid w:val="004E5E07"/>
    <w:rsid w:val="004E63A9"/>
    <w:rsid w:val="004E752A"/>
    <w:rsid w:val="004E7859"/>
    <w:rsid w:val="004E7B53"/>
    <w:rsid w:val="004E7C3C"/>
    <w:rsid w:val="004F021D"/>
    <w:rsid w:val="004F04A9"/>
    <w:rsid w:val="004F0777"/>
    <w:rsid w:val="004F0EDA"/>
    <w:rsid w:val="004F27E1"/>
    <w:rsid w:val="004F2AF5"/>
    <w:rsid w:val="004F4340"/>
    <w:rsid w:val="004F47CB"/>
    <w:rsid w:val="004F51B3"/>
    <w:rsid w:val="004F5383"/>
    <w:rsid w:val="004F53A1"/>
    <w:rsid w:val="004F5634"/>
    <w:rsid w:val="004F5C5B"/>
    <w:rsid w:val="004F5EA6"/>
    <w:rsid w:val="004F6389"/>
    <w:rsid w:val="004F6E0F"/>
    <w:rsid w:val="005004E7"/>
    <w:rsid w:val="0050074B"/>
    <w:rsid w:val="005007F8"/>
    <w:rsid w:val="00500C8F"/>
    <w:rsid w:val="00500DF4"/>
    <w:rsid w:val="005013AB"/>
    <w:rsid w:val="005017B4"/>
    <w:rsid w:val="00501A13"/>
    <w:rsid w:val="00502191"/>
    <w:rsid w:val="0050236E"/>
    <w:rsid w:val="005029E3"/>
    <w:rsid w:val="00502A0A"/>
    <w:rsid w:val="00503635"/>
    <w:rsid w:val="00503BA6"/>
    <w:rsid w:val="00503E54"/>
    <w:rsid w:val="00504CBE"/>
    <w:rsid w:val="00504D3B"/>
    <w:rsid w:val="00505E07"/>
    <w:rsid w:val="005100C2"/>
    <w:rsid w:val="00510F76"/>
    <w:rsid w:val="0051140A"/>
    <w:rsid w:val="005119AB"/>
    <w:rsid w:val="00511C68"/>
    <w:rsid w:val="00511C9C"/>
    <w:rsid w:val="00512E4C"/>
    <w:rsid w:val="00513485"/>
    <w:rsid w:val="0051361A"/>
    <w:rsid w:val="00513DE3"/>
    <w:rsid w:val="0051478A"/>
    <w:rsid w:val="00514A54"/>
    <w:rsid w:val="0051635A"/>
    <w:rsid w:val="00516D55"/>
    <w:rsid w:val="00517A4A"/>
    <w:rsid w:val="0052002B"/>
    <w:rsid w:val="00520159"/>
    <w:rsid w:val="00520492"/>
    <w:rsid w:val="00520950"/>
    <w:rsid w:val="0052141F"/>
    <w:rsid w:val="00521578"/>
    <w:rsid w:val="00521DB9"/>
    <w:rsid w:val="00522ED8"/>
    <w:rsid w:val="005231AE"/>
    <w:rsid w:val="005231D0"/>
    <w:rsid w:val="005236B1"/>
    <w:rsid w:val="00523719"/>
    <w:rsid w:val="00523835"/>
    <w:rsid w:val="00524962"/>
    <w:rsid w:val="00524DC1"/>
    <w:rsid w:val="0052504F"/>
    <w:rsid w:val="0052523D"/>
    <w:rsid w:val="00526AC3"/>
    <w:rsid w:val="00526DD8"/>
    <w:rsid w:val="00526F5F"/>
    <w:rsid w:val="00527119"/>
    <w:rsid w:val="00531567"/>
    <w:rsid w:val="00531843"/>
    <w:rsid w:val="00531910"/>
    <w:rsid w:val="00531D28"/>
    <w:rsid w:val="00532C6D"/>
    <w:rsid w:val="00532EE3"/>
    <w:rsid w:val="005336CD"/>
    <w:rsid w:val="005344D9"/>
    <w:rsid w:val="005351A7"/>
    <w:rsid w:val="005364FC"/>
    <w:rsid w:val="00536CCF"/>
    <w:rsid w:val="0053789C"/>
    <w:rsid w:val="005379D5"/>
    <w:rsid w:val="00537A76"/>
    <w:rsid w:val="00537DDD"/>
    <w:rsid w:val="00537F30"/>
    <w:rsid w:val="00540021"/>
    <w:rsid w:val="00540667"/>
    <w:rsid w:val="00540932"/>
    <w:rsid w:val="00540B17"/>
    <w:rsid w:val="005430A7"/>
    <w:rsid w:val="00543531"/>
    <w:rsid w:val="005435E7"/>
    <w:rsid w:val="005443DA"/>
    <w:rsid w:val="0054476A"/>
    <w:rsid w:val="005455E4"/>
    <w:rsid w:val="005464E0"/>
    <w:rsid w:val="005507A1"/>
    <w:rsid w:val="005507D9"/>
    <w:rsid w:val="0055202A"/>
    <w:rsid w:val="00552D81"/>
    <w:rsid w:val="0055524D"/>
    <w:rsid w:val="005554F0"/>
    <w:rsid w:val="0055559F"/>
    <w:rsid w:val="00556585"/>
    <w:rsid w:val="00556932"/>
    <w:rsid w:val="00557BF5"/>
    <w:rsid w:val="005602C5"/>
    <w:rsid w:val="00560776"/>
    <w:rsid w:val="0056097C"/>
    <w:rsid w:val="00561DE2"/>
    <w:rsid w:val="00562149"/>
    <w:rsid w:val="00563B1B"/>
    <w:rsid w:val="00563CDB"/>
    <w:rsid w:val="00564641"/>
    <w:rsid w:val="00564A27"/>
    <w:rsid w:val="00565E98"/>
    <w:rsid w:val="00566C9D"/>
    <w:rsid w:val="00566CC9"/>
    <w:rsid w:val="00567234"/>
    <w:rsid w:val="0056799C"/>
    <w:rsid w:val="00567C3E"/>
    <w:rsid w:val="00567DD1"/>
    <w:rsid w:val="005708DE"/>
    <w:rsid w:val="00570F4A"/>
    <w:rsid w:val="00572176"/>
    <w:rsid w:val="00572D5F"/>
    <w:rsid w:val="00574B3F"/>
    <w:rsid w:val="00576BF2"/>
    <w:rsid w:val="00577CC8"/>
    <w:rsid w:val="00580207"/>
    <w:rsid w:val="0058025C"/>
    <w:rsid w:val="0058055B"/>
    <w:rsid w:val="005814C7"/>
    <w:rsid w:val="0058197D"/>
    <w:rsid w:val="00581E0D"/>
    <w:rsid w:val="00581EE1"/>
    <w:rsid w:val="00582043"/>
    <w:rsid w:val="00582A0C"/>
    <w:rsid w:val="00582B74"/>
    <w:rsid w:val="005838E0"/>
    <w:rsid w:val="005845DB"/>
    <w:rsid w:val="00584B3B"/>
    <w:rsid w:val="00584DB0"/>
    <w:rsid w:val="00584F10"/>
    <w:rsid w:val="00585183"/>
    <w:rsid w:val="00585610"/>
    <w:rsid w:val="0058640E"/>
    <w:rsid w:val="00586FCE"/>
    <w:rsid w:val="005870A0"/>
    <w:rsid w:val="005906C6"/>
    <w:rsid w:val="00590DC1"/>
    <w:rsid w:val="00590F89"/>
    <w:rsid w:val="005915A2"/>
    <w:rsid w:val="005917AD"/>
    <w:rsid w:val="00591F16"/>
    <w:rsid w:val="00592482"/>
    <w:rsid w:val="00592498"/>
    <w:rsid w:val="005928D3"/>
    <w:rsid w:val="00592AD5"/>
    <w:rsid w:val="00592BA2"/>
    <w:rsid w:val="00593091"/>
    <w:rsid w:val="00594000"/>
    <w:rsid w:val="0059453F"/>
    <w:rsid w:val="005949E5"/>
    <w:rsid w:val="00595517"/>
    <w:rsid w:val="00595B00"/>
    <w:rsid w:val="00595BC0"/>
    <w:rsid w:val="005969E3"/>
    <w:rsid w:val="0059786D"/>
    <w:rsid w:val="00597F07"/>
    <w:rsid w:val="005A012D"/>
    <w:rsid w:val="005A2129"/>
    <w:rsid w:val="005A257C"/>
    <w:rsid w:val="005A28DD"/>
    <w:rsid w:val="005A42E3"/>
    <w:rsid w:val="005A51ED"/>
    <w:rsid w:val="005A57FE"/>
    <w:rsid w:val="005A5C19"/>
    <w:rsid w:val="005A5CE8"/>
    <w:rsid w:val="005A5D02"/>
    <w:rsid w:val="005A6669"/>
    <w:rsid w:val="005A6A97"/>
    <w:rsid w:val="005A6BF1"/>
    <w:rsid w:val="005A7817"/>
    <w:rsid w:val="005A7C9D"/>
    <w:rsid w:val="005A7E85"/>
    <w:rsid w:val="005B0263"/>
    <w:rsid w:val="005B0B42"/>
    <w:rsid w:val="005B101A"/>
    <w:rsid w:val="005B13B0"/>
    <w:rsid w:val="005B13FE"/>
    <w:rsid w:val="005B2408"/>
    <w:rsid w:val="005B3608"/>
    <w:rsid w:val="005B3B0D"/>
    <w:rsid w:val="005B3B18"/>
    <w:rsid w:val="005B4354"/>
    <w:rsid w:val="005B439B"/>
    <w:rsid w:val="005B4B07"/>
    <w:rsid w:val="005B4EFC"/>
    <w:rsid w:val="005B56E0"/>
    <w:rsid w:val="005B5A2D"/>
    <w:rsid w:val="005B5E78"/>
    <w:rsid w:val="005B6440"/>
    <w:rsid w:val="005B64CE"/>
    <w:rsid w:val="005B686E"/>
    <w:rsid w:val="005B78E7"/>
    <w:rsid w:val="005B7E16"/>
    <w:rsid w:val="005C034F"/>
    <w:rsid w:val="005C09BA"/>
    <w:rsid w:val="005C0E05"/>
    <w:rsid w:val="005C172F"/>
    <w:rsid w:val="005C220E"/>
    <w:rsid w:val="005C2E2A"/>
    <w:rsid w:val="005C31F7"/>
    <w:rsid w:val="005C3450"/>
    <w:rsid w:val="005C36D0"/>
    <w:rsid w:val="005C36D3"/>
    <w:rsid w:val="005C379A"/>
    <w:rsid w:val="005C3C3B"/>
    <w:rsid w:val="005C3E7C"/>
    <w:rsid w:val="005C401E"/>
    <w:rsid w:val="005C4A84"/>
    <w:rsid w:val="005C4AF8"/>
    <w:rsid w:val="005C5232"/>
    <w:rsid w:val="005C52FF"/>
    <w:rsid w:val="005C6017"/>
    <w:rsid w:val="005C67CF"/>
    <w:rsid w:val="005C743F"/>
    <w:rsid w:val="005C794C"/>
    <w:rsid w:val="005C7A57"/>
    <w:rsid w:val="005C7FBA"/>
    <w:rsid w:val="005D0B9E"/>
    <w:rsid w:val="005D0D77"/>
    <w:rsid w:val="005D123C"/>
    <w:rsid w:val="005D2B1B"/>
    <w:rsid w:val="005D3B4D"/>
    <w:rsid w:val="005D5E46"/>
    <w:rsid w:val="005D6BA1"/>
    <w:rsid w:val="005D6DC2"/>
    <w:rsid w:val="005E1041"/>
    <w:rsid w:val="005E1400"/>
    <w:rsid w:val="005E1C6F"/>
    <w:rsid w:val="005E2813"/>
    <w:rsid w:val="005E5A67"/>
    <w:rsid w:val="005E6850"/>
    <w:rsid w:val="005E6AB9"/>
    <w:rsid w:val="005E6DC0"/>
    <w:rsid w:val="005E763C"/>
    <w:rsid w:val="005E7790"/>
    <w:rsid w:val="005F01DC"/>
    <w:rsid w:val="005F06D9"/>
    <w:rsid w:val="005F07B3"/>
    <w:rsid w:val="005F0B00"/>
    <w:rsid w:val="005F0B29"/>
    <w:rsid w:val="005F0EA4"/>
    <w:rsid w:val="005F159C"/>
    <w:rsid w:val="005F1FE9"/>
    <w:rsid w:val="005F25EC"/>
    <w:rsid w:val="005F2C98"/>
    <w:rsid w:val="005F2DF5"/>
    <w:rsid w:val="005F305E"/>
    <w:rsid w:val="005F3623"/>
    <w:rsid w:val="005F517E"/>
    <w:rsid w:val="005F6279"/>
    <w:rsid w:val="005F6862"/>
    <w:rsid w:val="005F691D"/>
    <w:rsid w:val="005F69CC"/>
    <w:rsid w:val="005F6EEF"/>
    <w:rsid w:val="005F7533"/>
    <w:rsid w:val="0060012E"/>
    <w:rsid w:val="00600F82"/>
    <w:rsid w:val="00601D2E"/>
    <w:rsid w:val="00601D4E"/>
    <w:rsid w:val="00602014"/>
    <w:rsid w:val="00602E75"/>
    <w:rsid w:val="006031A6"/>
    <w:rsid w:val="00603C90"/>
    <w:rsid w:val="00604637"/>
    <w:rsid w:val="0060516D"/>
    <w:rsid w:val="00605381"/>
    <w:rsid w:val="006055C4"/>
    <w:rsid w:val="00605BC0"/>
    <w:rsid w:val="00606024"/>
    <w:rsid w:val="006077BB"/>
    <w:rsid w:val="006078DB"/>
    <w:rsid w:val="00607B92"/>
    <w:rsid w:val="00607C74"/>
    <w:rsid w:val="0061014B"/>
    <w:rsid w:val="006101A9"/>
    <w:rsid w:val="006110BF"/>
    <w:rsid w:val="006128F0"/>
    <w:rsid w:val="00613A11"/>
    <w:rsid w:val="00614313"/>
    <w:rsid w:val="0061514F"/>
    <w:rsid w:val="00615E5C"/>
    <w:rsid w:val="006172AA"/>
    <w:rsid w:val="00617A0C"/>
    <w:rsid w:val="00617C25"/>
    <w:rsid w:val="00617C3F"/>
    <w:rsid w:val="00617D73"/>
    <w:rsid w:val="00617EFE"/>
    <w:rsid w:val="006201AB"/>
    <w:rsid w:val="00620A24"/>
    <w:rsid w:val="0062171F"/>
    <w:rsid w:val="00621C3D"/>
    <w:rsid w:val="00622355"/>
    <w:rsid w:val="00622535"/>
    <w:rsid w:val="00622CF0"/>
    <w:rsid w:val="0062309A"/>
    <w:rsid w:val="00623B11"/>
    <w:rsid w:val="00624E3A"/>
    <w:rsid w:val="00625511"/>
    <w:rsid w:val="0062557E"/>
    <w:rsid w:val="006258CC"/>
    <w:rsid w:val="00626555"/>
    <w:rsid w:val="00626807"/>
    <w:rsid w:val="00627258"/>
    <w:rsid w:val="00627843"/>
    <w:rsid w:val="006304B5"/>
    <w:rsid w:val="0063067A"/>
    <w:rsid w:val="006310A4"/>
    <w:rsid w:val="00631442"/>
    <w:rsid w:val="00631AF2"/>
    <w:rsid w:val="00631F93"/>
    <w:rsid w:val="00632293"/>
    <w:rsid w:val="00632BE8"/>
    <w:rsid w:val="006341DB"/>
    <w:rsid w:val="0063443E"/>
    <w:rsid w:val="00634471"/>
    <w:rsid w:val="00634FA8"/>
    <w:rsid w:val="00634FE6"/>
    <w:rsid w:val="0063551D"/>
    <w:rsid w:val="006356F0"/>
    <w:rsid w:val="00636379"/>
    <w:rsid w:val="00636915"/>
    <w:rsid w:val="00637F4B"/>
    <w:rsid w:val="00640827"/>
    <w:rsid w:val="00641027"/>
    <w:rsid w:val="00641103"/>
    <w:rsid w:val="00642385"/>
    <w:rsid w:val="006423BE"/>
    <w:rsid w:val="006432B1"/>
    <w:rsid w:val="006436A5"/>
    <w:rsid w:val="006436FB"/>
    <w:rsid w:val="00643C77"/>
    <w:rsid w:val="00644A31"/>
    <w:rsid w:val="00644B89"/>
    <w:rsid w:val="0064538E"/>
    <w:rsid w:val="00645CB6"/>
    <w:rsid w:val="00646899"/>
    <w:rsid w:val="00646FF2"/>
    <w:rsid w:val="00647AEF"/>
    <w:rsid w:val="00647DC3"/>
    <w:rsid w:val="00650058"/>
    <w:rsid w:val="0065044F"/>
    <w:rsid w:val="00651355"/>
    <w:rsid w:val="0065179C"/>
    <w:rsid w:val="00651C08"/>
    <w:rsid w:val="00651ED7"/>
    <w:rsid w:val="006523F7"/>
    <w:rsid w:val="00652746"/>
    <w:rsid w:val="00652B50"/>
    <w:rsid w:val="00652BEC"/>
    <w:rsid w:val="00653265"/>
    <w:rsid w:val="00655E9E"/>
    <w:rsid w:val="0065630B"/>
    <w:rsid w:val="00656ED4"/>
    <w:rsid w:val="00656F29"/>
    <w:rsid w:val="00657A3D"/>
    <w:rsid w:val="006621AF"/>
    <w:rsid w:val="0066229C"/>
    <w:rsid w:val="00663CCB"/>
    <w:rsid w:val="00663DA1"/>
    <w:rsid w:val="0066457E"/>
    <w:rsid w:val="00665748"/>
    <w:rsid w:val="0066627D"/>
    <w:rsid w:val="00666740"/>
    <w:rsid w:val="00666DDB"/>
    <w:rsid w:val="00666F00"/>
    <w:rsid w:val="006677CE"/>
    <w:rsid w:val="00667E85"/>
    <w:rsid w:val="00671611"/>
    <w:rsid w:val="00671A80"/>
    <w:rsid w:val="00672315"/>
    <w:rsid w:val="006726F5"/>
    <w:rsid w:val="00672AE9"/>
    <w:rsid w:val="00672D62"/>
    <w:rsid w:val="006746B2"/>
    <w:rsid w:val="006747EB"/>
    <w:rsid w:val="006750CE"/>
    <w:rsid w:val="00675416"/>
    <w:rsid w:val="0067676A"/>
    <w:rsid w:val="006774DE"/>
    <w:rsid w:val="0068191F"/>
    <w:rsid w:val="00681B88"/>
    <w:rsid w:val="00681BC0"/>
    <w:rsid w:val="00681DC0"/>
    <w:rsid w:val="00683CA1"/>
    <w:rsid w:val="00683E3C"/>
    <w:rsid w:val="006845C9"/>
    <w:rsid w:val="00685ED2"/>
    <w:rsid w:val="0068705E"/>
    <w:rsid w:val="00687EA5"/>
    <w:rsid w:val="006902FB"/>
    <w:rsid w:val="006904E7"/>
    <w:rsid w:val="00690638"/>
    <w:rsid w:val="00691C99"/>
    <w:rsid w:val="0069356B"/>
    <w:rsid w:val="006936B5"/>
    <w:rsid w:val="00694897"/>
    <w:rsid w:val="006953DD"/>
    <w:rsid w:val="0069572B"/>
    <w:rsid w:val="00695CB1"/>
    <w:rsid w:val="00695D53"/>
    <w:rsid w:val="00696131"/>
    <w:rsid w:val="006963EB"/>
    <w:rsid w:val="00696938"/>
    <w:rsid w:val="0069713B"/>
    <w:rsid w:val="0069745C"/>
    <w:rsid w:val="006974B4"/>
    <w:rsid w:val="0069768A"/>
    <w:rsid w:val="006978E6"/>
    <w:rsid w:val="00697AC5"/>
    <w:rsid w:val="006A01C6"/>
    <w:rsid w:val="006A21CA"/>
    <w:rsid w:val="006A4FC3"/>
    <w:rsid w:val="006A584A"/>
    <w:rsid w:val="006A5898"/>
    <w:rsid w:val="006A5C35"/>
    <w:rsid w:val="006A680D"/>
    <w:rsid w:val="006A6E2A"/>
    <w:rsid w:val="006A711D"/>
    <w:rsid w:val="006A727F"/>
    <w:rsid w:val="006B005A"/>
    <w:rsid w:val="006B0134"/>
    <w:rsid w:val="006B06E5"/>
    <w:rsid w:val="006B0E04"/>
    <w:rsid w:val="006B1610"/>
    <w:rsid w:val="006B16BC"/>
    <w:rsid w:val="006B2593"/>
    <w:rsid w:val="006B290F"/>
    <w:rsid w:val="006B4768"/>
    <w:rsid w:val="006B4993"/>
    <w:rsid w:val="006B4C0A"/>
    <w:rsid w:val="006B5038"/>
    <w:rsid w:val="006B5B52"/>
    <w:rsid w:val="006B6620"/>
    <w:rsid w:val="006C0029"/>
    <w:rsid w:val="006C0534"/>
    <w:rsid w:val="006C0B03"/>
    <w:rsid w:val="006C10C0"/>
    <w:rsid w:val="006C141D"/>
    <w:rsid w:val="006C17D7"/>
    <w:rsid w:val="006C1C96"/>
    <w:rsid w:val="006C1CC4"/>
    <w:rsid w:val="006C2187"/>
    <w:rsid w:val="006C2750"/>
    <w:rsid w:val="006C27BF"/>
    <w:rsid w:val="006C2BE2"/>
    <w:rsid w:val="006C2FB1"/>
    <w:rsid w:val="006C4DE5"/>
    <w:rsid w:val="006C532A"/>
    <w:rsid w:val="006C53C3"/>
    <w:rsid w:val="006C5924"/>
    <w:rsid w:val="006C5EA1"/>
    <w:rsid w:val="006C5F68"/>
    <w:rsid w:val="006C7F43"/>
    <w:rsid w:val="006D1092"/>
    <w:rsid w:val="006D1132"/>
    <w:rsid w:val="006D133A"/>
    <w:rsid w:val="006D201D"/>
    <w:rsid w:val="006D2A59"/>
    <w:rsid w:val="006D30DC"/>
    <w:rsid w:val="006D3A86"/>
    <w:rsid w:val="006D3C8C"/>
    <w:rsid w:val="006D3E08"/>
    <w:rsid w:val="006D40E8"/>
    <w:rsid w:val="006D4706"/>
    <w:rsid w:val="006D479D"/>
    <w:rsid w:val="006D51AC"/>
    <w:rsid w:val="006D5C13"/>
    <w:rsid w:val="006D6788"/>
    <w:rsid w:val="006D706A"/>
    <w:rsid w:val="006D7185"/>
    <w:rsid w:val="006D78C9"/>
    <w:rsid w:val="006D7B26"/>
    <w:rsid w:val="006D7D83"/>
    <w:rsid w:val="006E1867"/>
    <w:rsid w:val="006E2AC9"/>
    <w:rsid w:val="006E3C06"/>
    <w:rsid w:val="006E4392"/>
    <w:rsid w:val="006E47B8"/>
    <w:rsid w:val="006E4870"/>
    <w:rsid w:val="006E4998"/>
    <w:rsid w:val="006E5222"/>
    <w:rsid w:val="006E595F"/>
    <w:rsid w:val="006E62AB"/>
    <w:rsid w:val="006E6981"/>
    <w:rsid w:val="006E6B7D"/>
    <w:rsid w:val="006F0219"/>
    <w:rsid w:val="006F053A"/>
    <w:rsid w:val="006F0AB9"/>
    <w:rsid w:val="006F0C36"/>
    <w:rsid w:val="006F1C09"/>
    <w:rsid w:val="006F2348"/>
    <w:rsid w:val="006F29DA"/>
    <w:rsid w:val="006F2D47"/>
    <w:rsid w:val="006F2F49"/>
    <w:rsid w:val="006F34D8"/>
    <w:rsid w:val="006F3CEC"/>
    <w:rsid w:val="006F446D"/>
    <w:rsid w:val="006F4ABD"/>
    <w:rsid w:val="006F53CE"/>
    <w:rsid w:val="006F5401"/>
    <w:rsid w:val="006F59C7"/>
    <w:rsid w:val="006F59E2"/>
    <w:rsid w:val="006F5DEA"/>
    <w:rsid w:val="006F77B2"/>
    <w:rsid w:val="006F7A46"/>
    <w:rsid w:val="006F7F4F"/>
    <w:rsid w:val="00700707"/>
    <w:rsid w:val="00700E4D"/>
    <w:rsid w:val="00701188"/>
    <w:rsid w:val="00702449"/>
    <w:rsid w:val="00702C79"/>
    <w:rsid w:val="00702E05"/>
    <w:rsid w:val="00703394"/>
    <w:rsid w:val="007044A6"/>
    <w:rsid w:val="0070483A"/>
    <w:rsid w:val="0070483E"/>
    <w:rsid w:val="007056C7"/>
    <w:rsid w:val="007057A3"/>
    <w:rsid w:val="00705A49"/>
    <w:rsid w:val="00705D3F"/>
    <w:rsid w:val="00705E52"/>
    <w:rsid w:val="00706710"/>
    <w:rsid w:val="00706FFE"/>
    <w:rsid w:val="00707EB2"/>
    <w:rsid w:val="0071012E"/>
    <w:rsid w:val="007103C4"/>
    <w:rsid w:val="00710478"/>
    <w:rsid w:val="00710514"/>
    <w:rsid w:val="00710759"/>
    <w:rsid w:val="00710C7E"/>
    <w:rsid w:val="0071111A"/>
    <w:rsid w:val="00711C76"/>
    <w:rsid w:val="00711CC6"/>
    <w:rsid w:val="007120CA"/>
    <w:rsid w:val="00712627"/>
    <w:rsid w:val="00712815"/>
    <w:rsid w:val="007130EB"/>
    <w:rsid w:val="0071311A"/>
    <w:rsid w:val="00713270"/>
    <w:rsid w:val="00713917"/>
    <w:rsid w:val="00713D20"/>
    <w:rsid w:val="0071426C"/>
    <w:rsid w:val="00715C4C"/>
    <w:rsid w:val="00716005"/>
    <w:rsid w:val="00716BA7"/>
    <w:rsid w:val="007177E0"/>
    <w:rsid w:val="00717D6E"/>
    <w:rsid w:val="00717DB9"/>
    <w:rsid w:val="00720404"/>
    <w:rsid w:val="0072100B"/>
    <w:rsid w:val="007211F8"/>
    <w:rsid w:val="007247FB"/>
    <w:rsid w:val="00725E20"/>
    <w:rsid w:val="0072751A"/>
    <w:rsid w:val="00727BB1"/>
    <w:rsid w:val="00730A6A"/>
    <w:rsid w:val="00731890"/>
    <w:rsid w:val="00731E39"/>
    <w:rsid w:val="007329E4"/>
    <w:rsid w:val="00732AAF"/>
    <w:rsid w:val="0073368D"/>
    <w:rsid w:val="007336B8"/>
    <w:rsid w:val="007341B5"/>
    <w:rsid w:val="00734269"/>
    <w:rsid w:val="007348B4"/>
    <w:rsid w:val="00735034"/>
    <w:rsid w:val="007354F8"/>
    <w:rsid w:val="007355CC"/>
    <w:rsid w:val="00735C35"/>
    <w:rsid w:val="00735FB8"/>
    <w:rsid w:val="00736247"/>
    <w:rsid w:val="007370EF"/>
    <w:rsid w:val="00740B88"/>
    <w:rsid w:val="0074151D"/>
    <w:rsid w:val="00742035"/>
    <w:rsid w:val="00742594"/>
    <w:rsid w:val="007429EF"/>
    <w:rsid w:val="00742B9B"/>
    <w:rsid w:val="00742FED"/>
    <w:rsid w:val="00743251"/>
    <w:rsid w:val="007435F3"/>
    <w:rsid w:val="00743F64"/>
    <w:rsid w:val="00743F85"/>
    <w:rsid w:val="00744302"/>
    <w:rsid w:val="007443F8"/>
    <w:rsid w:val="00745E3D"/>
    <w:rsid w:val="00746334"/>
    <w:rsid w:val="00746E4D"/>
    <w:rsid w:val="00747BB6"/>
    <w:rsid w:val="00747CDE"/>
    <w:rsid w:val="00750AEB"/>
    <w:rsid w:val="00750D74"/>
    <w:rsid w:val="00751F3E"/>
    <w:rsid w:val="00752EA1"/>
    <w:rsid w:val="007539C6"/>
    <w:rsid w:val="00753B2F"/>
    <w:rsid w:val="00754B6F"/>
    <w:rsid w:val="00755227"/>
    <w:rsid w:val="00755A2A"/>
    <w:rsid w:val="00756257"/>
    <w:rsid w:val="007566E7"/>
    <w:rsid w:val="007567D8"/>
    <w:rsid w:val="00756BCE"/>
    <w:rsid w:val="00756E52"/>
    <w:rsid w:val="007603C0"/>
    <w:rsid w:val="00761193"/>
    <w:rsid w:val="00761508"/>
    <w:rsid w:val="007617A8"/>
    <w:rsid w:val="00761C44"/>
    <w:rsid w:val="0076214C"/>
    <w:rsid w:val="0076259E"/>
    <w:rsid w:val="00762E3B"/>
    <w:rsid w:val="00762E77"/>
    <w:rsid w:val="00762F82"/>
    <w:rsid w:val="00763677"/>
    <w:rsid w:val="00764401"/>
    <w:rsid w:val="007650A9"/>
    <w:rsid w:val="007656CD"/>
    <w:rsid w:val="007657F4"/>
    <w:rsid w:val="0076706B"/>
    <w:rsid w:val="00767153"/>
    <w:rsid w:val="007678D0"/>
    <w:rsid w:val="007679C8"/>
    <w:rsid w:val="00770385"/>
    <w:rsid w:val="00770778"/>
    <w:rsid w:val="00770B2B"/>
    <w:rsid w:val="007713E7"/>
    <w:rsid w:val="007717B5"/>
    <w:rsid w:val="00772B20"/>
    <w:rsid w:val="00772B35"/>
    <w:rsid w:val="00773A43"/>
    <w:rsid w:val="00773E73"/>
    <w:rsid w:val="00774C13"/>
    <w:rsid w:val="007750F1"/>
    <w:rsid w:val="00775801"/>
    <w:rsid w:val="00775A7D"/>
    <w:rsid w:val="00775B65"/>
    <w:rsid w:val="00776321"/>
    <w:rsid w:val="00776877"/>
    <w:rsid w:val="00776B9C"/>
    <w:rsid w:val="007773A2"/>
    <w:rsid w:val="00777B51"/>
    <w:rsid w:val="00777FAE"/>
    <w:rsid w:val="0078026E"/>
    <w:rsid w:val="007812DF"/>
    <w:rsid w:val="00781B1C"/>
    <w:rsid w:val="00781C13"/>
    <w:rsid w:val="007829CF"/>
    <w:rsid w:val="007830E4"/>
    <w:rsid w:val="00783303"/>
    <w:rsid w:val="007839EB"/>
    <w:rsid w:val="00784277"/>
    <w:rsid w:val="00784AB8"/>
    <w:rsid w:val="00784B8D"/>
    <w:rsid w:val="00784C60"/>
    <w:rsid w:val="00784C63"/>
    <w:rsid w:val="00787292"/>
    <w:rsid w:val="00787AB4"/>
    <w:rsid w:val="00790A92"/>
    <w:rsid w:val="0079155F"/>
    <w:rsid w:val="007915E9"/>
    <w:rsid w:val="00791F2C"/>
    <w:rsid w:val="007930B3"/>
    <w:rsid w:val="007932CA"/>
    <w:rsid w:val="007938CE"/>
    <w:rsid w:val="00793BD3"/>
    <w:rsid w:val="00794354"/>
    <w:rsid w:val="00794C00"/>
    <w:rsid w:val="00794E29"/>
    <w:rsid w:val="007959BE"/>
    <w:rsid w:val="00795D77"/>
    <w:rsid w:val="00796360"/>
    <w:rsid w:val="00796BA0"/>
    <w:rsid w:val="00797A5C"/>
    <w:rsid w:val="00797C1D"/>
    <w:rsid w:val="007A06F5"/>
    <w:rsid w:val="007A0C55"/>
    <w:rsid w:val="007A0F68"/>
    <w:rsid w:val="007A1683"/>
    <w:rsid w:val="007A189F"/>
    <w:rsid w:val="007A237D"/>
    <w:rsid w:val="007A2802"/>
    <w:rsid w:val="007A2F69"/>
    <w:rsid w:val="007A30C0"/>
    <w:rsid w:val="007A3214"/>
    <w:rsid w:val="007A349F"/>
    <w:rsid w:val="007A368C"/>
    <w:rsid w:val="007A450E"/>
    <w:rsid w:val="007A54E7"/>
    <w:rsid w:val="007A6F5F"/>
    <w:rsid w:val="007A72D2"/>
    <w:rsid w:val="007B0B95"/>
    <w:rsid w:val="007B118E"/>
    <w:rsid w:val="007B1288"/>
    <w:rsid w:val="007B140F"/>
    <w:rsid w:val="007B33DB"/>
    <w:rsid w:val="007B3711"/>
    <w:rsid w:val="007B3AAC"/>
    <w:rsid w:val="007B3BBE"/>
    <w:rsid w:val="007B46ED"/>
    <w:rsid w:val="007B59F2"/>
    <w:rsid w:val="007B5C3C"/>
    <w:rsid w:val="007B6F01"/>
    <w:rsid w:val="007C0225"/>
    <w:rsid w:val="007C05A1"/>
    <w:rsid w:val="007C0E63"/>
    <w:rsid w:val="007C16C6"/>
    <w:rsid w:val="007C1CD7"/>
    <w:rsid w:val="007C2494"/>
    <w:rsid w:val="007C2E77"/>
    <w:rsid w:val="007C4DC5"/>
    <w:rsid w:val="007C5D54"/>
    <w:rsid w:val="007C601C"/>
    <w:rsid w:val="007C6819"/>
    <w:rsid w:val="007C6869"/>
    <w:rsid w:val="007C6C91"/>
    <w:rsid w:val="007C6F18"/>
    <w:rsid w:val="007C7379"/>
    <w:rsid w:val="007C7E7C"/>
    <w:rsid w:val="007D0918"/>
    <w:rsid w:val="007D1743"/>
    <w:rsid w:val="007D1A5C"/>
    <w:rsid w:val="007D2702"/>
    <w:rsid w:val="007D296D"/>
    <w:rsid w:val="007D381B"/>
    <w:rsid w:val="007D40B7"/>
    <w:rsid w:val="007D4846"/>
    <w:rsid w:val="007D4DC3"/>
    <w:rsid w:val="007D540D"/>
    <w:rsid w:val="007D5E6C"/>
    <w:rsid w:val="007D667F"/>
    <w:rsid w:val="007D6D1B"/>
    <w:rsid w:val="007D73FF"/>
    <w:rsid w:val="007D7409"/>
    <w:rsid w:val="007D7514"/>
    <w:rsid w:val="007D7B60"/>
    <w:rsid w:val="007D7C9D"/>
    <w:rsid w:val="007D7DC2"/>
    <w:rsid w:val="007E09EC"/>
    <w:rsid w:val="007E105B"/>
    <w:rsid w:val="007E2D5C"/>
    <w:rsid w:val="007E2F14"/>
    <w:rsid w:val="007E2F84"/>
    <w:rsid w:val="007E30DC"/>
    <w:rsid w:val="007E349E"/>
    <w:rsid w:val="007E3F70"/>
    <w:rsid w:val="007E50B7"/>
    <w:rsid w:val="007E5981"/>
    <w:rsid w:val="007E68A9"/>
    <w:rsid w:val="007E6C84"/>
    <w:rsid w:val="007E6E0E"/>
    <w:rsid w:val="007E7670"/>
    <w:rsid w:val="007E7EE5"/>
    <w:rsid w:val="007F041B"/>
    <w:rsid w:val="007F177F"/>
    <w:rsid w:val="007F2537"/>
    <w:rsid w:val="007F29B5"/>
    <w:rsid w:val="007F2B70"/>
    <w:rsid w:val="007F328D"/>
    <w:rsid w:val="007F333E"/>
    <w:rsid w:val="007F3574"/>
    <w:rsid w:val="007F396E"/>
    <w:rsid w:val="007F3ACB"/>
    <w:rsid w:val="007F3B72"/>
    <w:rsid w:val="007F3BD6"/>
    <w:rsid w:val="007F3EFC"/>
    <w:rsid w:val="007F4F5D"/>
    <w:rsid w:val="007F57B5"/>
    <w:rsid w:val="007F5DBF"/>
    <w:rsid w:val="007F63E9"/>
    <w:rsid w:val="007F66CE"/>
    <w:rsid w:val="007F67A6"/>
    <w:rsid w:val="007F729A"/>
    <w:rsid w:val="007F72CF"/>
    <w:rsid w:val="0080053E"/>
    <w:rsid w:val="00800E9F"/>
    <w:rsid w:val="008020B6"/>
    <w:rsid w:val="008036AD"/>
    <w:rsid w:val="00804260"/>
    <w:rsid w:val="00804851"/>
    <w:rsid w:val="00805614"/>
    <w:rsid w:val="0080650C"/>
    <w:rsid w:val="00806DF6"/>
    <w:rsid w:val="00806E5E"/>
    <w:rsid w:val="008072A5"/>
    <w:rsid w:val="008074BD"/>
    <w:rsid w:val="0080791F"/>
    <w:rsid w:val="008079A7"/>
    <w:rsid w:val="008100A0"/>
    <w:rsid w:val="0081128D"/>
    <w:rsid w:val="008112FD"/>
    <w:rsid w:val="00811344"/>
    <w:rsid w:val="0081297E"/>
    <w:rsid w:val="0081334F"/>
    <w:rsid w:val="008138F8"/>
    <w:rsid w:val="00813EDA"/>
    <w:rsid w:val="0081404E"/>
    <w:rsid w:val="00814F1F"/>
    <w:rsid w:val="008150A6"/>
    <w:rsid w:val="0081624A"/>
    <w:rsid w:val="0081643F"/>
    <w:rsid w:val="008168E7"/>
    <w:rsid w:val="00816957"/>
    <w:rsid w:val="00816DA0"/>
    <w:rsid w:val="008178C1"/>
    <w:rsid w:val="008205AD"/>
    <w:rsid w:val="00820868"/>
    <w:rsid w:val="008210DD"/>
    <w:rsid w:val="0082114E"/>
    <w:rsid w:val="008215FF"/>
    <w:rsid w:val="00821768"/>
    <w:rsid w:val="00823AAB"/>
    <w:rsid w:val="00823EC5"/>
    <w:rsid w:val="00823F98"/>
    <w:rsid w:val="0082530E"/>
    <w:rsid w:val="00825DF0"/>
    <w:rsid w:val="00826F26"/>
    <w:rsid w:val="00830A2A"/>
    <w:rsid w:val="00830E35"/>
    <w:rsid w:val="008316B9"/>
    <w:rsid w:val="00831DF6"/>
    <w:rsid w:val="00832596"/>
    <w:rsid w:val="008330DF"/>
    <w:rsid w:val="00834806"/>
    <w:rsid w:val="00834D98"/>
    <w:rsid w:val="0083673F"/>
    <w:rsid w:val="00836872"/>
    <w:rsid w:val="00836B3D"/>
    <w:rsid w:val="0084127C"/>
    <w:rsid w:val="00842861"/>
    <w:rsid w:val="00843842"/>
    <w:rsid w:val="0084413F"/>
    <w:rsid w:val="0084535A"/>
    <w:rsid w:val="00845854"/>
    <w:rsid w:val="00845D2C"/>
    <w:rsid w:val="008463B0"/>
    <w:rsid w:val="008471AF"/>
    <w:rsid w:val="00847478"/>
    <w:rsid w:val="008477A3"/>
    <w:rsid w:val="008500B4"/>
    <w:rsid w:val="0085042F"/>
    <w:rsid w:val="008508D9"/>
    <w:rsid w:val="008510D1"/>
    <w:rsid w:val="0085127B"/>
    <w:rsid w:val="008512B8"/>
    <w:rsid w:val="00851ACF"/>
    <w:rsid w:val="00853C15"/>
    <w:rsid w:val="00853C73"/>
    <w:rsid w:val="00854069"/>
    <w:rsid w:val="0085576D"/>
    <w:rsid w:val="00857C4F"/>
    <w:rsid w:val="00860783"/>
    <w:rsid w:val="00860BDF"/>
    <w:rsid w:val="008612F8"/>
    <w:rsid w:val="00861599"/>
    <w:rsid w:val="00861747"/>
    <w:rsid w:val="00861B10"/>
    <w:rsid w:val="008623EE"/>
    <w:rsid w:val="00862883"/>
    <w:rsid w:val="008628F1"/>
    <w:rsid w:val="00862A82"/>
    <w:rsid w:val="00862AA0"/>
    <w:rsid w:val="00864193"/>
    <w:rsid w:val="00864F30"/>
    <w:rsid w:val="00864FA4"/>
    <w:rsid w:val="0086619E"/>
    <w:rsid w:val="008662BF"/>
    <w:rsid w:val="00866CEE"/>
    <w:rsid w:val="008676DF"/>
    <w:rsid w:val="00867DDE"/>
    <w:rsid w:val="00867DF3"/>
    <w:rsid w:val="0087113F"/>
    <w:rsid w:val="00871AA9"/>
    <w:rsid w:val="00871C51"/>
    <w:rsid w:val="0087219B"/>
    <w:rsid w:val="0087466C"/>
    <w:rsid w:val="008746C8"/>
    <w:rsid w:val="00874F94"/>
    <w:rsid w:val="0087534D"/>
    <w:rsid w:val="008754BA"/>
    <w:rsid w:val="0087556D"/>
    <w:rsid w:val="008755F4"/>
    <w:rsid w:val="00876224"/>
    <w:rsid w:val="008766E7"/>
    <w:rsid w:val="0087697C"/>
    <w:rsid w:val="008769C7"/>
    <w:rsid w:val="00876CB6"/>
    <w:rsid w:val="00876F5A"/>
    <w:rsid w:val="008773E3"/>
    <w:rsid w:val="0088007F"/>
    <w:rsid w:val="00882272"/>
    <w:rsid w:val="00882D21"/>
    <w:rsid w:val="00883344"/>
    <w:rsid w:val="008833D4"/>
    <w:rsid w:val="0088491B"/>
    <w:rsid w:val="00884CC1"/>
    <w:rsid w:val="00884FBA"/>
    <w:rsid w:val="008855CC"/>
    <w:rsid w:val="00885A5A"/>
    <w:rsid w:val="00885D66"/>
    <w:rsid w:val="00886DF2"/>
    <w:rsid w:val="00887F02"/>
    <w:rsid w:val="00891487"/>
    <w:rsid w:val="0089185D"/>
    <w:rsid w:val="008919A0"/>
    <w:rsid w:val="00891B3B"/>
    <w:rsid w:val="0089286B"/>
    <w:rsid w:val="008932F4"/>
    <w:rsid w:val="00893CFC"/>
    <w:rsid w:val="00893E8A"/>
    <w:rsid w:val="00893F9A"/>
    <w:rsid w:val="008948EF"/>
    <w:rsid w:val="00894DD6"/>
    <w:rsid w:val="0089501A"/>
    <w:rsid w:val="008956C0"/>
    <w:rsid w:val="00896920"/>
    <w:rsid w:val="00896A68"/>
    <w:rsid w:val="00896C92"/>
    <w:rsid w:val="00896FB3"/>
    <w:rsid w:val="008973F5"/>
    <w:rsid w:val="00897E88"/>
    <w:rsid w:val="008A1510"/>
    <w:rsid w:val="008A1811"/>
    <w:rsid w:val="008A18B2"/>
    <w:rsid w:val="008A3ECC"/>
    <w:rsid w:val="008A482D"/>
    <w:rsid w:val="008A48AB"/>
    <w:rsid w:val="008A4EA5"/>
    <w:rsid w:val="008A6919"/>
    <w:rsid w:val="008A7D6E"/>
    <w:rsid w:val="008B0564"/>
    <w:rsid w:val="008B0752"/>
    <w:rsid w:val="008B0EA2"/>
    <w:rsid w:val="008B13F5"/>
    <w:rsid w:val="008B29F1"/>
    <w:rsid w:val="008B34B7"/>
    <w:rsid w:val="008B34DE"/>
    <w:rsid w:val="008B35B9"/>
    <w:rsid w:val="008B3728"/>
    <w:rsid w:val="008B5131"/>
    <w:rsid w:val="008B5E5B"/>
    <w:rsid w:val="008C065E"/>
    <w:rsid w:val="008C079F"/>
    <w:rsid w:val="008C0D3B"/>
    <w:rsid w:val="008C11C5"/>
    <w:rsid w:val="008C19E8"/>
    <w:rsid w:val="008C32E2"/>
    <w:rsid w:val="008C3301"/>
    <w:rsid w:val="008C4868"/>
    <w:rsid w:val="008C4A96"/>
    <w:rsid w:val="008C4CB8"/>
    <w:rsid w:val="008C4DA4"/>
    <w:rsid w:val="008C4F9E"/>
    <w:rsid w:val="008C4FC9"/>
    <w:rsid w:val="008C51FC"/>
    <w:rsid w:val="008C6C09"/>
    <w:rsid w:val="008C728C"/>
    <w:rsid w:val="008C7541"/>
    <w:rsid w:val="008C7664"/>
    <w:rsid w:val="008C7833"/>
    <w:rsid w:val="008C7B58"/>
    <w:rsid w:val="008C7D0F"/>
    <w:rsid w:val="008D0F4C"/>
    <w:rsid w:val="008D0FAD"/>
    <w:rsid w:val="008D181D"/>
    <w:rsid w:val="008D19BD"/>
    <w:rsid w:val="008D27C3"/>
    <w:rsid w:val="008D2AF5"/>
    <w:rsid w:val="008D2E20"/>
    <w:rsid w:val="008D429C"/>
    <w:rsid w:val="008D59F7"/>
    <w:rsid w:val="008D5AF9"/>
    <w:rsid w:val="008D729C"/>
    <w:rsid w:val="008D742F"/>
    <w:rsid w:val="008D765E"/>
    <w:rsid w:val="008D78EC"/>
    <w:rsid w:val="008D7C54"/>
    <w:rsid w:val="008D7ED9"/>
    <w:rsid w:val="008E0112"/>
    <w:rsid w:val="008E097B"/>
    <w:rsid w:val="008E0EEC"/>
    <w:rsid w:val="008E1296"/>
    <w:rsid w:val="008E1E62"/>
    <w:rsid w:val="008E2761"/>
    <w:rsid w:val="008E2AAE"/>
    <w:rsid w:val="008E322F"/>
    <w:rsid w:val="008E3674"/>
    <w:rsid w:val="008E3757"/>
    <w:rsid w:val="008E3C8A"/>
    <w:rsid w:val="008E418F"/>
    <w:rsid w:val="008E41FF"/>
    <w:rsid w:val="008E4986"/>
    <w:rsid w:val="008E4AA7"/>
    <w:rsid w:val="008E4D98"/>
    <w:rsid w:val="008E59FB"/>
    <w:rsid w:val="008E5D90"/>
    <w:rsid w:val="008E6AA7"/>
    <w:rsid w:val="008E7F47"/>
    <w:rsid w:val="008F0990"/>
    <w:rsid w:val="008F09E1"/>
    <w:rsid w:val="008F0ED5"/>
    <w:rsid w:val="008F12AF"/>
    <w:rsid w:val="008F1394"/>
    <w:rsid w:val="008F1B41"/>
    <w:rsid w:val="008F208D"/>
    <w:rsid w:val="008F245B"/>
    <w:rsid w:val="008F25E9"/>
    <w:rsid w:val="008F2B3D"/>
    <w:rsid w:val="008F2B8F"/>
    <w:rsid w:val="008F309D"/>
    <w:rsid w:val="008F369B"/>
    <w:rsid w:val="008F3999"/>
    <w:rsid w:val="008F4B89"/>
    <w:rsid w:val="008F50B8"/>
    <w:rsid w:val="008F50F2"/>
    <w:rsid w:val="008F5525"/>
    <w:rsid w:val="008F55C0"/>
    <w:rsid w:val="008F597C"/>
    <w:rsid w:val="008F5AB7"/>
    <w:rsid w:val="008F6573"/>
    <w:rsid w:val="008F6F2F"/>
    <w:rsid w:val="008F743E"/>
    <w:rsid w:val="008F7F80"/>
    <w:rsid w:val="0090018A"/>
    <w:rsid w:val="0090081A"/>
    <w:rsid w:val="00900ACE"/>
    <w:rsid w:val="00900EA8"/>
    <w:rsid w:val="00900F5C"/>
    <w:rsid w:val="00900FA6"/>
    <w:rsid w:val="00901D61"/>
    <w:rsid w:val="0090351D"/>
    <w:rsid w:val="00903E31"/>
    <w:rsid w:val="00904775"/>
    <w:rsid w:val="00904B78"/>
    <w:rsid w:val="00905206"/>
    <w:rsid w:val="00905624"/>
    <w:rsid w:val="0090580B"/>
    <w:rsid w:val="00905C44"/>
    <w:rsid w:val="00906127"/>
    <w:rsid w:val="009065FB"/>
    <w:rsid w:val="0090695B"/>
    <w:rsid w:val="009071A3"/>
    <w:rsid w:val="009071CC"/>
    <w:rsid w:val="00911A41"/>
    <w:rsid w:val="00911DCB"/>
    <w:rsid w:val="009122A5"/>
    <w:rsid w:val="00913F53"/>
    <w:rsid w:val="00914018"/>
    <w:rsid w:val="00914ADD"/>
    <w:rsid w:val="00915792"/>
    <w:rsid w:val="00915814"/>
    <w:rsid w:val="00915BB7"/>
    <w:rsid w:val="00916A88"/>
    <w:rsid w:val="009179DE"/>
    <w:rsid w:val="00917A94"/>
    <w:rsid w:val="00917C29"/>
    <w:rsid w:val="00917D4A"/>
    <w:rsid w:val="00917F86"/>
    <w:rsid w:val="009201A1"/>
    <w:rsid w:val="00920C28"/>
    <w:rsid w:val="009223BD"/>
    <w:rsid w:val="0092343F"/>
    <w:rsid w:val="0092351C"/>
    <w:rsid w:val="00925C0A"/>
    <w:rsid w:val="009260BB"/>
    <w:rsid w:val="00926551"/>
    <w:rsid w:val="00926D90"/>
    <w:rsid w:val="00926E1E"/>
    <w:rsid w:val="00927B86"/>
    <w:rsid w:val="00927E80"/>
    <w:rsid w:val="00930C82"/>
    <w:rsid w:val="009320A9"/>
    <w:rsid w:val="00932390"/>
    <w:rsid w:val="009323F0"/>
    <w:rsid w:val="0093324C"/>
    <w:rsid w:val="009339C1"/>
    <w:rsid w:val="00933F04"/>
    <w:rsid w:val="00933FAD"/>
    <w:rsid w:val="0093436C"/>
    <w:rsid w:val="00934A3C"/>
    <w:rsid w:val="00934B93"/>
    <w:rsid w:val="00935B6A"/>
    <w:rsid w:val="00935DB2"/>
    <w:rsid w:val="00936DDD"/>
    <w:rsid w:val="009375CC"/>
    <w:rsid w:val="00937799"/>
    <w:rsid w:val="009378F6"/>
    <w:rsid w:val="00940562"/>
    <w:rsid w:val="00940DA6"/>
    <w:rsid w:val="00941AF0"/>
    <w:rsid w:val="00941FFA"/>
    <w:rsid w:val="0094256B"/>
    <w:rsid w:val="00942AA6"/>
    <w:rsid w:val="0094320A"/>
    <w:rsid w:val="009432E5"/>
    <w:rsid w:val="00943306"/>
    <w:rsid w:val="00943565"/>
    <w:rsid w:val="009443BA"/>
    <w:rsid w:val="009445B2"/>
    <w:rsid w:val="009447CD"/>
    <w:rsid w:val="00944F9A"/>
    <w:rsid w:val="0094625D"/>
    <w:rsid w:val="009470A2"/>
    <w:rsid w:val="00947567"/>
    <w:rsid w:val="00950014"/>
    <w:rsid w:val="009502B2"/>
    <w:rsid w:val="009504F1"/>
    <w:rsid w:val="009514F2"/>
    <w:rsid w:val="00952526"/>
    <w:rsid w:val="0095374C"/>
    <w:rsid w:val="00953D01"/>
    <w:rsid w:val="00955FEB"/>
    <w:rsid w:val="009573E9"/>
    <w:rsid w:val="00957778"/>
    <w:rsid w:val="00957901"/>
    <w:rsid w:val="00957AF7"/>
    <w:rsid w:val="00957C3D"/>
    <w:rsid w:val="00957C7D"/>
    <w:rsid w:val="00960139"/>
    <w:rsid w:val="00960D1E"/>
    <w:rsid w:val="00960F3B"/>
    <w:rsid w:val="0096161C"/>
    <w:rsid w:val="0096231E"/>
    <w:rsid w:val="009624D0"/>
    <w:rsid w:val="00962624"/>
    <w:rsid w:val="00962CC5"/>
    <w:rsid w:val="00962E5A"/>
    <w:rsid w:val="00962FB5"/>
    <w:rsid w:val="00964573"/>
    <w:rsid w:val="009657B0"/>
    <w:rsid w:val="00965BED"/>
    <w:rsid w:val="00966048"/>
    <w:rsid w:val="0096660A"/>
    <w:rsid w:val="0096687C"/>
    <w:rsid w:val="0096728C"/>
    <w:rsid w:val="009674CE"/>
    <w:rsid w:val="009675DC"/>
    <w:rsid w:val="0096799F"/>
    <w:rsid w:val="00967F7A"/>
    <w:rsid w:val="00970E32"/>
    <w:rsid w:val="009717E4"/>
    <w:rsid w:val="00971C8D"/>
    <w:rsid w:val="00971E8D"/>
    <w:rsid w:val="0097245C"/>
    <w:rsid w:val="00972FD0"/>
    <w:rsid w:val="009732D7"/>
    <w:rsid w:val="00975738"/>
    <w:rsid w:val="009760E8"/>
    <w:rsid w:val="00976E0D"/>
    <w:rsid w:val="00977602"/>
    <w:rsid w:val="00977915"/>
    <w:rsid w:val="0098000D"/>
    <w:rsid w:val="00980492"/>
    <w:rsid w:val="00980F00"/>
    <w:rsid w:val="00981651"/>
    <w:rsid w:val="009819EB"/>
    <w:rsid w:val="00982151"/>
    <w:rsid w:val="0098291C"/>
    <w:rsid w:val="00982FAC"/>
    <w:rsid w:val="00983524"/>
    <w:rsid w:val="00983A2C"/>
    <w:rsid w:val="00983BD5"/>
    <w:rsid w:val="00984352"/>
    <w:rsid w:val="0098484B"/>
    <w:rsid w:val="00985577"/>
    <w:rsid w:val="00985723"/>
    <w:rsid w:val="00986380"/>
    <w:rsid w:val="00986513"/>
    <w:rsid w:val="00986818"/>
    <w:rsid w:val="00986E5C"/>
    <w:rsid w:val="00987220"/>
    <w:rsid w:val="0098732B"/>
    <w:rsid w:val="00987C6E"/>
    <w:rsid w:val="009903FF"/>
    <w:rsid w:val="0099136B"/>
    <w:rsid w:val="00991C99"/>
    <w:rsid w:val="00992079"/>
    <w:rsid w:val="00992124"/>
    <w:rsid w:val="00992BD2"/>
    <w:rsid w:val="00992C29"/>
    <w:rsid w:val="00992ECC"/>
    <w:rsid w:val="00993104"/>
    <w:rsid w:val="00993FB0"/>
    <w:rsid w:val="00994DC0"/>
    <w:rsid w:val="009957E6"/>
    <w:rsid w:val="00995C13"/>
    <w:rsid w:val="0099796D"/>
    <w:rsid w:val="00997A0E"/>
    <w:rsid w:val="00997A73"/>
    <w:rsid w:val="009A0131"/>
    <w:rsid w:val="009A02DC"/>
    <w:rsid w:val="009A0C39"/>
    <w:rsid w:val="009A101E"/>
    <w:rsid w:val="009A10AD"/>
    <w:rsid w:val="009A1429"/>
    <w:rsid w:val="009A1792"/>
    <w:rsid w:val="009A1947"/>
    <w:rsid w:val="009A2224"/>
    <w:rsid w:val="009A2241"/>
    <w:rsid w:val="009A2ABC"/>
    <w:rsid w:val="009A2ACD"/>
    <w:rsid w:val="009A3BBE"/>
    <w:rsid w:val="009A4750"/>
    <w:rsid w:val="009A4A8E"/>
    <w:rsid w:val="009A4AE9"/>
    <w:rsid w:val="009A4CBC"/>
    <w:rsid w:val="009A513F"/>
    <w:rsid w:val="009A536B"/>
    <w:rsid w:val="009A6637"/>
    <w:rsid w:val="009A6707"/>
    <w:rsid w:val="009A69AE"/>
    <w:rsid w:val="009A6BE9"/>
    <w:rsid w:val="009A7C20"/>
    <w:rsid w:val="009A7D44"/>
    <w:rsid w:val="009B121C"/>
    <w:rsid w:val="009B193D"/>
    <w:rsid w:val="009B24F4"/>
    <w:rsid w:val="009B26BD"/>
    <w:rsid w:val="009B2AD0"/>
    <w:rsid w:val="009B2FA3"/>
    <w:rsid w:val="009B3160"/>
    <w:rsid w:val="009B4880"/>
    <w:rsid w:val="009B6749"/>
    <w:rsid w:val="009B7947"/>
    <w:rsid w:val="009B7AAA"/>
    <w:rsid w:val="009B7EC8"/>
    <w:rsid w:val="009C0816"/>
    <w:rsid w:val="009C0933"/>
    <w:rsid w:val="009C0BC0"/>
    <w:rsid w:val="009C1281"/>
    <w:rsid w:val="009C18B8"/>
    <w:rsid w:val="009C1FF6"/>
    <w:rsid w:val="009C2BC1"/>
    <w:rsid w:val="009C2C64"/>
    <w:rsid w:val="009C2D58"/>
    <w:rsid w:val="009C2D91"/>
    <w:rsid w:val="009C30CD"/>
    <w:rsid w:val="009C3FE7"/>
    <w:rsid w:val="009C4052"/>
    <w:rsid w:val="009C41C4"/>
    <w:rsid w:val="009C4B92"/>
    <w:rsid w:val="009C4E23"/>
    <w:rsid w:val="009C5C27"/>
    <w:rsid w:val="009C5D88"/>
    <w:rsid w:val="009C708F"/>
    <w:rsid w:val="009C749D"/>
    <w:rsid w:val="009C7BD6"/>
    <w:rsid w:val="009D0997"/>
    <w:rsid w:val="009D24EE"/>
    <w:rsid w:val="009D3497"/>
    <w:rsid w:val="009D3797"/>
    <w:rsid w:val="009D3CB6"/>
    <w:rsid w:val="009D61F9"/>
    <w:rsid w:val="009D6463"/>
    <w:rsid w:val="009D67F6"/>
    <w:rsid w:val="009E0038"/>
    <w:rsid w:val="009E0871"/>
    <w:rsid w:val="009E08D8"/>
    <w:rsid w:val="009E0D61"/>
    <w:rsid w:val="009E0E29"/>
    <w:rsid w:val="009E162E"/>
    <w:rsid w:val="009E1A06"/>
    <w:rsid w:val="009E1C60"/>
    <w:rsid w:val="009E2B36"/>
    <w:rsid w:val="009E3523"/>
    <w:rsid w:val="009E4029"/>
    <w:rsid w:val="009E472F"/>
    <w:rsid w:val="009E4C27"/>
    <w:rsid w:val="009E5027"/>
    <w:rsid w:val="009E541E"/>
    <w:rsid w:val="009E594F"/>
    <w:rsid w:val="009E5DAA"/>
    <w:rsid w:val="009E5E19"/>
    <w:rsid w:val="009E67C8"/>
    <w:rsid w:val="009E7259"/>
    <w:rsid w:val="009E7C35"/>
    <w:rsid w:val="009F0CA6"/>
    <w:rsid w:val="009F0E85"/>
    <w:rsid w:val="009F13F4"/>
    <w:rsid w:val="009F1923"/>
    <w:rsid w:val="009F1ADB"/>
    <w:rsid w:val="009F2B68"/>
    <w:rsid w:val="009F2E93"/>
    <w:rsid w:val="009F3211"/>
    <w:rsid w:val="009F3649"/>
    <w:rsid w:val="009F3AE0"/>
    <w:rsid w:val="009F475E"/>
    <w:rsid w:val="009F4958"/>
    <w:rsid w:val="009F4DCA"/>
    <w:rsid w:val="009F4DF1"/>
    <w:rsid w:val="009F524B"/>
    <w:rsid w:val="009F58C5"/>
    <w:rsid w:val="009F5AAB"/>
    <w:rsid w:val="009F5CDA"/>
    <w:rsid w:val="009F6590"/>
    <w:rsid w:val="009F6C81"/>
    <w:rsid w:val="009F6FA9"/>
    <w:rsid w:val="00A00B63"/>
    <w:rsid w:val="00A00DB7"/>
    <w:rsid w:val="00A017AD"/>
    <w:rsid w:val="00A025FE"/>
    <w:rsid w:val="00A0387E"/>
    <w:rsid w:val="00A04DC5"/>
    <w:rsid w:val="00A0537C"/>
    <w:rsid w:val="00A06903"/>
    <w:rsid w:val="00A06D13"/>
    <w:rsid w:val="00A07679"/>
    <w:rsid w:val="00A102D9"/>
    <w:rsid w:val="00A10D97"/>
    <w:rsid w:val="00A10E97"/>
    <w:rsid w:val="00A117C1"/>
    <w:rsid w:val="00A11A3A"/>
    <w:rsid w:val="00A11FDF"/>
    <w:rsid w:val="00A1275E"/>
    <w:rsid w:val="00A12F03"/>
    <w:rsid w:val="00A130B5"/>
    <w:rsid w:val="00A16AC6"/>
    <w:rsid w:val="00A1741D"/>
    <w:rsid w:val="00A17FD8"/>
    <w:rsid w:val="00A17FF1"/>
    <w:rsid w:val="00A202CA"/>
    <w:rsid w:val="00A21287"/>
    <w:rsid w:val="00A21A5A"/>
    <w:rsid w:val="00A21DA6"/>
    <w:rsid w:val="00A21FB7"/>
    <w:rsid w:val="00A22142"/>
    <w:rsid w:val="00A22F3E"/>
    <w:rsid w:val="00A23334"/>
    <w:rsid w:val="00A237EE"/>
    <w:rsid w:val="00A23FE4"/>
    <w:rsid w:val="00A24A52"/>
    <w:rsid w:val="00A252D8"/>
    <w:rsid w:val="00A25C2B"/>
    <w:rsid w:val="00A26AFA"/>
    <w:rsid w:val="00A274FA"/>
    <w:rsid w:val="00A27B43"/>
    <w:rsid w:val="00A27B9E"/>
    <w:rsid w:val="00A30799"/>
    <w:rsid w:val="00A30CFE"/>
    <w:rsid w:val="00A31443"/>
    <w:rsid w:val="00A3237F"/>
    <w:rsid w:val="00A32CD0"/>
    <w:rsid w:val="00A33682"/>
    <w:rsid w:val="00A34741"/>
    <w:rsid w:val="00A34845"/>
    <w:rsid w:val="00A34D85"/>
    <w:rsid w:val="00A35075"/>
    <w:rsid w:val="00A354EB"/>
    <w:rsid w:val="00A35856"/>
    <w:rsid w:val="00A358ED"/>
    <w:rsid w:val="00A36457"/>
    <w:rsid w:val="00A374DD"/>
    <w:rsid w:val="00A376BC"/>
    <w:rsid w:val="00A37ED9"/>
    <w:rsid w:val="00A401F4"/>
    <w:rsid w:val="00A408D9"/>
    <w:rsid w:val="00A4168F"/>
    <w:rsid w:val="00A42FAD"/>
    <w:rsid w:val="00A436E4"/>
    <w:rsid w:val="00A43F4B"/>
    <w:rsid w:val="00A444D6"/>
    <w:rsid w:val="00A44F8E"/>
    <w:rsid w:val="00A4534A"/>
    <w:rsid w:val="00A467E3"/>
    <w:rsid w:val="00A46A46"/>
    <w:rsid w:val="00A4700A"/>
    <w:rsid w:val="00A47A0C"/>
    <w:rsid w:val="00A47A71"/>
    <w:rsid w:val="00A47BE2"/>
    <w:rsid w:val="00A51891"/>
    <w:rsid w:val="00A527D4"/>
    <w:rsid w:val="00A528FA"/>
    <w:rsid w:val="00A52E03"/>
    <w:rsid w:val="00A54407"/>
    <w:rsid w:val="00A55232"/>
    <w:rsid w:val="00A569FC"/>
    <w:rsid w:val="00A56DF2"/>
    <w:rsid w:val="00A57193"/>
    <w:rsid w:val="00A576D4"/>
    <w:rsid w:val="00A57AC2"/>
    <w:rsid w:val="00A57CD8"/>
    <w:rsid w:val="00A602D4"/>
    <w:rsid w:val="00A62043"/>
    <w:rsid w:val="00A622E7"/>
    <w:rsid w:val="00A633A6"/>
    <w:rsid w:val="00A6403E"/>
    <w:rsid w:val="00A649D7"/>
    <w:rsid w:val="00A64A37"/>
    <w:rsid w:val="00A655A8"/>
    <w:rsid w:val="00A657D5"/>
    <w:rsid w:val="00A6632C"/>
    <w:rsid w:val="00A67086"/>
    <w:rsid w:val="00A67543"/>
    <w:rsid w:val="00A6773E"/>
    <w:rsid w:val="00A70FB2"/>
    <w:rsid w:val="00A7162B"/>
    <w:rsid w:val="00A716F1"/>
    <w:rsid w:val="00A71C09"/>
    <w:rsid w:val="00A71EE7"/>
    <w:rsid w:val="00A72383"/>
    <w:rsid w:val="00A72F07"/>
    <w:rsid w:val="00A72F84"/>
    <w:rsid w:val="00A731B0"/>
    <w:rsid w:val="00A7425A"/>
    <w:rsid w:val="00A74D3F"/>
    <w:rsid w:val="00A75067"/>
    <w:rsid w:val="00A75503"/>
    <w:rsid w:val="00A75C79"/>
    <w:rsid w:val="00A76A8B"/>
    <w:rsid w:val="00A76EC2"/>
    <w:rsid w:val="00A77516"/>
    <w:rsid w:val="00A7799D"/>
    <w:rsid w:val="00A80649"/>
    <w:rsid w:val="00A81920"/>
    <w:rsid w:val="00A81FA1"/>
    <w:rsid w:val="00A82BB3"/>
    <w:rsid w:val="00A82E7D"/>
    <w:rsid w:val="00A831B2"/>
    <w:rsid w:val="00A84246"/>
    <w:rsid w:val="00A85B36"/>
    <w:rsid w:val="00A85C28"/>
    <w:rsid w:val="00A8711A"/>
    <w:rsid w:val="00A87FD8"/>
    <w:rsid w:val="00A9020C"/>
    <w:rsid w:val="00A90900"/>
    <w:rsid w:val="00A92B27"/>
    <w:rsid w:val="00A93997"/>
    <w:rsid w:val="00A948F6"/>
    <w:rsid w:val="00A94C1A"/>
    <w:rsid w:val="00A94FFF"/>
    <w:rsid w:val="00A95F93"/>
    <w:rsid w:val="00A96C26"/>
    <w:rsid w:val="00A972E6"/>
    <w:rsid w:val="00A97758"/>
    <w:rsid w:val="00A97BA3"/>
    <w:rsid w:val="00A97BB5"/>
    <w:rsid w:val="00A97C59"/>
    <w:rsid w:val="00AA0643"/>
    <w:rsid w:val="00AA0715"/>
    <w:rsid w:val="00AA0D76"/>
    <w:rsid w:val="00AA1486"/>
    <w:rsid w:val="00AA1CB4"/>
    <w:rsid w:val="00AA1D8D"/>
    <w:rsid w:val="00AA2ADE"/>
    <w:rsid w:val="00AA2CA4"/>
    <w:rsid w:val="00AA3B49"/>
    <w:rsid w:val="00AA3BF0"/>
    <w:rsid w:val="00AA4404"/>
    <w:rsid w:val="00AA5088"/>
    <w:rsid w:val="00AA51C5"/>
    <w:rsid w:val="00AA6421"/>
    <w:rsid w:val="00AA64AE"/>
    <w:rsid w:val="00AA682D"/>
    <w:rsid w:val="00AA7B92"/>
    <w:rsid w:val="00AA7F20"/>
    <w:rsid w:val="00AB191A"/>
    <w:rsid w:val="00AB314A"/>
    <w:rsid w:val="00AB4923"/>
    <w:rsid w:val="00AB54FF"/>
    <w:rsid w:val="00AB5F3D"/>
    <w:rsid w:val="00AB6987"/>
    <w:rsid w:val="00AB6E86"/>
    <w:rsid w:val="00AB7309"/>
    <w:rsid w:val="00AB7CCB"/>
    <w:rsid w:val="00AC20C8"/>
    <w:rsid w:val="00AC2F41"/>
    <w:rsid w:val="00AC3BF4"/>
    <w:rsid w:val="00AC3C92"/>
    <w:rsid w:val="00AC4D34"/>
    <w:rsid w:val="00AC4F94"/>
    <w:rsid w:val="00AC5940"/>
    <w:rsid w:val="00AC625D"/>
    <w:rsid w:val="00AC6867"/>
    <w:rsid w:val="00AC711E"/>
    <w:rsid w:val="00AD0065"/>
    <w:rsid w:val="00AD07E2"/>
    <w:rsid w:val="00AD198F"/>
    <w:rsid w:val="00AD2660"/>
    <w:rsid w:val="00AD2BFE"/>
    <w:rsid w:val="00AD4305"/>
    <w:rsid w:val="00AD4F1F"/>
    <w:rsid w:val="00AD615B"/>
    <w:rsid w:val="00AD7095"/>
    <w:rsid w:val="00AD7CAF"/>
    <w:rsid w:val="00AE1124"/>
    <w:rsid w:val="00AE1171"/>
    <w:rsid w:val="00AE2088"/>
    <w:rsid w:val="00AE47E7"/>
    <w:rsid w:val="00AE49BD"/>
    <w:rsid w:val="00AE4E77"/>
    <w:rsid w:val="00AE4EA7"/>
    <w:rsid w:val="00AE50A2"/>
    <w:rsid w:val="00AE518E"/>
    <w:rsid w:val="00AE5415"/>
    <w:rsid w:val="00AE7657"/>
    <w:rsid w:val="00AE7C64"/>
    <w:rsid w:val="00AF04E5"/>
    <w:rsid w:val="00AF19CB"/>
    <w:rsid w:val="00AF20B3"/>
    <w:rsid w:val="00AF2658"/>
    <w:rsid w:val="00AF2747"/>
    <w:rsid w:val="00AF49BC"/>
    <w:rsid w:val="00AF555C"/>
    <w:rsid w:val="00AF5C28"/>
    <w:rsid w:val="00AF5F52"/>
    <w:rsid w:val="00AF6B5E"/>
    <w:rsid w:val="00AF6C3B"/>
    <w:rsid w:val="00AF7C4E"/>
    <w:rsid w:val="00B004CD"/>
    <w:rsid w:val="00B017BB"/>
    <w:rsid w:val="00B01A96"/>
    <w:rsid w:val="00B0200B"/>
    <w:rsid w:val="00B023E3"/>
    <w:rsid w:val="00B02417"/>
    <w:rsid w:val="00B02D37"/>
    <w:rsid w:val="00B03407"/>
    <w:rsid w:val="00B03AE8"/>
    <w:rsid w:val="00B0476B"/>
    <w:rsid w:val="00B05337"/>
    <w:rsid w:val="00B05772"/>
    <w:rsid w:val="00B059C7"/>
    <w:rsid w:val="00B06452"/>
    <w:rsid w:val="00B070F4"/>
    <w:rsid w:val="00B07352"/>
    <w:rsid w:val="00B10217"/>
    <w:rsid w:val="00B10F7E"/>
    <w:rsid w:val="00B11667"/>
    <w:rsid w:val="00B12121"/>
    <w:rsid w:val="00B12672"/>
    <w:rsid w:val="00B126F8"/>
    <w:rsid w:val="00B1295D"/>
    <w:rsid w:val="00B12E32"/>
    <w:rsid w:val="00B12FF5"/>
    <w:rsid w:val="00B13153"/>
    <w:rsid w:val="00B131A8"/>
    <w:rsid w:val="00B13352"/>
    <w:rsid w:val="00B13A79"/>
    <w:rsid w:val="00B14718"/>
    <w:rsid w:val="00B1592C"/>
    <w:rsid w:val="00B15BF0"/>
    <w:rsid w:val="00B1624F"/>
    <w:rsid w:val="00B16ACE"/>
    <w:rsid w:val="00B17684"/>
    <w:rsid w:val="00B176D6"/>
    <w:rsid w:val="00B179A1"/>
    <w:rsid w:val="00B21796"/>
    <w:rsid w:val="00B21D69"/>
    <w:rsid w:val="00B21F67"/>
    <w:rsid w:val="00B22805"/>
    <w:rsid w:val="00B228E1"/>
    <w:rsid w:val="00B22F79"/>
    <w:rsid w:val="00B233EB"/>
    <w:rsid w:val="00B2341D"/>
    <w:rsid w:val="00B23C14"/>
    <w:rsid w:val="00B23CE6"/>
    <w:rsid w:val="00B23F6E"/>
    <w:rsid w:val="00B24B4B"/>
    <w:rsid w:val="00B25623"/>
    <w:rsid w:val="00B256E1"/>
    <w:rsid w:val="00B25EED"/>
    <w:rsid w:val="00B27420"/>
    <w:rsid w:val="00B3035A"/>
    <w:rsid w:val="00B30AB7"/>
    <w:rsid w:val="00B31356"/>
    <w:rsid w:val="00B31DBB"/>
    <w:rsid w:val="00B3213A"/>
    <w:rsid w:val="00B330CD"/>
    <w:rsid w:val="00B3352C"/>
    <w:rsid w:val="00B33BBB"/>
    <w:rsid w:val="00B34621"/>
    <w:rsid w:val="00B348B5"/>
    <w:rsid w:val="00B34C72"/>
    <w:rsid w:val="00B355A1"/>
    <w:rsid w:val="00B3580C"/>
    <w:rsid w:val="00B35BF8"/>
    <w:rsid w:val="00B36BEF"/>
    <w:rsid w:val="00B3764E"/>
    <w:rsid w:val="00B3786F"/>
    <w:rsid w:val="00B37FA9"/>
    <w:rsid w:val="00B40332"/>
    <w:rsid w:val="00B40E85"/>
    <w:rsid w:val="00B419C3"/>
    <w:rsid w:val="00B41C5C"/>
    <w:rsid w:val="00B428BE"/>
    <w:rsid w:val="00B429B8"/>
    <w:rsid w:val="00B4409D"/>
    <w:rsid w:val="00B44481"/>
    <w:rsid w:val="00B44790"/>
    <w:rsid w:val="00B44AFF"/>
    <w:rsid w:val="00B44BB0"/>
    <w:rsid w:val="00B45037"/>
    <w:rsid w:val="00B464A0"/>
    <w:rsid w:val="00B46A68"/>
    <w:rsid w:val="00B47346"/>
    <w:rsid w:val="00B476D3"/>
    <w:rsid w:val="00B478E7"/>
    <w:rsid w:val="00B47FAE"/>
    <w:rsid w:val="00B50ECE"/>
    <w:rsid w:val="00B50FEC"/>
    <w:rsid w:val="00B51151"/>
    <w:rsid w:val="00B51A80"/>
    <w:rsid w:val="00B51DD0"/>
    <w:rsid w:val="00B522E5"/>
    <w:rsid w:val="00B53234"/>
    <w:rsid w:val="00B535D5"/>
    <w:rsid w:val="00B53862"/>
    <w:rsid w:val="00B54635"/>
    <w:rsid w:val="00B552D3"/>
    <w:rsid w:val="00B5577D"/>
    <w:rsid w:val="00B55902"/>
    <w:rsid w:val="00B55F1C"/>
    <w:rsid w:val="00B56789"/>
    <w:rsid w:val="00B56F3F"/>
    <w:rsid w:val="00B57059"/>
    <w:rsid w:val="00B57B0F"/>
    <w:rsid w:val="00B57DB8"/>
    <w:rsid w:val="00B60373"/>
    <w:rsid w:val="00B60B0F"/>
    <w:rsid w:val="00B61005"/>
    <w:rsid w:val="00B61B0F"/>
    <w:rsid w:val="00B6229D"/>
    <w:rsid w:val="00B624E2"/>
    <w:rsid w:val="00B62B7A"/>
    <w:rsid w:val="00B62BA9"/>
    <w:rsid w:val="00B62D01"/>
    <w:rsid w:val="00B6357F"/>
    <w:rsid w:val="00B6445D"/>
    <w:rsid w:val="00B6467E"/>
    <w:rsid w:val="00B65283"/>
    <w:rsid w:val="00B658C3"/>
    <w:rsid w:val="00B66291"/>
    <w:rsid w:val="00B6675B"/>
    <w:rsid w:val="00B6682A"/>
    <w:rsid w:val="00B66B17"/>
    <w:rsid w:val="00B67283"/>
    <w:rsid w:val="00B67767"/>
    <w:rsid w:val="00B70CF1"/>
    <w:rsid w:val="00B70F22"/>
    <w:rsid w:val="00B72103"/>
    <w:rsid w:val="00B728FC"/>
    <w:rsid w:val="00B72A63"/>
    <w:rsid w:val="00B72FF4"/>
    <w:rsid w:val="00B73416"/>
    <w:rsid w:val="00B7356E"/>
    <w:rsid w:val="00B735DF"/>
    <w:rsid w:val="00B73750"/>
    <w:rsid w:val="00B75049"/>
    <w:rsid w:val="00B75232"/>
    <w:rsid w:val="00B772E2"/>
    <w:rsid w:val="00B77A38"/>
    <w:rsid w:val="00B77F2B"/>
    <w:rsid w:val="00B806FD"/>
    <w:rsid w:val="00B8097C"/>
    <w:rsid w:val="00B819BB"/>
    <w:rsid w:val="00B81D66"/>
    <w:rsid w:val="00B8243B"/>
    <w:rsid w:val="00B82594"/>
    <w:rsid w:val="00B82B5C"/>
    <w:rsid w:val="00B830F7"/>
    <w:rsid w:val="00B8375D"/>
    <w:rsid w:val="00B83B7A"/>
    <w:rsid w:val="00B84693"/>
    <w:rsid w:val="00B84B69"/>
    <w:rsid w:val="00B85BED"/>
    <w:rsid w:val="00B864AB"/>
    <w:rsid w:val="00B866A4"/>
    <w:rsid w:val="00B871A7"/>
    <w:rsid w:val="00B873FA"/>
    <w:rsid w:val="00B87AD2"/>
    <w:rsid w:val="00B87B46"/>
    <w:rsid w:val="00B87F41"/>
    <w:rsid w:val="00B90750"/>
    <w:rsid w:val="00B90C17"/>
    <w:rsid w:val="00B916E4"/>
    <w:rsid w:val="00B91C94"/>
    <w:rsid w:val="00B92D0D"/>
    <w:rsid w:val="00B93311"/>
    <w:rsid w:val="00B9370B"/>
    <w:rsid w:val="00B93786"/>
    <w:rsid w:val="00B9516D"/>
    <w:rsid w:val="00B9528D"/>
    <w:rsid w:val="00B96888"/>
    <w:rsid w:val="00B96C11"/>
    <w:rsid w:val="00B970C6"/>
    <w:rsid w:val="00BA0766"/>
    <w:rsid w:val="00BA0A60"/>
    <w:rsid w:val="00BA0FC7"/>
    <w:rsid w:val="00BA1E8F"/>
    <w:rsid w:val="00BA29FE"/>
    <w:rsid w:val="00BA2AE7"/>
    <w:rsid w:val="00BA36CC"/>
    <w:rsid w:val="00BA38A0"/>
    <w:rsid w:val="00BA4310"/>
    <w:rsid w:val="00BA4349"/>
    <w:rsid w:val="00BA440A"/>
    <w:rsid w:val="00BA4906"/>
    <w:rsid w:val="00BA49FF"/>
    <w:rsid w:val="00BA54F0"/>
    <w:rsid w:val="00BA58EA"/>
    <w:rsid w:val="00BA5A2F"/>
    <w:rsid w:val="00BA6836"/>
    <w:rsid w:val="00BA6DE4"/>
    <w:rsid w:val="00BA6E5D"/>
    <w:rsid w:val="00BA7013"/>
    <w:rsid w:val="00BB129E"/>
    <w:rsid w:val="00BB1DE2"/>
    <w:rsid w:val="00BB26E2"/>
    <w:rsid w:val="00BB2B2F"/>
    <w:rsid w:val="00BB2D72"/>
    <w:rsid w:val="00BB38A9"/>
    <w:rsid w:val="00BB3C64"/>
    <w:rsid w:val="00BB41AD"/>
    <w:rsid w:val="00BB4FB0"/>
    <w:rsid w:val="00BB5ECD"/>
    <w:rsid w:val="00BB5F51"/>
    <w:rsid w:val="00BB6521"/>
    <w:rsid w:val="00BC0036"/>
    <w:rsid w:val="00BC036E"/>
    <w:rsid w:val="00BC059D"/>
    <w:rsid w:val="00BC11DD"/>
    <w:rsid w:val="00BC16B3"/>
    <w:rsid w:val="00BC1FD2"/>
    <w:rsid w:val="00BC247B"/>
    <w:rsid w:val="00BC24F5"/>
    <w:rsid w:val="00BC2740"/>
    <w:rsid w:val="00BC27EB"/>
    <w:rsid w:val="00BC440C"/>
    <w:rsid w:val="00BC4435"/>
    <w:rsid w:val="00BC4E64"/>
    <w:rsid w:val="00BC5447"/>
    <w:rsid w:val="00BC5E1C"/>
    <w:rsid w:val="00BC665E"/>
    <w:rsid w:val="00BC6AAC"/>
    <w:rsid w:val="00BD0480"/>
    <w:rsid w:val="00BD089D"/>
    <w:rsid w:val="00BD0D3C"/>
    <w:rsid w:val="00BD201A"/>
    <w:rsid w:val="00BD256D"/>
    <w:rsid w:val="00BD2D67"/>
    <w:rsid w:val="00BD3C34"/>
    <w:rsid w:val="00BD4553"/>
    <w:rsid w:val="00BD4919"/>
    <w:rsid w:val="00BD50AB"/>
    <w:rsid w:val="00BD5686"/>
    <w:rsid w:val="00BD56C7"/>
    <w:rsid w:val="00BD5D8A"/>
    <w:rsid w:val="00BD616A"/>
    <w:rsid w:val="00BD773B"/>
    <w:rsid w:val="00BD7A3D"/>
    <w:rsid w:val="00BE0757"/>
    <w:rsid w:val="00BE07AD"/>
    <w:rsid w:val="00BE1AF1"/>
    <w:rsid w:val="00BE20E7"/>
    <w:rsid w:val="00BE350D"/>
    <w:rsid w:val="00BE36DC"/>
    <w:rsid w:val="00BE441F"/>
    <w:rsid w:val="00BE56F4"/>
    <w:rsid w:val="00BE627F"/>
    <w:rsid w:val="00BE7ACF"/>
    <w:rsid w:val="00BF176E"/>
    <w:rsid w:val="00BF1F24"/>
    <w:rsid w:val="00BF293E"/>
    <w:rsid w:val="00BF2E67"/>
    <w:rsid w:val="00BF30B1"/>
    <w:rsid w:val="00BF4AC3"/>
    <w:rsid w:val="00BF516A"/>
    <w:rsid w:val="00BF6453"/>
    <w:rsid w:val="00BF68F6"/>
    <w:rsid w:val="00BF70C5"/>
    <w:rsid w:val="00BF7C2B"/>
    <w:rsid w:val="00C0005C"/>
    <w:rsid w:val="00C0051E"/>
    <w:rsid w:val="00C00846"/>
    <w:rsid w:val="00C01573"/>
    <w:rsid w:val="00C0163E"/>
    <w:rsid w:val="00C0165C"/>
    <w:rsid w:val="00C01795"/>
    <w:rsid w:val="00C01887"/>
    <w:rsid w:val="00C02230"/>
    <w:rsid w:val="00C04513"/>
    <w:rsid w:val="00C05A69"/>
    <w:rsid w:val="00C05B5C"/>
    <w:rsid w:val="00C0667B"/>
    <w:rsid w:val="00C06B56"/>
    <w:rsid w:val="00C1020F"/>
    <w:rsid w:val="00C10E90"/>
    <w:rsid w:val="00C1111F"/>
    <w:rsid w:val="00C12C7F"/>
    <w:rsid w:val="00C12D3B"/>
    <w:rsid w:val="00C12EC4"/>
    <w:rsid w:val="00C13A42"/>
    <w:rsid w:val="00C15718"/>
    <w:rsid w:val="00C15F7D"/>
    <w:rsid w:val="00C16C22"/>
    <w:rsid w:val="00C2106D"/>
    <w:rsid w:val="00C2144E"/>
    <w:rsid w:val="00C222FF"/>
    <w:rsid w:val="00C223B5"/>
    <w:rsid w:val="00C22B40"/>
    <w:rsid w:val="00C22F83"/>
    <w:rsid w:val="00C243DB"/>
    <w:rsid w:val="00C243E4"/>
    <w:rsid w:val="00C246FC"/>
    <w:rsid w:val="00C278B8"/>
    <w:rsid w:val="00C27D6F"/>
    <w:rsid w:val="00C27FD2"/>
    <w:rsid w:val="00C3104E"/>
    <w:rsid w:val="00C32701"/>
    <w:rsid w:val="00C32D77"/>
    <w:rsid w:val="00C32E9C"/>
    <w:rsid w:val="00C332CD"/>
    <w:rsid w:val="00C33435"/>
    <w:rsid w:val="00C33478"/>
    <w:rsid w:val="00C343E3"/>
    <w:rsid w:val="00C34DB7"/>
    <w:rsid w:val="00C35985"/>
    <w:rsid w:val="00C35EAC"/>
    <w:rsid w:val="00C35EC5"/>
    <w:rsid w:val="00C377D4"/>
    <w:rsid w:val="00C3793A"/>
    <w:rsid w:val="00C40531"/>
    <w:rsid w:val="00C40F9F"/>
    <w:rsid w:val="00C41314"/>
    <w:rsid w:val="00C41343"/>
    <w:rsid w:val="00C42101"/>
    <w:rsid w:val="00C42CAD"/>
    <w:rsid w:val="00C43F41"/>
    <w:rsid w:val="00C4527A"/>
    <w:rsid w:val="00C45320"/>
    <w:rsid w:val="00C455B1"/>
    <w:rsid w:val="00C45F71"/>
    <w:rsid w:val="00C46173"/>
    <w:rsid w:val="00C464CE"/>
    <w:rsid w:val="00C46972"/>
    <w:rsid w:val="00C47CB6"/>
    <w:rsid w:val="00C47F00"/>
    <w:rsid w:val="00C502D5"/>
    <w:rsid w:val="00C5067C"/>
    <w:rsid w:val="00C50728"/>
    <w:rsid w:val="00C509FB"/>
    <w:rsid w:val="00C50DB2"/>
    <w:rsid w:val="00C51186"/>
    <w:rsid w:val="00C51F4C"/>
    <w:rsid w:val="00C52070"/>
    <w:rsid w:val="00C527DD"/>
    <w:rsid w:val="00C52C63"/>
    <w:rsid w:val="00C52D0A"/>
    <w:rsid w:val="00C52D98"/>
    <w:rsid w:val="00C53C2B"/>
    <w:rsid w:val="00C53FB4"/>
    <w:rsid w:val="00C540A6"/>
    <w:rsid w:val="00C541A8"/>
    <w:rsid w:val="00C55B2C"/>
    <w:rsid w:val="00C56194"/>
    <w:rsid w:val="00C5639F"/>
    <w:rsid w:val="00C56D18"/>
    <w:rsid w:val="00C5742B"/>
    <w:rsid w:val="00C577D5"/>
    <w:rsid w:val="00C6061B"/>
    <w:rsid w:val="00C60667"/>
    <w:rsid w:val="00C60850"/>
    <w:rsid w:val="00C60D8C"/>
    <w:rsid w:val="00C60EE8"/>
    <w:rsid w:val="00C615AE"/>
    <w:rsid w:val="00C615C1"/>
    <w:rsid w:val="00C616E5"/>
    <w:rsid w:val="00C629DD"/>
    <w:rsid w:val="00C62A03"/>
    <w:rsid w:val="00C62E02"/>
    <w:rsid w:val="00C63A24"/>
    <w:rsid w:val="00C63E32"/>
    <w:rsid w:val="00C64E52"/>
    <w:rsid w:val="00C65ED3"/>
    <w:rsid w:val="00C65F9F"/>
    <w:rsid w:val="00C66210"/>
    <w:rsid w:val="00C66B0C"/>
    <w:rsid w:val="00C66BC4"/>
    <w:rsid w:val="00C66DAE"/>
    <w:rsid w:val="00C66F61"/>
    <w:rsid w:val="00C70657"/>
    <w:rsid w:val="00C714E9"/>
    <w:rsid w:val="00C714FD"/>
    <w:rsid w:val="00C71689"/>
    <w:rsid w:val="00C7195E"/>
    <w:rsid w:val="00C71AA7"/>
    <w:rsid w:val="00C73ACF"/>
    <w:rsid w:val="00C73EC2"/>
    <w:rsid w:val="00C746BE"/>
    <w:rsid w:val="00C74966"/>
    <w:rsid w:val="00C7519B"/>
    <w:rsid w:val="00C767B2"/>
    <w:rsid w:val="00C77B77"/>
    <w:rsid w:val="00C805C4"/>
    <w:rsid w:val="00C8088F"/>
    <w:rsid w:val="00C81351"/>
    <w:rsid w:val="00C81B5F"/>
    <w:rsid w:val="00C82ED5"/>
    <w:rsid w:val="00C8351B"/>
    <w:rsid w:val="00C841C6"/>
    <w:rsid w:val="00C84C4F"/>
    <w:rsid w:val="00C84D8E"/>
    <w:rsid w:val="00C84F5C"/>
    <w:rsid w:val="00C86810"/>
    <w:rsid w:val="00C8696C"/>
    <w:rsid w:val="00C87BF5"/>
    <w:rsid w:val="00C91088"/>
    <w:rsid w:val="00C9196A"/>
    <w:rsid w:val="00C92B75"/>
    <w:rsid w:val="00C92ED6"/>
    <w:rsid w:val="00C9319C"/>
    <w:rsid w:val="00C945DF"/>
    <w:rsid w:val="00C95285"/>
    <w:rsid w:val="00C95325"/>
    <w:rsid w:val="00C9535E"/>
    <w:rsid w:val="00C95992"/>
    <w:rsid w:val="00C969CA"/>
    <w:rsid w:val="00C96A7F"/>
    <w:rsid w:val="00C96B4A"/>
    <w:rsid w:val="00C96E29"/>
    <w:rsid w:val="00C97678"/>
    <w:rsid w:val="00C97893"/>
    <w:rsid w:val="00C9798E"/>
    <w:rsid w:val="00C97B2D"/>
    <w:rsid w:val="00C97CD2"/>
    <w:rsid w:val="00C97FAD"/>
    <w:rsid w:val="00CA0832"/>
    <w:rsid w:val="00CA0981"/>
    <w:rsid w:val="00CA11BB"/>
    <w:rsid w:val="00CA1A92"/>
    <w:rsid w:val="00CA1F0D"/>
    <w:rsid w:val="00CA2158"/>
    <w:rsid w:val="00CA3854"/>
    <w:rsid w:val="00CA3A01"/>
    <w:rsid w:val="00CA3AB1"/>
    <w:rsid w:val="00CA4747"/>
    <w:rsid w:val="00CA4BDA"/>
    <w:rsid w:val="00CA4C52"/>
    <w:rsid w:val="00CA5328"/>
    <w:rsid w:val="00CA5646"/>
    <w:rsid w:val="00CA5679"/>
    <w:rsid w:val="00CA5D94"/>
    <w:rsid w:val="00CA6A5A"/>
    <w:rsid w:val="00CA703F"/>
    <w:rsid w:val="00CB089F"/>
    <w:rsid w:val="00CB11A9"/>
    <w:rsid w:val="00CB1CCF"/>
    <w:rsid w:val="00CB2068"/>
    <w:rsid w:val="00CB2CBF"/>
    <w:rsid w:val="00CB37AC"/>
    <w:rsid w:val="00CB589F"/>
    <w:rsid w:val="00CB59F8"/>
    <w:rsid w:val="00CB6002"/>
    <w:rsid w:val="00CB718A"/>
    <w:rsid w:val="00CB7BFF"/>
    <w:rsid w:val="00CC0A31"/>
    <w:rsid w:val="00CC1339"/>
    <w:rsid w:val="00CC1FCD"/>
    <w:rsid w:val="00CC2B1C"/>
    <w:rsid w:val="00CC2EEC"/>
    <w:rsid w:val="00CC3A30"/>
    <w:rsid w:val="00CC404C"/>
    <w:rsid w:val="00CC459F"/>
    <w:rsid w:val="00CC49A5"/>
    <w:rsid w:val="00CC53B6"/>
    <w:rsid w:val="00CC5BF3"/>
    <w:rsid w:val="00CC68AC"/>
    <w:rsid w:val="00CC6B89"/>
    <w:rsid w:val="00CC77CF"/>
    <w:rsid w:val="00CD23F8"/>
    <w:rsid w:val="00CD2448"/>
    <w:rsid w:val="00CD32EB"/>
    <w:rsid w:val="00CD3972"/>
    <w:rsid w:val="00CD46FD"/>
    <w:rsid w:val="00CD5A77"/>
    <w:rsid w:val="00CD7528"/>
    <w:rsid w:val="00CD7621"/>
    <w:rsid w:val="00CD7906"/>
    <w:rsid w:val="00CD7C8D"/>
    <w:rsid w:val="00CE1496"/>
    <w:rsid w:val="00CE174A"/>
    <w:rsid w:val="00CE1E0F"/>
    <w:rsid w:val="00CE1E6D"/>
    <w:rsid w:val="00CE28C8"/>
    <w:rsid w:val="00CE34B4"/>
    <w:rsid w:val="00CE44D4"/>
    <w:rsid w:val="00CE4725"/>
    <w:rsid w:val="00CE535A"/>
    <w:rsid w:val="00CE56F7"/>
    <w:rsid w:val="00CE5E7A"/>
    <w:rsid w:val="00CE6942"/>
    <w:rsid w:val="00CE6BF1"/>
    <w:rsid w:val="00CE74CD"/>
    <w:rsid w:val="00CE7503"/>
    <w:rsid w:val="00CE7B3C"/>
    <w:rsid w:val="00CE7CEE"/>
    <w:rsid w:val="00CF0427"/>
    <w:rsid w:val="00CF08B7"/>
    <w:rsid w:val="00CF09B1"/>
    <w:rsid w:val="00CF1769"/>
    <w:rsid w:val="00CF19F5"/>
    <w:rsid w:val="00CF232D"/>
    <w:rsid w:val="00CF29F4"/>
    <w:rsid w:val="00CF3478"/>
    <w:rsid w:val="00CF34E5"/>
    <w:rsid w:val="00CF35DD"/>
    <w:rsid w:val="00CF3DC1"/>
    <w:rsid w:val="00CF4868"/>
    <w:rsid w:val="00CF4D84"/>
    <w:rsid w:val="00CF5025"/>
    <w:rsid w:val="00CF5E56"/>
    <w:rsid w:val="00CF64AB"/>
    <w:rsid w:val="00CF69F0"/>
    <w:rsid w:val="00CF71AD"/>
    <w:rsid w:val="00CF7EE1"/>
    <w:rsid w:val="00D0087B"/>
    <w:rsid w:val="00D00E33"/>
    <w:rsid w:val="00D01E6F"/>
    <w:rsid w:val="00D0404D"/>
    <w:rsid w:val="00D041D1"/>
    <w:rsid w:val="00D04DE8"/>
    <w:rsid w:val="00D055D9"/>
    <w:rsid w:val="00D05916"/>
    <w:rsid w:val="00D05B48"/>
    <w:rsid w:val="00D05E2C"/>
    <w:rsid w:val="00D05FE2"/>
    <w:rsid w:val="00D06C42"/>
    <w:rsid w:val="00D070EF"/>
    <w:rsid w:val="00D071B8"/>
    <w:rsid w:val="00D07432"/>
    <w:rsid w:val="00D07FC1"/>
    <w:rsid w:val="00D110CD"/>
    <w:rsid w:val="00D11538"/>
    <w:rsid w:val="00D11625"/>
    <w:rsid w:val="00D119C0"/>
    <w:rsid w:val="00D1245E"/>
    <w:rsid w:val="00D12A52"/>
    <w:rsid w:val="00D12C41"/>
    <w:rsid w:val="00D13094"/>
    <w:rsid w:val="00D13221"/>
    <w:rsid w:val="00D14D2F"/>
    <w:rsid w:val="00D154BD"/>
    <w:rsid w:val="00D15AA2"/>
    <w:rsid w:val="00D1611A"/>
    <w:rsid w:val="00D1619C"/>
    <w:rsid w:val="00D16871"/>
    <w:rsid w:val="00D16C34"/>
    <w:rsid w:val="00D17B0D"/>
    <w:rsid w:val="00D2012C"/>
    <w:rsid w:val="00D20818"/>
    <w:rsid w:val="00D20880"/>
    <w:rsid w:val="00D20CB1"/>
    <w:rsid w:val="00D2112C"/>
    <w:rsid w:val="00D21924"/>
    <w:rsid w:val="00D21DEE"/>
    <w:rsid w:val="00D21EF6"/>
    <w:rsid w:val="00D22EA5"/>
    <w:rsid w:val="00D232F1"/>
    <w:rsid w:val="00D23678"/>
    <w:rsid w:val="00D23CCF"/>
    <w:rsid w:val="00D24256"/>
    <w:rsid w:val="00D245EB"/>
    <w:rsid w:val="00D24758"/>
    <w:rsid w:val="00D25350"/>
    <w:rsid w:val="00D25754"/>
    <w:rsid w:val="00D257DB"/>
    <w:rsid w:val="00D25B6B"/>
    <w:rsid w:val="00D260FE"/>
    <w:rsid w:val="00D30025"/>
    <w:rsid w:val="00D3037B"/>
    <w:rsid w:val="00D30612"/>
    <w:rsid w:val="00D30AED"/>
    <w:rsid w:val="00D31452"/>
    <w:rsid w:val="00D314FD"/>
    <w:rsid w:val="00D3170D"/>
    <w:rsid w:val="00D321ED"/>
    <w:rsid w:val="00D32F97"/>
    <w:rsid w:val="00D3346C"/>
    <w:rsid w:val="00D334E7"/>
    <w:rsid w:val="00D33CC1"/>
    <w:rsid w:val="00D345A7"/>
    <w:rsid w:val="00D34AEB"/>
    <w:rsid w:val="00D34FE1"/>
    <w:rsid w:val="00D3533C"/>
    <w:rsid w:val="00D356C0"/>
    <w:rsid w:val="00D3598A"/>
    <w:rsid w:val="00D35FAE"/>
    <w:rsid w:val="00D37143"/>
    <w:rsid w:val="00D377CE"/>
    <w:rsid w:val="00D40283"/>
    <w:rsid w:val="00D404CF"/>
    <w:rsid w:val="00D40E48"/>
    <w:rsid w:val="00D41FE8"/>
    <w:rsid w:val="00D43ECB"/>
    <w:rsid w:val="00D455BA"/>
    <w:rsid w:val="00D459F7"/>
    <w:rsid w:val="00D45F70"/>
    <w:rsid w:val="00D46B1F"/>
    <w:rsid w:val="00D4788F"/>
    <w:rsid w:val="00D47EFB"/>
    <w:rsid w:val="00D50093"/>
    <w:rsid w:val="00D50A99"/>
    <w:rsid w:val="00D50B14"/>
    <w:rsid w:val="00D50DEE"/>
    <w:rsid w:val="00D534E1"/>
    <w:rsid w:val="00D53570"/>
    <w:rsid w:val="00D53835"/>
    <w:rsid w:val="00D53A80"/>
    <w:rsid w:val="00D541AF"/>
    <w:rsid w:val="00D54872"/>
    <w:rsid w:val="00D55357"/>
    <w:rsid w:val="00D55602"/>
    <w:rsid w:val="00D556C4"/>
    <w:rsid w:val="00D56445"/>
    <w:rsid w:val="00D564B9"/>
    <w:rsid w:val="00D56D84"/>
    <w:rsid w:val="00D576BA"/>
    <w:rsid w:val="00D57B97"/>
    <w:rsid w:val="00D6049C"/>
    <w:rsid w:val="00D608E5"/>
    <w:rsid w:val="00D61829"/>
    <w:rsid w:val="00D62155"/>
    <w:rsid w:val="00D62354"/>
    <w:rsid w:val="00D623C6"/>
    <w:rsid w:val="00D62DBE"/>
    <w:rsid w:val="00D62EB8"/>
    <w:rsid w:val="00D63C22"/>
    <w:rsid w:val="00D678BA"/>
    <w:rsid w:val="00D67C39"/>
    <w:rsid w:val="00D67DEC"/>
    <w:rsid w:val="00D67F6A"/>
    <w:rsid w:val="00D7111B"/>
    <w:rsid w:val="00D71BC8"/>
    <w:rsid w:val="00D72150"/>
    <w:rsid w:val="00D730EA"/>
    <w:rsid w:val="00D7397B"/>
    <w:rsid w:val="00D742F6"/>
    <w:rsid w:val="00D746A0"/>
    <w:rsid w:val="00D74AE2"/>
    <w:rsid w:val="00D75542"/>
    <w:rsid w:val="00D75CBB"/>
    <w:rsid w:val="00D75E94"/>
    <w:rsid w:val="00D76899"/>
    <w:rsid w:val="00D80318"/>
    <w:rsid w:val="00D80F13"/>
    <w:rsid w:val="00D812D8"/>
    <w:rsid w:val="00D81432"/>
    <w:rsid w:val="00D8191B"/>
    <w:rsid w:val="00D81A6E"/>
    <w:rsid w:val="00D826D0"/>
    <w:rsid w:val="00D8327C"/>
    <w:rsid w:val="00D8375F"/>
    <w:rsid w:val="00D83C4D"/>
    <w:rsid w:val="00D841AC"/>
    <w:rsid w:val="00D8517D"/>
    <w:rsid w:val="00D859E8"/>
    <w:rsid w:val="00D86194"/>
    <w:rsid w:val="00D866B1"/>
    <w:rsid w:val="00D871F9"/>
    <w:rsid w:val="00D873F4"/>
    <w:rsid w:val="00D906B3"/>
    <w:rsid w:val="00D90FC6"/>
    <w:rsid w:val="00D9181C"/>
    <w:rsid w:val="00D91CC2"/>
    <w:rsid w:val="00D92A35"/>
    <w:rsid w:val="00D92E9D"/>
    <w:rsid w:val="00D93C0E"/>
    <w:rsid w:val="00D93D95"/>
    <w:rsid w:val="00D93DFF"/>
    <w:rsid w:val="00D94C46"/>
    <w:rsid w:val="00D95EBC"/>
    <w:rsid w:val="00D95F6F"/>
    <w:rsid w:val="00D96007"/>
    <w:rsid w:val="00D9703B"/>
    <w:rsid w:val="00D976B5"/>
    <w:rsid w:val="00DA0300"/>
    <w:rsid w:val="00DA096F"/>
    <w:rsid w:val="00DA0A53"/>
    <w:rsid w:val="00DA0C11"/>
    <w:rsid w:val="00DA122F"/>
    <w:rsid w:val="00DA1D42"/>
    <w:rsid w:val="00DA1D55"/>
    <w:rsid w:val="00DA1DDF"/>
    <w:rsid w:val="00DA257F"/>
    <w:rsid w:val="00DA2701"/>
    <w:rsid w:val="00DA34DD"/>
    <w:rsid w:val="00DA3722"/>
    <w:rsid w:val="00DA42D0"/>
    <w:rsid w:val="00DA4E7A"/>
    <w:rsid w:val="00DA5C4E"/>
    <w:rsid w:val="00DA6010"/>
    <w:rsid w:val="00DA6202"/>
    <w:rsid w:val="00DA63AB"/>
    <w:rsid w:val="00DA7114"/>
    <w:rsid w:val="00DA75AB"/>
    <w:rsid w:val="00DA7A0F"/>
    <w:rsid w:val="00DB1F12"/>
    <w:rsid w:val="00DB3879"/>
    <w:rsid w:val="00DB3EF0"/>
    <w:rsid w:val="00DB528C"/>
    <w:rsid w:val="00DB5360"/>
    <w:rsid w:val="00DB5D45"/>
    <w:rsid w:val="00DB627D"/>
    <w:rsid w:val="00DB63F7"/>
    <w:rsid w:val="00DB64AA"/>
    <w:rsid w:val="00DB663A"/>
    <w:rsid w:val="00DB6F53"/>
    <w:rsid w:val="00DB76D5"/>
    <w:rsid w:val="00DB7CA0"/>
    <w:rsid w:val="00DC0A86"/>
    <w:rsid w:val="00DC1C10"/>
    <w:rsid w:val="00DC1F14"/>
    <w:rsid w:val="00DC25BD"/>
    <w:rsid w:val="00DC25DC"/>
    <w:rsid w:val="00DC271F"/>
    <w:rsid w:val="00DC2A31"/>
    <w:rsid w:val="00DC4287"/>
    <w:rsid w:val="00DC5EE7"/>
    <w:rsid w:val="00DC6127"/>
    <w:rsid w:val="00DC62F8"/>
    <w:rsid w:val="00DC66D8"/>
    <w:rsid w:val="00DC6CD0"/>
    <w:rsid w:val="00DC76F8"/>
    <w:rsid w:val="00DC7B21"/>
    <w:rsid w:val="00DD1E60"/>
    <w:rsid w:val="00DD24B2"/>
    <w:rsid w:val="00DD255E"/>
    <w:rsid w:val="00DD2C89"/>
    <w:rsid w:val="00DD2D9D"/>
    <w:rsid w:val="00DD3C04"/>
    <w:rsid w:val="00DD4023"/>
    <w:rsid w:val="00DD41F0"/>
    <w:rsid w:val="00DD4302"/>
    <w:rsid w:val="00DD4477"/>
    <w:rsid w:val="00DD4638"/>
    <w:rsid w:val="00DD4921"/>
    <w:rsid w:val="00DD5917"/>
    <w:rsid w:val="00DD6298"/>
    <w:rsid w:val="00DE037F"/>
    <w:rsid w:val="00DE1575"/>
    <w:rsid w:val="00DE1F6D"/>
    <w:rsid w:val="00DE281A"/>
    <w:rsid w:val="00DE314D"/>
    <w:rsid w:val="00DE478D"/>
    <w:rsid w:val="00DE4D03"/>
    <w:rsid w:val="00DE5A39"/>
    <w:rsid w:val="00DE6CCB"/>
    <w:rsid w:val="00DE7383"/>
    <w:rsid w:val="00DE758A"/>
    <w:rsid w:val="00DF11EC"/>
    <w:rsid w:val="00DF15CA"/>
    <w:rsid w:val="00DF17A2"/>
    <w:rsid w:val="00DF2D3D"/>
    <w:rsid w:val="00DF364C"/>
    <w:rsid w:val="00DF41CD"/>
    <w:rsid w:val="00DF4491"/>
    <w:rsid w:val="00DF525A"/>
    <w:rsid w:val="00DF57CC"/>
    <w:rsid w:val="00DF6072"/>
    <w:rsid w:val="00DF7411"/>
    <w:rsid w:val="00DF7D5C"/>
    <w:rsid w:val="00E014CD"/>
    <w:rsid w:val="00E01B17"/>
    <w:rsid w:val="00E02239"/>
    <w:rsid w:val="00E028FA"/>
    <w:rsid w:val="00E02913"/>
    <w:rsid w:val="00E0452E"/>
    <w:rsid w:val="00E04708"/>
    <w:rsid w:val="00E04CB1"/>
    <w:rsid w:val="00E057B0"/>
    <w:rsid w:val="00E06F74"/>
    <w:rsid w:val="00E07318"/>
    <w:rsid w:val="00E10154"/>
    <w:rsid w:val="00E1057B"/>
    <w:rsid w:val="00E12696"/>
    <w:rsid w:val="00E12F22"/>
    <w:rsid w:val="00E1306D"/>
    <w:rsid w:val="00E1390D"/>
    <w:rsid w:val="00E13C9D"/>
    <w:rsid w:val="00E14DCC"/>
    <w:rsid w:val="00E15158"/>
    <w:rsid w:val="00E16F09"/>
    <w:rsid w:val="00E170E1"/>
    <w:rsid w:val="00E174C6"/>
    <w:rsid w:val="00E20818"/>
    <w:rsid w:val="00E20C38"/>
    <w:rsid w:val="00E20D3C"/>
    <w:rsid w:val="00E20F80"/>
    <w:rsid w:val="00E23962"/>
    <w:rsid w:val="00E24181"/>
    <w:rsid w:val="00E244B1"/>
    <w:rsid w:val="00E2478F"/>
    <w:rsid w:val="00E257A8"/>
    <w:rsid w:val="00E25B87"/>
    <w:rsid w:val="00E25E03"/>
    <w:rsid w:val="00E2638B"/>
    <w:rsid w:val="00E26479"/>
    <w:rsid w:val="00E26F73"/>
    <w:rsid w:val="00E2703E"/>
    <w:rsid w:val="00E27EC9"/>
    <w:rsid w:val="00E3137C"/>
    <w:rsid w:val="00E3183E"/>
    <w:rsid w:val="00E31875"/>
    <w:rsid w:val="00E31D1E"/>
    <w:rsid w:val="00E31F26"/>
    <w:rsid w:val="00E32124"/>
    <w:rsid w:val="00E3324E"/>
    <w:rsid w:val="00E3357E"/>
    <w:rsid w:val="00E36719"/>
    <w:rsid w:val="00E3794E"/>
    <w:rsid w:val="00E40C29"/>
    <w:rsid w:val="00E40F47"/>
    <w:rsid w:val="00E41647"/>
    <w:rsid w:val="00E41D91"/>
    <w:rsid w:val="00E429A5"/>
    <w:rsid w:val="00E42AC8"/>
    <w:rsid w:val="00E430C3"/>
    <w:rsid w:val="00E43C1C"/>
    <w:rsid w:val="00E43F9B"/>
    <w:rsid w:val="00E447D2"/>
    <w:rsid w:val="00E472CF"/>
    <w:rsid w:val="00E51519"/>
    <w:rsid w:val="00E526BC"/>
    <w:rsid w:val="00E52AD6"/>
    <w:rsid w:val="00E52F19"/>
    <w:rsid w:val="00E52FB8"/>
    <w:rsid w:val="00E54ABE"/>
    <w:rsid w:val="00E54C69"/>
    <w:rsid w:val="00E55D2D"/>
    <w:rsid w:val="00E5600F"/>
    <w:rsid w:val="00E5602B"/>
    <w:rsid w:val="00E56409"/>
    <w:rsid w:val="00E5726A"/>
    <w:rsid w:val="00E572F7"/>
    <w:rsid w:val="00E5768E"/>
    <w:rsid w:val="00E6032B"/>
    <w:rsid w:val="00E604A5"/>
    <w:rsid w:val="00E609F5"/>
    <w:rsid w:val="00E611E2"/>
    <w:rsid w:val="00E61B6D"/>
    <w:rsid w:val="00E61BA4"/>
    <w:rsid w:val="00E61F50"/>
    <w:rsid w:val="00E6248F"/>
    <w:rsid w:val="00E633B8"/>
    <w:rsid w:val="00E64F86"/>
    <w:rsid w:val="00E657AC"/>
    <w:rsid w:val="00E66183"/>
    <w:rsid w:val="00E67C87"/>
    <w:rsid w:val="00E7046A"/>
    <w:rsid w:val="00E7047D"/>
    <w:rsid w:val="00E70D81"/>
    <w:rsid w:val="00E74D62"/>
    <w:rsid w:val="00E74DD2"/>
    <w:rsid w:val="00E75E22"/>
    <w:rsid w:val="00E76D91"/>
    <w:rsid w:val="00E76DA0"/>
    <w:rsid w:val="00E77F83"/>
    <w:rsid w:val="00E77FBC"/>
    <w:rsid w:val="00E81916"/>
    <w:rsid w:val="00E81EF8"/>
    <w:rsid w:val="00E81F41"/>
    <w:rsid w:val="00E83A3D"/>
    <w:rsid w:val="00E83BDB"/>
    <w:rsid w:val="00E83D0E"/>
    <w:rsid w:val="00E84321"/>
    <w:rsid w:val="00E84804"/>
    <w:rsid w:val="00E84825"/>
    <w:rsid w:val="00E84972"/>
    <w:rsid w:val="00E85B48"/>
    <w:rsid w:val="00E85ECA"/>
    <w:rsid w:val="00E87454"/>
    <w:rsid w:val="00E87799"/>
    <w:rsid w:val="00E87DF1"/>
    <w:rsid w:val="00E928A5"/>
    <w:rsid w:val="00E93510"/>
    <w:rsid w:val="00E93939"/>
    <w:rsid w:val="00E93B66"/>
    <w:rsid w:val="00E93B82"/>
    <w:rsid w:val="00E94209"/>
    <w:rsid w:val="00E9442C"/>
    <w:rsid w:val="00E947B7"/>
    <w:rsid w:val="00E94ADB"/>
    <w:rsid w:val="00E94C80"/>
    <w:rsid w:val="00E9564B"/>
    <w:rsid w:val="00E95C93"/>
    <w:rsid w:val="00E95E53"/>
    <w:rsid w:val="00E97198"/>
    <w:rsid w:val="00E97FCB"/>
    <w:rsid w:val="00EA0B4B"/>
    <w:rsid w:val="00EA2370"/>
    <w:rsid w:val="00EA4139"/>
    <w:rsid w:val="00EA415E"/>
    <w:rsid w:val="00EA49D8"/>
    <w:rsid w:val="00EA4A3E"/>
    <w:rsid w:val="00EA56AA"/>
    <w:rsid w:val="00EA59B4"/>
    <w:rsid w:val="00EA5C22"/>
    <w:rsid w:val="00EA5CCF"/>
    <w:rsid w:val="00EA6779"/>
    <w:rsid w:val="00EA709F"/>
    <w:rsid w:val="00EA774A"/>
    <w:rsid w:val="00EA7C8F"/>
    <w:rsid w:val="00EB0752"/>
    <w:rsid w:val="00EB209D"/>
    <w:rsid w:val="00EB2741"/>
    <w:rsid w:val="00EB280C"/>
    <w:rsid w:val="00EB2E74"/>
    <w:rsid w:val="00EB3397"/>
    <w:rsid w:val="00EB340F"/>
    <w:rsid w:val="00EB512A"/>
    <w:rsid w:val="00EB6391"/>
    <w:rsid w:val="00EB67E0"/>
    <w:rsid w:val="00EB6C21"/>
    <w:rsid w:val="00EC01F4"/>
    <w:rsid w:val="00EC0691"/>
    <w:rsid w:val="00EC08AB"/>
    <w:rsid w:val="00EC0C2F"/>
    <w:rsid w:val="00EC0D71"/>
    <w:rsid w:val="00EC21DF"/>
    <w:rsid w:val="00EC2243"/>
    <w:rsid w:val="00EC2542"/>
    <w:rsid w:val="00EC2CA7"/>
    <w:rsid w:val="00EC2D45"/>
    <w:rsid w:val="00EC2EEA"/>
    <w:rsid w:val="00EC37AE"/>
    <w:rsid w:val="00EC3D74"/>
    <w:rsid w:val="00EC4ABC"/>
    <w:rsid w:val="00EC4ED6"/>
    <w:rsid w:val="00EC509E"/>
    <w:rsid w:val="00EC544D"/>
    <w:rsid w:val="00EC5503"/>
    <w:rsid w:val="00EC6A07"/>
    <w:rsid w:val="00EC7583"/>
    <w:rsid w:val="00ED0B53"/>
    <w:rsid w:val="00ED0FA0"/>
    <w:rsid w:val="00ED27C4"/>
    <w:rsid w:val="00ED3876"/>
    <w:rsid w:val="00ED3BF5"/>
    <w:rsid w:val="00ED56FD"/>
    <w:rsid w:val="00ED617E"/>
    <w:rsid w:val="00ED6358"/>
    <w:rsid w:val="00ED64B1"/>
    <w:rsid w:val="00ED64DC"/>
    <w:rsid w:val="00ED6EE5"/>
    <w:rsid w:val="00ED7D53"/>
    <w:rsid w:val="00EE067D"/>
    <w:rsid w:val="00EE1170"/>
    <w:rsid w:val="00EE1878"/>
    <w:rsid w:val="00EE1D2E"/>
    <w:rsid w:val="00EE2003"/>
    <w:rsid w:val="00EE304B"/>
    <w:rsid w:val="00EE5B29"/>
    <w:rsid w:val="00EE5D95"/>
    <w:rsid w:val="00EE6C52"/>
    <w:rsid w:val="00EE74EE"/>
    <w:rsid w:val="00EF0009"/>
    <w:rsid w:val="00EF002B"/>
    <w:rsid w:val="00EF057B"/>
    <w:rsid w:val="00EF0ACF"/>
    <w:rsid w:val="00EF139E"/>
    <w:rsid w:val="00EF1863"/>
    <w:rsid w:val="00EF27AC"/>
    <w:rsid w:val="00EF2DE2"/>
    <w:rsid w:val="00EF37C5"/>
    <w:rsid w:val="00EF404D"/>
    <w:rsid w:val="00EF40C4"/>
    <w:rsid w:val="00EF43E6"/>
    <w:rsid w:val="00EF4475"/>
    <w:rsid w:val="00EF4798"/>
    <w:rsid w:val="00EF4DB0"/>
    <w:rsid w:val="00EF50BB"/>
    <w:rsid w:val="00EF52E1"/>
    <w:rsid w:val="00EF68F6"/>
    <w:rsid w:val="00F01457"/>
    <w:rsid w:val="00F01D92"/>
    <w:rsid w:val="00F02714"/>
    <w:rsid w:val="00F02998"/>
    <w:rsid w:val="00F02F15"/>
    <w:rsid w:val="00F03DF5"/>
    <w:rsid w:val="00F0485C"/>
    <w:rsid w:val="00F0501B"/>
    <w:rsid w:val="00F05638"/>
    <w:rsid w:val="00F058C8"/>
    <w:rsid w:val="00F05985"/>
    <w:rsid w:val="00F0669A"/>
    <w:rsid w:val="00F06CF1"/>
    <w:rsid w:val="00F07F1D"/>
    <w:rsid w:val="00F1047D"/>
    <w:rsid w:val="00F10A35"/>
    <w:rsid w:val="00F1130F"/>
    <w:rsid w:val="00F11970"/>
    <w:rsid w:val="00F11C13"/>
    <w:rsid w:val="00F12314"/>
    <w:rsid w:val="00F12CDC"/>
    <w:rsid w:val="00F1362E"/>
    <w:rsid w:val="00F13B6B"/>
    <w:rsid w:val="00F13C92"/>
    <w:rsid w:val="00F140C3"/>
    <w:rsid w:val="00F142AC"/>
    <w:rsid w:val="00F143B9"/>
    <w:rsid w:val="00F1474D"/>
    <w:rsid w:val="00F14C80"/>
    <w:rsid w:val="00F151C4"/>
    <w:rsid w:val="00F158AD"/>
    <w:rsid w:val="00F166C3"/>
    <w:rsid w:val="00F16B8E"/>
    <w:rsid w:val="00F16BD1"/>
    <w:rsid w:val="00F20107"/>
    <w:rsid w:val="00F20256"/>
    <w:rsid w:val="00F206DD"/>
    <w:rsid w:val="00F20B52"/>
    <w:rsid w:val="00F20CB1"/>
    <w:rsid w:val="00F20DBE"/>
    <w:rsid w:val="00F214D2"/>
    <w:rsid w:val="00F22AD9"/>
    <w:rsid w:val="00F234A0"/>
    <w:rsid w:val="00F2359E"/>
    <w:rsid w:val="00F24306"/>
    <w:rsid w:val="00F254CC"/>
    <w:rsid w:val="00F263C5"/>
    <w:rsid w:val="00F27041"/>
    <w:rsid w:val="00F278F2"/>
    <w:rsid w:val="00F308A7"/>
    <w:rsid w:val="00F323A2"/>
    <w:rsid w:val="00F32573"/>
    <w:rsid w:val="00F32697"/>
    <w:rsid w:val="00F348E2"/>
    <w:rsid w:val="00F35040"/>
    <w:rsid w:val="00F3675C"/>
    <w:rsid w:val="00F36EFD"/>
    <w:rsid w:val="00F372CF"/>
    <w:rsid w:val="00F376D1"/>
    <w:rsid w:val="00F37796"/>
    <w:rsid w:val="00F40118"/>
    <w:rsid w:val="00F40432"/>
    <w:rsid w:val="00F41279"/>
    <w:rsid w:val="00F41A1F"/>
    <w:rsid w:val="00F41B99"/>
    <w:rsid w:val="00F426EB"/>
    <w:rsid w:val="00F429AB"/>
    <w:rsid w:val="00F43BC7"/>
    <w:rsid w:val="00F440BE"/>
    <w:rsid w:val="00F44407"/>
    <w:rsid w:val="00F44EAA"/>
    <w:rsid w:val="00F458AC"/>
    <w:rsid w:val="00F45D56"/>
    <w:rsid w:val="00F467E7"/>
    <w:rsid w:val="00F47C98"/>
    <w:rsid w:val="00F47DEA"/>
    <w:rsid w:val="00F47E62"/>
    <w:rsid w:val="00F51166"/>
    <w:rsid w:val="00F51DD6"/>
    <w:rsid w:val="00F51F59"/>
    <w:rsid w:val="00F52CBF"/>
    <w:rsid w:val="00F53FB6"/>
    <w:rsid w:val="00F547EF"/>
    <w:rsid w:val="00F55040"/>
    <w:rsid w:val="00F5540B"/>
    <w:rsid w:val="00F55B67"/>
    <w:rsid w:val="00F55EB3"/>
    <w:rsid w:val="00F56566"/>
    <w:rsid w:val="00F573A4"/>
    <w:rsid w:val="00F615A4"/>
    <w:rsid w:val="00F62C25"/>
    <w:rsid w:val="00F636CC"/>
    <w:rsid w:val="00F63E3C"/>
    <w:rsid w:val="00F64082"/>
    <w:rsid w:val="00F64111"/>
    <w:rsid w:val="00F645EC"/>
    <w:rsid w:val="00F65753"/>
    <w:rsid w:val="00F657C2"/>
    <w:rsid w:val="00F657DA"/>
    <w:rsid w:val="00F66189"/>
    <w:rsid w:val="00F66D45"/>
    <w:rsid w:val="00F67377"/>
    <w:rsid w:val="00F674F5"/>
    <w:rsid w:val="00F6755F"/>
    <w:rsid w:val="00F67B9F"/>
    <w:rsid w:val="00F70194"/>
    <w:rsid w:val="00F7189C"/>
    <w:rsid w:val="00F720E9"/>
    <w:rsid w:val="00F723C1"/>
    <w:rsid w:val="00F72D65"/>
    <w:rsid w:val="00F731B9"/>
    <w:rsid w:val="00F73477"/>
    <w:rsid w:val="00F73551"/>
    <w:rsid w:val="00F74FF8"/>
    <w:rsid w:val="00F75C87"/>
    <w:rsid w:val="00F761C7"/>
    <w:rsid w:val="00F76A6B"/>
    <w:rsid w:val="00F77BB9"/>
    <w:rsid w:val="00F802B0"/>
    <w:rsid w:val="00F805E9"/>
    <w:rsid w:val="00F81075"/>
    <w:rsid w:val="00F81088"/>
    <w:rsid w:val="00F810D3"/>
    <w:rsid w:val="00F81420"/>
    <w:rsid w:val="00F8163E"/>
    <w:rsid w:val="00F83174"/>
    <w:rsid w:val="00F83251"/>
    <w:rsid w:val="00F83A22"/>
    <w:rsid w:val="00F83AAD"/>
    <w:rsid w:val="00F84F8F"/>
    <w:rsid w:val="00F86370"/>
    <w:rsid w:val="00F8688E"/>
    <w:rsid w:val="00F86C6C"/>
    <w:rsid w:val="00F86DF4"/>
    <w:rsid w:val="00F8790A"/>
    <w:rsid w:val="00F87ACC"/>
    <w:rsid w:val="00F92178"/>
    <w:rsid w:val="00F92C35"/>
    <w:rsid w:val="00F93E0F"/>
    <w:rsid w:val="00F96474"/>
    <w:rsid w:val="00F965A5"/>
    <w:rsid w:val="00F96813"/>
    <w:rsid w:val="00FA027E"/>
    <w:rsid w:val="00FA0392"/>
    <w:rsid w:val="00FA0D52"/>
    <w:rsid w:val="00FA0FC8"/>
    <w:rsid w:val="00FA11C8"/>
    <w:rsid w:val="00FA1346"/>
    <w:rsid w:val="00FA1F2A"/>
    <w:rsid w:val="00FA26CD"/>
    <w:rsid w:val="00FA4BF0"/>
    <w:rsid w:val="00FA514D"/>
    <w:rsid w:val="00FA6456"/>
    <w:rsid w:val="00FA6A98"/>
    <w:rsid w:val="00FA6D15"/>
    <w:rsid w:val="00FA73BE"/>
    <w:rsid w:val="00FB016C"/>
    <w:rsid w:val="00FB0496"/>
    <w:rsid w:val="00FB0ADC"/>
    <w:rsid w:val="00FB0B60"/>
    <w:rsid w:val="00FB0F4D"/>
    <w:rsid w:val="00FB167F"/>
    <w:rsid w:val="00FB1FA4"/>
    <w:rsid w:val="00FB382C"/>
    <w:rsid w:val="00FB40F9"/>
    <w:rsid w:val="00FB40FC"/>
    <w:rsid w:val="00FB4D92"/>
    <w:rsid w:val="00FB4FC3"/>
    <w:rsid w:val="00FB536D"/>
    <w:rsid w:val="00FB549D"/>
    <w:rsid w:val="00FB5685"/>
    <w:rsid w:val="00FB7334"/>
    <w:rsid w:val="00FB7637"/>
    <w:rsid w:val="00FB77F9"/>
    <w:rsid w:val="00FC0BCE"/>
    <w:rsid w:val="00FC1236"/>
    <w:rsid w:val="00FC17EA"/>
    <w:rsid w:val="00FC20B4"/>
    <w:rsid w:val="00FC2119"/>
    <w:rsid w:val="00FC2E53"/>
    <w:rsid w:val="00FC3164"/>
    <w:rsid w:val="00FC37FD"/>
    <w:rsid w:val="00FC558A"/>
    <w:rsid w:val="00FC5666"/>
    <w:rsid w:val="00FC6048"/>
    <w:rsid w:val="00FC65D5"/>
    <w:rsid w:val="00FC663E"/>
    <w:rsid w:val="00FC688A"/>
    <w:rsid w:val="00FC6C67"/>
    <w:rsid w:val="00FC6D00"/>
    <w:rsid w:val="00FC71A2"/>
    <w:rsid w:val="00FD0C25"/>
    <w:rsid w:val="00FD22DF"/>
    <w:rsid w:val="00FD2A14"/>
    <w:rsid w:val="00FD637D"/>
    <w:rsid w:val="00FD6460"/>
    <w:rsid w:val="00FD6693"/>
    <w:rsid w:val="00FE0056"/>
    <w:rsid w:val="00FE0FD9"/>
    <w:rsid w:val="00FE1698"/>
    <w:rsid w:val="00FE264E"/>
    <w:rsid w:val="00FE2B50"/>
    <w:rsid w:val="00FE4102"/>
    <w:rsid w:val="00FE4BB5"/>
    <w:rsid w:val="00FE5C22"/>
    <w:rsid w:val="00FE5C2C"/>
    <w:rsid w:val="00FE6168"/>
    <w:rsid w:val="00FE636D"/>
    <w:rsid w:val="00FE7C74"/>
    <w:rsid w:val="00FF0515"/>
    <w:rsid w:val="00FF09B0"/>
    <w:rsid w:val="00FF0C57"/>
    <w:rsid w:val="00FF111F"/>
    <w:rsid w:val="00FF1BA2"/>
    <w:rsid w:val="00FF3014"/>
    <w:rsid w:val="00FF3E76"/>
    <w:rsid w:val="00FF4113"/>
    <w:rsid w:val="00FF4135"/>
    <w:rsid w:val="00FF46D5"/>
    <w:rsid w:val="00FF50BE"/>
    <w:rsid w:val="00FF5C75"/>
    <w:rsid w:val="00FF5F14"/>
    <w:rsid w:val="00FF67EA"/>
    <w:rsid w:val="00FF7087"/>
    <w:rsid w:val="00FF7249"/>
    <w:rsid w:val="00FF7BE8"/>
    <w:rsid w:val="011B60C4"/>
    <w:rsid w:val="011E6FF2"/>
    <w:rsid w:val="01207B0A"/>
    <w:rsid w:val="012A3B18"/>
    <w:rsid w:val="01366D4C"/>
    <w:rsid w:val="014868D6"/>
    <w:rsid w:val="016476D4"/>
    <w:rsid w:val="01715407"/>
    <w:rsid w:val="01A324E9"/>
    <w:rsid w:val="01DC5578"/>
    <w:rsid w:val="01E464B8"/>
    <w:rsid w:val="021C29C7"/>
    <w:rsid w:val="022B0E5C"/>
    <w:rsid w:val="022C1DD9"/>
    <w:rsid w:val="022E3E22"/>
    <w:rsid w:val="023A28FF"/>
    <w:rsid w:val="02512DC5"/>
    <w:rsid w:val="025F2111"/>
    <w:rsid w:val="027D0247"/>
    <w:rsid w:val="028D5D9D"/>
    <w:rsid w:val="02A66735"/>
    <w:rsid w:val="02F4445A"/>
    <w:rsid w:val="0322244A"/>
    <w:rsid w:val="03333615"/>
    <w:rsid w:val="03421A72"/>
    <w:rsid w:val="035658E1"/>
    <w:rsid w:val="03632E30"/>
    <w:rsid w:val="037E51A0"/>
    <w:rsid w:val="03950458"/>
    <w:rsid w:val="039B791C"/>
    <w:rsid w:val="03E5668B"/>
    <w:rsid w:val="03FE39A5"/>
    <w:rsid w:val="040A1451"/>
    <w:rsid w:val="041F2FBE"/>
    <w:rsid w:val="0461272F"/>
    <w:rsid w:val="048A7C5B"/>
    <w:rsid w:val="04BF35A7"/>
    <w:rsid w:val="04EE2D73"/>
    <w:rsid w:val="052C0449"/>
    <w:rsid w:val="05441D3F"/>
    <w:rsid w:val="05491193"/>
    <w:rsid w:val="05544B21"/>
    <w:rsid w:val="0566089E"/>
    <w:rsid w:val="05670BEC"/>
    <w:rsid w:val="057B28FA"/>
    <w:rsid w:val="058762A2"/>
    <w:rsid w:val="05A34A52"/>
    <w:rsid w:val="05D11D1B"/>
    <w:rsid w:val="05D5530F"/>
    <w:rsid w:val="06096073"/>
    <w:rsid w:val="060B3F2C"/>
    <w:rsid w:val="061F04BE"/>
    <w:rsid w:val="063237EF"/>
    <w:rsid w:val="06343B0A"/>
    <w:rsid w:val="063F55CC"/>
    <w:rsid w:val="064E34E8"/>
    <w:rsid w:val="06540256"/>
    <w:rsid w:val="066325A1"/>
    <w:rsid w:val="06A66B16"/>
    <w:rsid w:val="06A961F0"/>
    <w:rsid w:val="06B96E76"/>
    <w:rsid w:val="06D460A8"/>
    <w:rsid w:val="06E24B18"/>
    <w:rsid w:val="06EA7085"/>
    <w:rsid w:val="06FF1447"/>
    <w:rsid w:val="07287466"/>
    <w:rsid w:val="07481B68"/>
    <w:rsid w:val="07950DFE"/>
    <w:rsid w:val="07994D61"/>
    <w:rsid w:val="07C15475"/>
    <w:rsid w:val="07DC212E"/>
    <w:rsid w:val="07EF33C4"/>
    <w:rsid w:val="07F6438B"/>
    <w:rsid w:val="080D72A8"/>
    <w:rsid w:val="08287B33"/>
    <w:rsid w:val="088D288E"/>
    <w:rsid w:val="08C000B0"/>
    <w:rsid w:val="08CB7BA3"/>
    <w:rsid w:val="08EC001B"/>
    <w:rsid w:val="08EE143D"/>
    <w:rsid w:val="08EE1756"/>
    <w:rsid w:val="08F55335"/>
    <w:rsid w:val="09242161"/>
    <w:rsid w:val="093336F5"/>
    <w:rsid w:val="09583A2E"/>
    <w:rsid w:val="095879E9"/>
    <w:rsid w:val="096B7D90"/>
    <w:rsid w:val="096D47E3"/>
    <w:rsid w:val="097E5D15"/>
    <w:rsid w:val="09900371"/>
    <w:rsid w:val="09BC05EC"/>
    <w:rsid w:val="09BC73C5"/>
    <w:rsid w:val="09C01BCB"/>
    <w:rsid w:val="09C206F3"/>
    <w:rsid w:val="09CB0677"/>
    <w:rsid w:val="09F44C55"/>
    <w:rsid w:val="0A08468E"/>
    <w:rsid w:val="0A1E0C88"/>
    <w:rsid w:val="0A301712"/>
    <w:rsid w:val="0A305BAD"/>
    <w:rsid w:val="0A34559A"/>
    <w:rsid w:val="0A371230"/>
    <w:rsid w:val="0A820D18"/>
    <w:rsid w:val="0A935528"/>
    <w:rsid w:val="0A943608"/>
    <w:rsid w:val="0AA33ABE"/>
    <w:rsid w:val="0AE22F51"/>
    <w:rsid w:val="0B32067B"/>
    <w:rsid w:val="0B3B3792"/>
    <w:rsid w:val="0B3F48B7"/>
    <w:rsid w:val="0B5021D6"/>
    <w:rsid w:val="0B577298"/>
    <w:rsid w:val="0B64049F"/>
    <w:rsid w:val="0B772A1C"/>
    <w:rsid w:val="0BB772BD"/>
    <w:rsid w:val="0BCA5242"/>
    <w:rsid w:val="0BCD76F4"/>
    <w:rsid w:val="0BE431D1"/>
    <w:rsid w:val="0BF4406D"/>
    <w:rsid w:val="0C1049D2"/>
    <w:rsid w:val="0C166903"/>
    <w:rsid w:val="0C264809"/>
    <w:rsid w:val="0C3C28EC"/>
    <w:rsid w:val="0C5B56DD"/>
    <w:rsid w:val="0C6D18FE"/>
    <w:rsid w:val="0CE44F4D"/>
    <w:rsid w:val="0CE75980"/>
    <w:rsid w:val="0CF50E9C"/>
    <w:rsid w:val="0D3A7C60"/>
    <w:rsid w:val="0D3C7FC3"/>
    <w:rsid w:val="0D466D19"/>
    <w:rsid w:val="0D5834B1"/>
    <w:rsid w:val="0D620B19"/>
    <w:rsid w:val="0D786A55"/>
    <w:rsid w:val="0D961FC5"/>
    <w:rsid w:val="0D9E6986"/>
    <w:rsid w:val="0DE9706A"/>
    <w:rsid w:val="0E0632DA"/>
    <w:rsid w:val="0E1E46A1"/>
    <w:rsid w:val="0E3270CE"/>
    <w:rsid w:val="0E4B305E"/>
    <w:rsid w:val="0E6405C1"/>
    <w:rsid w:val="0E6D2458"/>
    <w:rsid w:val="0E744B2C"/>
    <w:rsid w:val="0E910E05"/>
    <w:rsid w:val="0E9202FC"/>
    <w:rsid w:val="0E941A1C"/>
    <w:rsid w:val="0E9B4C74"/>
    <w:rsid w:val="0EB76518"/>
    <w:rsid w:val="0EC248F6"/>
    <w:rsid w:val="0EDC08A6"/>
    <w:rsid w:val="0EDC7AF6"/>
    <w:rsid w:val="0EFE5203"/>
    <w:rsid w:val="0F060119"/>
    <w:rsid w:val="0F1A64E0"/>
    <w:rsid w:val="0F3A07E0"/>
    <w:rsid w:val="0F434A05"/>
    <w:rsid w:val="0FA933C0"/>
    <w:rsid w:val="10127C77"/>
    <w:rsid w:val="101C3C8A"/>
    <w:rsid w:val="10383F9B"/>
    <w:rsid w:val="103B222D"/>
    <w:rsid w:val="105B33D4"/>
    <w:rsid w:val="106106BD"/>
    <w:rsid w:val="10621F2A"/>
    <w:rsid w:val="106C0B1D"/>
    <w:rsid w:val="10B846C4"/>
    <w:rsid w:val="10C15974"/>
    <w:rsid w:val="10D52C8F"/>
    <w:rsid w:val="10DF2A26"/>
    <w:rsid w:val="10F2358E"/>
    <w:rsid w:val="110D37D1"/>
    <w:rsid w:val="112761B1"/>
    <w:rsid w:val="113373E5"/>
    <w:rsid w:val="114F1D45"/>
    <w:rsid w:val="11537A88"/>
    <w:rsid w:val="11643A43"/>
    <w:rsid w:val="118F05F7"/>
    <w:rsid w:val="119D0440"/>
    <w:rsid w:val="11A56EF3"/>
    <w:rsid w:val="11B328A8"/>
    <w:rsid w:val="11C6375D"/>
    <w:rsid w:val="11D54318"/>
    <w:rsid w:val="11E54C9F"/>
    <w:rsid w:val="11EA1F0A"/>
    <w:rsid w:val="121363D7"/>
    <w:rsid w:val="12222B9B"/>
    <w:rsid w:val="122E349D"/>
    <w:rsid w:val="125D728B"/>
    <w:rsid w:val="12792632"/>
    <w:rsid w:val="127A3DEE"/>
    <w:rsid w:val="12890ACB"/>
    <w:rsid w:val="12A56C5C"/>
    <w:rsid w:val="12AD2923"/>
    <w:rsid w:val="12AD5A91"/>
    <w:rsid w:val="12B17531"/>
    <w:rsid w:val="12C00460"/>
    <w:rsid w:val="12CB18A0"/>
    <w:rsid w:val="12F53AA5"/>
    <w:rsid w:val="12FD25E3"/>
    <w:rsid w:val="130C4392"/>
    <w:rsid w:val="13155051"/>
    <w:rsid w:val="13256215"/>
    <w:rsid w:val="13291286"/>
    <w:rsid w:val="134A6659"/>
    <w:rsid w:val="134D6463"/>
    <w:rsid w:val="135978AF"/>
    <w:rsid w:val="13927DD4"/>
    <w:rsid w:val="13B63416"/>
    <w:rsid w:val="13BB777D"/>
    <w:rsid w:val="13C40818"/>
    <w:rsid w:val="13CC2BB7"/>
    <w:rsid w:val="13F566D8"/>
    <w:rsid w:val="140D193D"/>
    <w:rsid w:val="142906E4"/>
    <w:rsid w:val="14680169"/>
    <w:rsid w:val="147238D3"/>
    <w:rsid w:val="147D17AD"/>
    <w:rsid w:val="14B95E54"/>
    <w:rsid w:val="14ED31E8"/>
    <w:rsid w:val="15112A82"/>
    <w:rsid w:val="1550218B"/>
    <w:rsid w:val="15D37001"/>
    <w:rsid w:val="15D371E2"/>
    <w:rsid w:val="15D91EBF"/>
    <w:rsid w:val="15FC41F4"/>
    <w:rsid w:val="15FC62BD"/>
    <w:rsid w:val="160503CB"/>
    <w:rsid w:val="160E6061"/>
    <w:rsid w:val="164A0676"/>
    <w:rsid w:val="166A70B6"/>
    <w:rsid w:val="16723D30"/>
    <w:rsid w:val="169072A3"/>
    <w:rsid w:val="16A24E38"/>
    <w:rsid w:val="16A34E1F"/>
    <w:rsid w:val="16C25DA4"/>
    <w:rsid w:val="16D276A1"/>
    <w:rsid w:val="16FC2999"/>
    <w:rsid w:val="170F5684"/>
    <w:rsid w:val="171E6258"/>
    <w:rsid w:val="17212123"/>
    <w:rsid w:val="172744EC"/>
    <w:rsid w:val="17316C6D"/>
    <w:rsid w:val="17331C6C"/>
    <w:rsid w:val="17571F2E"/>
    <w:rsid w:val="175E7186"/>
    <w:rsid w:val="17652D93"/>
    <w:rsid w:val="176F3C87"/>
    <w:rsid w:val="17751C24"/>
    <w:rsid w:val="178A3AD7"/>
    <w:rsid w:val="179A033A"/>
    <w:rsid w:val="17A15C04"/>
    <w:rsid w:val="17AE7804"/>
    <w:rsid w:val="17BD60B4"/>
    <w:rsid w:val="17BD72D1"/>
    <w:rsid w:val="17C96DB2"/>
    <w:rsid w:val="17CF76FC"/>
    <w:rsid w:val="180059C8"/>
    <w:rsid w:val="18207265"/>
    <w:rsid w:val="183B3024"/>
    <w:rsid w:val="1890336F"/>
    <w:rsid w:val="189B10CC"/>
    <w:rsid w:val="18A148CA"/>
    <w:rsid w:val="18A75DA5"/>
    <w:rsid w:val="18DA283C"/>
    <w:rsid w:val="190017FB"/>
    <w:rsid w:val="191827B5"/>
    <w:rsid w:val="195D3039"/>
    <w:rsid w:val="1980314C"/>
    <w:rsid w:val="199031F5"/>
    <w:rsid w:val="199B5E06"/>
    <w:rsid w:val="19C37774"/>
    <w:rsid w:val="19C475D2"/>
    <w:rsid w:val="19C50978"/>
    <w:rsid w:val="19E13111"/>
    <w:rsid w:val="19E44576"/>
    <w:rsid w:val="1A0C2386"/>
    <w:rsid w:val="1A19040E"/>
    <w:rsid w:val="1A1B4EBB"/>
    <w:rsid w:val="1A39548E"/>
    <w:rsid w:val="1A442027"/>
    <w:rsid w:val="1A592CB1"/>
    <w:rsid w:val="1A7D0323"/>
    <w:rsid w:val="1A875B07"/>
    <w:rsid w:val="1AA50C28"/>
    <w:rsid w:val="1AD473DF"/>
    <w:rsid w:val="1AFF2A2E"/>
    <w:rsid w:val="1B09181C"/>
    <w:rsid w:val="1B4346C9"/>
    <w:rsid w:val="1B573B36"/>
    <w:rsid w:val="1B6F6D6A"/>
    <w:rsid w:val="1B740D26"/>
    <w:rsid w:val="1B914166"/>
    <w:rsid w:val="1B9334AA"/>
    <w:rsid w:val="1BD6553D"/>
    <w:rsid w:val="1BDF4F48"/>
    <w:rsid w:val="1BF5174F"/>
    <w:rsid w:val="1C3A3583"/>
    <w:rsid w:val="1C3E30E2"/>
    <w:rsid w:val="1C3F55BC"/>
    <w:rsid w:val="1C40226B"/>
    <w:rsid w:val="1C7E1A01"/>
    <w:rsid w:val="1C81576F"/>
    <w:rsid w:val="1C9438E4"/>
    <w:rsid w:val="1CA0249E"/>
    <w:rsid w:val="1CE448A8"/>
    <w:rsid w:val="1CE8084C"/>
    <w:rsid w:val="1D0F7552"/>
    <w:rsid w:val="1D25579E"/>
    <w:rsid w:val="1D273B5C"/>
    <w:rsid w:val="1D86351C"/>
    <w:rsid w:val="1DD000F2"/>
    <w:rsid w:val="1DEA1EE0"/>
    <w:rsid w:val="1DF239B2"/>
    <w:rsid w:val="1DF343E7"/>
    <w:rsid w:val="1DF831F7"/>
    <w:rsid w:val="1E2A47F4"/>
    <w:rsid w:val="1E4E5CDA"/>
    <w:rsid w:val="1E9F73B7"/>
    <w:rsid w:val="1EB5255F"/>
    <w:rsid w:val="1EF25090"/>
    <w:rsid w:val="1F132A46"/>
    <w:rsid w:val="1F1518B5"/>
    <w:rsid w:val="1F6101EB"/>
    <w:rsid w:val="1F6A61A1"/>
    <w:rsid w:val="1FBC4D16"/>
    <w:rsid w:val="1FBC76AD"/>
    <w:rsid w:val="1FEF3071"/>
    <w:rsid w:val="1FEF7889"/>
    <w:rsid w:val="1FF916E4"/>
    <w:rsid w:val="20095AE1"/>
    <w:rsid w:val="203B6286"/>
    <w:rsid w:val="204B3A63"/>
    <w:rsid w:val="209E2481"/>
    <w:rsid w:val="20DD111C"/>
    <w:rsid w:val="20E34BC3"/>
    <w:rsid w:val="20EA5FF2"/>
    <w:rsid w:val="21222FD3"/>
    <w:rsid w:val="212367E1"/>
    <w:rsid w:val="21436DEF"/>
    <w:rsid w:val="216134C5"/>
    <w:rsid w:val="2164266C"/>
    <w:rsid w:val="218A09E3"/>
    <w:rsid w:val="218B12E2"/>
    <w:rsid w:val="21BD7D11"/>
    <w:rsid w:val="21CF69FD"/>
    <w:rsid w:val="21EA52C1"/>
    <w:rsid w:val="21F84574"/>
    <w:rsid w:val="22043309"/>
    <w:rsid w:val="220A614E"/>
    <w:rsid w:val="222039B6"/>
    <w:rsid w:val="2220553A"/>
    <w:rsid w:val="222602F9"/>
    <w:rsid w:val="225B496C"/>
    <w:rsid w:val="22925F36"/>
    <w:rsid w:val="229C0B63"/>
    <w:rsid w:val="22B2588C"/>
    <w:rsid w:val="22BB40EC"/>
    <w:rsid w:val="22D56C52"/>
    <w:rsid w:val="22E36792"/>
    <w:rsid w:val="23181AEE"/>
    <w:rsid w:val="23395878"/>
    <w:rsid w:val="23561D07"/>
    <w:rsid w:val="237178DD"/>
    <w:rsid w:val="23795A37"/>
    <w:rsid w:val="238748E8"/>
    <w:rsid w:val="23905103"/>
    <w:rsid w:val="23A9545E"/>
    <w:rsid w:val="23B67891"/>
    <w:rsid w:val="23DC6F58"/>
    <w:rsid w:val="23F066A4"/>
    <w:rsid w:val="243A0633"/>
    <w:rsid w:val="24424FB0"/>
    <w:rsid w:val="24553187"/>
    <w:rsid w:val="245E07C6"/>
    <w:rsid w:val="24676BDC"/>
    <w:rsid w:val="246C462B"/>
    <w:rsid w:val="246F652F"/>
    <w:rsid w:val="247544F0"/>
    <w:rsid w:val="248F27AB"/>
    <w:rsid w:val="24DD43B4"/>
    <w:rsid w:val="24EA1617"/>
    <w:rsid w:val="250749B9"/>
    <w:rsid w:val="2533047D"/>
    <w:rsid w:val="25334873"/>
    <w:rsid w:val="25367F91"/>
    <w:rsid w:val="254352E4"/>
    <w:rsid w:val="254664D6"/>
    <w:rsid w:val="2560773F"/>
    <w:rsid w:val="25636A2B"/>
    <w:rsid w:val="259F3AC0"/>
    <w:rsid w:val="25A466AC"/>
    <w:rsid w:val="25B111B0"/>
    <w:rsid w:val="25C92794"/>
    <w:rsid w:val="25D20567"/>
    <w:rsid w:val="25EF37A3"/>
    <w:rsid w:val="261C18A0"/>
    <w:rsid w:val="263B66CB"/>
    <w:rsid w:val="264671EC"/>
    <w:rsid w:val="265E4B48"/>
    <w:rsid w:val="265E685B"/>
    <w:rsid w:val="26650E1B"/>
    <w:rsid w:val="266B3399"/>
    <w:rsid w:val="267A4A52"/>
    <w:rsid w:val="26971D6D"/>
    <w:rsid w:val="26A15BDC"/>
    <w:rsid w:val="26A526DC"/>
    <w:rsid w:val="26A63B72"/>
    <w:rsid w:val="26AE16FD"/>
    <w:rsid w:val="26B17556"/>
    <w:rsid w:val="26C36611"/>
    <w:rsid w:val="26CA7376"/>
    <w:rsid w:val="26CF5017"/>
    <w:rsid w:val="26D9491E"/>
    <w:rsid w:val="26D95D14"/>
    <w:rsid w:val="26EC030B"/>
    <w:rsid w:val="26FB6E7B"/>
    <w:rsid w:val="273034A2"/>
    <w:rsid w:val="273B2D65"/>
    <w:rsid w:val="27441EF5"/>
    <w:rsid w:val="27590FFC"/>
    <w:rsid w:val="275F00DC"/>
    <w:rsid w:val="2763465F"/>
    <w:rsid w:val="276534EA"/>
    <w:rsid w:val="27CD5AE7"/>
    <w:rsid w:val="27D579A1"/>
    <w:rsid w:val="27E03D4A"/>
    <w:rsid w:val="27EA082B"/>
    <w:rsid w:val="27EC3CE3"/>
    <w:rsid w:val="280147D4"/>
    <w:rsid w:val="280A588F"/>
    <w:rsid w:val="282219D0"/>
    <w:rsid w:val="28324D58"/>
    <w:rsid w:val="283D3484"/>
    <w:rsid w:val="284A636C"/>
    <w:rsid w:val="285A0E99"/>
    <w:rsid w:val="28CC695E"/>
    <w:rsid w:val="28D95810"/>
    <w:rsid w:val="290A574F"/>
    <w:rsid w:val="292673D5"/>
    <w:rsid w:val="29331D5A"/>
    <w:rsid w:val="294D0915"/>
    <w:rsid w:val="29615227"/>
    <w:rsid w:val="298F65F8"/>
    <w:rsid w:val="29913B46"/>
    <w:rsid w:val="29B900D5"/>
    <w:rsid w:val="29B94EBA"/>
    <w:rsid w:val="29FD290F"/>
    <w:rsid w:val="29FF4569"/>
    <w:rsid w:val="2A136EA9"/>
    <w:rsid w:val="2A1800BA"/>
    <w:rsid w:val="2A1F4553"/>
    <w:rsid w:val="2A2D470E"/>
    <w:rsid w:val="2AB96F12"/>
    <w:rsid w:val="2ABE5C95"/>
    <w:rsid w:val="2ADA644C"/>
    <w:rsid w:val="2B0379D1"/>
    <w:rsid w:val="2B1A6253"/>
    <w:rsid w:val="2B2B0594"/>
    <w:rsid w:val="2B5832B5"/>
    <w:rsid w:val="2B6969E4"/>
    <w:rsid w:val="2B7D7783"/>
    <w:rsid w:val="2B9952EB"/>
    <w:rsid w:val="2BA3140C"/>
    <w:rsid w:val="2BC65711"/>
    <w:rsid w:val="2BE06711"/>
    <w:rsid w:val="2C457944"/>
    <w:rsid w:val="2C4B0CAE"/>
    <w:rsid w:val="2C6963F3"/>
    <w:rsid w:val="2CA52B95"/>
    <w:rsid w:val="2CD77097"/>
    <w:rsid w:val="2CFF066C"/>
    <w:rsid w:val="2D2A15D7"/>
    <w:rsid w:val="2D4314AB"/>
    <w:rsid w:val="2D631EDB"/>
    <w:rsid w:val="2D841DFC"/>
    <w:rsid w:val="2D8A0748"/>
    <w:rsid w:val="2DC00706"/>
    <w:rsid w:val="2DD719AB"/>
    <w:rsid w:val="2E1E7AD9"/>
    <w:rsid w:val="2E2D6A82"/>
    <w:rsid w:val="2E405B57"/>
    <w:rsid w:val="2E4A6F9E"/>
    <w:rsid w:val="2E595BB5"/>
    <w:rsid w:val="2E7252A0"/>
    <w:rsid w:val="2EA72D69"/>
    <w:rsid w:val="2ED9380E"/>
    <w:rsid w:val="2F4A4125"/>
    <w:rsid w:val="2FA0642A"/>
    <w:rsid w:val="2FAC4CF0"/>
    <w:rsid w:val="2FC26A9B"/>
    <w:rsid w:val="2FC55529"/>
    <w:rsid w:val="2FEA115F"/>
    <w:rsid w:val="30110DE2"/>
    <w:rsid w:val="30207DF1"/>
    <w:rsid w:val="30297444"/>
    <w:rsid w:val="3032488E"/>
    <w:rsid w:val="30446AC1"/>
    <w:rsid w:val="30475E92"/>
    <w:rsid w:val="30490B33"/>
    <w:rsid w:val="307331DB"/>
    <w:rsid w:val="30755CD7"/>
    <w:rsid w:val="30896D24"/>
    <w:rsid w:val="30B36A06"/>
    <w:rsid w:val="30C771F7"/>
    <w:rsid w:val="30CF5FE7"/>
    <w:rsid w:val="30D85A19"/>
    <w:rsid w:val="31321617"/>
    <w:rsid w:val="31445686"/>
    <w:rsid w:val="317F1469"/>
    <w:rsid w:val="31821872"/>
    <w:rsid w:val="31880C30"/>
    <w:rsid w:val="31AA428D"/>
    <w:rsid w:val="321032C4"/>
    <w:rsid w:val="3212751E"/>
    <w:rsid w:val="32152ECD"/>
    <w:rsid w:val="32277E22"/>
    <w:rsid w:val="323B2146"/>
    <w:rsid w:val="32537679"/>
    <w:rsid w:val="32847649"/>
    <w:rsid w:val="32D15453"/>
    <w:rsid w:val="32D524C1"/>
    <w:rsid w:val="3309567B"/>
    <w:rsid w:val="333953DF"/>
    <w:rsid w:val="334700E7"/>
    <w:rsid w:val="335E433E"/>
    <w:rsid w:val="336E4B1E"/>
    <w:rsid w:val="33761D33"/>
    <w:rsid w:val="33821C4E"/>
    <w:rsid w:val="33835196"/>
    <w:rsid w:val="339F35AE"/>
    <w:rsid w:val="33AC157E"/>
    <w:rsid w:val="33C41E41"/>
    <w:rsid w:val="34140175"/>
    <w:rsid w:val="344249BC"/>
    <w:rsid w:val="3454129D"/>
    <w:rsid w:val="34723366"/>
    <w:rsid w:val="34C86A26"/>
    <w:rsid w:val="34DB1568"/>
    <w:rsid w:val="353D7F83"/>
    <w:rsid w:val="35407CBB"/>
    <w:rsid w:val="354C01C6"/>
    <w:rsid w:val="355D3D3F"/>
    <w:rsid w:val="355E7CA7"/>
    <w:rsid w:val="35890700"/>
    <w:rsid w:val="3592207D"/>
    <w:rsid w:val="359E21D5"/>
    <w:rsid w:val="35AF21C9"/>
    <w:rsid w:val="35B634BA"/>
    <w:rsid w:val="35C641AE"/>
    <w:rsid w:val="35C824CB"/>
    <w:rsid w:val="361231BE"/>
    <w:rsid w:val="361C2B47"/>
    <w:rsid w:val="364801DC"/>
    <w:rsid w:val="369A4F48"/>
    <w:rsid w:val="36B17A28"/>
    <w:rsid w:val="36B41147"/>
    <w:rsid w:val="36B53B4F"/>
    <w:rsid w:val="36C5295A"/>
    <w:rsid w:val="36CA2B83"/>
    <w:rsid w:val="372805E8"/>
    <w:rsid w:val="373E256E"/>
    <w:rsid w:val="37435A18"/>
    <w:rsid w:val="37510C0B"/>
    <w:rsid w:val="37517CD5"/>
    <w:rsid w:val="377467CE"/>
    <w:rsid w:val="377F0B81"/>
    <w:rsid w:val="37E82428"/>
    <w:rsid w:val="37EE3E26"/>
    <w:rsid w:val="38083B66"/>
    <w:rsid w:val="380C3863"/>
    <w:rsid w:val="38137C6C"/>
    <w:rsid w:val="38153357"/>
    <w:rsid w:val="38887767"/>
    <w:rsid w:val="389749D2"/>
    <w:rsid w:val="38A339DA"/>
    <w:rsid w:val="38B643C2"/>
    <w:rsid w:val="38C70290"/>
    <w:rsid w:val="390E5EBF"/>
    <w:rsid w:val="39331E0E"/>
    <w:rsid w:val="393649BA"/>
    <w:rsid w:val="39726574"/>
    <w:rsid w:val="398E3AF7"/>
    <w:rsid w:val="398E43A7"/>
    <w:rsid w:val="39931E71"/>
    <w:rsid w:val="39B931D7"/>
    <w:rsid w:val="39F74BA5"/>
    <w:rsid w:val="39FC5AAC"/>
    <w:rsid w:val="3A0A25D5"/>
    <w:rsid w:val="3A0A53FE"/>
    <w:rsid w:val="3A1B56E1"/>
    <w:rsid w:val="3A2847D2"/>
    <w:rsid w:val="3A886145"/>
    <w:rsid w:val="3AAD38DE"/>
    <w:rsid w:val="3ABE3914"/>
    <w:rsid w:val="3ADD73E7"/>
    <w:rsid w:val="3B2F72DB"/>
    <w:rsid w:val="3B6E0E96"/>
    <w:rsid w:val="3B85046E"/>
    <w:rsid w:val="3BB8274A"/>
    <w:rsid w:val="3BBA7996"/>
    <w:rsid w:val="3C027232"/>
    <w:rsid w:val="3C2A5060"/>
    <w:rsid w:val="3C524497"/>
    <w:rsid w:val="3C5B4AA2"/>
    <w:rsid w:val="3C740927"/>
    <w:rsid w:val="3C9E7B59"/>
    <w:rsid w:val="3CA2589D"/>
    <w:rsid w:val="3CAB2677"/>
    <w:rsid w:val="3CC07619"/>
    <w:rsid w:val="3CC166E8"/>
    <w:rsid w:val="3CE81030"/>
    <w:rsid w:val="3CF65BC2"/>
    <w:rsid w:val="3D1E0985"/>
    <w:rsid w:val="3D2F3524"/>
    <w:rsid w:val="3D512286"/>
    <w:rsid w:val="3DA57D84"/>
    <w:rsid w:val="3DA866B5"/>
    <w:rsid w:val="3DA90DA4"/>
    <w:rsid w:val="3DAA1C8E"/>
    <w:rsid w:val="3DCB4CAD"/>
    <w:rsid w:val="3DD96B03"/>
    <w:rsid w:val="3DE508B2"/>
    <w:rsid w:val="3E17629B"/>
    <w:rsid w:val="3E1B56EB"/>
    <w:rsid w:val="3E204BB6"/>
    <w:rsid w:val="3E211206"/>
    <w:rsid w:val="3E505054"/>
    <w:rsid w:val="3E52684D"/>
    <w:rsid w:val="3EB72B54"/>
    <w:rsid w:val="3EB8389C"/>
    <w:rsid w:val="3ECA2888"/>
    <w:rsid w:val="3EEC283E"/>
    <w:rsid w:val="3F013719"/>
    <w:rsid w:val="3F242697"/>
    <w:rsid w:val="3F284ABC"/>
    <w:rsid w:val="3F340AE9"/>
    <w:rsid w:val="3F431DFA"/>
    <w:rsid w:val="3F53324D"/>
    <w:rsid w:val="3F8C5D8F"/>
    <w:rsid w:val="3F9F7A23"/>
    <w:rsid w:val="3FBB4C11"/>
    <w:rsid w:val="40162BA8"/>
    <w:rsid w:val="403C4F04"/>
    <w:rsid w:val="404E1296"/>
    <w:rsid w:val="40615D4C"/>
    <w:rsid w:val="40826936"/>
    <w:rsid w:val="40BD57DF"/>
    <w:rsid w:val="40CC2C7A"/>
    <w:rsid w:val="40D038D9"/>
    <w:rsid w:val="40D16C1F"/>
    <w:rsid w:val="40DA3242"/>
    <w:rsid w:val="40E52E63"/>
    <w:rsid w:val="410A6E2E"/>
    <w:rsid w:val="413872C8"/>
    <w:rsid w:val="41422428"/>
    <w:rsid w:val="41AC2F41"/>
    <w:rsid w:val="41C4627B"/>
    <w:rsid w:val="41CC4B69"/>
    <w:rsid w:val="41DF6428"/>
    <w:rsid w:val="41EC0960"/>
    <w:rsid w:val="41F8665D"/>
    <w:rsid w:val="41FB27AE"/>
    <w:rsid w:val="42125082"/>
    <w:rsid w:val="42236491"/>
    <w:rsid w:val="423C76BC"/>
    <w:rsid w:val="428E6D0E"/>
    <w:rsid w:val="4305152A"/>
    <w:rsid w:val="431E19A4"/>
    <w:rsid w:val="43304B31"/>
    <w:rsid w:val="43461977"/>
    <w:rsid w:val="434952B1"/>
    <w:rsid w:val="434E199A"/>
    <w:rsid w:val="435E6138"/>
    <w:rsid w:val="438F39B4"/>
    <w:rsid w:val="43A22DDE"/>
    <w:rsid w:val="43BF3FB9"/>
    <w:rsid w:val="43DE6DD5"/>
    <w:rsid w:val="441223D3"/>
    <w:rsid w:val="441D0503"/>
    <w:rsid w:val="4465680F"/>
    <w:rsid w:val="44663A8C"/>
    <w:rsid w:val="446C0F66"/>
    <w:rsid w:val="44726B97"/>
    <w:rsid w:val="44AB2DF4"/>
    <w:rsid w:val="44B377EF"/>
    <w:rsid w:val="44B40123"/>
    <w:rsid w:val="44E001FA"/>
    <w:rsid w:val="44F0275C"/>
    <w:rsid w:val="45250609"/>
    <w:rsid w:val="45356EC9"/>
    <w:rsid w:val="45365B7D"/>
    <w:rsid w:val="45385DC2"/>
    <w:rsid w:val="455D5AA7"/>
    <w:rsid w:val="457E653E"/>
    <w:rsid w:val="459A2D9F"/>
    <w:rsid w:val="45A7023B"/>
    <w:rsid w:val="45B04BF5"/>
    <w:rsid w:val="45F9523A"/>
    <w:rsid w:val="4618176A"/>
    <w:rsid w:val="462801EA"/>
    <w:rsid w:val="46352244"/>
    <w:rsid w:val="464B74AB"/>
    <w:rsid w:val="467C48B8"/>
    <w:rsid w:val="46917C47"/>
    <w:rsid w:val="46A02B92"/>
    <w:rsid w:val="46B0157F"/>
    <w:rsid w:val="46DC7A34"/>
    <w:rsid w:val="46DF2D3D"/>
    <w:rsid w:val="471549C2"/>
    <w:rsid w:val="474D674C"/>
    <w:rsid w:val="475B1E40"/>
    <w:rsid w:val="478147AF"/>
    <w:rsid w:val="478F70E2"/>
    <w:rsid w:val="47967B5F"/>
    <w:rsid w:val="47D93B3C"/>
    <w:rsid w:val="47E25116"/>
    <w:rsid w:val="47F330D6"/>
    <w:rsid w:val="47F36DEA"/>
    <w:rsid w:val="47FE2089"/>
    <w:rsid w:val="481903DC"/>
    <w:rsid w:val="48244227"/>
    <w:rsid w:val="482A507D"/>
    <w:rsid w:val="4837068B"/>
    <w:rsid w:val="483F3792"/>
    <w:rsid w:val="48790C97"/>
    <w:rsid w:val="48B00368"/>
    <w:rsid w:val="48D81826"/>
    <w:rsid w:val="48FB2EFD"/>
    <w:rsid w:val="49567316"/>
    <w:rsid w:val="495A0CAC"/>
    <w:rsid w:val="499845B9"/>
    <w:rsid w:val="499E6DEB"/>
    <w:rsid w:val="49B87FE3"/>
    <w:rsid w:val="49C01457"/>
    <w:rsid w:val="49C9584B"/>
    <w:rsid w:val="49D56585"/>
    <w:rsid w:val="4A023F9B"/>
    <w:rsid w:val="4A7705FE"/>
    <w:rsid w:val="4A8204BA"/>
    <w:rsid w:val="4A890D0D"/>
    <w:rsid w:val="4A8B7C2C"/>
    <w:rsid w:val="4AB8212E"/>
    <w:rsid w:val="4AD46071"/>
    <w:rsid w:val="4B1C32B6"/>
    <w:rsid w:val="4B4614E8"/>
    <w:rsid w:val="4B921482"/>
    <w:rsid w:val="4BAF4AED"/>
    <w:rsid w:val="4BF25DC9"/>
    <w:rsid w:val="4C1F6E9E"/>
    <w:rsid w:val="4C3D2543"/>
    <w:rsid w:val="4C586A34"/>
    <w:rsid w:val="4C5C34D5"/>
    <w:rsid w:val="4C760E14"/>
    <w:rsid w:val="4C7958F2"/>
    <w:rsid w:val="4C834F37"/>
    <w:rsid w:val="4C854FD9"/>
    <w:rsid w:val="4C9B5863"/>
    <w:rsid w:val="4C9D528B"/>
    <w:rsid w:val="4CA44F5B"/>
    <w:rsid w:val="4CAD0D88"/>
    <w:rsid w:val="4CB3561F"/>
    <w:rsid w:val="4CB94B39"/>
    <w:rsid w:val="4CD76308"/>
    <w:rsid w:val="4CEC0C42"/>
    <w:rsid w:val="4D0E24D9"/>
    <w:rsid w:val="4D1523D8"/>
    <w:rsid w:val="4D27667C"/>
    <w:rsid w:val="4D3D02E6"/>
    <w:rsid w:val="4D4863E7"/>
    <w:rsid w:val="4D8B22EB"/>
    <w:rsid w:val="4D8E39BE"/>
    <w:rsid w:val="4D950351"/>
    <w:rsid w:val="4DA22905"/>
    <w:rsid w:val="4DE805F1"/>
    <w:rsid w:val="4DF3347D"/>
    <w:rsid w:val="4E1131F6"/>
    <w:rsid w:val="4E177064"/>
    <w:rsid w:val="4E1F2065"/>
    <w:rsid w:val="4E304110"/>
    <w:rsid w:val="4E635E94"/>
    <w:rsid w:val="4E685436"/>
    <w:rsid w:val="4E7520E4"/>
    <w:rsid w:val="4E9C58C3"/>
    <w:rsid w:val="4EB27D4F"/>
    <w:rsid w:val="4EB44330"/>
    <w:rsid w:val="4EBA5605"/>
    <w:rsid w:val="4EE138E2"/>
    <w:rsid w:val="4F0B1437"/>
    <w:rsid w:val="4F11111B"/>
    <w:rsid w:val="4F1257BA"/>
    <w:rsid w:val="4F14284A"/>
    <w:rsid w:val="4F3F4946"/>
    <w:rsid w:val="4F684D72"/>
    <w:rsid w:val="4F8053FC"/>
    <w:rsid w:val="4F9111A6"/>
    <w:rsid w:val="4F971A21"/>
    <w:rsid w:val="4FA02656"/>
    <w:rsid w:val="4FB9432B"/>
    <w:rsid w:val="4FF91AB2"/>
    <w:rsid w:val="5021509B"/>
    <w:rsid w:val="50250673"/>
    <w:rsid w:val="50454305"/>
    <w:rsid w:val="505C2373"/>
    <w:rsid w:val="50611CD6"/>
    <w:rsid w:val="508544A0"/>
    <w:rsid w:val="50F64502"/>
    <w:rsid w:val="511A220C"/>
    <w:rsid w:val="512E5F78"/>
    <w:rsid w:val="51874DAF"/>
    <w:rsid w:val="51AD394F"/>
    <w:rsid w:val="51DA25F7"/>
    <w:rsid w:val="51DC6B68"/>
    <w:rsid w:val="521E6805"/>
    <w:rsid w:val="523E342D"/>
    <w:rsid w:val="52457097"/>
    <w:rsid w:val="526A5663"/>
    <w:rsid w:val="528412CA"/>
    <w:rsid w:val="52A36090"/>
    <w:rsid w:val="52C533D7"/>
    <w:rsid w:val="52DA5A00"/>
    <w:rsid w:val="52DD796C"/>
    <w:rsid w:val="52F87F54"/>
    <w:rsid w:val="531E2638"/>
    <w:rsid w:val="531F0360"/>
    <w:rsid w:val="53634659"/>
    <w:rsid w:val="53645841"/>
    <w:rsid w:val="53B641B1"/>
    <w:rsid w:val="53D1600F"/>
    <w:rsid w:val="53F74F19"/>
    <w:rsid w:val="53F817ED"/>
    <w:rsid w:val="541A60A3"/>
    <w:rsid w:val="5448499A"/>
    <w:rsid w:val="5453574E"/>
    <w:rsid w:val="545425B0"/>
    <w:rsid w:val="54703A7A"/>
    <w:rsid w:val="54733E3E"/>
    <w:rsid w:val="54835765"/>
    <w:rsid w:val="54AA48BC"/>
    <w:rsid w:val="54F30B7F"/>
    <w:rsid w:val="551F68A6"/>
    <w:rsid w:val="55384F8B"/>
    <w:rsid w:val="554076FE"/>
    <w:rsid w:val="556259B5"/>
    <w:rsid w:val="556971D6"/>
    <w:rsid w:val="557A3DCE"/>
    <w:rsid w:val="55965937"/>
    <w:rsid w:val="55AF412E"/>
    <w:rsid w:val="55C23AA1"/>
    <w:rsid w:val="55D53BC5"/>
    <w:rsid w:val="55F629D4"/>
    <w:rsid w:val="56222B52"/>
    <w:rsid w:val="562F49D4"/>
    <w:rsid w:val="563733C6"/>
    <w:rsid w:val="566B06CF"/>
    <w:rsid w:val="567F4D0E"/>
    <w:rsid w:val="568277C4"/>
    <w:rsid w:val="568913CC"/>
    <w:rsid w:val="569D5E4B"/>
    <w:rsid w:val="56C02EC5"/>
    <w:rsid w:val="56CE7427"/>
    <w:rsid w:val="56F439AE"/>
    <w:rsid w:val="574C26DA"/>
    <w:rsid w:val="574F541A"/>
    <w:rsid w:val="575136EE"/>
    <w:rsid w:val="575E2DBF"/>
    <w:rsid w:val="57784EF5"/>
    <w:rsid w:val="577E2647"/>
    <w:rsid w:val="57891F04"/>
    <w:rsid w:val="57B27F05"/>
    <w:rsid w:val="57E22E7A"/>
    <w:rsid w:val="58417549"/>
    <w:rsid w:val="58615BB3"/>
    <w:rsid w:val="586D368B"/>
    <w:rsid w:val="58701BA4"/>
    <w:rsid w:val="58B507D8"/>
    <w:rsid w:val="58DA3CDB"/>
    <w:rsid w:val="5908019E"/>
    <w:rsid w:val="59252C90"/>
    <w:rsid w:val="59431968"/>
    <w:rsid w:val="59540F55"/>
    <w:rsid w:val="597C1D6D"/>
    <w:rsid w:val="59A35740"/>
    <w:rsid w:val="59B47F65"/>
    <w:rsid w:val="59E66CC0"/>
    <w:rsid w:val="5A736072"/>
    <w:rsid w:val="5A775200"/>
    <w:rsid w:val="5AA31307"/>
    <w:rsid w:val="5ACE14FA"/>
    <w:rsid w:val="5ACE2B96"/>
    <w:rsid w:val="5AD060C4"/>
    <w:rsid w:val="5AD4344D"/>
    <w:rsid w:val="5AE26C03"/>
    <w:rsid w:val="5AE46A98"/>
    <w:rsid w:val="5AF01C06"/>
    <w:rsid w:val="5AF85322"/>
    <w:rsid w:val="5B02623B"/>
    <w:rsid w:val="5B2829B8"/>
    <w:rsid w:val="5B5A4B3C"/>
    <w:rsid w:val="5BD96E3A"/>
    <w:rsid w:val="5C0053CB"/>
    <w:rsid w:val="5C090A3C"/>
    <w:rsid w:val="5C0A6562"/>
    <w:rsid w:val="5C313585"/>
    <w:rsid w:val="5C315164"/>
    <w:rsid w:val="5C631A75"/>
    <w:rsid w:val="5C9C31C1"/>
    <w:rsid w:val="5CA752B7"/>
    <w:rsid w:val="5CC95B00"/>
    <w:rsid w:val="5CD526CC"/>
    <w:rsid w:val="5CDC050F"/>
    <w:rsid w:val="5CE61B6B"/>
    <w:rsid w:val="5D07484F"/>
    <w:rsid w:val="5D1277D6"/>
    <w:rsid w:val="5D6B6E06"/>
    <w:rsid w:val="5D6C32B8"/>
    <w:rsid w:val="5D8C1A3B"/>
    <w:rsid w:val="5D8F1C80"/>
    <w:rsid w:val="5D921D90"/>
    <w:rsid w:val="5D95564D"/>
    <w:rsid w:val="5D9B0E39"/>
    <w:rsid w:val="5DB31664"/>
    <w:rsid w:val="5DCC1AF5"/>
    <w:rsid w:val="5DCF25A2"/>
    <w:rsid w:val="5DD04382"/>
    <w:rsid w:val="5DDE4D17"/>
    <w:rsid w:val="5DF16A5F"/>
    <w:rsid w:val="5DF95F84"/>
    <w:rsid w:val="5E0429B5"/>
    <w:rsid w:val="5E2A1226"/>
    <w:rsid w:val="5E3D1E49"/>
    <w:rsid w:val="5E475A1D"/>
    <w:rsid w:val="5E504F85"/>
    <w:rsid w:val="5E9B2359"/>
    <w:rsid w:val="5EBB3B43"/>
    <w:rsid w:val="5EBC1AB0"/>
    <w:rsid w:val="5EC81BF4"/>
    <w:rsid w:val="5ED76A99"/>
    <w:rsid w:val="5EDE3A4B"/>
    <w:rsid w:val="5F064435"/>
    <w:rsid w:val="5F120616"/>
    <w:rsid w:val="5F1A6ABC"/>
    <w:rsid w:val="5F2F12C0"/>
    <w:rsid w:val="5F645F89"/>
    <w:rsid w:val="5F700DD2"/>
    <w:rsid w:val="5F7929FD"/>
    <w:rsid w:val="5F9F342E"/>
    <w:rsid w:val="5FBE7D8F"/>
    <w:rsid w:val="6008126F"/>
    <w:rsid w:val="602277B4"/>
    <w:rsid w:val="60504520"/>
    <w:rsid w:val="60592DE5"/>
    <w:rsid w:val="60905211"/>
    <w:rsid w:val="609A4D89"/>
    <w:rsid w:val="60B00540"/>
    <w:rsid w:val="60DD6815"/>
    <w:rsid w:val="6102237C"/>
    <w:rsid w:val="611F3077"/>
    <w:rsid w:val="61245C3D"/>
    <w:rsid w:val="619B697B"/>
    <w:rsid w:val="61B07454"/>
    <w:rsid w:val="61B825BC"/>
    <w:rsid w:val="61C64385"/>
    <w:rsid w:val="61F47559"/>
    <w:rsid w:val="62007D8B"/>
    <w:rsid w:val="62092E18"/>
    <w:rsid w:val="62132462"/>
    <w:rsid w:val="624C0E8E"/>
    <w:rsid w:val="62A509FF"/>
    <w:rsid w:val="62AF3FE6"/>
    <w:rsid w:val="62B9215C"/>
    <w:rsid w:val="62C84A81"/>
    <w:rsid w:val="62CF719E"/>
    <w:rsid w:val="63170B2B"/>
    <w:rsid w:val="633839B4"/>
    <w:rsid w:val="63550441"/>
    <w:rsid w:val="63784673"/>
    <w:rsid w:val="637F15E3"/>
    <w:rsid w:val="638D2974"/>
    <w:rsid w:val="6417181C"/>
    <w:rsid w:val="642E71D9"/>
    <w:rsid w:val="64385605"/>
    <w:rsid w:val="643A5879"/>
    <w:rsid w:val="646B1B68"/>
    <w:rsid w:val="646F19F0"/>
    <w:rsid w:val="64751D6C"/>
    <w:rsid w:val="647B624F"/>
    <w:rsid w:val="64925476"/>
    <w:rsid w:val="649D5FA6"/>
    <w:rsid w:val="64C46030"/>
    <w:rsid w:val="64C50DDA"/>
    <w:rsid w:val="64DA64C0"/>
    <w:rsid w:val="64DC06C7"/>
    <w:rsid w:val="64ED406F"/>
    <w:rsid w:val="64FF74A9"/>
    <w:rsid w:val="65256459"/>
    <w:rsid w:val="655D27A8"/>
    <w:rsid w:val="65B77329"/>
    <w:rsid w:val="65BD6631"/>
    <w:rsid w:val="65BD6BD7"/>
    <w:rsid w:val="65D067EF"/>
    <w:rsid w:val="65D95D54"/>
    <w:rsid w:val="65DD5B02"/>
    <w:rsid w:val="65E25E59"/>
    <w:rsid w:val="65E800EF"/>
    <w:rsid w:val="6601232A"/>
    <w:rsid w:val="668E2986"/>
    <w:rsid w:val="66C33289"/>
    <w:rsid w:val="66FF3E07"/>
    <w:rsid w:val="67096682"/>
    <w:rsid w:val="67106D88"/>
    <w:rsid w:val="6743194F"/>
    <w:rsid w:val="67781FD1"/>
    <w:rsid w:val="6784366C"/>
    <w:rsid w:val="67B048A5"/>
    <w:rsid w:val="67D32AFE"/>
    <w:rsid w:val="67FD02C3"/>
    <w:rsid w:val="67FE0782"/>
    <w:rsid w:val="68196658"/>
    <w:rsid w:val="68223C08"/>
    <w:rsid w:val="6837248C"/>
    <w:rsid w:val="683A063B"/>
    <w:rsid w:val="687D2EAB"/>
    <w:rsid w:val="689E250C"/>
    <w:rsid w:val="68E87548"/>
    <w:rsid w:val="68FB4358"/>
    <w:rsid w:val="6908207B"/>
    <w:rsid w:val="69177A24"/>
    <w:rsid w:val="69260639"/>
    <w:rsid w:val="6945507D"/>
    <w:rsid w:val="69BD4C13"/>
    <w:rsid w:val="69C80622"/>
    <w:rsid w:val="6A022F6E"/>
    <w:rsid w:val="6A116D0D"/>
    <w:rsid w:val="6A162CCC"/>
    <w:rsid w:val="6A18246B"/>
    <w:rsid w:val="6A3D7C76"/>
    <w:rsid w:val="6A532242"/>
    <w:rsid w:val="6A6947B3"/>
    <w:rsid w:val="6A7B7095"/>
    <w:rsid w:val="6A7E68A8"/>
    <w:rsid w:val="6A932E7C"/>
    <w:rsid w:val="6A9359EA"/>
    <w:rsid w:val="6ABD6F1D"/>
    <w:rsid w:val="6ACF380B"/>
    <w:rsid w:val="6B1747F7"/>
    <w:rsid w:val="6B2C65A2"/>
    <w:rsid w:val="6B2E3E21"/>
    <w:rsid w:val="6B361AC9"/>
    <w:rsid w:val="6B3D24B0"/>
    <w:rsid w:val="6B566699"/>
    <w:rsid w:val="6BAD045C"/>
    <w:rsid w:val="6BB8197C"/>
    <w:rsid w:val="6BBE1707"/>
    <w:rsid w:val="6BCB3442"/>
    <w:rsid w:val="6BD62361"/>
    <w:rsid w:val="6BF550B3"/>
    <w:rsid w:val="6C07719B"/>
    <w:rsid w:val="6C1664CB"/>
    <w:rsid w:val="6C1D6D9A"/>
    <w:rsid w:val="6C1E7FB7"/>
    <w:rsid w:val="6C442980"/>
    <w:rsid w:val="6C486FA6"/>
    <w:rsid w:val="6C626510"/>
    <w:rsid w:val="6C767BAE"/>
    <w:rsid w:val="6C837788"/>
    <w:rsid w:val="6C9C242E"/>
    <w:rsid w:val="6CB00099"/>
    <w:rsid w:val="6CB0280D"/>
    <w:rsid w:val="6CF71C06"/>
    <w:rsid w:val="6D0A37D9"/>
    <w:rsid w:val="6D2154B9"/>
    <w:rsid w:val="6D2C4685"/>
    <w:rsid w:val="6D321474"/>
    <w:rsid w:val="6D3671B7"/>
    <w:rsid w:val="6D68298E"/>
    <w:rsid w:val="6DE26FC4"/>
    <w:rsid w:val="6DE70D91"/>
    <w:rsid w:val="6DEB41BC"/>
    <w:rsid w:val="6E0748EF"/>
    <w:rsid w:val="6E2129A1"/>
    <w:rsid w:val="6E565636"/>
    <w:rsid w:val="6E661D1D"/>
    <w:rsid w:val="6E701A14"/>
    <w:rsid w:val="6E9557B5"/>
    <w:rsid w:val="6EAB5982"/>
    <w:rsid w:val="6EAD2DEA"/>
    <w:rsid w:val="6EC571F6"/>
    <w:rsid w:val="6EEE586F"/>
    <w:rsid w:val="6F275B2F"/>
    <w:rsid w:val="6F437969"/>
    <w:rsid w:val="6F44041F"/>
    <w:rsid w:val="6F4C5F8B"/>
    <w:rsid w:val="6F4E57C6"/>
    <w:rsid w:val="6F5E6A77"/>
    <w:rsid w:val="6F787F8C"/>
    <w:rsid w:val="6F7D2538"/>
    <w:rsid w:val="6F9B0A23"/>
    <w:rsid w:val="6FC45EB3"/>
    <w:rsid w:val="6FD20C37"/>
    <w:rsid w:val="6FD26F3F"/>
    <w:rsid w:val="6FDC54B1"/>
    <w:rsid w:val="6FE91DE9"/>
    <w:rsid w:val="70027CBA"/>
    <w:rsid w:val="701233CB"/>
    <w:rsid w:val="7024268C"/>
    <w:rsid w:val="703F45D4"/>
    <w:rsid w:val="704226D6"/>
    <w:rsid w:val="706728F0"/>
    <w:rsid w:val="70992AD8"/>
    <w:rsid w:val="709B392A"/>
    <w:rsid w:val="70AF785C"/>
    <w:rsid w:val="70E91428"/>
    <w:rsid w:val="70E95364"/>
    <w:rsid w:val="70EA3BFE"/>
    <w:rsid w:val="70EC30F2"/>
    <w:rsid w:val="710215FC"/>
    <w:rsid w:val="711968D9"/>
    <w:rsid w:val="714A7612"/>
    <w:rsid w:val="715701EC"/>
    <w:rsid w:val="71671AB6"/>
    <w:rsid w:val="71D47888"/>
    <w:rsid w:val="71DC2BCC"/>
    <w:rsid w:val="71E90759"/>
    <w:rsid w:val="71F72C8D"/>
    <w:rsid w:val="72066A07"/>
    <w:rsid w:val="72154C41"/>
    <w:rsid w:val="721E2B5F"/>
    <w:rsid w:val="724E36B4"/>
    <w:rsid w:val="72711689"/>
    <w:rsid w:val="72C37512"/>
    <w:rsid w:val="72C44EA7"/>
    <w:rsid w:val="72CD3826"/>
    <w:rsid w:val="72E32133"/>
    <w:rsid w:val="72E651DB"/>
    <w:rsid w:val="730B52B1"/>
    <w:rsid w:val="73291A67"/>
    <w:rsid w:val="732E0739"/>
    <w:rsid w:val="733F2932"/>
    <w:rsid w:val="73501722"/>
    <w:rsid w:val="7355602C"/>
    <w:rsid w:val="735E1215"/>
    <w:rsid w:val="73624321"/>
    <w:rsid w:val="73755B24"/>
    <w:rsid w:val="739E35C0"/>
    <w:rsid w:val="73B23ABB"/>
    <w:rsid w:val="73B51E75"/>
    <w:rsid w:val="73B6282D"/>
    <w:rsid w:val="73CA2AD1"/>
    <w:rsid w:val="73D92D70"/>
    <w:rsid w:val="73E40DAD"/>
    <w:rsid w:val="74041A55"/>
    <w:rsid w:val="740B52DF"/>
    <w:rsid w:val="74187805"/>
    <w:rsid w:val="741C6B32"/>
    <w:rsid w:val="74561EEC"/>
    <w:rsid w:val="74A52F54"/>
    <w:rsid w:val="74A63B39"/>
    <w:rsid w:val="74B129FA"/>
    <w:rsid w:val="74F248B8"/>
    <w:rsid w:val="75040EF4"/>
    <w:rsid w:val="750532A6"/>
    <w:rsid w:val="75085E41"/>
    <w:rsid w:val="753D0713"/>
    <w:rsid w:val="753E3135"/>
    <w:rsid w:val="755E1F27"/>
    <w:rsid w:val="756B5E6B"/>
    <w:rsid w:val="75842A89"/>
    <w:rsid w:val="75D67D9E"/>
    <w:rsid w:val="7605062E"/>
    <w:rsid w:val="76133609"/>
    <w:rsid w:val="76194050"/>
    <w:rsid w:val="761F7DC5"/>
    <w:rsid w:val="76474DCD"/>
    <w:rsid w:val="764C7A74"/>
    <w:rsid w:val="7653001E"/>
    <w:rsid w:val="766227CA"/>
    <w:rsid w:val="766D79C1"/>
    <w:rsid w:val="76852F5D"/>
    <w:rsid w:val="769C3E9C"/>
    <w:rsid w:val="76A809F9"/>
    <w:rsid w:val="76BA690C"/>
    <w:rsid w:val="76BC3B4D"/>
    <w:rsid w:val="76C05D43"/>
    <w:rsid w:val="76C258C2"/>
    <w:rsid w:val="76C34A9E"/>
    <w:rsid w:val="76E4426B"/>
    <w:rsid w:val="76F17A29"/>
    <w:rsid w:val="77220487"/>
    <w:rsid w:val="772A5E9A"/>
    <w:rsid w:val="77797EDF"/>
    <w:rsid w:val="77BB54CF"/>
    <w:rsid w:val="780335BB"/>
    <w:rsid w:val="7842502A"/>
    <w:rsid w:val="784F6DF1"/>
    <w:rsid w:val="786D0F18"/>
    <w:rsid w:val="787F62DF"/>
    <w:rsid w:val="7897265F"/>
    <w:rsid w:val="789B283C"/>
    <w:rsid w:val="78A42797"/>
    <w:rsid w:val="78A51423"/>
    <w:rsid w:val="78AE3762"/>
    <w:rsid w:val="78B43685"/>
    <w:rsid w:val="78B449E2"/>
    <w:rsid w:val="78DB623D"/>
    <w:rsid w:val="78F32400"/>
    <w:rsid w:val="78F83F8D"/>
    <w:rsid w:val="78FB1CB1"/>
    <w:rsid w:val="790327D9"/>
    <w:rsid w:val="790A52F2"/>
    <w:rsid w:val="794F0BCE"/>
    <w:rsid w:val="798A0FE9"/>
    <w:rsid w:val="79DE1521"/>
    <w:rsid w:val="79E35351"/>
    <w:rsid w:val="79F61829"/>
    <w:rsid w:val="7A1A0171"/>
    <w:rsid w:val="7A1B43DE"/>
    <w:rsid w:val="7A3948BF"/>
    <w:rsid w:val="7A5A7C13"/>
    <w:rsid w:val="7A756E44"/>
    <w:rsid w:val="7AD56B43"/>
    <w:rsid w:val="7B331D1A"/>
    <w:rsid w:val="7B6A133A"/>
    <w:rsid w:val="7B900DB7"/>
    <w:rsid w:val="7BA448FC"/>
    <w:rsid w:val="7BBD0AA3"/>
    <w:rsid w:val="7BE55007"/>
    <w:rsid w:val="7BEC3136"/>
    <w:rsid w:val="7BF15DF6"/>
    <w:rsid w:val="7C0274BD"/>
    <w:rsid w:val="7C0B3697"/>
    <w:rsid w:val="7C123D1A"/>
    <w:rsid w:val="7C175D41"/>
    <w:rsid w:val="7C2D2698"/>
    <w:rsid w:val="7C444D20"/>
    <w:rsid w:val="7C7622DD"/>
    <w:rsid w:val="7C776EA4"/>
    <w:rsid w:val="7C9C67B2"/>
    <w:rsid w:val="7CAE39D2"/>
    <w:rsid w:val="7CB67BB1"/>
    <w:rsid w:val="7CBF4067"/>
    <w:rsid w:val="7CCB60C1"/>
    <w:rsid w:val="7CD25AD9"/>
    <w:rsid w:val="7D0D0D18"/>
    <w:rsid w:val="7D1B3CD3"/>
    <w:rsid w:val="7D1F0177"/>
    <w:rsid w:val="7D274928"/>
    <w:rsid w:val="7D2C652F"/>
    <w:rsid w:val="7D32087E"/>
    <w:rsid w:val="7D64408D"/>
    <w:rsid w:val="7D6E50DA"/>
    <w:rsid w:val="7D805566"/>
    <w:rsid w:val="7D9D3948"/>
    <w:rsid w:val="7DA43CC8"/>
    <w:rsid w:val="7DF132DE"/>
    <w:rsid w:val="7DF2563A"/>
    <w:rsid w:val="7E043DA8"/>
    <w:rsid w:val="7E1F6DD3"/>
    <w:rsid w:val="7E3F045E"/>
    <w:rsid w:val="7E554588"/>
    <w:rsid w:val="7E5C45A3"/>
    <w:rsid w:val="7E736B5C"/>
    <w:rsid w:val="7E9B4B97"/>
    <w:rsid w:val="7EFB3DBC"/>
    <w:rsid w:val="7F3E404B"/>
    <w:rsid w:val="7F415CA9"/>
    <w:rsid w:val="7F7F231A"/>
    <w:rsid w:val="7FA77AA0"/>
    <w:rsid w:val="7FDB599C"/>
    <w:rsid w:val="DADBA294"/>
    <w:rsid w:val="F9EFCB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2"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6" w:semiHidden="0" w:name="Body Text Indent 2"/>
    <w:lsdException w:qFormat="1" w:unhideWhenUsed="0" w:uiPriority="6"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6"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6"/>
    <w:pPr>
      <w:keepNext/>
      <w:keepLines/>
      <w:spacing w:before="340" w:after="330" w:line="578" w:lineRule="auto"/>
      <w:outlineLvl w:val="0"/>
    </w:pPr>
    <w:rPr>
      <w:b/>
      <w:bCs/>
      <w:kern w:val="44"/>
      <w:sz w:val="44"/>
      <w:szCs w:val="44"/>
    </w:rPr>
  </w:style>
  <w:style w:type="paragraph" w:styleId="5">
    <w:name w:val="heading 2"/>
    <w:basedOn w:val="1"/>
    <w:next w:val="1"/>
    <w:link w:val="48"/>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9"/>
    <w:qFormat/>
    <w:uiPriority w:val="0"/>
    <w:pPr>
      <w:keepNext/>
      <w:keepLines/>
      <w:spacing w:before="260" w:after="260" w:line="416" w:lineRule="auto"/>
      <w:outlineLvl w:val="2"/>
    </w:pPr>
    <w:rPr>
      <w:b/>
      <w:bCs/>
      <w:sz w:val="32"/>
      <w:szCs w:val="32"/>
    </w:rPr>
  </w:style>
  <w:style w:type="paragraph" w:styleId="7">
    <w:name w:val="heading 4"/>
    <w:basedOn w:val="1"/>
    <w:next w:val="1"/>
    <w:link w:val="50"/>
    <w:qFormat/>
    <w:uiPriority w:val="0"/>
    <w:pPr>
      <w:keepNext/>
      <w:keepLines/>
      <w:spacing w:line="377" w:lineRule="auto"/>
      <w:outlineLvl w:val="3"/>
    </w:pPr>
    <w:rPr>
      <w:rFonts w:ascii="Calibri Light" w:hAnsi="Calibri Light"/>
      <w:b/>
      <w:bCs/>
      <w:sz w:val="24"/>
      <w:szCs w:val="28"/>
    </w:rPr>
  </w:style>
  <w:style w:type="paragraph" w:styleId="8">
    <w:name w:val="heading 5"/>
    <w:basedOn w:val="1"/>
    <w:next w:val="1"/>
    <w:link w:val="51"/>
    <w:qFormat/>
    <w:uiPriority w:val="0"/>
    <w:pPr>
      <w:keepNext/>
      <w:keepLines/>
      <w:spacing w:before="280" w:after="290" w:line="376" w:lineRule="auto"/>
      <w:outlineLvl w:val="4"/>
    </w:pPr>
    <w:rPr>
      <w:b/>
      <w:bCs/>
      <w:color w:val="000000"/>
      <w:kern w:val="0"/>
      <w:sz w:val="28"/>
      <w:szCs w:val="28"/>
    </w:rPr>
  </w:style>
  <w:style w:type="paragraph" w:styleId="9">
    <w:name w:val="heading 6"/>
    <w:basedOn w:val="1"/>
    <w:next w:val="1"/>
    <w:link w:val="52"/>
    <w:qFormat/>
    <w:uiPriority w:val="0"/>
    <w:pPr>
      <w:keepNext/>
      <w:keepLines/>
      <w:spacing w:before="120" w:after="120" w:line="319" w:lineRule="auto"/>
      <w:outlineLvl w:val="5"/>
    </w:pPr>
    <w:rPr>
      <w:rFonts w:ascii="Calibri Light" w:hAnsi="Calibri Light" w:eastAsia="黑体"/>
      <w:b/>
      <w:bCs/>
      <w:sz w:val="24"/>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next w:val="2"/>
    <w:link w:val="54"/>
    <w:qFormat/>
    <w:uiPriority w:val="0"/>
    <w:pPr>
      <w:spacing w:after="120"/>
    </w:pPr>
  </w:style>
  <w:style w:type="paragraph" w:styleId="10">
    <w:name w:val="toc 7"/>
    <w:basedOn w:val="1"/>
    <w:next w:val="1"/>
    <w:semiHidden/>
    <w:qFormat/>
    <w:uiPriority w:val="0"/>
    <w:pPr>
      <w:ind w:left="1260"/>
      <w:jc w:val="left"/>
    </w:pPr>
    <w:rPr>
      <w:sz w:val="18"/>
      <w:szCs w:val="18"/>
    </w:rPr>
  </w:style>
  <w:style w:type="paragraph" w:styleId="11">
    <w:name w:val="table of authorities"/>
    <w:basedOn w:val="1"/>
    <w:next w:val="1"/>
    <w:unhideWhenUsed/>
    <w:qFormat/>
    <w:uiPriority w:val="99"/>
    <w:pPr>
      <w:ind w:left="420" w:leftChars="200"/>
    </w:pPr>
    <w:rPr>
      <w:rFonts w:ascii="等线" w:hAnsi="等线" w:eastAsia="等线"/>
      <w:szCs w:val="21"/>
    </w:rPr>
  </w:style>
  <w:style w:type="paragraph" w:styleId="12">
    <w:name w:val="Normal Indent"/>
    <w:basedOn w:val="1"/>
    <w:next w:val="1"/>
    <w:qFormat/>
    <w:uiPriority w:val="0"/>
    <w:pPr>
      <w:adjustRightInd w:val="0"/>
      <w:spacing w:line="312" w:lineRule="atLeast"/>
      <w:ind w:firstLine="420"/>
      <w:textAlignment w:val="baseline"/>
    </w:pPr>
  </w:style>
  <w:style w:type="paragraph" w:styleId="13">
    <w:name w:val="Document Map"/>
    <w:basedOn w:val="1"/>
    <w:semiHidden/>
    <w:qFormat/>
    <w:uiPriority w:val="0"/>
    <w:pPr>
      <w:shd w:val="clear" w:color="auto" w:fill="000080"/>
    </w:pPr>
  </w:style>
  <w:style w:type="paragraph" w:styleId="14">
    <w:name w:val="annotation text"/>
    <w:basedOn w:val="1"/>
    <w:link w:val="53"/>
    <w:qFormat/>
    <w:uiPriority w:val="0"/>
    <w:pPr>
      <w:jc w:val="left"/>
    </w:pPr>
  </w:style>
  <w:style w:type="paragraph" w:styleId="15">
    <w:name w:val="Body Text Indent"/>
    <w:basedOn w:val="1"/>
    <w:next w:val="1"/>
    <w:link w:val="55"/>
    <w:qFormat/>
    <w:uiPriority w:val="6"/>
    <w:pPr>
      <w:spacing w:after="120"/>
      <w:ind w:left="420" w:leftChars="200"/>
    </w:pPr>
  </w:style>
  <w:style w:type="paragraph" w:styleId="16">
    <w:name w:val="Block Text"/>
    <w:basedOn w:val="1"/>
    <w:qFormat/>
    <w:uiPriority w:val="0"/>
    <w:pPr>
      <w:adjustRightInd w:val="0"/>
      <w:spacing w:line="300" w:lineRule="auto"/>
      <w:ind w:left="958" w:right="-120" w:rightChars="-120"/>
      <w:jc w:val="left"/>
    </w:pPr>
    <w:rPr>
      <w:rFonts w:ascii="宋体" w:hAnsi="宋体"/>
      <w:sz w:val="28"/>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qFormat/>
    <w:uiPriority w:val="39"/>
    <w:pPr>
      <w:ind w:left="420"/>
      <w:jc w:val="left"/>
    </w:pPr>
    <w:rPr>
      <w:i/>
      <w:iCs/>
      <w:sz w:val="20"/>
      <w:szCs w:val="20"/>
    </w:rPr>
  </w:style>
  <w:style w:type="paragraph" w:styleId="19">
    <w:name w:val="Plain Text"/>
    <w:basedOn w:val="1"/>
    <w:link w:val="56"/>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57"/>
    <w:qFormat/>
    <w:uiPriority w:val="7"/>
    <w:rPr>
      <w:color w:val="000000"/>
      <w:kern w:val="1"/>
      <w:sz w:val="30"/>
      <w:szCs w:val="20"/>
    </w:rPr>
  </w:style>
  <w:style w:type="paragraph" w:styleId="22">
    <w:name w:val="Body Text Indent 2"/>
    <w:basedOn w:val="1"/>
    <w:link w:val="58"/>
    <w:qFormat/>
    <w:uiPriority w:val="6"/>
    <w:pPr>
      <w:spacing w:after="120" w:line="480" w:lineRule="auto"/>
      <w:ind w:left="420" w:leftChars="200"/>
    </w:pPr>
  </w:style>
  <w:style w:type="paragraph" w:styleId="23">
    <w:name w:val="Balloon Text"/>
    <w:basedOn w:val="1"/>
    <w:link w:val="59"/>
    <w:qFormat/>
    <w:uiPriority w:val="6"/>
    <w:rPr>
      <w:sz w:val="18"/>
      <w:szCs w:val="18"/>
    </w:rPr>
  </w:style>
  <w:style w:type="paragraph" w:styleId="24">
    <w:name w:val="footer"/>
    <w:basedOn w:val="1"/>
    <w:link w:val="60"/>
    <w:qFormat/>
    <w:uiPriority w:val="6"/>
    <w:pPr>
      <w:tabs>
        <w:tab w:val="center" w:pos="4153"/>
        <w:tab w:val="right" w:pos="8306"/>
      </w:tabs>
      <w:snapToGrid w:val="0"/>
      <w:jc w:val="left"/>
    </w:pPr>
    <w:rPr>
      <w:sz w:val="18"/>
      <w:szCs w:val="18"/>
    </w:rPr>
  </w:style>
  <w:style w:type="paragraph" w:styleId="25">
    <w:name w:val="header"/>
    <w:basedOn w:val="1"/>
    <w:link w:val="61"/>
    <w:qFormat/>
    <w:uiPriority w:val="2"/>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b/>
      <w:bCs/>
      <w:caps/>
      <w:sz w:val="20"/>
      <w:szCs w:val="20"/>
    </w:rPr>
  </w:style>
  <w:style w:type="paragraph" w:styleId="27">
    <w:name w:val="toc 4"/>
    <w:basedOn w:val="1"/>
    <w:next w:val="1"/>
    <w:semiHidden/>
    <w:qFormat/>
    <w:uiPriority w:val="0"/>
    <w:pPr>
      <w:ind w:left="630"/>
      <w:jc w:val="left"/>
    </w:pPr>
    <w:rPr>
      <w:sz w:val="18"/>
      <w:szCs w:val="18"/>
    </w:rPr>
  </w:style>
  <w:style w:type="paragraph" w:styleId="28">
    <w:name w:val="List"/>
    <w:basedOn w:val="1"/>
    <w:qFormat/>
    <w:uiPriority w:val="99"/>
    <w:pPr>
      <w:ind w:left="200" w:hanging="200" w:hangingChars="200"/>
    </w:pPr>
  </w:style>
  <w:style w:type="paragraph" w:styleId="29">
    <w:name w:val="footnote text"/>
    <w:basedOn w:val="1"/>
    <w:qFormat/>
    <w:uiPriority w:val="99"/>
    <w:pPr>
      <w:snapToGrid w:val="0"/>
      <w:jc w:val="left"/>
    </w:pPr>
    <w:rPr>
      <w:sz w:val="18"/>
    </w:rPr>
  </w:style>
  <w:style w:type="paragraph" w:styleId="30">
    <w:name w:val="toc 6"/>
    <w:basedOn w:val="1"/>
    <w:next w:val="1"/>
    <w:semiHidden/>
    <w:qFormat/>
    <w:uiPriority w:val="0"/>
    <w:pPr>
      <w:ind w:left="1050"/>
      <w:jc w:val="left"/>
    </w:pPr>
    <w:rPr>
      <w:sz w:val="18"/>
      <w:szCs w:val="18"/>
    </w:rPr>
  </w:style>
  <w:style w:type="paragraph" w:styleId="31">
    <w:name w:val="Body Text Indent 3"/>
    <w:basedOn w:val="1"/>
    <w:link w:val="62"/>
    <w:qFormat/>
    <w:uiPriority w:val="6"/>
    <w:pPr>
      <w:spacing w:after="120"/>
      <w:ind w:left="420" w:leftChars="200"/>
    </w:pPr>
    <w:rPr>
      <w:sz w:val="16"/>
      <w:szCs w:val="16"/>
    </w:rPr>
  </w:style>
  <w:style w:type="paragraph" w:styleId="32">
    <w:name w:val="toc 2"/>
    <w:basedOn w:val="1"/>
    <w:next w:val="1"/>
    <w:qFormat/>
    <w:uiPriority w:val="39"/>
    <w:pPr>
      <w:ind w:left="210"/>
      <w:jc w:val="left"/>
    </w:pPr>
    <w:rPr>
      <w:smallCaps/>
      <w:sz w:val="20"/>
      <w:szCs w:val="20"/>
    </w:rPr>
  </w:style>
  <w:style w:type="paragraph" w:styleId="33">
    <w:name w:val="toc 9"/>
    <w:basedOn w:val="1"/>
    <w:next w:val="1"/>
    <w:semiHidden/>
    <w:qFormat/>
    <w:uiPriority w:val="0"/>
    <w:pPr>
      <w:ind w:left="1680"/>
      <w:jc w:val="left"/>
    </w:pPr>
    <w:rPr>
      <w:sz w:val="18"/>
      <w:szCs w:val="18"/>
    </w:rPr>
  </w:style>
  <w:style w:type="paragraph" w:styleId="3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63"/>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4"/>
    <w:qFormat/>
    <w:uiPriority w:val="0"/>
    <w:rPr>
      <w:b/>
      <w:bCs/>
    </w:rPr>
  </w:style>
  <w:style w:type="paragraph" w:styleId="38">
    <w:name w:val="Body Text First Indent 2"/>
    <w:basedOn w:val="15"/>
    <w:next w:val="1"/>
    <w:qFormat/>
    <w:uiPriority w:val="0"/>
    <w:pPr>
      <w:ind w:firstLine="420"/>
    </w:pPr>
    <w:rPr>
      <w:rFonts w:cs="宋体"/>
      <w:szCs w:val="21"/>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7"/>
    <w:rPr>
      <w:b/>
    </w:rPr>
  </w:style>
  <w:style w:type="character" w:styleId="43">
    <w:name w:val="page number"/>
    <w:qFormat/>
    <w:uiPriority w:val="6"/>
  </w:style>
  <w:style w:type="character" w:styleId="44">
    <w:name w:val="Hyperlink"/>
    <w:basedOn w:val="41"/>
    <w:qFormat/>
    <w:uiPriority w:val="99"/>
    <w:rPr>
      <w:color w:val="0000FF"/>
      <w:u w:val="single"/>
    </w:rPr>
  </w:style>
  <w:style w:type="character" w:styleId="45">
    <w:name w:val="annotation reference"/>
    <w:basedOn w:val="41"/>
    <w:qFormat/>
    <w:uiPriority w:val="0"/>
    <w:rPr>
      <w:sz w:val="21"/>
      <w:szCs w:val="21"/>
    </w:rPr>
  </w:style>
  <w:style w:type="character" w:styleId="46">
    <w:name w:val="footnote reference"/>
    <w:qFormat/>
    <w:uiPriority w:val="99"/>
    <w:rPr>
      <w:rFonts w:cs="Times New Roman"/>
      <w:vertAlign w:val="superscript"/>
    </w:rPr>
  </w:style>
  <w:style w:type="character" w:customStyle="1" w:styleId="47">
    <w:name w:val="标题 1 字符"/>
    <w:link w:val="4"/>
    <w:qFormat/>
    <w:uiPriority w:val="6"/>
    <w:rPr>
      <w:b/>
      <w:bCs/>
      <w:kern w:val="44"/>
      <w:sz w:val="44"/>
      <w:szCs w:val="44"/>
    </w:rPr>
  </w:style>
  <w:style w:type="character" w:customStyle="1" w:styleId="48">
    <w:name w:val="标题 2 字符"/>
    <w:link w:val="5"/>
    <w:qFormat/>
    <w:uiPriority w:val="9"/>
    <w:rPr>
      <w:rFonts w:ascii="Arial" w:hAnsi="Arial" w:eastAsia="黑体"/>
      <w:b/>
      <w:bCs/>
      <w:kern w:val="2"/>
      <w:sz w:val="32"/>
      <w:szCs w:val="32"/>
    </w:rPr>
  </w:style>
  <w:style w:type="character" w:customStyle="1" w:styleId="49">
    <w:name w:val="标题 3 字符"/>
    <w:link w:val="6"/>
    <w:qFormat/>
    <w:uiPriority w:val="0"/>
    <w:rPr>
      <w:b/>
      <w:bCs/>
      <w:kern w:val="2"/>
      <w:sz w:val="32"/>
      <w:szCs w:val="32"/>
    </w:rPr>
  </w:style>
  <w:style w:type="character" w:customStyle="1" w:styleId="50">
    <w:name w:val="标题 4 字符"/>
    <w:link w:val="7"/>
    <w:qFormat/>
    <w:uiPriority w:val="0"/>
    <w:rPr>
      <w:rFonts w:ascii="Calibri Light" w:hAnsi="Calibri Light"/>
      <w:b/>
      <w:bCs/>
      <w:kern w:val="2"/>
      <w:sz w:val="24"/>
      <w:szCs w:val="28"/>
    </w:rPr>
  </w:style>
  <w:style w:type="character" w:customStyle="1" w:styleId="51">
    <w:name w:val="标题 5 字符"/>
    <w:link w:val="8"/>
    <w:qFormat/>
    <w:uiPriority w:val="0"/>
    <w:rPr>
      <w:b/>
      <w:bCs/>
      <w:color w:val="000000"/>
      <w:sz w:val="28"/>
      <w:szCs w:val="28"/>
    </w:rPr>
  </w:style>
  <w:style w:type="character" w:customStyle="1" w:styleId="52">
    <w:name w:val="标题 6 字符"/>
    <w:link w:val="9"/>
    <w:qFormat/>
    <w:uiPriority w:val="0"/>
    <w:rPr>
      <w:rFonts w:ascii="Calibri Light" w:hAnsi="Calibri Light" w:eastAsia="黑体"/>
      <w:b/>
      <w:bCs/>
      <w:kern w:val="2"/>
      <w:sz w:val="24"/>
      <w:szCs w:val="24"/>
    </w:rPr>
  </w:style>
  <w:style w:type="character" w:customStyle="1" w:styleId="53">
    <w:name w:val="批注文字 字符"/>
    <w:link w:val="14"/>
    <w:qFormat/>
    <w:uiPriority w:val="0"/>
    <w:rPr>
      <w:kern w:val="2"/>
      <w:sz w:val="21"/>
      <w:szCs w:val="24"/>
    </w:rPr>
  </w:style>
  <w:style w:type="character" w:customStyle="1" w:styleId="54">
    <w:name w:val="正文文本 字符"/>
    <w:link w:val="3"/>
    <w:qFormat/>
    <w:uiPriority w:val="0"/>
    <w:rPr>
      <w:kern w:val="2"/>
      <w:sz w:val="21"/>
      <w:szCs w:val="24"/>
    </w:rPr>
  </w:style>
  <w:style w:type="character" w:customStyle="1" w:styleId="55">
    <w:name w:val="正文文本缩进 字符"/>
    <w:link w:val="15"/>
    <w:qFormat/>
    <w:uiPriority w:val="6"/>
    <w:rPr>
      <w:kern w:val="2"/>
      <w:sz w:val="21"/>
      <w:szCs w:val="24"/>
    </w:rPr>
  </w:style>
  <w:style w:type="character" w:customStyle="1" w:styleId="56">
    <w:name w:val="纯文本 字符"/>
    <w:link w:val="19"/>
    <w:qFormat/>
    <w:uiPriority w:val="0"/>
    <w:rPr>
      <w:rFonts w:ascii="宋体" w:hAnsi="Courier New" w:eastAsia="宋体"/>
      <w:sz w:val="21"/>
      <w:szCs w:val="21"/>
      <w:lang w:val="en-US" w:eastAsia="zh-CN" w:bidi="ar-SA"/>
    </w:rPr>
  </w:style>
  <w:style w:type="character" w:customStyle="1" w:styleId="57">
    <w:name w:val="日期 字符"/>
    <w:link w:val="21"/>
    <w:qFormat/>
    <w:uiPriority w:val="7"/>
    <w:rPr>
      <w:color w:val="000000"/>
      <w:kern w:val="1"/>
      <w:sz w:val="30"/>
    </w:rPr>
  </w:style>
  <w:style w:type="character" w:customStyle="1" w:styleId="58">
    <w:name w:val="正文文本缩进 2 字符"/>
    <w:link w:val="22"/>
    <w:qFormat/>
    <w:uiPriority w:val="6"/>
    <w:rPr>
      <w:kern w:val="2"/>
      <w:sz w:val="21"/>
      <w:szCs w:val="24"/>
    </w:rPr>
  </w:style>
  <w:style w:type="character" w:customStyle="1" w:styleId="59">
    <w:name w:val="批注框文本 字符"/>
    <w:link w:val="23"/>
    <w:qFormat/>
    <w:uiPriority w:val="6"/>
    <w:rPr>
      <w:kern w:val="2"/>
      <w:sz w:val="18"/>
      <w:szCs w:val="18"/>
    </w:rPr>
  </w:style>
  <w:style w:type="character" w:customStyle="1" w:styleId="60">
    <w:name w:val="页脚 字符"/>
    <w:link w:val="24"/>
    <w:qFormat/>
    <w:uiPriority w:val="6"/>
    <w:rPr>
      <w:kern w:val="2"/>
      <w:sz w:val="18"/>
      <w:szCs w:val="18"/>
    </w:rPr>
  </w:style>
  <w:style w:type="character" w:customStyle="1" w:styleId="61">
    <w:name w:val="页眉 字符"/>
    <w:link w:val="25"/>
    <w:qFormat/>
    <w:uiPriority w:val="2"/>
    <w:rPr>
      <w:kern w:val="2"/>
      <w:sz w:val="18"/>
      <w:szCs w:val="18"/>
    </w:rPr>
  </w:style>
  <w:style w:type="character" w:customStyle="1" w:styleId="62">
    <w:name w:val="正文文本缩进 3 字符"/>
    <w:link w:val="31"/>
    <w:qFormat/>
    <w:uiPriority w:val="6"/>
    <w:rPr>
      <w:kern w:val="2"/>
      <w:sz w:val="16"/>
      <w:szCs w:val="16"/>
    </w:rPr>
  </w:style>
  <w:style w:type="character" w:customStyle="1" w:styleId="63">
    <w:name w:val="标题 字符"/>
    <w:link w:val="36"/>
    <w:qFormat/>
    <w:uiPriority w:val="0"/>
    <w:rPr>
      <w:rFonts w:ascii="Cambria" w:hAnsi="Cambria" w:eastAsia="宋体"/>
      <w:b/>
      <w:bCs/>
      <w:kern w:val="2"/>
      <w:sz w:val="32"/>
      <w:szCs w:val="32"/>
      <w:lang w:val="en-US" w:eastAsia="zh-CN" w:bidi="ar-SA"/>
    </w:rPr>
  </w:style>
  <w:style w:type="character" w:customStyle="1" w:styleId="64">
    <w:name w:val="批注主题 字符"/>
    <w:link w:val="37"/>
    <w:qFormat/>
    <w:uiPriority w:val="0"/>
    <w:rPr>
      <w:b/>
      <w:bCs/>
      <w:kern w:val="2"/>
      <w:sz w:val="21"/>
      <w:szCs w:val="24"/>
    </w:rPr>
  </w:style>
  <w:style w:type="character" w:customStyle="1" w:styleId="65">
    <w:name w:val="正文文本 Char"/>
    <w:qFormat/>
    <w:uiPriority w:val="0"/>
    <w:rPr>
      <w:kern w:val="2"/>
      <w:sz w:val="21"/>
      <w:szCs w:val="24"/>
    </w:rPr>
  </w:style>
  <w:style w:type="character" w:customStyle="1" w:styleId="66">
    <w:name w:val="font21"/>
    <w:qFormat/>
    <w:uiPriority w:val="0"/>
    <w:rPr>
      <w:rFonts w:hint="eastAsia" w:ascii="宋体" w:hAnsi="宋体" w:eastAsia="宋体" w:cs="宋体"/>
      <w:color w:val="000000"/>
      <w:sz w:val="18"/>
      <w:szCs w:val="18"/>
      <w:u w:val="none"/>
    </w:rPr>
  </w:style>
  <w:style w:type="character" w:customStyle="1" w:styleId="67">
    <w:name w:val="表格文字 Char Char"/>
    <w:link w:val="68"/>
    <w:qFormat/>
    <w:uiPriority w:val="0"/>
    <w:rPr>
      <w:kern w:val="21"/>
      <w:sz w:val="21"/>
      <w:szCs w:val="21"/>
    </w:rPr>
  </w:style>
  <w:style w:type="paragraph" w:customStyle="1" w:styleId="68">
    <w:name w:val="表格文字"/>
    <w:basedOn w:val="1"/>
    <w:link w:val="67"/>
    <w:qFormat/>
    <w:uiPriority w:val="0"/>
    <w:pPr>
      <w:jc w:val="left"/>
    </w:pPr>
    <w:rPr>
      <w:kern w:val="21"/>
      <w:szCs w:val="21"/>
    </w:rPr>
  </w:style>
  <w:style w:type="character" w:customStyle="1" w:styleId="69">
    <w:name w:val="font41"/>
    <w:qFormat/>
    <w:uiPriority w:val="0"/>
    <w:rPr>
      <w:rFonts w:hint="eastAsia" w:ascii="宋体" w:hAnsi="宋体" w:eastAsia="宋体" w:cs="宋体"/>
      <w:b/>
      <w:color w:val="000000"/>
      <w:sz w:val="28"/>
      <w:szCs w:val="28"/>
      <w:u w:val="none"/>
    </w:rPr>
  </w:style>
  <w:style w:type="character" w:customStyle="1" w:styleId="70">
    <w:name w:val="font31"/>
    <w:qFormat/>
    <w:uiPriority w:val="0"/>
    <w:rPr>
      <w:rFonts w:ascii="Calibri" w:hAnsi="Calibri" w:cs="Calibri"/>
      <w:color w:val="000000"/>
      <w:sz w:val="20"/>
      <w:szCs w:val="20"/>
      <w:u w:val="none"/>
    </w:rPr>
  </w:style>
  <w:style w:type="character" w:customStyle="1" w:styleId="71">
    <w:name w:val="bt11"/>
    <w:qFormat/>
    <w:uiPriority w:val="3"/>
    <w:rPr>
      <w:rFonts w:eastAsia="仿宋_GB2312"/>
      <w:b/>
      <w:color w:val="000000"/>
      <w:sz w:val="30"/>
      <w:szCs w:val="20"/>
      <w:u w:val="none"/>
    </w:rPr>
  </w:style>
  <w:style w:type="character" w:customStyle="1" w:styleId="72">
    <w:name w:val="Char Char"/>
    <w:qFormat/>
    <w:uiPriority w:val="0"/>
    <w:rPr>
      <w:rFonts w:ascii="宋体" w:hAnsi="Courier New" w:eastAsia="宋体"/>
      <w:sz w:val="21"/>
      <w:szCs w:val="21"/>
      <w:lang w:val="en-US" w:eastAsia="zh-CN" w:bidi="ar-SA"/>
    </w:rPr>
  </w:style>
  <w:style w:type="character" w:customStyle="1" w:styleId="73">
    <w:name w:val="_Style 95"/>
    <w:qFormat/>
    <w:uiPriority w:val="32"/>
    <w:rPr>
      <w:b/>
      <w:bCs/>
      <w:smallCaps/>
      <w:color w:val="C0504D"/>
      <w:spacing w:val="5"/>
      <w:u w:val="single"/>
    </w:rPr>
  </w:style>
  <w:style w:type="character" w:customStyle="1" w:styleId="74">
    <w:name w:val="font01"/>
    <w:qFormat/>
    <w:uiPriority w:val="0"/>
    <w:rPr>
      <w:rFonts w:hint="eastAsia" w:ascii="宋体" w:hAnsi="宋体" w:eastAsia="宋体" w:cs="宋体"/>
      <w:b/>
      <w:color w:val="000000"/>
      <w:sz w:val="28"/>
      <w:szCs w:val="28"/>
      <w:u w:val="none"/>
    </w:rPr>
  </w:style>
  <w:style w:type="character" w:customStyle="1" w:styleId="75">
    <w:name w:val="纯文本 Char"/>
    <w:qFormat/>
    <w:uiPriority w:val="0"/>
    <w:rPr>
      <w:rFonts w:ascii="宋体" w:hAnsi="Courier New" w:eastAsia="宋体"/>
      <w:sz w:val="21"/>
      <w:szCs w:val="21"/>
      <w:lang w:val="en-US" w:eastAsia="zh-CN" w:bidi="ar-SA"/>
    </w:rPr>
  </w:style>
  <w:style w:type="character" w:customStyle="1" w:styleId="76">
    <w:name w:val="标题2"/>
    <w:qFormat/>
    <w:uiPriority w:val="0"/>
    <w:rPr>
      <w:rFonts w:ascii="微软雅黑" w:hAnsi="微软雅黑" w:eastAsia="微软雅黑"/>
      <w:b/>
      <w:bCs/>
      <w:color w:val="0D0D0D"/>
      <w:sz w:val="24"/>
    </w:rPr>
  </w:style>
  <w:style w:type="character" w:customStyle="1" w:styleId="77">
    <w:name w:val="font51"/>
    <w:qFormat/>
    <w:uiPriority w:val="0"/>
    <w:rPr>
      <w:rFonts w:hint="eastAsia" w:ascii="宋体" w:hAnsi="宋体" w:eastAsia="宋体" w:cs="宋体"/>
      <w:color w:val="000000"/>
      <w:sz w:val="18"/>
      <w:szCs w:val="18"/>
      <w:u w:val="none"/>
    </w:rPr>
  </w:style>
  <w:style w:type="character" w:customStyle="1" w:styleId="78">
    <w:name w:val="标准正文格式 Char"/>
    <w:link w:val="79"/>
    <w:qFormat/>
    <w:uiPriority w:val="0"/>
    <w:rPr>
      <w:rFonts w:ascii="宋体" w:eastAsia="仿宋_GB2312" w:cs="宋体"/>
      <w:color w:val="000000"/>
      <w:sz w:val="24"/>
      <w:lang w:val="en-US" w:eastAsia="zh-CN" w:bidi="ar-SA"/>
    </w:rPr>
  </w:style>
  <w:style w:type="paragraph" w:customStyle="1" w:styleId="79">
    <w:name w:val="标准正文格式"/>
    <w:basedOn w:val="1"/>
    <w:link w:val="78"/>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80">
    <w:name w:val="_Style 68"/>
    <w:unhideWhenUsed/>
    <w:qFormat/>
    <w:uiPriority w:val="99"/>
    <w:rPr>
      <w:color w:val="605E5C"/>
      <w:shd w:val="clear" w:color="auto" w:fill="E1DFDD"/>
    </w:rPr>
  </w:style>
  <w:style w:type="character" w:customStyle="1" w:styleId="81">
    <w:name w:val="纯文本 Char1"/>
    <w:qFormat/>
    <w:uiPriority w:val="0"/>
    <w:rPr>
      <w:rFonts w:ascii="宋体" w:hAnsi="Courier New" w:eastAsia="宋体"/>
      <w:sz w:val="21"/>
      <w:szCs w:val="21"/>
      <w:lang w:val="en-US" w:eastAsia="zh-CN" w:bidi="ar-SA"/>
    </w:rPr>
  </w:style>
  <w:style w:type="character" w:customStyle="1" w:styleId="82">
    <w:name w:val="title-text"/>
    <w:qFormat/>
    <w:uiPriority w:val="0"/>
  </w:style>
  <w:style w:type="character" w:customStyle="1" w:styleId="83">
    <w:name w:val="NormalCharacter"/>
    <w:qFormat/>
    <w:uiPriority w:val="0"/>
    <w:rPr>
      <w:kern w:val="2"/>
      <w:sz w:val="21"/>
      <w:szCs w:val="24"/>
      <w:lang w:val="en-US" w:eastAsia="zh-CN" w:bidi="ar-SA"/>
    </w:rPr>
  </w:style>
  <w:style w:type="character" w:customStyle="1" w:styleId="84">
    <w:name w:val="标题 2 Char"/>
    <w:qFormat/>
    <w:locked/>
    <w:uiPriority w:val="9"/>
    <w:rPr>
      <w:rFonts w:ascii="Arial" w:hAnsi="Arial" w:eastAsia="黑体"/>
      <w:b/>
      <w:bCs/>
      <w:kern w:val="2"/>
      <w:sz w:val="32"/>
      <w:szCs w:val="32"/>
      <w:lang w:val="en-US" w:eastAsia="zh-CN" w:bidi="ar-SA"/>
    </w:rPr>
  </w:style>
  <w:style w:type="character" w:customStyle="1" w:styleId="85">
    <w:name w:val="font121"/>
    <w:qFormat/>
    <w:uiPriority w:val="0"/>
    <w:rPr>
      <w:rFonts w:ascii="Symbol" w:hAnsi="Symbol" w:cs="Symbol"/>
      <w:color w:val="000000"/>
      <w:sz w:val="20"/>
      <w:szCs w:val="20"/>
      <w:u w:val="none"/>
    </w:rPr>
  </w:style>
  <w:style w:type="character" w:customStyle="1" w:styleId="86">
    <w:name w:val="无间隔 Char"/>
    <w:link w:val="87"/>
    <w:qFormat/>
    <w:locked/>
    <w:uiPriority w:val="0"/>
    <w:rPr>
      <w:sz w:val="24"/>
      <w:lang w:val="en-US" w:eastAsia="zh-CN" w:bidi="ar-SA"/>
    </w:rPr>
  </w:style>
  <w:style w:type="paragraph" w:customStyle="1" w:styleId="87">
    <w:name w:val="无间隔1"/>
    <w:link w:val="86"/>
    <w:qFormat/>
    <w:uiPriority w:val="0"/>
    <w:pPr>
      <w:widowControl w:val="0"/>
      <w:spacing w:line="360" w:lineRule="auto"/>
      <w:jc w:val="both"/>
    </w:pPr>
    <w:rPr>
      <w:rFonts w:ascii="Times New Roman" w:hAnsi="Times New Roman" w:eastAsia="宋体" w:cs="Times New Roman"/>
      <w:sz w:val="24"/>
      <w:lang w:val="en-US" w:eastAsia="zh-CN" w:bidi="ar-SA"/>
    </w:rPr>
  </w:style>
  <w:style w:type="character" w:customStyle="1" w:styleId="88">
    <w:name w:val="font11"/>
    <w:qFormat/>
    <w:uiPriority w:val="0"/>
    <w:rPr>
      <w:rFonts w:hint="eastAsia" w:ascii="宋体" w:hAnsi="宋体" w:eastAsia="宋体" w:cs="宋体"/>
      <w:color w:val="000000"/>
      <w:sz w:val="12"/>
      <w:szCs w:val="12"/>
      <w:u w:val="none"/>
    </w:rPr>
  </w:style>
  <w:style w:type="character" w:customStyle="1" w:styleId="89">
    <w:name w:val="font101"/>
    <w:qFormat/>
    <w:uiPriority w:val="0"/>
    <w:rPr>
      <w:rFonts w:hint="eastAsia" w:ascii="宋体" w:hAnsi="宋体" w:eastAsia="宋体" w:cs="宋体"/>
      <w:color w:val="000000"/>
      <w:sz w:val="20"/>
      <w:szCs w:val="20"/>
      <w:u w:val="none"/>
    </w:rPr>
  </w:style>
  <w:style w:type="character" w:customStyle="1" w:styleId="90">
    <w:name w:val="列出段落 字符"/>
    <w:link w:val="91"/>
    <w:qFormat/>
    <w:uiPriority w:val="34"/>
    <w:rPr>
      <w:kern w:val="2"/>
      <w:sz w:val="21"/>
    </w:rPr>
  </w:style>
  <w:style w:type="paragraph" w:customStyle="1" w:styleId="91">
    <w:name w:val="列出段落1"/>
    <w:basedOn w:val="1"/>
    <w:link w:val="90"/>
    <w:qFormat/>
    <w:uiPriority w:val="34"/>
    <w:pPr>
      <w:ind w:firstLine="420" w:firstLineChars="200"/>
    </w:pPr>
    <w:rPr>
      <w:szCs w:val="20"/>
    </w:rPr>
  </w:style>
  <w:style w:type="character" w:customStyle="1" w:styleId="92">
    <w:name w:val="Char Char Char"/>
    <w:qFormat/>
    <w:uiPriority w:val="0"/>
    <w:rPr>
      <w:rFonts w:ascii="宋体" w:hAnsi="Courier New" w:eastAsia="宋体"/>
      <w:sz w:val="21"/>
      <w:lang w:val="en-US" w:eastAsia="zh-CN"/>
    </w:rPr>
  </w:style>
  <w:style w:type="character" w:customStyle="1" w:styleId="93">
    <w:name w:val="aa1"/>
    <w:qFormat/>
    <w:uiPriority w:val="0"/>
    <w:rPr>
      <w:rFonts w:hint="default" w:ascii="_x000B__x000C_" w:hAnsi="_x000B__x000C_"/>
      <w:color w:val="000000"/>
      <w:sz w:val="20"/>
      <w:szCs w:val="20"/>
      <w:u w:val="none"/>
    </w:rPr>
  </w:style>
  <w:style w:type="character" w:customStyle="1" w:styleId="94">
    <w:name w:val="textfont"/>
    <w:qFormat/>
    <w:uiPriority w:val="0"/>
  </w:style>
  <w:style w:type="character" w:customStyle="1" w:styleId="95">
    <w:name w:val="页眉 Char1"/>
    <w:qFormat/>
    <w:uiPriority w:val="6"/>
    <w:rPr>
      <w:rFonts w:ascii="Times New Roman" w:hAnsi="Times New Roman" w:eastAsia="宋体" w:cs="Times New Roman"/>
      <w:color w:val="000000"/>
      <w:kern w:val="1"/>
      <w:sz w:val="18"/>
      <w:szCs w:val="18"/>
      <w:lang w:val="zh-CN"/>
    </w:rPr>
  </w:style>
  <w:style w:type="character" w:customStyle="1" w:styleId="96">
    <w:name w:val="日期 Char1"/>
    <w:qFormat/>
    <w:uiPriority w:val="0"/>
    <w:rPr>
      <w:kern w:val="2"/>
      <w:sz w:val="21"/>
      <w:szCs w:val="24"/>
    </w:rPr>
  </w:style>
  <w:style w:type="paragraph" w:customStyle="1" w:styleId="9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_Style 13"/>
    <w:basedOn w:val="1"/>
    <w:next w:val="99"/>
    <w:qFormat/>
    <w:uiPriority w:val="7"/>
    <w:pPr>
      <w:ind w:firstLine="420"/>
    </w:pPr>
    <w:rPr>
      <w:color w:val="000000"/>
      <w:kern w:val="1"/>
    </w:rPr>
  </w:style>
  <w:style w:type="paragraph" w:styleId="99">
    <w:name w:val="List Paragraph"/>
    <w:basedOn w:val="1"/>
    <w:qFormat/>
    <w:uiPriority w:val="34"/>
    <w:pPr>
      <w:ind w:firstLine="420" w:firstLineChars="200"/>
    </w:pPr>
    <w:rPr>
      <w:rFonts w:ascii="Calibri" w:hAnsi="Calibri"/>
      <w:szCs w:val="22"/>
    </w:rPr>
  </w:style>
  <w:style w:type="paragraph" w:customStyle="1" w:styleId="100">
    <w:name w:val="1111"/>
    <w:basedOn w:val="1"/>
    <w:qFormat/>
    <w:uiPriority w:val="0"/>
    <w:rPr>
      <w:sz w:val="18"/>
    </w:rPr>
  </w:style>
  <w:style w:type="paragraph" w:customStyle="1" w:styleId="10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2">
    <w:name w:val="Default"/>
    <w:next w:val="101"/>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03">
    <w:name w:val="_Style 5"/>
    <w:basedOn w:val="1"/>
    <w:qFormat/>
    <w:uiPriority w:val="99"/>
    <w:pPr>
      <w:spacing w:line="360" w:lineRule="auto"/>
      <w:ind w:firstLine="420" w:firstLineChars="200"/>
    </w:pPr>
  </w:style>
  <w:style w:type="paragraph" w:customStyle="1" w:styleId="104">
    <w:name w:val="首行缩进"/>
    <w:basedOn w:val="1"/>
    <w:qFormat/>
    <w:uiPriority w:val="0"/>
    <w:pPr>
      <w:widowControl/>
      <w:tabs>
        <w:tab w:val="left" w:pos="822"/>
        <w:tab w:val="left" w:pos="1296"/>
      </w:tabs>
      <w:snapToGrid w:val="0"/>
      <w:spacing w:before="40" w:after="40" w:line="300" w:lineRule="atLeast"/>
      <w:ind w:left="1296" w:hanging="1296"/>
    </w:pPr>
    <w:rPr>
      <w:rFonts w:ascii="Arial" w:hAnsi="Arial"/>
      <w:kern w:val="0"/>
      <w:szCs w:val="20"/>
    </w:rPr>
  </w:style>
  <w:style w:type="paragraph" w:customStyle="1" w:styleId="105">
    <w:name w:val="Pa3"/>
    <w:basedOn w:val="1"/>
    <w:next w:val="1"/>
    <w:qFormat/>
    <w:uiPriority w:val="99"/>
    <w:pPr>
      <w:widowControl/>
      <w:spacing w:line="141" w:lineRule="atLeast"/>
    </w:pPr>
    <w:rPr>
      <w:rFonts w:ascii="Univers 57 Condensed" w:eastAsia="Univers 57 Condensed"/>
      <w:sz w:val="24"/>
    </w:rPr>
  </w:style>
  <w:style w:type="paragraph" w:customStyle="1" w:styleId="106">
    <w:name w:val="保留正文"/>
    <w:basedOn w:val="3"/>
    <w:qFormat/>
    <w:uiPriority w:val="0"/>
    <w:pPr>
      <w:keepNext/>
      <w:spacing w:after="160"/>
    </w:pPr>
    <w:rPr>
      <w:szCs w:val="20"/>
    </w:rPr>
  </w:style>
  <w:style w:type="paragraph" w:customStyle="1" w:styleId="107">
    <w:name w:val="Body text|1"/>
    <w:basedOn w:val="1"/>
    <w:qFormat/>
    <w:uiPriority w:val="0"/>
    <w:pPr>
      <w:spacing w:line="360" w:lineRule="auto"/>
      <w:ind w:firstLine="400"/>
    </w:pPr>
    <w:rPr>
      <w:rFonts w:ascii="宋体" w:hAnsi="宋体" w:cs="宋体"/>
      <w:sz w:val="22"/>
      <w:szCs w:val="22"/>
      <w:lang w:val="zh-TW" w:eastAsia="zh-TW" w:bidi="zh-TW"/>
    </w:rPr>
  </w:style>
  <w:style w:type="paragraph" w:customStyle="1" w:styleId="108">
    <w:name w:val="BodyTextIndent"/>
    <w:basedOn w:val="1"/>
    <w:qFormat/>
    <w:uiPriority w:val="0"/>
    <w:pPr>
      <w:spacing w:after="120"/>
      <w:ind w:left="420" w:leftChars="200"/>
    </w:pPr>
  </w:style>
  <w:style w:type="paragraph" w:customStyle="1" w:styleId="109">
    <w:name w:val="Table Paragraph"/>
    <w:basedOn w:val="1"/>
    <w:qFormat/>
    <w:uiPriority w:val="1"/>
    <w:pPr>
      <w:spacing w:line="500" w:lineRule="exact"/>
      <w:ind w:firstLine="360" w:firstLineChars="200"/>
    </w:pPr>
    <w:rPr>
      <w:rFonts w:ascii="宋体" w:hAnsi="宋体" w:cs="宋体"/>
      <w:sz w:val="24"/>
      <w:lang w:val="zh-CN" w:bidi="zh-CN"/>
    </w:rPr>
  </w:style>
  <w:style w:type="paragraph" w:customStyle="1" w:styleId="110">
    <w:name w:val="BodyText1I2"/>
    <w:basedOn w:val="108"/>
    <w:qFormat/>
    <w:uiPriority w:val="0"/>
    <w:pPr>
      <w:ind w:firstLine="420" w:firstLineChars="200"/>
    </w:pPr>
  </w:style>
  <w:style w:type="paragraph" w:customStyle="1" w:styleId="111">
    <w:name w:val="样式 样式1 + 首行缩进:  2 字符"/>
    <w:basedOn w:val="1"/>
    <w:qFormat/>
    <w:uiPriority w:val="99"/>
    <w:pPr>
      <w:spacing w:line="360" w:lineRule="exact"/>
      <w:ind w:firstLine="420" w:firstLineChars="200"/>
    </w:pPr>
    <w:rPr>
      <w:rFonts w:ascii="Arial" w:hAnsi="Arial"/>
      <w:szCs w:val="20"/>
    </w:rPr>
  </w:style>
  <w:style w:type="paragraph" w:customStyle="1" w:styleId="112">
    <w:name w:val="彩色列表1"/>
    <w:basedOn w:val="1"/>
    <w:qFormat/>
    <w:uiPriority w:val="34"/>
    <w:pPr>
      <w:ind w:firstLine="420" w:firstLineChars="200"/>
    </w:pPr>
  </w:style>
  <w:style w:type="paragraph" w:customStyle="1" w:styleId="113">
    <w:name w:val="正文1"/>
    <w:qFormat/>
    <w:uiPriority w:val="99"/>
    <w:pPr>
      <w:widowControl w:val="0"/>
      <w:spacing w:after="160" w:line="259" w:lineRule="auto"/>
      <w:jc w:val="both"/>
    </w:pPr>
    <w:rPr>
      <w:rFonts w:ascii="Times New Roman" w:hAnsi="Times New Roman" w:eastAsia="宋体" w:cs="Times New Roman"/>
      <w:kern w:val="2"/>
      <w:sz w:val="21"/>
      <w:lang w:val="en-US" w:eastAsia="zh-CN" w:bidi="ar-SA"/>
    </w:rPr>
  </w:style>
  <w:style w:type="paragraph" w:customStyle="1" w:styleId="11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15">
    <w:name w:val="正文内容"/>
    <w:basedOn w:val="1"/>
    <w:qFormat/>
    <w:uiPriority w:val="0"/>
    <w:pPr>
      <w:jc w:val="left"/>
    </w:pPr>
    <w:rPr>
      <w:rFonts w:ascii="微软雅黑" w:hAnsi="微软雅黑" w:eastAsia="微软雅黑" w:cs="宋体"/>
      <w:color w:val="0D0D0D"/>
      <w:kern w:val="0"/>
      <w:sz w:val="18"/>
      <w:szCs w:val="18"/>
    </w:rPr>
  </w:style>
  <w:style w:type="paragraph" w:customStyle="1" w:styleId="116">
    <w:name w:val="Char Char Char Char Char Char Char"/>
    <w:basedOn w:val="1"/>
    <w:qFormat/>
    <w:uiPriority w:val="0"/>
    <w:rPr>
      <w:rFonts w:ascii="仿宋_GB2312" w:eastAsia="仿宋_GB2312"/>
      <w:b/>
      <w:sz w:val="32"/>
      <w:szCs w:val="32"/>
    </w:rPr>
  </w:style>
  <w:style w:type="paragraph" w:customStyle="1" w:styleId="117">
    <w:name w:val="列出段落3"/>
    <w:basedOn w:val="1"/>
    <w:qFormat/>
    <w:uiPriority w:val="34"/>
    <w:pPr>
      <w:spacing w:line="360" w:lineRule="auto"/>
      <w:ind w:firstLine="420" w:firstLineChars="200"/>
    </w:pPr>
    <w:rPr>
      <w:sz w:val="24"/>
      <w:szCs w:val="22"/>
    </w:rPr>
  </w:style>
  <w:style w:type="paragraph" w:customStyle="1" w:styleId="118">
    <w:name w:val="正文缩进1"/>
    <w:basedOn w:val="1"/>
    <w:next w:val="1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19">
    <w:name w:val="_Style 99"/>
    <w:unhideWhenUsed/>
    <w:qFormat/>
    <w:uiPriority w:val="99"/>
    <w:rPr>
      <w:rFonts w:ascii="Times New Roman" w:hAnsi="Times New Roman" w:eastAsia="宋体" w:cs="Times New Roman"/>
      <w:kern w:val="2"/>
      <w:sz w:val="21"/>
      <w:szCs w:val="24"/>
      <w:lang w:val="en-US" w:eastAsia="zh-CN" w:bidi="ar-SA"/>
    </w:rPr>
  </w:style>
  <w:style w:type="paragraph" w:customStyle="1" w:styleId="120">
    <w:name w:val="纯文本 New New"/>
    <w:basedOn w:val="1"/>
    <w:qFormat/>
    <w:uiPriority w:val="0"/>
    <w:pPr>
      <w:widowControl/>
      <w:overflowPunct w:val="0"/>
      <w:autoSpaceDE w:val="0"/>
      <w:autoSpaceDN w:val="0"/>
      <w:adjustRightInd w:val="0"/>
      <w:jc w:val="left"/>
      <w:textAlignment w:val="baseline"/>
    </w:pPr>
    <w:rPr>
      <w:rFonts w:ascii="宋体" w:hAnsi="Courier New"/>
      <w:szCs w:val="21"/>
    </w:rPr>
  </w:style>
  <w:style w:type="paragraph" w:customStyle="1" w:styleId="121">
    <w:name w:val="[Normal]"/>
    <w:qFormat/>
    <w:uiPriority w:val="0"/>
    <w:rPr>
      <w:rFonts w:ascii="宋体" w:hAnsi="宋体" w:eastAsia="宋体" w:cs="Times New Roman"/>
      <w:sz w:val="24"/>
      <w:szCs w:val="22"/>
      <w:lang w:val="zh-CN" w:eastAsia="zh-CN" w:bidi="ar-SA"/>
    </w:rPr>
  </w:style>
  <w:style w:type="paragraph" w:customStyle="1" w:styleId="122">
    <w:name w:val="列出段落2"/>
    <w:basedOn w:val="1"/>
    <w:qFormat/>
    <w:uiPriority w:val="34"/>
    <w:pPr>
      <w:spacing w:line="360" w:lineRule="auto"/>
      <w:ind w:firstLine="420" w:firstLineChars="200"/>
    </w:pPr>
    <w:rPr>
      <w:sz w:val="24"/>
      <w:szCs w:val="22"/>
    </w:rPr>
  </w:style>
  <w:style w:type="paragraph" w:customStyle="1" w:styleId="123">
    <w:name w:val="纯文本1"/>
    <w:basedOn w:val="1"/>
    <w:qFormat/>
    <w:uiPriority w:val="0"/>
    <w:pPr>
      <w:widowControl/>
      <w:overflowPunct w:val="0"/>
      <w:autoSpaceDE w:val="0"/>
      <w:autoSpaceDN w:val="0"/>
      <w:adjustRightInd w:val="0"/>
      <w:jc w:val="left"/>
      <w:textAlignment w:val="baseline"/>
    </w:pPr>
    <w:rPr>
      <w:rFonts w:ascii="宋体" w:hAnsi="Courier New"/>
      <w:sz w:val="24"/>
    </w:rPr>
  </w:style>
  <w:style w:type="paragraph" w:customStyle="1" w:styleId="124">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125">
    <w:name w:val="my正文"/>
    <w:basedOn w:val="1"/>
    <w:qFormat/>
    <w:uiPriority w:val="0"/>
    <w:pPr>
      <w:spacing w:line="360" w:lineRule="auto"/>
      <w:ind w:firstLine="480" w:firstLineChars="200"/>
    </w:pPr>
    <w:rPr>
      <w:rFonts w:ascii="宋体" w:hAnsi="宋体"/>
      <w:sz w:val="24"/>
    </w:rPr>
  </w:style>
  <w:style w:type="paragraph" w:customStyle="1" w:styleId="126">
    <w:name w:val="p1"/>
    <w:basedOn w:val="1"/>
    <w:qFormat/>
    <w:uiPriority w:val="0"/>
    <w:pPr>
      <w:spacing w:line="380" w:lineRule="atLeast"/>
      <w:jc w:val="left"/>
    </w:pPr>
    <w:rPr>
      <w:rFonts w:ascii="Helvetica Neue" w:hAnsi="Helvetica Neue" w:eastAsia="Helvetica Neue"/>
      <w:kern w:val="0"/>
      <w:sz w:val="26"/>
      <w:szCs w:val="26"/>
    </w:rPr>
  </w:style>
  <w:style w:type="paragraph" w:customStyle="1" w:styleId="127">
    <w:name w:val="表格内字体字号"/>
    <w:basedOn w:val="1"/>
    <w:qFormat/>
    <w:uiPriority w:val="0"/>
    <w:pPr>
      <w:topLinePunct/>
      <w:snapToGrid w:val="0"/>
      <w:spacing w:before="62" w:beforeLines="20" w:after="62" w:afterLines="20"/>
      <w:ind w:left="30" w:leftChars="30" w:right="30" w:rightChars="30"/>
      <w:jc w:val="center"/>
    </w:pPr>
    <w:rPr>
      <w:sz w:val="18"/>
      <w:szCs w:val="18"/>
    </w:rPr>
  </w:style>
  <w:style w:type="paragraph" w:customStyle="1" w:styleId="128">
    <w:name w:val="正文_0_1_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默认段落字体 Para Char Char Char Char Char Char Char"/>
    <w:basedOn w:val="1"/>
    <w:qFormat/>
    <w:uiPriority w:val="0"/>
    <w:rPr>
      <w:rFonts w:ascii="Tahoma" w:hAnsi="Tahoma"/>
      <w:sz w:val="24"/>
      <w:szCs w:val="20"/>
    </w:rPr>
  </w:style>
  <w:style w:type="paragraph" w:customStyle="1" w:styleId="130">
    <w:name w:val="Pa5"/>
    <w:basedOn w:val="1"/>
    <w:next w:val="1"/>
    <w:qFormat/>
    <w:uiPriority w:val="99"/>
    <w:pPr>
      <w:autoSpaceDE w:val="0"/>
      <w:autoSpaceDN w:val="0"/>
      <w:adjustRightInd w:val="0"/>
      <w:spacing w:line="121" w:lineRule="atLeast"/>
      <w:jc w:val="left"/>
    </w:pPr>
    <w:rPr>
      <w:rFonts w:ascii="DaxPro-CondRegular" w:hAnsi="黑体" w:eastAsia="DaxPro-CondRegular"/>
      <w:kern w:val="0"/>
      <w:sz w:val="24"/>
    </w:rPr>
  </w:style>
  <w:style w:type="paragraph" w:customStyle="1" w:styleId="131">
    <w:name w:val="Char Char Char1"/>
    <w:basedOn w:val="1"/>
    <w:qFormat/>
    <w:uiPriority w:val="0"/>
    <w:rPr>
      <w:rFonts w:ascii="Tahoma" w:hAnsi="Tahoma"/>
      <w:sz w:val="24"/>
      <w:szCs w:val="20"/>
    </w:rPr>
  </w:style>
  <w:style w:type="paragraph" w:customStyle="1" w:styleId="132">
    <w:name w:val="Char Char Char Char"/>
    <w:basedOn w:val="1"/>
    <w:qFormat/>
    <w:uiPriority w:val="0"/>
    <w:pPr>
      <w:spacing w:line="360" w:lineRule="auto"/>
      <w:ind w:firstLine="200" w:firstLineChars="200"/>
    </w:pPr>
    <w:rPr>
      <w:rFonts w:ascii="宋体" w:hAnsi="宋体" w:cs="宋体"/>
      <w:sz w:val="24"/>
    </w:rPr>
  </w:style>
  <w:style w:type="paragraph" w:customStyle="1" w:styleId="133">
    <w:name w:val="默认段落字体 Para Char"/>
    <w:basedOn w:val="1"/>
    <w:qFormat/>
    <w:uiPriority w:val="0"/>
    <w:rPr>
      <w:szCs w:val="20"/>
    </w:rPr>
  </w:style>
  <w:style w:type="paragraph" w:customStyle="1" w:styleId="134">
    <w:name w:val="Char Char Char Char Char Char Char Char Char1 Char"/>
    <w:basedOn w:val="1"/>
    <w:qFormat/>
    <w:uiPriority w:val="0"/>
    <w:pPr>
      <w:widowControl/>
      <w:jc w:val="left"/>
    </w:pPr>
    <w:rPr>
      <w:rFonts w:ascii="仿宋_GB2312" w:eastAsia="仿宋_GB2312"/>
      <w:b/>
      <w:kern w:val="0"/>
      <w:sz w:val="32"/>
      <w:szCs w:val="32"/>
    </w:rPr>
  </w:style>
  <w:style w:type="paragraph" w:customStyle="1" w:styleId="135">
    <w:name w:val="Char Char Char Char Char Char Char1"/>
    <w:basedOn w:val="1"/>
    <w:qFormat/>
    <w:uiPriority w:val="0"/>
    <w:pPr>
      <w:spacing w:line="360" w:lineRule="auto"/>
      <w:ind w:firstLine="200" w:firstLineChars="200"/>
    </w:pPr>
    <w:rPr>
      <w:rFonts w:ascii="宋体" w:hAnsi="宋体" w:cs="宋体"/>
      <w:sz w:val="24"/>
    </w:rPr>
  </w:style>
  <w:style w:type="paragraph" w:customStyle="1" w:styleId="136">
    <w:name w:val="_Style 3"/>
    <w:qFormat/>
    <w:uiPriority w:val="0"/>
    <w:rPr>
      <w:rFonts w:ascii="Calibri" w:hAnsi="Calibri" w:eastAsia="宋体" w:cs="Times New Roman"/>
      <w:sz w:val="22"/>
      <w:szCs w:val="22"/>
      <w:lang w:val="en-US" w:eastAsia="zh-CN" w:bidi="ar-SA"/>
    </w:rPr>
  </w:style>
  <w:style w:type="paragraph" w:customStyle="1" w:styleId="137">
    <w:name w:val="表格"/>
    <w:qFormat/>
    <w:uiPriority w:val="0"/>
    <w:rPr>
      <w:rFonts w:ascii="Calibri" w:hAnsi="Calibri" w:eastAsia="宋体" w:cs="Times New Roman"/>
      <w:sz w:val="21"/>
      <w:lang w:val="en-US" w:eastAsia="zh-CN" w:bidi="ar-SA"/>
    </w:rPr>
  </w:style>
  <w:style w:type="paragraph" w:customStyle="1" w:styleId="138">
    <w:name w:val="Char1"/>
    <w:basedOn w:val="1"/>
    <w:qFormat/>
    <w:uiPriority w:val="0"/>
    <w:rPr>
      <w:rFonts w:ascii="仿宋_GB2312" w:eastAsia="仿宋_GB2312"/>
      <w:b/>
      <w:sz w:val="32"/>
      <w:szCs w:val="32"/>
    </w:rPr>
  </w:style>
  <w:style w:type="paragraph" w:customStyle="1" w:styleId="139">
    <w:name w:val="中等深浅网格 1 - 强调文字颜色 21"/>
    <w:basedOn w:val="1"/>
    <w:qFormat/>
    <w:uiPriority w:val="0"/>
    <w:pPr>
      <w:ind w:firstLine="420" w:firstLineChars="200"/>
    </w:pPr>
    <w:rPr>
      <w:rFonts w:ascii="等线" w:hAnsi="等线" w:eastAsia="等线" w:cs="宋体"/>
      <w:szCs w:val="21"/>
    </w:rPr>
  </w:style>
  <w:style w:type="paragraph" w:customStyle="1" w:styleId="140">
    <w:name w:val="xl35"/>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cs="Times New Roman"/>
      <w:sz w:val="24"/>
      <w:szCs w:val="24"/>
      <w:lang w:val="en-US" w:eastAsia="zh-CN" w:bidi="ar-SA"/>
    </w:rPr>
  </w:style>
  <w:style w:type="paragraph" w:customStyle="1" w:styleId="141">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Table Text"/>
    <w:basedOn w:val="1"/>
    <w:semiHidden/>
    <w:qFormat/>
    <w:uiPriority w:val="0"/>
    <w:rPr>
      <w:rFonts w:ascii="仿宋" w:hAnsi="仿宋" w:eastAsia="仿宋" w:cs="仿宋"/>
      <w:sz w:val="24"/>
      <w:szCs w:val="24"/>
      <w:lang w:val="en-US" w:eastAsia="en-US" w:bidi="ar-SA"/>
    </w:rPr>
  </w:style>
  <w:style w:type="table" w:customStyle="1" w:styleId="14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20203</Words>
  <Characters>21708</Characters>
  <Lines>358</Lines>
  <Paragraphs>100</Paragraphs>
  <TotalTime>1</TotalTime>
  <ScaleCrop>false</ScaleCrop>
  <LinksUpToDate>false</LinksUpToDate>
  <CharactersWithSpaces>22572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2024-06-27T07:36:00Z</dcterms:created>
  <dc:creator>system</dc:creator>
  <cp:lastModifiedBy>乐圣天</cp:lastModifiedBy>
  <cp:lastPrinted>2024-12-26T13:11:00Z</cp:lastPrinted>
  <dcterms:modified xsi:type="dcterms:W3CDTF">2025-01-02T00:47:28Z</dcterms:modified>
  <dc:title>温州市农业科学研究院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12216DCB4285443DB9671535B1569FEF_13</vt:lpwstr>
  </property>
  <property fmtid="{D5CDD505-2E9C-101B-9397-08002B2CF9AE}" pid="4" name="KSOTemplateDocerSaveRecord">
    <vt:lpwstr>eyJoZGlkIjoiNzZiODFlYjE5OTExZGFjMDU4MzMwY2I4NzJlM2I5NzUiLCJ1c2VySWQiOiIxMzg0MTA1MjE1In0=</vt:lpwstr>
  </property>
</Properties>
</file>