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新宋体" w:hAnsi="新宋体" w:eastAsia="新宋体" w:cs="新宋体"/>
          <w:b/>
          <w:bCs/>
          <w:color w:val="auto"/>
          <w:sz w:val="84"/>
          <w:szCs w:val="84"/>
          <w:highlight w:val="none"/>
          <w:lang w:eastAsia="zh-CN"/>
        </w:rPr>
      </w:pPr>
    </w:p>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新宋体" w:hAnsi="新宋体" w:eastAsia="新宋体" w:cs="新宋体"/>
          <w:b/>
          <w:bCs/>
          <w:color w:val="auto"/>
          <w:sz w:val="84"/>
          <w:szCs w:val="84"/>
          <w:highlight w:val="none"/>
          <w:lang w:eastAsia="zh-CN"/>
        </w:rPr>
      </w:pPr>
      <w:r>
        <w:rPr>
          <w:rFonts w:hint="eastAsia" w:ascii="新宋体" w:hAnsi="新宋体" w:eastAsia="新宋体" w:cs="新宋体"/>
          <w:b/>
          <w:bCs/>
          <w:color w:val="auto"/>
          <w:sz w:val="84"/>
          <w:szCs w:val="84"/>
          <w:highlight w:val="none"/>
          <w:lang w:eastAsia="zh-CN"/>
        </w:rPr>
        <w:t>浙江省政府分散采购</w:t>
      </w:r>
    </w:p>
    <w:p>
      <w:pPr>
        <w:jc w:val="center"/>
        <w:rPr>
          <w:rFonts w:ascii="宋体" w:hAnsi="宋体" w:cs="宋体"/>
          <w:b/>
          <w:bCs/>
          <w:color w:val="auto"/>
          <w:spacing w:val="26"/>
          <w:sz w:val="52"/>
          <w:highlight w:val="none"/>
        </w:rPr>
      </w:pPr>
    </w:p>
    <w:p>
      <w:pPr>
        <w:rPr>
          <w:rFonts w:ascii="宋体" w:hAnsi="宋体" w:cs="宋体"/>
          <w:b/>
          <w:bCs/>
          <w:color w:val="auto"/>
          <w:spacing w:val="140"/>
          <w:sz w:val="72"/>
          <w:highlight w:val="none"/>
        </w:rPr>
      </w:pPr>
    </w:p>
    <w:p>
      <w:pPr>
        <w:adjustRightInd w:val="0"/>
        <w:snapToGrid w:val="0"/>
        <w:spacing w:line="480" w:lineRule="auto"/>
        <w:ind w:right="361"/>
        <w:jc w:val="center"/>
        <w:rPr>
          <w:rFonts w:ascii="宋体" w:hAnsi="宋体" w:cs="宋体"/>
          <w:color w:val="auto"/>
          <w:highlight w:val="none"/>
        </w:rPr>
      </w:pPr>
      <w:r>
        <w:rPr>
          <w:rFonts w:hint="eastAsia" w:ascii="宋体" w:hAnsi="宋体" w:cs="宋体"/>
          <w:color w:val="auto"/>
          <w:sz w:val="84"/>
          <w:szCs w:val="84"/>
          <w:highlight w:val="none"/>
        </w:rPr>
        <w:t>招 标 文 件</w:t>
      </w:r>
    </w:p>
    <w:p>
      <w:pPr>
        <w:pStyle w:val="24"/>
        <w:rPr>
          <w:color w:val="auto"/>
          <w:highlight w:val="none"/>
        </w:rPr>
      </w:pPr>
    </w:p>
    <w:tbl>
      <w:tblPr>
        <w:tblStyle w:val="53"/>
        <w:tblW w:w="0" w:type="auto"/>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nil"/>
              <w:left w:val="nil"/>
              <w:bottom w:val="nil"/>
              <w:right w:val="nil"/>
            </w:tcBorders>
          </w:tcPr>
          <w:p>
            <w:pPr>
              <w:spacing w:line="600" w:lineRule="exact"/>
              <w:jc w:val="center"/>
              <w:rPr>
                <w:rFonts w:ascii="宋体" w:hAnsi="宋体" w:cs="宋体"/>
                <w:color w:val="auto"/>
                <w:spacing w:val="30"/>
                <w:sz w:val="30"/>
                <w:szCs w:val="30"/>
                <w:highlight w:val="none"/>
              </w:rPr>
            </w:pPr>
            <w:r>
              <w:rPr>
                <w:rFonts w:hint="eastAsia" w:ascii="宋体" w:hAnsi="宋体" w:cs="宋体"/>
                <w:color w:val="auto"/>
                <w:spacing w:val="40"/>
                <w:sz w:val="30"/>
                <w:szCs w:val="30"/>
                <w:highlight w:val="none"/>
              </w:rPr>
              <w:t>项 目 编 号：</w:t>
            </w:r>
          </w:p>
        </w:tc>
        <w:tc>
          <w:tcPr>
            <w:tcW w:w="6812" w:type="dxa"/>
            <w:tcBorders>
              <w:top w:val="nil"/>
              <w:left w:val="nil"/>
              <w:bottom w:val="nil"/>
              <w:right w:val="nil"/>
            </w:tcBorders>
          </w:tcPr>
          <w:p>
            <w:pPr>
              <w:spacing w:line="600" w:lineRule="exact"/>
              <w:jc w:val="both"/>
              <w:rPr>
                <w:rFonts w:hint="eastAsia" w:ascii="宋体" w:hAnsi="宋体" w:eastAsia="宋体" w:cs="宋体"/>
                <w:color w:val="auto"/>
                <w:spacing w:val="40"/>
                <w:sz w:val="30"/>
                <w:szCs w:val="30"/>
                <w:highlight w:val="none"/>
                <w:lang w:eastAsia="zh-CN"/>
              </w:rPr>
            </w:pPr>
            <w:r>
              <w:rPr>
                <w:rFonts w:hint="eastAsia" w:ascii="宋体" w:hAnsi="宋体" w:cs="宋体"/>
                <w:color w:val="auto"/>
                <w:spacing w:val="40"/>
                <w:sz w:val="30"/>
                <w:szCs w:val="30"/>
                <w:highlight w:val="none"/>
                <w:lang w:eastAsia="zh-CN"/>
              </w:rPr>
              <w:t>Z-WZLCZB（L）-2024-05154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8" w:type="dxa"/>
            <w:tcBorders>
              <w:top w:val="nil"/>
              <w:left w:val="nil"/>
              <w:bottom w:val="nil"/>
              <w:right w:val="nil"/>
            </w:tcBorders>
          </w:tcPr>
          <w:p>
            <w:pPr>
              <w:spacing w:line="600" w:lineRule="exact"/>
              <w:jc w:val="center"/>
              <w:rPr>
                <w:rFonts w:ascii="宋体" w:hAnsi="宋体" w:cs="宋体"/>
                <w:color w:val="auto"/>
                <w:spacing w:val="30"/>
                <w:sz w:val="30"/>
                <w:szCs w:val="30"/>
                <w:highlight w:val="none"/>
              </w:rPr>
            </w:pPr>
            <w:r>
              <w:rPr>
                <w:rFonts w:hint="eastAsia" w:ascii="宋体" w:hAnsi="宋体" w:cs="宋体"/>
                <w:color w:val="auto"/>
                <w:spacing w:val="40"/>
                <w:sz w:val="30"/>
                <w:szCs w:val="30"/>
                <w:highlight w:val="none"/>
              </w:rPr>
              <w:t>项 目 名 称：</w:t>
            </w:r>
          </w:p>
        </w:tc>
        <w:tc>
          <w:tcPr>
            <w:tcW w:w="6812" w:type="dxa"/>
            <w:tcBorders>
              <w:top w:val="nil"/>
              <w:left w:val="nil"/>
              <w:bottom w:val="nil"/>
              <w:right w:val="nil"/>
            </w:tcBorders>
          </w:tcPr>
          <w:p>
            <w:pPr>
              <w:spacing w:line="600" w:lineRule="exact"/>
              <w:jc w:val="both"/>
              <w:rPr>
                <w:rFonts w:hint="eastAsia" w:ascii="宋体" w:hAnsi="宋体" w:eastAsia="宋体" w:cs="宋体"/>
                <w:color w:val="auto"/>
                <w:spacing w:val="40"/>
                <w:sz w:val="30"/>
                <w:szCs w:val="30"/>
                <w:highlight w:val="none"/>
                <w:lang w:eastAsia="zh-CN"/>
              </w:rPr>
            </w:pPr>
            <w:r>
              <w:rPr>
                <w:rFonts w:hint="eastAsia" w:ascii="宋体" w:hAnsi="宋体" w:cs="宋体"/>
                <w:color w:val="auto"/>
                <w:spacing w:val="40"/>
                <w:sz w:val="30"/>
                <w:szCs w:val="30"/>
                <w:highlight w:val="none"/>
                <w:lang w:eastAsia="zh-CN"/>
              </w:rPr>
              <w:t>眼视光技术专业群实训室建设项目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8" w:type="dxa"/>
            <w:tcBorders>
              <w:top w:val="nil"/>
              <w:left w:val="nil"/>
              <w:bottom w:val="nil"/>
              <w:right w:val="nil"/>
            </w:tcBorders>
          </w:tcPr>
          <w:p>
            <w:pPr>
              <w:spacing w:line="600" w:lineRule="exact"/>
              <w:jc w:val="center"/>
              <w:rPr>
                <w:rFonts w:ascii="宋体" w:hAnsi="宋体" w:cs="宋体"/>
                <w:color w:val="auto"/>
                <w:spacing w:val="30"/>
                <w:sz w:val="30"/>
                <w:szCs w:val="30"/>
                <w:highlight w:val="none"/>
              </w:rPr>
            </w:pPr>
            <w:r>
              <w:rPr>
                <w:rFonts w:hint="eastAsia" w:ascii="宋体" w:hAnsi="宋体" w:cs="宋体"/>
                <w:color w:val="auto"/>
                <w:spacing w:val="40"/>
                <w:sz w:val="30"/>
                <w:szCs w:val="30"/>
                <w:highlight w:val="none"/>
              </w:rPr>
              <w:t>采 购 方 式：</w:t>
            </w:r>
          </w:p>
        </w:tc>
        <w:tc>
          <w:tcPr>
            <w:tcW w:w="6812" w:type="dxa"/>
            <w:tcBorders>
              <w:top w:val="nil"/>
              <w:left w:val="nil"/>
              <w:bottom w:val="nil"/>
              <w:right w:val="nil"/>
            </w:tcBorders>
          </w:tcPr>
          <w:p>
            <w:pPr>
              <w:spacing w:line="600" w:lineRule="exact"/>
              <w:jc w:val="both"/>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nil"/>
              <w:left w:val="nil"/>
              <w:bottom w:val="nil"/>
              <w:right w:val="nil"/>
            </w:tcBorders>
          </w:tcPr>
          <w:p>
            <w:pPr>
              <w:spacing w:line="600" w:lineRule="exact"/>
              <w:jc w:val="center"/>
              <w:rPr>
                <w:rFonts w:ascii="宋体" w:hAnsi="宋体" w:cs="宋体"/>
                <w:color w:val="auto"/>
                <w:spacing w:val="30"/>
                <w:sz w:val="30"/>
                <w:szCs w:val="30"/>
                <w:highlight w:val="none"/>
              </w:rPr>
            </w:pPr>
            <w:r>
              <w:rPr>
                <w:rFonts w:hint="eastAsia" w:ascii="宋体" w:hAnsi="宋体" w:cs="宋体"/>
                <w:color w:val="auto"/>
                <w:spacing w:val="40"/>
                <w:sz w:val="30"/>
                <w:szCs w:val="30"/>
                <w:highlight w:val="none"/>
              </w:rPr>
              <w:t>评 审 方 式：</w:t>
            </w:r>
          </w:p>
        </w:tc>
        <w:tc>
          <w:tcPr>
            <w:tcW w:w="6812" w:type="dxa"/>
            <w:tcBorders>
              <w:top w:val="nil"/>
              <w:left w:val="nil"/>
              <w:bottom w:val="nil"/>
              <w:right w:val="nil"/>
            </w:tcBorders>
          </w:tcPr>
          <w:p>
            <w:pPr>
              <w:spacing w:line="600" w:lineRule="exact"/>
              <w:jc w:val="both"/>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线上电子评审</w:t>
            </w:r>
          </w:p>
        </w:tc>
      </w:tr>
    </w:tbl>
    <w:p>
      <w:pPr>
        <w:spacing w:line="600" w:lineRule="exact"/>
        <w:ind w:firstLine="1620" w:firstLineChars="450"/>
        <w:rPr>
          <w:rFonts w:ascii="宋体" w:hAnsi="宋体" w:cs="宋体"/>
          <w:color w:val="auto"/>
          <w:spacing w:val="30"/>
          <w:sz w:val="30"/>
          <w:highlight w:val="none"/>
        </w:rPr>
      </w:pPr>
    </w:p>
    <w:p>
      <w:pPr>
        <w:rPr>
          <w:rFonts w:ascii="宋体" w:hAnsi="宋体" w:cs="宋体"/>
          <w:color w:val="auto"/>
          <w:spacing w:val="30"/>
          <w:sz w:val="30"/>
          <w:highlight w:val="none"/>
        </w:rPr>
      </w:pPr>
    </w:p>
    <w:p>
      <w:pPr>
        <w:pStyle w:val="24"/>
        <w:rPr>
          <w:color w:val="auto"/>
          <w:highlight w:val="none"/>
        </w:rPr>
      </w:pPr>
    </w:p>
    <w:p>
      <w:pPr>
        <w:pStyle w:val="299"/>
        <w:rPr>
          <w:rFonts w:ascii="宋体" w:hAnsi="宋体" w:cs="宋体"/>
          <w:color w:val="auto"/>
          <w:highlight w:val="none"/>
        </w:rPr>
      </w:pPr>
    </w:p>
    <w:tbl>
      <w:tblPr>
        <w:tblStyle w:val="53"/>
        <w:tblW w:w="0" w:type="auto"/>
        <w:tblInd w:w="1047" w:type="dxa"/>
        <w:tblLayout w:type="fixed"/>
        <w:tblCellMar>
          <w:top w:w="0" w:type="dxa"/>
          <w:left w:w="108" w:type="dxa"/>
          <w:bottom w:w="0" w:type="dxa"/>
          <w:right w:w="108" w:type="dxa"/>
        </w:tblCellMar>
      </w:tblPr>
      <w:tblGrid>
        <w:gridCol w:w="3068"/>
        <w:gridCol w:w="5381"/>
      </w:tblGrid>
      <w:tr>
        <w:tblPrEx>
          <w:tblCellMar>
            <w:top w:w="0" w:type="dxa"/>
            <w:left w:w="108" w:type="dxa"/>
            <w:bottom w:w="0" w:type="dxa"/>
            <w:right w:w="108" w:type="dxa"/>
          </w:tblCellMar>
        </w:tblPrEx>
        <w:trPr>
          <w:trHeight w:val="537" w:hRule="atLeast"/>
        </w:trPr>
        <w:tc>
          <w:tcPr>
            <w:tcW w:w="3068" w:type="dxa"/>
          </w:tcPr>
          <w:p>
            <w:pPr>
              <w:jc w:val="distribute"/>
              <w:rPr>
                <w:rFonts w:ascii="宋体" w:hAnsi="宋体" w:cs="宋体"/>
                <w:color w:val="auto"/>
                <w:spacing w:val="30"/>
                <w:sz w:val="30"/>
                <w:highlight w:val="none"/>
              </w:rPr>
            </w:pPr>
            <w:r>
              <w:rPr>
                <w:rFonts w:hint="eastAsia" w:ascii="宋体" w:hAnsi="宋体" w:cs="宋体"/>
                <w:color w:val="auto"/>
                <w:spacing w:val="30"/>
                <w:sz w:val="30"/>
                <w:highlight w:val="none"/>
              </w:rPr>
              <w:t>采购人：</w:t>
            </w:r>
          </w:p>
        </w:tc>
        <w:tc>
          <w:tcPr>
            <w:tcW w:w="5381" w:type="dxa"/>
          </w:tcPr>
          <w:p>
            <w:pPr>
              <w:jc w:val="both"/>
              <w:rPr>
                <w:rFonts w:hint="eastAsia" w:ascii="宋体" w:hAnsi="宋体" w:eastAsia="宋体" w:cs="宋体"/>
                <w:color w:val="auto"/>
                <w:spacing w:val="30"/>
                <w:sz w:val="30"/>
                <w:highlight w:val="none"/>
                <w:lang w:eastAsia="zh-CN"/>
              </w:rPr>
            </w:pPr>
            <w:r>
              <w:rPr>
                <w:rFonts w:hint="eastAsia" w:ascii="宋体" w:hAnsi="宋体" w:cs="宋体"/>
                <w:color w:val="auto"/>
                <w:sz w:val="30"/>
                <w:highlight w:val="none"/>
                <w:lang w:eastAsia="zh-CN"/>
              </w:rPr>
              <w:t>浙江工贸职业技术学院</w:t>
            </w:r>
          </w:p>
        </w:tc>
      </w:tr>
      <w:tr>
        <w:tblPrEx>
          <w:tblCellMar>
            <w:top w:w="0" w:type="dxa"/>
            <w:left w:w="108" w:type="dxa"/>
            <w:bottom w:w="0" w:type="dxa"/>
            <w:right w:w="108" w:type="dxa"/>
          </w:tblCellMar>
        </w:tblPrEx>
        <w:trPr>
          <w:trHeight w:val="491" w:hRule="atLeast"/>
        </w:trPr>
        <w:tc>
          <w:tcPr>
            <w:tcW w:w="3068" w:type="dxa"/>
          </w:tcPr>
          <w:p>
            <w:pPr>
              <w:jc w:val="distribute"/>
              <w:rPr>
                <w:rFonts w:ascii="宋体" w:hAnsi="宋体" w:cs="宋体"/>
                <w:color w:val="auto"/>
                <w:spacing w:val="30"/>
                <w:sz w:val="30"/>
                <w:highlight w:val="none"/>
              </w:rPr>
            </w:pPr>
            <w:r>
              <w:rPr>
                <w:rFonts w:hint="eastAsia" w:ascii="宋体" w:hAnsi="宋体" w:cs="宋体"/>
                <w:color w:val="auto"/>
                <w:spacing w:val="30"/>
                <w:sz w:val="30"/>
                <w:highlight w:val="none"/>
              </w:rPr>
              <w:t>采购代理机构：</w:t>
            </w:r>
          </w:p>
        </w:tc>
        <w:tc>
          <w:tcPr>
            <w:tcW w:w="5381" w:type="dxa"/>
          </w:tcPr>
          <w:p>
            <w:pPr>
              <w:jc w:val="both"/>
              <w:rPr>
                <w:rFonts w:ascii="宋体" w:hAnsi="宋体" w:cs="宋体"/>
                <w:color w:val="auto"/>
                <w:spacing w:val="30"/>
                <w:sz w:val="30"/>
                <w:highlight w:val="none"/>
              </w:rPr>
            </w:pPr>
            <w:r>
              <w:rPr>
                <w:rFonts w:hint="eastAsia" w:ascii="宋体" w:hAnsi="宋体" w:cs="宋体"/>
                <w:color w:val="auto"/>
                <w:spacing w:val="30"/>
                <w:sz w:val="30"/>
                <w:highlight w:val="none"/>
              </w:rPr>
              <w:t>温州历程招标有限公司</w:t>
            </w:r>
          </w:p>
        </w:tc>
      </w:tr>
      <w:tr>
        <w:tblPrEx>
          <w:tblCellMar>
            <w:top w:w="0" w:type="dxa"/>
            <w:left w:w="108" w:type="dxa"/>
            <w:bottom w:w="0" w:type="dxa"/>
            <w:right w:w="108" w:type="dxa"/>
          </w:tblCellMar>
        </w:tblPrEx>
        <w:tc>
          <w:tcPr>
            <w:tcW w:w="3068" w:type="dxa"/>
          </w:tcPr>
          <w:p>
            <w:pPr>
              <w:jc w:val="distribute"/>
              <w:rPr>
                <w:rFonts w:ascii="宋体" w:hAnsi="宋体" w:cs="宋体"/>
                <w:color w:val="auto"/>
                <w:spacing w:val="30"/>
                <w:sz w:val="30"/>
                <w:highlight w:val="none"/>
              </w:rPr>
            </w:pPr>
            <w:r>
              <w:rPr>
                <w:rFonts w:hint="eastAsia" w:ascii="宋体" w:hAnsi="宋体" w:cs="宋体"/>
                <w:color w:val="auto"/>
                <w:spacing w:val="30"/>
                <w:sz w:val="30"/>
                <w:highlight w:val="none"/>
              </w:rPr>
              <w:t>日       期：</w:t>
            </w:r>
          </w:p>
        </w:tc>
        <w:tc>
          <w:tcPr>
            <w:tcW w:w="5381" w:type="dxa"/>
          </w:tcPr>
          <w:p>
            <w:pPr>
              <w:spacing w:line="600" w:lineRule="exact"/>
              <w:jc w:val="both"/>
              <w:rPr>
                <w:rFonts w:ascii="宋体" w:hAnsi="宋体" w:cs="宋体"/>
                <w:color w:val="auto"/>
                <w:spacing w:val="30"/>
                <w:sz w:val="30"/>
                <w:highlight w:val="none"/>
              </w:rPr>
            </w:pPr>
            <w:r>
              <w:rPr>
                <w:rFonts w:hint="eastAsia" w:ascii="宋体" w:hAnsi="宋体" w:cs="宋体"/>
                <w:color w:val="auto"/>
                <w:spacing w:val="30"/>
                <w:sz w:val="30"/>
                <w:highlight w:val="none"/>
              </w:rPr>
              <w:t>二〇二四年</w:t>
            </w:r>
            <w:r>
              <w:rPr>
                <w:rFonts w:hint="eastAsia" w:ascii="宋体" w:hAnsi="宋体" w:cs="宋体"/>
                <w:color w:val="auto"/>
                <w:spacing w:val="30"/>
                <w:sz w:val="30"/>
                <w:highlight w:val="none"/>
                <w:lang w:val="en-US" w:eastAsia="zh-CN"/>
              </w:rPr>
              <w:t>八</w:t>
            </w:r>
            <w:r>
              <w:rPr>
                <w:rFonts w:hint="eastAsia" w:ascii="宋体" w:hAnsi="宋体" w:cs="宋体"/>
                <w:color w:val="auto"/>
                <w:spacing w:val="30"/>
                <w:sz w:val="30"/>
                <w:highlight w:val="none"/>
              </w:rPr>
              <w:t>月</w:t>
            </w:r>
          </w:p>
        </w:tc>
      </w:tr>
    </w:tbl>
    <w:p>
      <w:pPr>
        <w:spacing w:line="360" w:lineRule="auto"/>
        <w:rPr>
          <w:rFonts w:ascii="宋体" w:hAnsi="宋体"/>
          <w:b/>
          <w:bCs/>
          <w:color w:val="auto"/>
          <w:sz w:val="28"/>
          <w:szCs w:val="36"/>
          <w:highlight w:val="none"/>
        </w:rPr>
      </w:pPr>
    </w:p>
    <w:p>
      <w:pPr>
        <w:rPr>
          <w:color w:val="auto"/>
          <w:highlight w:val="none"/>
        </w:rPr>
      </w:pPr>
    </w:p>
    <w:p>
      <w:pPr>
        <w:keepNext/>
        <w:spacing w:line="460" w:lineRule="exact"/>
        <w:jc w:val="center"/>
        <w:rPr>
          <w:rFonts w:ascii="宋体" w:hAnsi="宋体"/>
          <w:b/>
          <w:bCs/>
          <w:color w:val="auto"/>
          <w:sz w:val="28"/>
          <w:szCs w:val="36"/>
          <w:highlight w:val="none"/>
        </w:rPr>
        <w:sectPr>
          <w:headerReference r:id="rId4" w:type="first"/>
          <w:headerReference r:id="rId3" w:type="default"/>
          <w:footerReference r:id="rId5" w:type="default"/>
          <w:pgSz w:w="11906" w:h="16838"/>
          <w:pgMar w:top="1134" w:right="1134" w:bottom="1134" w:left="1134" w:header="851" w:footer="992" w:gutter="0"/>
          <w:pgNumType w:fmt="decimal"/>
          <w:cols w:space="720" w:num="1"/>
          <w:titlePg/>
          <w:docGrid w:type="lines" w:linePitch="312" w:charSpace="0"/>
        </w:sectPr>
      </w:pPr>
    </w:p>
    <w:p>
      <w:pPr>
        <w:keepNext/>
        <w:spacing w:line="460" w:lineRule="exact"/>
        <w:jc w:val="center"/>
        <w:rPr>
          <w:rFonts w:ascii="宋体" w:hAnsi="宋体"/>
          <w:b/>
          <w:bCs/>
          <w:color w:val="auto"/>
          <w:sz w:val="28"/>
          <w:szCs w:val="36"/>
          <w:highlight w:val="none"/>
        </w:rPr>
      </w:pPr>
      <w:r>
        <w:rPr>
          <w:rFonts w:ascii="宋体" w:hAnsi="宋体"/>
          <w:b/>
          <w:bCs/>
          <w:color w:val="auto"/>
          <w:sz w:val="28"/>
          <w:szCs w:val="36"/>
          <w:highlight w:val="none"/>
        </w:rPr>
        <w:t>目</w:t>
      </w:r>
      <w:r>
        <w:rPr>
          <w:rFonts w:hint="eastAsia" w:ascii="宋体" w:hAnsi="宋体"/>
          <w:b/>
          <w:bCs/>
          <w:color w:val="auto"/>
          <w:sz w:val="28"/>
          <w:szCs w:val="36"/>
          <w:highlight w:val="none"/>
        </w:rPr>
        <w:t xml:space="preserve">   </w:t>
      </w:r>
      <w:r>
        <w:rPr>
          <w:rFonts w:ascii="宋体" w:hAnsi="宋体"/>
          <w:b/>
          <w:bCs/>
          <w:color w:val="auto"/>
          <w:sz w:val="28"/>
          <w:szCs w:val="36"/>
          <w:highlight w:val="none"/>
        </w:rPr>
        <w:t>录</w:t>
      </w:r>
      <w:bookmarkStart w:id="0" w:name="_Toc29826"/>
      <w:bookmarkStart w:id="1" w:name="_Toc17251"/>
      <w:bookmarkStart w:id="2" w:name="_Toc118"/>
      <w:bookmarkStart w:id="3" w:name="_Toc35199976"/>
      <w:bookmarkStart w:id="4" w:name="_Toc9283"/>
      <w:bookmarkStart w:id="5" w:name="_Toc27036"/>
    </w:p>
    <w:p>
      <w:pPr>
        <w:pStyle w:val="40"/>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TOC \o "1-3" \h \u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_Toc3591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电子交易须知</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_Toc3591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0"/>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_Toc16334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招标公告</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_Toc16334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4</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0"/>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_Toc22051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第一部分</w:t>
      </w:r>
      <w:r>
        <w:rPr>
          <w:rFonts w:hint="eastAsia" w:ascii="新宋体" w:hAnsi="新宋体" w:eastAsia="新宋体" w:cs="新宋体"/>
          <w:sz w:val="22"/>
          <w:szCs w:val="22"/>
          <w:highlight w:val="none"/>
          <w:lang w:val="en-US" w:eastAsia="zh-CN"/>
        </w:rPr>
        <w:t xml:space="preserve">   </w:t>
      </w:r>
      <w:r>
        <w:rPr>
          <w:rFonts w:hint="eastAsia" w:ascii="新宋体" w:hAnsi="新宋体" w:eastAsia="新宋体" w:cs="新宋体"/>
          <w:sz w:val="22"/>
          <w:szCs w:val="22"/>
          <w:highlight w:val="none"/>
        </w:rPr>
        <w:t>投标人须知</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_Toc22051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8</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_Toc27037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投标人须知前附表</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_Toc27037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8</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_Toc24435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一、 说   明</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_Toc24435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15</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_Toc4626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二、 招标文件</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_Toc4626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16</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_Toc3839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三、 投标文件的编制</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_Toc3839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16</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_Toc9807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四、 投标文件的递交</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_Toc9807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20</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_Toc4297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五、 开标和评标</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_Toc4297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20</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_Toc28681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六、 授予合同</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_Toc28681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24</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0"/>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_Toc9840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第二部分</w:t>
      </w:r>
      <w:r>
        <w:rPr>
          <w:rFonts w:hint="eastAsia" w:ascii="新宋体" w:hAnsi="新宋体" w:eastAsia="新宋体" w:cs="新宋体"/>
          <w:sz w:val="22"/>
          <w:szCs w:val="22"/>
          <w:highlight w:val="none"/>
          <w:lang w:val="en-US" w:eastAsia="zh-CN"/>
        </w:rPr>
        <w:t xml:space="preserve">   </w:t>
      </w:r>
      <w:r>
        <w:rPr>
          <w:rFonts w:hint="eastAsia" w:ascii="新宋体" w:hAnsi="新宋体" w:eastAsia="新宋体" w:cs="新宋体"/>
          <w:sz w:val="22"/>
          <w:szCs w:val="22"/>
          <w:highlight w:val="none"/>
        </w:rPr>
        <w:t>合同主要条款</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_Toc9840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26</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0"/>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_Toc13882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第三部分</w:t>
      </w:r>
      <w:r>
        <w:rPr>
          <w:rFonts w:hint="eastAsia" w:ascii="新宋体" w:hAnsi="新宋体" w:eastAsia="新宋体" w:cs="新宋体"/>
          <w:sz w:val="22"/>
          <w:szCs w:val="22"/>
          <w:highlight w:val="none"/>
          <w:lang w:val="en-US" w:eastAsia="zh-CN"/>
        </w:rPr>
        <w:t xml:space="preserve">   </w:t>
      </w:r>
      <w:r>
        <w:rPr>
          <w:rFonts w:hint="eastAsia" w:ascii="新宋体" w:hAnsi="新宋体" w:eastAsia="新宋体" w:cs="新宋体"/>
          <w:sz w:val="22"/>
          <w:szCs w:val="22"/>
          <w:highlight w:val="none"/>
        </w:rPr>
        <w:t>附件</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_Toc13882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30</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_Toc8074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附件一</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_Toc8074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30</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30"/>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_Toc17536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报价文件</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_Toc17536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30</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_Toc29212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附件二</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_Toc29212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32</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30"/>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_Toc5694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资格证明文件</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_Toc5694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32</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_Toc23460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附件三</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_Toc23460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39</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30"/>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_Toc3068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lang w:val="zh-CN"/>
        </w:rPr>
        <w:t>商务技术文件</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_Toc3068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39</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0"/>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_Toc30600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第四部分</w:t>
      </w:r>
      <w:r>
        <w:rPr>
          <w:rFonts w:hint="eastAsia" w:ascii="新宋体" w:hAnsi="新宋体" w:eastAsia="新宋体" w:cs="新宋体"/>
          <w:sz w:val="22"/>
          <w:szCs w:val="22"/>
          <w:highlight w:val="none"/>
          <w:lang w:val="en-US" w:eastAsia="zh-CN"/>
        </w:rPr>
        <w:t xml:space="preserve">   </w:t>
      </w:r>
      <w:r>
        <w:rPr>
          <w:rFonts w:hint="eastAsia" w:ascii="新宋体" w:hAnsi="新宋体" w:eastAsia="新宋体" w:cs="新宋体"/>
          <w:sz w:val="22"/>
          <w:szCs w:val="22"/>
          <w:highlight w:val="none"/>
        </w:rPr>
        <w:t>项目技术规范和服务要求</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_Toc30600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55</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_Toc1179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一、项目概况</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_Toc1179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55</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_Toc24041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二、采购清单</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_Toc24041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55</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_Toc16729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三、技术参数及配置</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_Toc16729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56</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_Toc13870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四、商务要求（技术参数里另有注明的以技术参数为准）</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_Toc13870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62</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0"/>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_Toc29364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第五部分</w:t>
      </w:r>
      <w:r>
        <w:rPr>
          <w:rFonts w:hint="eastAsia" w:ascii="新宋体" w:hAnsi="新宋体" w:eastAsia="新宋体" w:cs="新宋体"/>
          <w:sz w:val="22"/>
          <w:szCs w:val="22"/>
          <w:highlight w:val="none"/>
          <w:lang w:val="en-US"/>
        </w:rPr>
        <w:t xml:space="preserve">   </w:t>
      </w:r>
      <w:r>
        <w:rPr>
          <w:rFonts w:hint="eastAsia" w:ascii="新宋体" w:hAnsi="新宋体" w:eastAsia="新宋体" w:cs="新宋体"/>
          <w:sz w:val="22"/>
          <w:szCs w:val="22"/>
          <w:highlight w:val="none"/>
        </w:rPr>
        <w:t>评标原则及方法</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_Toc29364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66</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_Toc17088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一、总 则</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_Toc17088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66</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_Toc32177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二、评标组织</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_Toc32177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66</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_Toc22480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三、评标程序</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_Toc22480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66</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_Toc17427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四、评标办法</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_Toc17427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66</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_Toc32027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lang w:val="en-US" w:eastAsia="zh-CN"/>
        </w:rPr>
        <w:t>五、</w:t>
      </w:r>
      <w:r>
        <w:rPr>
          <w:rFonts w:hint="eastAsia" w:ascii="新宋体" w:hAnsi="新宋体" w:eastAsia="新宋体" w:cs="新宋体"/>
          <w:sz w:val="22"/>
          <w:szCs w:val="22"/>
          <w:highlight w:val="none"/>
        </w:rPr>
        <w:t>评分细则</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_Toc32027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66</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_Toc20351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六、定标办法</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_Toc20351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69</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pStyle w:val="47"/>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_Toc15115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七、投标人义务</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_Toc15115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70</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end"/>
      </w:r>
    </w:p>
    <w:p>
      <w:pPr>
        <w:keepNext/>
        <w:spacing w:line="460" w:lineRule="exact"/>
        <w:jc w:val="center"/>
        <w:rPr>
          <w:rStyle w:val="65"/>
          <w:rFonts w:ascii="宋体" w:hAnsi="宋体" w:eastAsia="宋体" w:cs="宋体"/>
          <w:color w:val="auto"/>
          <w:highlight w:val="none"/>
        </w:rPr>
      </w:pPr>
      <w:r>
        <w:rPr>
          <w:rStyle w:val="65"/>
          <w:rFonts w:hint="eastAsia" w:ascii="宋体" w:hAnsi="宋体" w:eastAsia="宋体" w:cs="宋体"/>
          <w:color w:val="auto"/>
          <w:highlight w:val="none"/>
        </w:rPr>
        <w:br w:type="page"/>
      </w:r>
      <w:bookmarkStart w:id="6" w:name="_Toc4286"/>
      <w:bookmarkStart w:id="7" w:name="_Toc10980"/>
      <w:bookmarkStart w:id="8" w:name="_Toc18719"/>
      <w:bookmarkStart w:id="9" w:name="_Toc17202"/>
      <w:bookmarkStart w:id="10" w:name="_Toc3591"/>
      <w:bookmarkStart w:id="11" w:name="_Toc1926"/>
      <w:r>
        <w:rPr>
          <w:rStyle w:val="65"/>
          <w:rFonts w:hint="eastAsia" w:ascii="宋体" w:hAnsi="宋体" w:eastAsia="宋体" w:cs="宋体"/>
          <w:color w:val="auto"/>
          <w:highlight w:val="none"/>
        </w:rPr>
        <w:t>电子交易须知</w:t>
      </w:r>
      <w:bookmarkEnd w:id="0"/>
      <w:bookmarkEnd w:id="1"/>
      <w:bookmarkEnd w:id="2"/>
      <w:bookmarkEnd w:id="3"/>
      <w:bookmarkEnd w:id="4"/>
      <w:bookmarkEnd w:id="5"/>
    </w:p>
    <w:bookmarkEnd w:id="6"/>
    <w:bookmarkEnd w:id="7"/>
    <w:bookmarkEnd w:id="8"/>
    <w:bookmarkEnd w:id="9"/>
    <w:bookmarkEnd w:id="10"/>
    <w:bookmarkEnd w:id="11"/>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供应商编制电子投标文件应安装“电子交易客户端”软件，并按照本招标文件和电子交易平台的要求编制并加密投标文件。未按规定加密的投标文件，将被电子交易平台拒收。“电子交易客户端”请供应商自行前往“浙江政府采购网（zfcg.czt.zj.gov.cn）— 下载专区 — 电子交易客户端”版块获取。</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3、供应商应当在投标文件递交截止时间前，将“电子交易客户端”生成的“电子加密投标文件”上传电子交易平台。</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4、“电子备份投标文件”是指与“电子加密投标文件”同时生成的数据电文形式的投标文件。供应商在电子交易平台上传“电子加密投标文件”后，还可以邮寄或送达的方式在投标文</w:t>
      </w:r>
      <w:bookmarkStart w:id="324" w:name="_GoBack"/>
      <w:bookmarkEnd w:id="324"/>
      <w:r>
        <w:rPr>
          <w:rFonts w:hint="eastAsia" w:ascii="宋体" w:hAnsi="宋体" w:cs="宋体"/>
          <w:color w:val="auto"/>
          <w:sz w:val="22"/>
          <w:highlight w:val="none"/>
        </w:rPr>
        <w:t>件截止时间前提交以介质（U盘）存储的“电子备份投标文件”。“电子备份投标文件”应当密封包装并在包装上标注采购项目编号、项目名称、投标人名称等并加盖公章。</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5、开标时，通过“政府采购云平台”递交的“电子加密投标文件”如无法按时解密的，如供应商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6、供应商在参加电子交易过程中,可登录电子交易平台“帮助文档”版面获取《电子交易管理操作指南》，或致电平台400-881-7190获取相关服务支持。</w:t>
      </w:r>
    </w:p>
    <w:p>
      <w:pPr>
        <w:pStyle w:val="24"/>
        <w:spacing w:line="460" w:lineRule="exact"/>
        <w:ind w:left="602" w:hanging="602"/>
        <w:jc w:val="center"/>
        <w:outlineLvl w:val="0"/>
        <w:rPr>
          <w:rFonts w:ascii="宋体" w:hAnsi="宋体" w:cs="宋体"/>
          <w:b/>
          <w:color w:val="auto"/>
          <w:sz w:val="30"/>
          <w:highlight w:val="none"/>
        </w:rPr>
      </w:pPr>
      <w:r>
        <w:rPr>
          <w:rFonts w:hint="eastAsia" w:ascii="宋体" w:hAnsi="宋体" w:cs="宋体"/>
          <w:b/>
          <w:color w:val="auto"/>
          <w:sz w:val="30"/>
          <w:highlight w:val="none"/>
        </w:rPr>
        <w:br w:type="page"/>
      </w:r>
      <w:bookmarkStart w:id="12" w:name="_Toc25649"/>
      <w:bookmarkStart w:id="13" w:name="_Toc7336"/>
      <w:bookmarkStart w:id="14" w:name="_Toc17466"/>
      <w:bookmarkStart w:id="15" w:name="_Toc31716"/>
      <w:bookmarkStart w:id="16" w:name="_Toc16334"/>
      <w:bookmarkStart w:id="17" w:name="_Toc917"/>
      <w:bookmarkStart w:id="18" w:name="_Toc8386"/>
      <w:bookmarkStart w:id="19" w:name="_Toc9239"/>
      <w:r>
        <w:rPr>
          <w:rFonts w:hint="eastAsia" w:ascii="宋体" w:hAnsi="宋体" w:cs="宋体"/>
          <w:b/>
          <w:color w:val="auto"/>
          <w:sz w:val="30"/>
          <w:highlight w:val="none"/>
          <w:lang w:val="en-US" w:eastAsia="zh-CN"/>
        </w:rPr>
        <w:t>温州历程招标有限公司</w:t>
      </w:r>
      <w:r>
        <w:rPr>
          <w:rFonts w:hint="eastAsia" w:ascii="宋体" w:hAnsi="宋体" w:cs="宋体"/>
          <w:b/>
          <w:color w:val="auto"/>
          <w:sz w:val="30"/>
          <w:highlight w:val="none"/>
        </w:rPr>
        <w:t>关于</w:t>
      </w:r>
      <w:r>
        <w:rPr>
          <w:rFonts w:hint="eastAsia" w:ascii="宋体" w:hAnsi="宋体" w:cs="宋体"/>
          <w:b/>
          <w:color w:val="auto"/>
          <w:sz w:val="30"/>
          <w:highlight w:val="none"/>
          <w:lang w:eastAsia="zh-CN"/>
        </w:rPr>
        <w:t>浙江工贸职业技术学院眼视光技术专业群实训室建设项目</w:t>
      </w:r>
      <w:r>
        <w:rPr>
          <w:rFonts w:hint="eastAsia" w:ascii="宋体" w:hAnsi="宋体" w:cs="宋体"/>
          <w:b/>
          <w:color w:val="auto"/>
          <w:sz w:val="30"/>
          <w:highlight w:val="none"/>
        </w:rPr>
        <w:t>的</w:t>
      </w:r>
      <w:bookmarkEnd w:id="12"/>
      <w:r>
        <w:rPr>
          <w:rFonts w:hint="eastAsia" w:ascii="宋体" w:hAnsi="宋体" w:cs="宋体"/>
          <w:b/>
          <w:color w:val="auto"/>
          <w:sz w:val="30"/>
          <w:highlight w:val="none"/>
          <w:lang w:val="en-US" w:eastAsia="zh-CN"/>
        </w:rPr>
        <w:t>公开</w:t>
      </w:r>
      <w:r>
        <w:rPr>
          <w:rFonts w:hint="eastAsia" w:ascii="宋体" w:hAnsi="宋体" w:cs="宋体"/>
          <w:b/>
          <w:color w:val="auto"/>
          <w:sz w:val="30"/>
          <w:highlight w:val="none"/>
        </w:rPr>
        <w:t>招标公告</w:t>
      </w:r>
      <w:bookmarkEnd w:id="13"/>
      <w:bookmarkEnd w:id="14"/>
      <w:bookmarkEnd w:id="15"/>
      <w:bookmarkEnd w:id="16"/>
      <w:bookmarkEnd w:id="17"/>
      <w:bookmarkEnd w:id="18"/>
      <w:bookmarkEnd w:id="19"/>
    </w:p>
    <w:p>
      <w:pPr>
        <w:keepNext w:val="0"/>
        <w:keepLines w:val="0"/>
        <w:pageBreakBefore w:val="0"/>
        <w:tabs>
          <w:tab w:val="left" w:pos="360"/>
        </w:tabs>
        <w:kinsoku/>
        <w:wordWrap/>
        <w:overflowPunct/>
        <w:topLinePunct w:val="0"/>
        <w:autoSpaceDE/>
        <w:autoSpaceDN/>
        <w:bidi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b/>
          <w:bCs/>
          <w:color w:val="auto"/>
          <w:sz w:val="22"/>
          <w:highlight w:val="none"/>
        </w:rP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19050</wp:posOffset>
                </wp:positionV>
                <wp:extent cx="6499225" cy="1194435"/>
                <wp:effectExtent l="6350" t="6350" r="9525" b="18415"/>
                <wp:wrapNone/>
                <wp:docPr id="1" name="矩形 1"/>
                <wp:cNvGraphicFramePr/>
                <a:graphic xmlns:a="http://schemas.openxmlformats.org/drawingml/2006/main">
                  <a:graphicData uri="http://schemas.microsoft.com/office/word/2010/wordprocessingShape">
                    <wps:wsp>
                      <wps:cNvSpPr/>
                      <wps:spPr>
                        <a:xfrm>
                          <a:off x="0" y="0"/>
                          <a:ext cx="6499225" cy="1194435"/>
                        </a:xfrm>
                        <a:prstGeom prst="rect">
                          <a:avLst/>
                        </a:prstGeom>
                        <a:noFill/>
                        <a:ln w="12700" cap="flat" cmpd="sng">
                          <a:solidFill>
                            <a:srgbClr val="000000"/>
                          </a:solidFill>
                          <a:prstDash val="solid"/>
                          <a:round/>
                          <a:headEnd type="none" w="med" len="med"/>
                          <a:tailEnd type="none" w="med" len="med"/>
                        </a:ln>
                      </wps:spPr>
                      <wps:bodyPr wrap="square" anchor="ctr" anchorCtr="0" upright="1"/>
                    </wps:wsp>
                  </a:graphicData>
                </a:graphic>
              </wp:anchor>
            </w:drawing>
          </mc:Choice>
          <mc:Fallback>
            <w:pict>
              <v:rect id="_x0000_s1026" o:spid="_x0000_s1026" o:spt="1" style="position:absolute;left:0pt;margin-left:-9.9pt;margin-top:1.5pt;height:94.05pt;width:511.75pt;z-index:251659264;v-text-anchor:middle;mso-width-relative:page;mso-height-relative:page;" filled="f" stroked="t" coordsize="21600,21600" o:gfxdata="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w6yCdgAAAAKAQAADwAAAAAAAAABACAA&#10;AAAiAAAAZHJzL2Rvd25yZXYueG1sUEsBAhQAFAAAAAgAh07iQPKAnF0NAgAAIAQAAA4AAAAAAAAA&#10;AQAgAAAAJwEAAGRycy9lMm9Eb2MueG1sUEsFBgAAAAAGAAYAWQEAAKYFAAAAAA==&#10;">
                <v:fill on="f" focussize="0,0"/>
                <v:stroke weight="1pt" color="#000000" joinstyle="round"/>
                <v:imagedata o:title=""/>
                <o:lock v:ext="edit" aspectratio="f"/>
              </v:rect>
            </w:pict>
          </mc:Fallback>
        </mc:AlternateContent>
      </w:r>
      <w:r>
        <w:rPr>
          <w:rFonts w:hint="eastAsia" w:ascii="新宋体" w:hAnsi="新宋体" w:eastAsia="新宋体" w:cs="新宋体"/>
          <w:b/>
          <w:bCs/>
          <w:color w:val="auto"/>
          <w:sz w:val="22"/>
          <w:highlight w:val="none"/>
        </w:rPr>
        <w:t>项目概况 </w:t>
      </w:r>
    </w:p>
    <w:p>
      <w:pPr>
        <w:keepNext w:val="0"/>
        <w:keepLines w:val="0"/>
        <w:pageBreakBefore w:val="0"/>
        <w:tabs>
          <w:tab w:val="left" w:pos="360"/>
        </w:tabs>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眼视光技术专业群实训室建设项目</w:t>
      </w:r>
      <w:r>
        <w:rPr>
          <w:rFonts w:hint="eastAsia" w:ascii="新宋体" w:hAnsi="新宋体" w:eastAsia="新宋体" w:cs="新宋体"/>
          <w:color w:val="auto"/>
          <w:sz w:val="22"/>
          <w:highlight w:val="none"/>
        </w:rPr>
        <w:t>招标项目的潜在投标人应在政采云平台（https://www.zcygov.cn）获取（下载）招标文件，并于 2024年</w:t>
      </w:r>
      <w:r>
        <w:rPr>
          <w:rFonts w:hint="eastAsia" w:ascii="新宋体" w:hAnsi="新宋体" w:eastAsia="新宋体" w:cs="新宋体"/>
          <w:color w:val="auto"/>
          <w:sz w:val="22"/>
          <w:highlight w:val="none"/>
          <w:lang w:val="en-US" w:eastAsia="zh-CN"/>
        </w:rPr>
        <w:t>8</w:t>
      </w:r>
      <w:r>
        <w:rPr>
          <w:rFonts w:hint="eastAsia" w:ascii="新宋体" w:hAnsi="新宋体" w:eastAsia="新宋体" w:cs="新宋体"/>
          <w:color w:val="auto"/>
          <w:sz w:val="22"/>
          <w:highlight w:val="none"/>
        </w:rPr>
        <w:t>月</w:t>
      </w:r>
      <w:r>
        <w:rPr>
          <w:rFonts w:hint="eastAsia" w:ascii="新宋体" w:hAnsi="新宋体" w:eastAsia="新宋体" w:cs="新宋体"/>
          <w:color w:val="auto"/>
          <w:sz w:val="22"/>
          <w:highlight w:val="none"/>
          <w:lang w:val="en-US" w:eastAsia="zh-CN"/>
        </w:rPr>
        <w:t>22</w:t>
      </w:r>
      <w:r>
        <w:rPr>
          <w:rFonts w:hint="eastAsia" w:ascii="新宋体" w:hAnsi="新宋体" w:eastAsia="新宋体" w:cs="新宋体"/>
          <w:color w:val="auto"/>
          <w:sz w:val="22"/>
          <w:highlight w:val="none"/>
        </w:rPr>
        <w:t>日</w:t>
      </w:r>
      <w:r>
        <w:rPr>
          <w:rFonts w:hint="eastAsia" w:ascii="新宋体" w:hAnsi="新宋体" w:eastAsia="新宋体" w:cs="新宋体"/>
          <w:color w:val="auto"/>
          <w:sz w:val="22"/>
          <w:highlight w:val="none"/>
          <w:lang w:val="en-US" w:eastAsia="zh-CN"/>
        </w:rPr>
        <w:t>14</w:t>
      </w:r>
      <w:r>
        <w:rPr>
          <w:rFonts w:hint="eastAsia" w:ascii="新宋体" w:hAnsi="新宋体" w:eastAsia="新宋体" w:cs="新宋体"/>
          <w:color w:val="auto"/>
          <w:sz w:val="22"/>
          <w:highlight w:val="none"/>
        </w:rPr>
        <w:t>:30（北京时间）前递交（上传）投标文件。                             </w:t>
      </w:r>
    </w:p>
    <w:p>
      <w:pPr>
        <w:keepNext w:val="0"/>
        <w:keepLines w:val="0"/>
        <w:pageBreakBefore w:val="0"/>
        <w:tabs>
          <w:tab w:val="left" w:pos="360"/>
        </w:tabs>
        <w:kinsoku/>
        <w:wordWrap/>
        <w:overflowPunct/>
        <w:topLinePunct w:val="0"/>
        <w:autoSpaceDE/>
        <w:autoSpaceDN/>
        <w:bidi w:val="0"/>
        <w:spacing w:line="460" w:lineRule="exact"/>
        <w:textAlignment w:val="auto"/>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一、项目基本情况</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Z-WZLCZB（L）-2024-05154</w:t>
      </w:r>
      <w:r>
        <w:rPr>
          <w:rFonts w:hint="eastAsia" w:ascii="新宋体" w:hAnsi="新宋体" w:eastAsia="新宋体" w:cs="新宋体"/>
          <w:color w:val="auto"/>
          <w:sz w:val="22"/>
          <w:szCs w:val="22"/>
          <w:highlight w:val="none"/>
        </w:rPr>
        <w:t>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眼视光技术专业群实训室建设项目</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2000000</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1999000</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highlight w:val="none"/>
          <w:lang w:eastAsia="zh-CN"/>
        </w:rPr>
        <w:t>眼视光技术专业群实训室建设项目</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 1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2000000</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单位：</w:t>
      </w:r>
      <w:r>
        <w:rPr>
          <w:rFonts w:hint="eastAsia" w:ascii="新宋体" w:hAnsi="新宋体" w:eastAsia="新宋体" w:cs="新宋体"/>
          <w:color w:val="auto"/>
          <w:sz w:val="22"/>
          <w:szCs w:val="22"/>
          <w:highlight w:val="none"/>
          <w:lang w:val="en-US" w:eastAsia="zh-CN"/>
        </w:rPr>
        <w:t>批</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简要规格描述：具体详见招标文件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合同履约期限：合同签订后</w:t>
      </w:r>
      <w:r>
        <w:rPr>
          <w:rFonts w:hint="eastAsia" w:ascii="新宋体" w:hAnsi="新宋体" w:eastAsia="新宋体" w:cs="新宋体"/>
          <w:color w:val="auto"/>
          <w:sz w:val="22"/>
          <w:szCs w:val="22"/>
          <w:highlight w:val="none"/>
          <w:lang w:val="en-US" w:eastAsia="zh-CN"/>
        </w:rPr>
        <w:t>8个月</w:t>
      </w:r>
      <w:r>
        <w:rPr>
          <w:rFonts w:hint="eastAsia" w:ascii="新宋体" w:hAnsi="新宋体" w:eastAsia="新宋体" w:cs="新宋体"/>
          <w:color w:val="auto"/>
          <w:sz w:val="22"/>
          <w:szCs w:val="22"/>
          <w:highlight w:val="none"/>
        </w:rPr>
        <w:t>内完成所有货物的运输、安装、调试。</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否</w:t>
      </w:r>
      <w:r>
        <w:rPr>
          <w:rFonts w:hint="eastAsia" w:ascii="新宋体" w:hAnsi="新宋体" w:eastAsia="新宋体" w:cs="新宋体"/>
          <w:color w:val="auto"/>
          <w:sz w:val="22"/>
          <w:szCs w:val="22"/>
          <w:highlight w:val="none"/>
        </w:rPr>
        <w:t>）接受联合体投标。</w:t>
      </w:r>
      <w:r>
        <w:rPr>
          <w:rFonts w:hint="eastAsia" w:ascii="新宋体" w:hAnsi="新宋体" w:eastAsia="新宋体" w:cs="新宋体"/>
          <w:color w:val="auto"/>
          <w:sz w:val="22"/>
          <w:highlight w:val="none"/>
        </w:rPr>
        <w:t>  </w:t>
      </w:r>
    </w:p>
    <w:p>
      <w:pPr>
        <w:keepNext w:val="0"/>
        <w:keepLines w:val="0"/>
        <w:pageBreakBefore w:val="0"/>
        <w:tabs>
          <w:tab w:val="left" w:pos="360"/>
        </w:tabs>
        <w:kinsoku/>
        <w:wordWrap/>
        <w:overflowPunct/>
        <w:topLinePunct w:val="0"/>
        <w:autoSpaceDE/>
        <w:autoSpaceDN/>
        <w:bidi w:val="0"/>
        <w:spacing w:line="460" w:lineRule="exact"/>
        <w:textAlignment w:val="auto"/>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二、申请人的资格要求：</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color w:val="auto"/>
          <w:sz w:val="22"/>
          <w:szCs w:val="22"/>
          <w:highlight w:val="none"/>
          <w:u w:val="none"/>
          <w:lang w:val="en-US" w:eastAsia="zh-CN"/>
        </w:rPr>
        <w:t>本项目专门面向中小企业，所投产品全部由符合政策要求的中小企业制造，提供中小企业声明函</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3.本项目的特定资格要求：无。  </w:t>
      </w:r>
    </w:p>
    <w:p>
      <w:pPr>
        <w:keepNext w:val="0"/>
        <w:keepLines w:val="0"/>
        <w:pageBreakBefore w:val="0"/>
        <w:tabs>
          <w:tab w:val="left" w:pos="360"/>
        </w:tabs>
        <w:kinsoku/>
        <w:wordWrap/>
        <w:overflowPunct/>
        <w:topLinePunct w:val="0"/>
        <w:autoSpaceDE/>
        <w:autoSpaceDN/>
        <w:bidi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b/>
          <w:bCs/>
          <w:color w:val="auto"/>
          <w:sz w:val="22"/>
          <w:highlight w:val="none"/>
        </w:rPr>
        <w:t>三、获取（下载）招标文件</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时间：2024年</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日至2024年</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22</w:t>
      </w:r>
      <w:r>
        <w:rPr>
          <w:rFonts w:hint="eastAsia" w:ascii="新宋体" w:hAnsi="新宋体" w:eastAsia="新宋体" w:cs="新宋体"/>
          <w:color w:val="auto"/>
          <w:sz w:val="22"/>
          <w:szCs w:val="22"/>
          <w:highlight w:val="none"/>
        </w:rPr>
        <w:t>日，每天上午00:00至12:00，下午12:00至23:59（北京时间，线上获取法定节假日均可，线下获取文件法定节假日除外）</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地点（网址）：浙江政府采购网（https://zfcg.czt.zj.gov.cn/）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方式：供应商登录政采云平台https://www.zcygov.cn/在线申请获取采购文件（进入“项目采购”应用，在获取采购文件菜单中选择项目，申请获取采购文件）</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pPr>
        <w:pStyle w:val="50"/>
        <w:keepNext w:val="0"/>
        <w:keepLines w:val="0"/>
        <w:pageBreakBefore w:val="0"/>
        <w:kinsoku/>
        <w:wordWrap/>
        <w:overflowPunct/>
        <w:topLinePunct w:val="0"/>
        <w:autoSpaceDE/>
        <w:autoSpaceDN/>
        <w:bidi w:val="0"/>
        <w:spacing w:before="0" w:beforeAutospacing="0" w:after="0" w:afterAutospacing="0"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highlight w:val="none"/>
        </w:rPr>
        <w:t>2024年</w:t>
      </w:r>
      <w:r>
        <w:rPr>
          <w:rFonts w:hint="eastAsia" w:ascii="新宋体" w:hAnsi="新宋体" w:eastAsia="新宋体" w:cs="新宋体"/>
          <w:color w:val="auto"/>
          <w:sz w:val="22"/>
          <w:highlight w:val="none"/>
          <w:lang w:val="en-US" w:eastAsia="zh-CN"/>
        </w:rPr>
        <w:t>8</w:t>
      </w:r>
      <w:r>
        <w:rPr>
          <w:rFonts w:hint="eastAsia" w:ascii="新宋体" w:hAnsi="新宋体" w:eastAsia="新宋体" w:cs="新宋体"/>
          <w:color w:val="auto"/>
          <w:sz w:val="22"/>
          <w:highlight w:val="none"/>
        </w:rPr>
        <w:t>月</w:t>
      </w:r>
      <w:r>
        <w:rPr>
          <w:rFonts w:hint="eastAsia" w:ascii="新宋体" w:hAnsi="新宋体" w:eastAsia="新宋体" w:cs="新宋体"/>
          <w:color w:val="auto"/>
          <w:sz w:val="22"/>
          <w:highlight w:val="none"/>
          <w:lang w:val="en-US" w:eastAsia="zh-CN"/>
        </w:rPr>
        <w:t>22</w:t>
      </w:r>
      <w:r>
        <w:rPr>
          <w:rFonts w:hint="eastAsia" w:ascii="新宋体" w:hAnsi="新宋体" w:eastAsia="新宋体" w:cs="新宋体"/>
          <w:color w:val="auto"/>
          <w:sz w:val="22"/>
          <w:highlight w:val="none"/>
        </w:rPr>
        <w:t>日</w:t>
      </w:r>
      <w:r>
        <w:rPr>
          <w:rFonts w:hint="eastAsia" w:ascii="新宋体" w:hAnsi="新宋体" w:eastAsia="新宋体" w:cs="新宋体"/>
          <w:color w:val="auto"/>
          <w:sz w:val="22"/>
          <w:highlight w:val="none"/>
          <w:lang w:val="en-US" w:eastAsia="zh-CN"/>
        </w:rPr>
        <w:t>14</w:t>
      </w:r>
      <w:r>
        <w:rPr>
          <w:rFonts w:hint="eastAsia" w:ascii="新宋体" w:hAnsi="新宋体" w:eastAsia="新宋体" w:cs="新宋体"/>
          <w:color w:val="auto"/>
          <w:sz w:val="22"/>
          <w:highlight w:val="none"/>
        </w:rPr>
        <w:t>点30分</w:t>
      </w:r>
      <w:r>
        <w:rPr>
          <w:rFonts w:hint="eastAsia" w:ascii="新宋体" w:hAnsi="新宋体" w:eastAsia="新宋体" w:cs="新宋体"/>
          <w:color w:val="auto"/>
          <w:sz w:val="22"/>
          <w:szCs w:val="22"/>
          <w:highlight w:val="none"/>
        </w:rPr>
        <w:t>（北京时间）</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投标地点（网址）：政采云平台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http://zfcg.czt.zj.gov.cn</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highlight w:val="none"/>
        </w:rPr>
        <w:t>2024年</w:t>
      </w:r>
      <w:r>
        <w:rPr>
          <w:rFonts w:hint="eastAsia" w:ascii="新宋体" w:hAnsi="新宋体" w:eastAsia="新宋体" w:cs="新宋体"/>
          <w:color w:val="auto"/>
          <w:sz w:val="22"/>
          <w:highlight w:val="none"/>
          <w:lang w:val="en-US" w:eastAsia="zh-CN"/>
        </w:rPr>
        <w:t>8</w:t>
      </w:r>
      <w:r>
        <w:rPr>
          <w:rFonts w:hint="eastAsia" w:ascii="新宋体" w:hAnsi="新宋体" w:eastAsia="新宋体" w:cs="新宋体"/>
          <w:color w:val="auto"/>
          <w:sz w:val="22"/>
          <w:highlight w:val="none"/>
        </w:rPr>
        <w:t>月</w:t>
      </w:r>
      <w:r>
        <w:rPr>
          <w:rFonts w:hint="eastAsia" w:ascii="新宋体" w:hAnsi="新宋体" w:eastAsia="新宋体" w:cs="新宋体"/>
          <w:color w:val="auto"/>
          <w:sz w:val="22"/>
          <w:highlight w:val="none"/>
          <w:lang w:val="en-US" w:eastAsia="zh-CN"/>
        </w:rPr>
        <w:t>22</w:t>
      </w:r>
      <w:r>
        <w:rPr>
          <w:rFonts w:hint="eastAsia" w:ascii="新宋体" w:hAnsi="新宋体" w:eastAsia="新宋体" w:cs="新宋体"/>
          <w:color w:val="auto"/>
          <w:sz w:val="22"/>
          <w:highlight w:val="none"/>
        </w:rPr>
        <w:t>日</w:t>
      </w:r>
      <w:r>
        <w:rPr>
          <w:rFonts w:hint="eastAsia" w:ascii="新宋体" w:hAnsi="新宋体" w:eastAsia="新宋体" w:cs="新宋体"/>
          <w:color w:val="auto"/>
          <w:sz w:val="22"/>
          <w:highlight w:val="none"/>
          <w:lang w:val="en-US" w:eastAsia="zh-CN"/>
        </w:rPr>
        <w:t>14</w:t>
      </w:r>
      <w:r>
        <w:rPr>
          <w:rFonts w:hint="eastAsia" w:ascii="新宋体" w:hAnsi="新宋体" w:eastAsia="新宋体" w:cs="新宋体"/>
          <w:color w:val="auto"/>
          <w:sz w:val="22"/>
          <w:highlight w:val="none"/>
        </w:rPr>
        <w:t>点30分</w:t>
      </w:r>
      <w:r>
        <w:rPr>
          <w:rFonts w:hint="eastAsia" w:ascii="新宋体" w:hAnsi="新宋体" w:eastAsia="新宋体" w:cs="新宋体"/>
          <w:color w:val="auto"/>
          <w:sz w:val="22"/>
          <w:szCs w:val="22"/>
          <w:highlight w:val="none"/>
        </w:rPr>
        <w:t>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开标地点（网址）：温州市瓯江口产业集聚区雁云路301号浙江工贸职业技术学院资讯楼508室（政采云平台：http://zfcg.czt.zj.gov.cn）  </w:t>
      </w:r>
    </w:p>
    <w:p>
      <w:pPr>
        <w:keepNext w:val="0"/>
        <w:keepLines w:val="0"/>
        <w:pageBreakBefore w:val="0"/>
        <w:tabs>
          <w:tab w:val="left" w:pos="360"/>
        </w:tabs>
        <w:kinsoku/>
        <w:wordWrap/>
        <w:overflowPunct/>
        <w:topLinePunct w:val="0"/>
        <w:autoSpaceDE/>
        <w:autoSpaceDN/>
        <w:bidi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b/>
          <w:bCs/>
          <w:color w:val="auto"/>
          <w:sz w:val="22"/>
          <w:highlight w:val="none"/>
        </w:rPr>
        <w:t>五、公告期限</w:t>
      </w:r>
    </w:p>
    <w:p>
      <w:pPr>
        <w:keepNext w:val="0"/>
        <w:keepLines w:val="0"/>
        <w:pageBreakBefore w:val="0"/>
        <w:tabs>
          <w:tab w:val="left" w:pos="360"/>
        </w:tabs>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自本公告发布之日起5个工作日</w:t>
      </w:r>
      <w:r>
        <w:rPr>
          <w:rFonts w:hint="eastAsia" w:ascii="新宋体" w:hAnsi="新宋体" w:eastAsia="新宋体" w:cs="新宋体"/>
          <w:color w:val="auto"/>
          <w:sz w:val="22"/>
          <w:highlight w:val="none"/>
        </w:rPr>
        <w:t>。</w:t>
      </w:r>
    </w:p>
    <w:p>
      <w:pPr>
        <w:keepNext w:val="0"/>
        <w:keepLines w:val="0"/>
        <w:pageBreakBefore w:val="0"/>
        <w:tabs>
          <w:tab w:val="left" w:pos="360"/>
        </w:tabs>
        <w:kinsoku/>
        <w:wordWrap/>
        <w:overflowPunct/>
        <w:topLinePunct w:val="0"/>
        <w:autoSpaceDE/>
        <w:autoSpaceDN/>
        <w:bidi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b/>
          <w:bCs/>
          <w:color w:val="auto"/>
          <w:sz w:val="22"/>
          <w:highlight w:val="none"/>
        </w:rPr>
        <w:t>六、其他补充事宜</w:t>
      </w:r>
      <w:r>
        <w:rPr>
          <w:rFonts w:hint="eastAsia" w:ascii="新宋体" w:hAnsi="新宋体" w:eastAsia="新宋体" w:cs="新宋体"/>
          <w:color w:val="auto"/>
          <w:sz w:val="22"/>
          <w:highlight w:val="none"/>
        </w:rPr>
        <w:t>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keepNext w:val="0"/>
        <w:keepLines w:val="0"/>
        <w:pageBreakBefore w:val="0"/>
        <w:tabs>
          <w:tab w:val="left" w:pos="360"/>
        </w:tabs>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spacing w:line="460" w:lineRule="exact"/>
        <w:textAlignment w:val="auto"/>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八、凡对本次招标提出询问、质疑、投诉，请按以下方式联系</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szCs w:val="22"/>
          <w:highlight w:val="none"/>
          <w:lang w:eastAsia="zh-CN"/>
        </w:rPr>
        <w:t>浙江工贸职业技术学院</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地    址：</w:t>
      </w:r>
      <w:r>
        <w:rPr>
          <w:rFonts w:hint="eastAsia" w:ascii="新宋体" w:hAnsi="新宋体" w:eastAsia="新宋体" w:cs="新宋体"/>
          <w:color w:val="auto"/>
          <w:sz w:val="22"/>
          <w:szCs w:val="22"/>
          <w:highlight w:val="none"/>
          <w:lang w:eastAsia="zh-CN"/>
        </w:rPr>
        <w:t>温州市瓯江口产业集聚区雁云路301号</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项目联系人（询问）：卢老师</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项目联系方式（询问）：0577-85515718</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质疑联系人：陈老师</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质疑联系方式：0577-85515948</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hint="eastAsia" w:ascii="新宋体" w:hAnsi="新宋体" w:eastAsia="新宋体" w:cs="新宋体"/>
          <w:color w:val="auto"/>
          <w:sz w:val="22"/>
          <w:szCs w:val="22"/>
          <w:highlight w:val="none"/>
          <w:lang w:eastAsia="zh-CN"/>
        </w:rPr>
        <w:t>温州市鹿城区南汇街道勤民路鹿城壹号18幢803室</w:t>
      </w:r>
      <w:r>
        <w:rPr>
          <w:rFonts w:hint="eastAsia" w:ascii="新宋体" w:hAnsi="新宋体" w:eastAsia="新宋体" w:cs="新宋体"/>
          <w:color w:val="auto"/>
          <w:sz w:val="22"/>
          <w:szCs w:val="22"/>
          <w:highlight w:val="none"/>
        </w:rPr>
        <w:t>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项目联系方式（询问）：0577-89887322/13757727199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质疑联系方式：0577-89887322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称：浙江省财政厅政府采购监管处、浙江省政府采购行政裁决服务中心（杭州）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址：杭州市上城区四季青街道新业路市民之家G03办公室（快递仅限ems或顺丰）</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联系人：朱女士、王女士</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监督投诉电话：0571-85252453</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color w:val="auto"/>
          <w:sz w:val="22"/>
          <w:szCs w:val="22"/>
          <w:highlight w:val="none"/>
        </w:rPr>
      </w:pP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若对项目采购电子交易系统操作有疑问，可登录政采云（https://www.zcygov.cn/），点击右侧咨询小采，获取采小蜜智能服务管家帮助，或拨打政采云服务热线95763获取热线服务帮助。 </w:t>
      </w:r>
    </w:p>
    <w:p>
      <w:pPr>
        <w:pStyle w:val="50"/>
        <w:keepNext w:val="0"/>
        <w:keepLines w:val="0"/>
        <w:pageBreakBefore w:val="0"/>
        <w:kinsoku/>
        <w:wordWrap/>
        <w:overflowPunct/>
        <w:topLinePunct w:val="0"/>
        <w:autoSpaceDE/>
        <w:autoSpaceDN/>
        <w:bidi w:val="0"/>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CA问题联系电话（人工）：汇信CA 400-888-4636；天谷CA 400-087-8198。</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3"/>
        <w:rPr>
          <w:rFonts w:ascii="宋体" w:hAnsi="宋体" w:eastAsia="宋体" w:cs="宋体"/>
          <w:b w:val="0"/>
          <w:color w:val="auto"/>
          <w:highlight w:val="none"/>
        </w:rPr>
      </w:pPr>
      <w:bookmarkStart w:id="20" w:name="_Toc31483"/>
      <w:r>
        <w:rPr>
          <w:rFonts w:hint="eastAsia" w:ascii="宋体" w:hAnsi="宋体" w:eastAsia="宋体" w:cs="宋体"/>
          <w:color w:val="auto"/>
          <w:highlight w:val="none"/>
        </w:rPr>
        <w:br w:type="page"/>
      </w:r>
      <w:bookmarkStart w:id="21" w:name="_Toc23370"/>
      <w:bookmarkStart w:id="22" w:name="_Toc12276"/>
      <w:bookmarkStart w:id="23" w:name="_Toc13085"/>
      <w:bookmarkStart w:id="24" w:name="_Toc7512"/>
      <w:bookmarkStart w:id="25" w:name="_Toc8150"/>
      <w:bookmarkStart w:id="26" w:name="_Toc22051"/>
      <w:bookmarkStart w:id="27" w:name="_Toc2886"/>
      <w:bookmarkStart w:id="28" w:name="_Toc27914"/>
      <w:bookmarkStart w:id="29" w:name="_Toc6453"/>
      <w:r>
        <w:rPr>
          <w:rFonts w:hint="eastAsia" w:ascii="宋体" w:hAnsi="宋体" w:eastAsia="宋体" w:cs="宋体"/>
          <w:color w:val="auto"/>
          <w:highlight w:val="none"/>
        </w:rPr>
        <w:t>第一部分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投标人须知</w:t>
      </w:r>
      <w:bookmarkEnd w:id="20"/>
      <w:bookmarkEnd w:id="21"/>
      <w:bookmarkEnd w:id="22"/>
      <w:bookmarkEnd w:id="23"/>
      <w:bookmarkEnd w:id="24"/>
      <w:bookmarkEnd w:id="25"/>
      <w:bookmarkEnd w:id="26"/>
      <w:bookmarkEnd w:id="27"/>
      <w:bookmarkEnd w:id="28"/>
      <w:bookmarkEnd w:id="29"/>
    </w:p>
    <w:p>
      <w:pPr>
        <w:keepNext/>
        <w:keepLines/>
        <w:shd w:val="clear" w:color="auto" w:fill="FFFFFF"/>
        <w:tabs>
          <w:tab w:val="left" w:pos="706"/>
        </w:tabs>
        <w:snapToGrid w:val="0"/>
        <w:spacing w:line="460" w:lineRule="exact"/>
        <w:jc w:val="center"/>
        <w:outlineLvl w:val="1"/>
        <w:rPr>
          <w:rFonts w:ascii="宋体" w:hAnsi="宋体" w:cs="宋体"/>
          <w:b/>
          <w:bCs/>
          <w:color w:val="auto"/>
          <w:sz w:val="22"/>
          <w:szCs w:val="22"/>
          <w:highlight w:val="none"/>
        </w:rPr>
      </w:pPr>
      <w:bookmarkStart w:id="30" w:name="_Toc32685"/>
      <w:bookmarkStart w:id="31" w:name="_Toc354996695"/>
      <w:bookmarkStart w:id="32" w:name="_Toc20804"/>
      <w:bookmarkStart w:id="33" w:name="_Toc29489"/>
      <w:bookmarkStart w:id="34" w:name="_Toc164"/>
      <w:bookmarkStart w:id="35" w:name="_Toc233618971"/>
      <w:bookmarkStart w:id="36" w:name="_Toc33194387"/>
      <w:bookmarkStart w:id="37" w:name="_Toc16439"/>
      <w:bookmarkStart w:id="38" w:name="_Toc16973"/>
      <w:bookmarkStart w:id="39" w:name="_Toc18480"/>
      <w:bookmarkStart w:id="40" w:name="_Toc28942"/>
      <w:bookmarkStart w:id="41" w:name="_Toc27037"/>
      <w:bookmarkStart w:id="42" w:name="_Toc18308"/>
      <w:r>
        <w:rPr>
          <w:rFonts w:hint="eastAsia" w:ascii="宋体" w:hAnsi="宋体" w:cs="宋体"/>
          <w:b/>
          <w:bCs/>
          <w:color w:val="auto"/>
          <w:sz w:val="22"/>
          <w:szCs w:val="22"/>
          <w:highlight w:val="none"/>
        </w:rPr>
        <w:t>投标人须知前附表</w:t>
      </w:r>
      <w:bookmarkEnd w:id="30"/>
      <w:bookmarkEnd w:id="31"/>
      <w:bookmarkEnd w:id="32"/>
      <w:bookmarkEnd w:id="33"/>
      <w:bookmarkEnd w:id="34"/>
      <w:bookmarkEnd w:id="35"/>
      <w:bookmarkEnd w:id="36"/>
      <w:bookmarkEnd w:id="37"/>
      <w:bookmarkEnd w:id="38"/>
      <w:bookmarkEnd w:id="39"/>
      <w:bookmarkEnd w:id="40"/>
      <w:bookmarkEnd w:id="41"/>
      <w:bookmarkEnd w:id="42"/>
    </w:p>
    <w:tbl>
      <w:tblPr>
        <w:tblStyle w:val="5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1"/>
        <w:gridCol w:w="1512"/>
        <w:gridCol w:w="7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p>
        </w:tc>
        <w:tc>
          <w:tcPr>
            <w:tcW w:w="388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p>
        </w:tc>
        <w:tc>
          <w:tcPr>
            <w:tcW w:w="388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眼视光技术专业群实训室建设项目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p>
        </w:tc>
        <w:tc>
          <w:tcPr>
            <w:tcW w:w="388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Z-WZLCZB（L）-2024-05154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采购内容及数量</w:t>
            </w:r>
          </w:p>
        </w:tc>
        <w:tc>
          <w:tcPr>
            <w:tcW w:w="388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eastAsia="宋体"/>
                <w:color w:val="auto"/>
                <w:highlight w:val="none"/>
                <w:lang w:eastAsia="zh-CN"/>
              </w:rPr>
            </w:pPr>
            <w:r>
              <w:rPr>
                <w:rFonts w:hint="eastAsia" w:ascii="新宋体" w:hAnsi="新宋体" w:eastAsia="新宋体" w:cs="新宋体"/>
                <w:color w:val="auto"/>
                <w:sz w:val="22"/>
                <w:szCs w:val="22"/>
                <w:highlight w:val="none"/>
                <w:lang w:eastAsia="zh-CN"/>
              </w:rPr>
              <w:t>眼视光技术专业群实训室建设项目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w:t>
            </w:r>
          </w:p>
        </w:tc>
        <w:tc>
          <w:tcPr>
            <w:tcW w:w="388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val="en-US" w:eastAsia="zh-CN"/>
              </w:rPr>
              <w:t>2000</w:t>
            </w:r>
            <w:r>
              <w:rPr>
                <w:rFonts w:hint="eastAsia" w:ascii="新宋体" w:hAnsi="新宋体" w:eastAsia="新宋体" w:cs="新宋体"/>
                <w:color w:val="auto"/>
                <w:sz w:val="22"/>
                <w:szCs w:val="22"/>
                <w:highlight w:val="none"/>
                <w:lang w:eastAsia="zh-CN"/>
              </w:rPr>
              <w:t>000.00</w:t>
            </w:r>
            <w:r>
              <w:rPr>
                <w:rFonts w:hint="eastAsia" w:ascii="新宋体" w:hAnsi="新宋体" w:eastAsia="新宋体" w:cs="新宋体"/>
                <w:color w:val="auto"/>
                <w:sz w:val="22"/>
                <w:szCs w:val="22"/>
                <w:highlight w:val="none"/>
              </w:rPr>
              <w:t>元，最高限价</w:t>
            </w:r>
            <w:r>
              <w:rPr>
                <w:rFonts w:hint="eastAsia" w:ascii="新宋体" w:hAnsi="新宋体" w:eastAsia="新宋体" w:cs="新宋体"/>
                <w:color w:val="auto"/>
                <w:sz w:val="22"/>
                <w:szCs w:val="22"/>
                <w:highlight w:val="none"/>
                <w:lang w:val="en-US" w:eastAsia="zh-CN"/>
              </w:rPr>
              <w:t>1999000.00</w:t>
            </w:r>
            <w:r>
              <w:rPr>
                <w:rFonts w:hint="eastAsia" w:ascii="新宋体" w:hAnsi="新宋体" w:eastAsia="新宋体" w:cs="新宋体"/>
                <w:color w:val="auto"/>
                <w:sz w:val="22"/>
                <w:szCs w:val="22"/>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供货期</w:t>
            </w:r>
          </w:p>
        </w:tc>
        <w:tc>
          <w:tcPr>
            <w:tcW w:w="388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合同签订后</w:t>
            </w:r>
            <w:r>
              <w:rPr>
                <w:rFonts w:hint="eastAsia" w:ascii="新宋体" w:hAnsi="新宋体" w:eastAsia="新宋体" w:cs="新宋体"/>
                <w:color w:val="auto"/>
                <w:sz w:val="22"/>
                <w:szCs w:val="22"/>
                <w:highlight w:val="none"/>
                <w:lang w:val="en-US" w:eastAsia="zh-CN"/>
              </w:rPr>
              <w:t xml:space="preserve"> 8个月</w:t>
            </w:r>
            <w:r>
              <w:rPr>
                <w:rFonts w:hint="eastAsia" w:ascii="新宋体" w:hAnsi="新宋体" w:eastAsia="新宋体" w:cs="新宋体"/>
                <w:color w:val="auto"/>
                <w:sz w:val="22"/>
                <w:szCs w:val="22"/>
                <w:highlight w:val="none"/>
              </w:rPr>
              <w:t>内完成所有货物的运输、安装、调试</w:t>
            </w:r>
            <w:r>
              <w:rPr>
                <w:rFonts w:hint="eastAsia" w:ascii="新宋体" w:hAnsi="新宋体" w:eastAsia="新宋体" w:cs="新宋体"/>
                <w:color w:val="auto"/>
                <w:sz w:val="22"/>
                <w:szCs w:val="22"/>
                <w:highlight w:val="none"/>
                <w:lang w:eastAsia="zh-CN"/>
              </w:rPr>
              <w:t>；试用</w:t>
            </w:r>
            <w:r>
              <w:rPr>
                <w:rFonts w:hint="eastAsia" w:ascii="新宋体" w:hAnsi="新宋体" w:eastAsia="新宋体" w:cs="新宋体"/>
                <w:color w:val="auto"/>
                <w:sz w:val="22"/>
                <w:szCs w:val="22"/>
                <w:highlight w:val="none"/>
                <w:lang w:val="en-US" w:eastAsia="zh-CN"/>
              </w:rPr>
              <w:t>12个月后</w:t>
            </w:r>
            <w:r>
              <w:rPr>
                <w:rFonts w:hint="eastAsia" w:ascii="新宋体" w:hAnsi="新宋体" w:eastAsia="新宋体" w:cs="新宋体"/>
                <w:color w:val="auto"/>
                <w:sz w:val="22"/>
                <w:szCs w:val="22"/>
                <w:highlight w:val="none"/>
              </w:rPr>
              <w:t>由</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进行验收。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投标人资格要求</w:t>
            </w:r>
          </w:p>
        </w:tc>
        <w:tc>
          <w:tcPr>
            <w:tcW w:w="388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是否接受联合体</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sym w:font="Wingdings 2" w:char="0052"/>
            </w:r>
            <w:r>
              <w:rPr>
                <w:rFonts w:hint="eastAsia" w:ascii="新宋体" w:hAnsi="新宋体" w:eastAsia="新宋体" w:cs="新宋体"/>
                <w:color w:val="auto"/>
                <w:kern w:val="0"/>
                <w:sz w:val="22"/>
                <w:szCs w:val="22"/>
                <w:highlight w:val="none"/>
              </w:rPr>
              <w:t>不接受</w:t>
            </w:r>
          </w:p>
          <w:p>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sym w:font="Wingdings 2" w:char="00A3"/>
            </w:r>
            <w:r>
              <w:rPr>
                <w:rFonts w:hint="eastAsia" w:ascii="新宋体" w:hAnsi="新宋体" w:eastAsia="新宋体" w:cs="新宋体"/>
                <w:color w:val="auto"/>
                <w:kern w:val="0"/>
                <w:sz w:val="22"/>
                <w:szCs w:val="22"/>
                <w:highlight w:val="none"/>
              </w:rPr>
              <w:t>接受，应满足下列要求：无。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合同形式</w:t>
            </w:r>
          </w:p>
        </w:tc>
        <w:tc>
          <w:tcPr>
            <w:tcW w:w="388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总价合同。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公告媒体</w:t>
            </w:r>
          </w:p>
        </w:tc>
        <w:tc>
          <w:tcPr>
            <w:tcW w:w="388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新宋体" w:hAnsi="新宋体" w:eastAsia="新宋体" w:cs="新宋体"/>
                <w:color w:val="auto"/>
                <w:sz w:val="22"/>
                <w:szCs w:val="22"/>
                <w:highlight w:val="none"/>
              </w:rPr>
              <w:t>http://zfcg.czt.zj.gov.cn</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电子交易</w:t>
            </w:r>
          </w:p>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平台</w:t>
            </w:r>
          </w:p>
        </w:tc>
        <w:tc>
          <w:tcPr>
            <w:tcW w:w="388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67" w:type="pct"/>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投标货币</w:t>
            </w:r>
          </w:p>
        </w:tc>
        <w:tc>
          <w:tcPr>
            <w:tcW w:w="3881" w:type="pct"/>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67" w:type="pct"/>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投标语言</w:t>
            </w:r>
          </w:p>
        </w:tc>
        <w:tc>
          <w:tcPr>
            <w:tcW w:w="3881" w:type="pct"/>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bCs/>
                <w:color w:val="auto"/>
                <w:sz w:val="22"/>
                <w:szCs w:val="22"/>
                <w:highlight w:val="none"/>
              </w:rPr>
            </w:pPr>
            <w:r>
              <w:rPr>
                <w:rFonts w:hint="eastAsia" w:ascii="新宋体" w:hAnsi="新宋体" w:eastAsia="新宋体" w:cs="Times New Roman"/>
                <w:b/>
                <w:color w:val="auto"/>
                <w:sz w:val="22"/>
                <w:highlight w:val="none"/>
                <w:lang w:eastAsia="zh-CN"/>
              </w:rPr>
              <w:t>1、报价是指完成眼</w:t>
            </w:r>
            <w:r>
              <w:rPr>
                <w:rFonts w:hint="eastAsia" w:ascii="新宋体" w:hAnsi="新宋体" w:eastAsia="新宋体"/>
                <w:b/>
                <w:color w:val="auto"/>
                <w:sz w:val="22"/>
                <w:highlight w:val="none"/>
                <w:lang w:eastAsia="zh-CN"/>
              </w:rPr>
              <w:t>视光技术专业群实训室建设项目</w:t>
            </w:r>
            <w:r>
              <w:rPr>
                <w:rFonts w:hint="eastAsia" w:ascii="新宋体" w:hAnsi="新宋体" w:eastAsia="新宋体"/>
                <w:b/>
                <w:color w:val="auto"/>
                <w:sz w:val="22"/>
                <w:highlight w:val="none"/>
              </w:rPr>
              <w:t>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2、不论采购结果如何，投标人均应自行承担所有与投标有关的全部费用。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投标保证金数额</w:t>
            </w:r>
          </w:p>
        </w:tc>
        <w:tc>
          <w:tcPr>
            <w:tcW w:w="388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踏勘现场</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2" w:char="00A3"/>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kern w:val="0"/>
                <w:sz w:val="22"/>
                <w:szCs w:val="22"/>
                <w:highlight w:val="none"/>
              </w:rPr>
              <w:t>时间：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,地点：</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，联系人：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，联系方式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w:t>
            </w:r>
          </w:p>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Cs/>
                <w:snapToGrid w:val="0"/>
                <w:color w:val="auto"/>
                <w:sz w:val="22"/>
                <w:szCs w:val="22"/>
                <w:highlight w:val="none"/>
              </w:rPr>
              <w:sym w:font="Wingdings" w:char="00FE"/>
            </w:r>
            <w:r>
              <w:rPr>
                <w:rFonts w:hint="eastAsia" w:ascii="新宋体" w:hAnsi="新宋体" w:eastAsia="新宋体" w:cs="新宋体"/>
                <w:color w:val="auto"/>
                <w:sz w:val="22"/>
                <w:szCs w:val="22"/>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投标预备会</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pPr>
              <w:snapToGrid w:val="0"/>
              <w:spacing w:line="460" w:lineRule="exact"/>
              <w:rPr>
                <w:rFonts w:ascii="新宋体" w:hAnsi="新宋体" w:eastAsia="新宋体" w:cs="新宋体"/>
                <w:bCs/>
                <w:snapToGrid w:val="0"/>
                <w:color w:val="auto"/>
                <w:sz w:val="22"/>
                <w:szCs w:val="22"/>
                <w:highlight w:val="none"/>
              </w:rPr>
            </w:pPr>
            <w:r>
              <w:rPr>
                <w:rFonts w:hint="eastAsia" w:ascii="新宋体" w:hAnsi="新宋体" w:eastAsia="新宋体" w:cs="新宋体"/>
                <w:color w:val="auto"/>
                <w:kern w:val="0"/>
                <w:sz w:val="22"/>
                <w:szCs w:val="22"/>
                <w:highlight w:val="none"/>
              </w:rPr>
              <w:sym w:font="Wingdings 2" w:char="0052"/>
            </w:r>
            <w:r>
              <w:rPr>
                <w:rFonts w:hint="eastAsia" w:ascii="新宋体" w:hAnsi="新宋体" w:eastAsia="新宋体" w:cs="新宋体"/>
                <w:color w:val="auto"/>
                <w:kern w:val="0"/>
                <w:sz w:val="22"/>
                <w:szCs w:val="22"/>
                <w:highlight w:val="none"/>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767"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分包与转包</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（1）分包：</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同意将非主体、非关键性的工作分包。</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FE"/>
            </w:r>
            <w:r>
              <w:rPr>
                <w:rFonts w:hint="eastAsia" w:ascii="新宋体" w:hAnsi="新宋体" w:eastAsia="新宋体" w:cs="新宋体"/>
                <w:color w:val="auto"/>
                <w:sz w:val="22"/>
                <w:szCs w:val="22"/>
                <w:highlight w:val="none"/>
              </w:rPr>
              <w:t>不同意分包。</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（2）转包：本项目不允许转包。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样品</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color w:val="auto"/>
                <w:highlight w:val="none"/>
              </w:rPr>
            </w:pPr>
            <w:r>
              <w:rPr>
                <w:rFonts w:hint="eastAsia" w:ascii="新宋体" w:hAnsi="新宋体" w:eastAsia="新宋体" w:cs="新宋体"/>
                <w:color w:val="auto"/>
                <w:sz w:val="22"/>
                <w:szCs w:val="22"/>
                <w:highlight w:val="none"/>
              </w:rPr>
              <w:t>无需提供样品。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演示</w:t>
            </w:r>
          </w:p>
        </w:tc>
        <w:tc>
          <w:tcPr>
            <w:tcW w:w="388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无需演示。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投标文件组成</w:t>
            </w:r>
          </w:p>
        </w:tc>
        <w:tc>
          <w:tcPr>
            <w:tcW w:w="388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宋体" w:hAnsi="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投标文件的编制</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投标文件的签章</w:t>
            </w:r>
          </w:p>
        </w:tc>
        <w:tc>
          <w:tcPr>
            <w:tcW w:w="388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b/>
                <w:bCs/>
                <w:color w:val="auto"/>
                <w:sz w:val="22"/>
                <w:szCs w:val="22"/>
                <w:highlight w:val="none"/>
                <w:lang w:bidi="ar"/>
              </w:rPr>
            </w:pPr>
            <w:r>
              <w:rPr>
                <w:rFonts w:hint="eastAsia" w:ascii="新宋体" w:hAnsi="新宋体" w:eastAsia="新宋体" w:cs="新宋体"/>
                <w:color w:val="auto"/>
                <w:sz w:val="22"/>
                <w:szCs w:val="22"/>
                <w:highlight w:val="none"/>
                <w:lang w:bidi="ar"/>
              </w:rPr>
              <w:t>投标文件的形式</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电子投标文件（包括“电子加密投标文件”和“备份投标文件”，在投标文件编制完成后同时生成）；</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（1）“电子加密投标文件”是指通过“政采云电子交易客户端”完成投标文件编制后生成并加密的数据电文形式的投标文件。</w:t>
            </w:r>
          </w:p>
          <w:p>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b/>
                <w:bCs/>
                <w:color w:val="auto"/>
                <w:sz w:val="22"/>
                <w:szCs w:val="22"/>
                <w:highlight w:val="none"/>
                <w:lang w:bidi="ar"/>
              </w:rPr>
            </w:pPr>
            <w:r>
              <w:rPr>
                <w:rFonts w:hint="eastAsia" w:ascii="新宋体" w:hAnsi="新宋体" w:eastAsia="新宋体" w:cs="新宋体"/>
                <w:color w:val="auto"/>
                <w:sz w:val="22"/>
                <w:szCs w:val="22"/>
                <w:highlight w:val="none"/>
              </w:rPr>
              <w:t>投标文件份数</w:t>
            </w:r>
          </w:p>
        </w:tc>
        <w:tc>
          <w:tcPr>
            <w:tcW w:w="388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lang w:val="en-US" w:eastAsia="zh-CN"/>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“电子加密投标文件”：在线上传递交、一份。</w:t>
            </w:r>
          </w:p>
          <w:p>
            <w:pPr>
              <w:numPr>
                <w:ilvl w:val="0"/>
                <w:numId w:val="0"/>
              </w:num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lang w:val="en-US" w:eastAsia="zh-CN"/>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“备份投标文件”：密封包装后投标截止时间前递交、一份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8"/>
                <w:highlight w:val="none"/>
              </w:rPr>
              <w:t>（若不提供备份投标文件，开标当天电子加密投标文件解密失败，投标人自行负责。）可以（邮</w:t>
            </w:r>
            <w:r>
              <w:rPr>
                <w:rFonts w:hint="eastAsia"/>
                <w:color w:val="auto"/>
                <w:sz w:val="22"/>
                <w:szCs w:val="28"/>
                <w:highlight w:val="none"/>
              </w:rPr>
              <w:t xml:space="preserve">寄形式，建议顺丰）在投标截止时间前递交，并需采购代理机构确认是否收到，邮寄地址：温州市鹿城区勤民路鹿城壹号18幢803室 </w:t>
            </w:r>
            <w:r>
              <w:rPr>
                <w:rFonts w:hint="eastAsia" w:ascii="新宋体" w:hAnsi="新宋体" w:eastAsia="新宋体" w:cs="新宋体"/>
                <w:color w:val="auto"/>
                <w:sz w:val="22"/>
                <w:szCs w:val="22"/>
                <w:highlight w:val="none"/>
              </w:rPr>
              <w:t>收件人：肖忠文，联系方式：13757727199</w:t>
            </w:r>
          </w:p>
          <w:p>
            <w:pPr>
              <w:autoSpaceDE w:val="0"/>
              <w:autoSpaceDN w:val="0"/>
              <w:snapToGrid w:val="0"/>
              <w:spacing w:line="460" w:lineRule="exact"/>
              <w:textAlignment w:val="bottom"/>
              <w:rPr>
                <w:rFonts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（中标人须提供纸质投标文件并加盖单位公章一份，送至代理公司）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投标文件的上传和递交</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a.投标人应在投标截止时间前将“电子加密投标文件   ”成功上传递交至“政府采购云平台”，否则投标无效。</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pPr>
              <w:tabs>
                <w:tab w:val="left" w:pos="360"/>
              </w:tabs>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t>a.投标人在“政府采购云平台”完成“电子加密投标文件”的上传递交后，</w:t>
            </w:r>
            <w:r>
              <w:rPr>
                <w:rFonts w:hint="eastAsia" w:ascii="宋体" w:hAnsi="宋体" w:cs="宋体"/>
                <w:b/>
                <w:bCs/>
                <w:color w:val="auto"/>
                <w:sz w:val="22"/>
                <w:szCs w:val="22"/>
                <w:highlight w:val="none"/>
              </w:rPr>
              <w:t>还可以在投标截止时间前递交以介质（U盘）存储的数据电文形式的“备份投标文件”，（可以</w:t>
            </w:r>
            <w:r>
              <w:rPr>
                <w:rFonts w:hint="eastAsia" w:ascii="宋体" w:hAnsi="宋体" w:cs="宋体"/>
                <w:b/>
                <w:color w:val="auto"/>
                <w:sz w:val="22"/>
                <w:szCs w:val="22"/>
                <w:highlight w:val="none"/>
                <w:u w:val="single"/>
              </w:rPr>
              <w:t>（邮寄形式，建议顺丰）在投标截止时间前递交，并需采购代理机构确认是否收到</w:t>
            </w:r>
            <w:r>
              <w:rPr>
                <w:rFonts w:hint="eastAsia" w:ascii="宋体" w:hAnsi="宋体" w:cs="宋体"/>
                <w:b/>
                <w:bCs/>
                <w:color w:val="auto"/>
                <w:sz w:val="22"/>
                <w:szCs w:val="22"/>
                <w:highlight w:val="none"/>
              </w:rPr>
              <w:t>）</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ascii="新宋体" w:hAnsi="新宋体" w:eastAsia="新宋体" w:cs="新宋体"/>
                <w:color w:val="auto"/>
                <w:sz w:val="22"/>
                <w:szCs w:val="22"/>
                <w:highlight w:val="none"/>
              </w:rPr>
            </w:pPr>
            <w:r>
              <w:rPr>
                <w:rFonts w:hint="eastAsia" w:ascii="宋体" w:hAnsi="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b/>
                <w:bCs/>
                <w:color w:val="auto"/>
                <w:sz w:val="22"/>
                <w:szCs w:val="22"/>
                <w:highlight w:val="none"/>
                <w:lang w:bidi="ar"/>
              </w:rPr>
            </w:pPr>
            <w:r>
              <w:rPr>
                <w:rFonts w:hint="eastAsia" w:ascii="新宋体" w:hAnsi="新宋体" w:eastAsia="新宋体" w:cs="新宋体"/>
                <w:color w:val="auto"/>
                <w:sz w:val="22"/>
                <w:szCs w:val="22"/>
                <w:highlight w:val="none"/>
                <w:lang w:bidi="ar"/>
              </w:rPr>
              <w:t>电子加密投标文件的解密和异常情况处理</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1、开标后，采购组织机构将向各投标人发出“电子加密投标文件”的解密通知，各投标人代表应当在接到解密通知后按系统规定的时间内自行完成“电子加密投标文件”的在线解密。</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3、投标文件递交截止时间前，投标人仅递交了“备份投标文件”而未将电子加密投标文件上传至“政府采购云平台”的，投标文件无效。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投标文件递交截止时间</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ind w:left="330" w:hanging="330" w:hangingChars="15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28</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w:t>
            </w:r>
          </w:p>
        </w:tc>
        <w:tc>
          <w:tcPr>
            <w:tcW w:w="388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29</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开标时间</w:t>
            </w:r>
          </w:p>
        </w:tc>
        <w:tc>
          <w:tcPr>
            <w:tcW w:w="388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30</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开标地点</w:t>
            </w:r>
          </w:p>
        </w:tc>
        <w:tc>
          <w:tcPr>
            <w:tcW w:w="388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评标办法</w:t>
            </w:r>
          </w:p>
        </w:tc>
        <w:tc>
          <w:tcPr>
            <w:tcW w:w="388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合同签订时间</w:t>
            </w:r>
          </w:p>
        </w:tc>
        <w:tc>
          <w:tcPr>
            <w:tcW w:w="388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中标人通知书发出之日起30天内。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投标文件有效期</w:t>
            </w:r>
          </w:p>
        </w:tc>
        <w:tc>
          <w:tcPr>
            <w:tcW w:w="388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34</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采购进口产品</w:t>
            </w:r>
          </w:p>
        </w:tc>
        <w:tc>
          <w:tcPr>
            <w:tcW w:w="388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color w:val="auto"/>
                <w:highlight w:val="none"/>
              </w:rPr>
            </w:pPr>
            <w:r>
              <w:rPr>
                <w:rFonts w:hint="eastAsia" w:ascii="新宋体" w:hAnsi="新宋体" w:eastAsia="新宋体" w:cs="新宋体"/>
                <w:color w:val="auto"/>
                <w:sz w:val="22"/>
                <w:szCs w:val="22"/>
                <w:highlight w:val="none"/>
              </w:rPr>
              <w:sym w:font="Wingdings" w:char="00A8"/>
            </w:r>
            <w:r>
              <w:rPr>
                <w:rFonts w:hint="eastAsia"/>
                <w:color w:val="auto"/>
                <w:highlight w:val="none"/>
              </w:rPr>
              <w:t>允许</w:t>
            </w:r>
          </w:p>
          <w:p>
            <w:pPr>
              <w:pStyle w:val="22"/>
              <w:ind w:firstLine="0" w:firstLineChars="0"/>
              <w:rPr>
                <w:color w:val="auto"/>
                <w:highlight w:val="none"/>
              </w:rPr>
            </w:pPr>
            <w:r>
              <w:rPr>
                <w:rFonts w:hint="eastAsia" w:ascii="新宋体" w:hAnsi="新宋体" w:eastAsia="新宋体" w:cs="新宋体"/>
                <w:color w:val="auto"/>
                <w:sz w:val="22"/>
                <w:szCs w:val="22"/>
                <w:highlight w:val="none"/>
              </w:rPr>
              <w:sym w:font="Wingdings" w:char="00FE"/>
            </w:r>
            <w:r>
              <w:rPr>
                <w:rFonts w:hint="eastAsia" w:ascii="新宋体" w:hAnsi="新宋体" w:eastAsia="新宋体" w:cs="新宋体"/>
                <w:color w:val="auto"/>
                <w:sz w:val="22"/>
                <w:szCs w:val="22"/>
                <w:highlight w:val="none"/>
              </w:rPr>
              <w:t xml:space="preserve">不允许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35</w:t>
            </w:r>
          </w:p>
        </w:tc>
        <w:tc>
          <w:tcPr>
            <w:tcW w:w="767"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开评标程序</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待开标→投标文件在线解密→代理机构或采购人在线资格性审查→评标委员会在线评标→系统公开商务技术文件评审结果→系统公开报价情况→评标委员会对报价情况进行评审→系统公布评审结果。</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上述程序将根据政采云电子评标系统的调整而变动。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w:t>
            </w:r>
          </w:p>
        </w:tc>
        <w:tc>
          <w:tcPr>
            <w:tcW w:w="767"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评标委员会的组建</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color w:val="auto"/>
                <w:kern w:val="0"/>
                <w:sz w:val="22"/>
                <w:szCs w:val="22"/>
                <w:highlight w:val="none"/>
              </w:rPr>
            </w:pPr>
            <w:r>
              <w:rPr>
                <w:rFonts w:hint="eastAsia" w:ascii="宋体" w:hAnsi="宋体"/>
                <w:color w:val="auto"/>
                <w:sz w:val="22"/>
                <w:szCs w:val="22"/>
                <w:highlight w:val="none"/>
              </w:rPr>
              <w:t>评标委员会成员由采购人代表和有关技术、经济等方面的专家组成，成员人数为5人或以上单数，除采购人代表外的专家将在政采云的评标专家库中随机抽取产生。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w:t>
            </w:r>
          </w:p>
        </w:tc>
        <w:tc>
          <w:tcPr>
            <w:tcW w:w="767" w:type="pct"/>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履约担保</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FE"/>
            </w:r>
            <w:r>
              <w:rPr>
                <w:rFonts w:hint="eastAsia" w:ascii="新宋体" w:hAnsi="新宋体" w:eastAsia="新宋体" w:cs="新宋体"/>
                <w:color w:val="auto"/>
                <w:sz w:val="22"/>
                <w:szCs w:val="22"/>
                <w:highlight w:val="none"/>
              </w:rPr>
              <w:t>不需要</w:t>
            </w:r>
          </w:p>
          <w:p>
            <w:pPr>
              <w:adjustRightIn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 xml:space="preserve">需要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节能产品</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color w:val="auto"/>
                <w:highlight w:val="none"/>
              </w:rPr>
            </w:pPr>
            <w:r>
              <w:rPr>
                <w:rFonts w:hint="eastAsia" w:ascii="新宋体" w:hAnsi="新宋体" w:eastAsia="新宋体" w:cs="新宋体"/>
                <w:color w:val="auto"/>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39</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w:t>
            </w:r>
          </w:p>
        </w:tc>
        <w:tc>
          <w:tcPr>
            <w:tcW w:w="388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40</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促进中小</w:t>
            </w:r>
          </w:p>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企业发展</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1、扶持中小企业（监狱企业、残疾人福利性单位）： </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（1）根据工信部等部委发布的《关于印发中小企业划型标准规定的通知》（工信部联企业〔2011〕300号），本项目属于</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农、林、牧、渔业，</w:t>
            </w:r>
            <w:r>
              <w:rPr>
                <w:rFonts w:hint="eastAsia" w:ascii="新宋体" w:hAnsi="新宋体" w:eastAsia="新宋体" w:cs="新宋体"/>
                <w:b/>
                <w:bCs/>
                <w:color w:val="auto"/>
                <w:sz w:val="22"/>
                <w:szCs w:val="22"/>
                <w:highlight w:val="none"/>
                <w:u w:val="single"/>
              </w:rPr>
              <w:sym w:font="Wingdings" w:char="00FE"/>
            </w:r>
            <w:r>
              <w:rPr>
                <w:rFonts w:hint="eastAsia" w:ascii="新宋体" w:hAnsi="新宋体" w:eastAsia="新宋体" w:cs="新宋体"/>
                <w:b/>
                <w:bCs/>
                <w:color w:val="auto"/>
                <w:sz w:val="22"/>
                <w:szCs w:val="22"/>
                <w:highlight w:val="none"/>
                <w:u w:val="single"/>
              </w:rPr>
              <w:t>工业</w:t>
            </w:r>
            <w:r>
              <w:rPr>
                <w:rFonts w:hint="eastAsia" w:ascii="新宋体" w:hAnsi="新宋体" w:eastAsia="新宋体" w:cs="新宋体"/>
                <w:color w:val="auto"/>
                <w:sz w:val="22"/>
                <w:szCs w:val="22"/>
                <w:highlight w:val="none"/>
                <w:u w:val="single"/>
              </w:rPr>
              <w:t>（包括采矿业，制造业，电力、热力、燃气及水生产和供应业），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建筑业，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批发业，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零售业，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交通运输业（不含铁路运输业），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仓储业，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邮政业，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住宿业，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餐饮业，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信息传输业（包括电信、互联网和相关服务），</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软件和信息技术服务业，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房地产开发经营，</w:t>
            </w:r>
            <w:r>
              <w:rPr>
                <w:rFonts w:hint="eastAsia" w:ascii="新宋体" w:hAnsi="新宋体" w:eastAsia="新宋体" w:cs="新宋体"/>
                <w:color w:val="auto"/>
                <w:sz w:val="22"/>
                <w:szCs w:val="22"/>
                <w:highlight w:val="none"/>
                <w:u w:val="single"/>
              </w:rPr>
              <w:sym w:font="Times New Roman" w:char="00A7"/>
            </w:r>
            <w:r>
              <w:rPr>
                <w:rFonts w:hint="eastAsia" w:ascii="新宋体" w:hAnsi="新宋体" w:eastAsia="新宋体" w:cs="新宋体"/>
                <w:color w:val="auto"/>
                <w:sz w:val="22"/>
                <w:szCs w:val="22"/>
                <w:highlight w:val="none"/>
                <w:u w:val="single"/>
              </w:rPr>
              <w:t>物业管理，</w:t>
            </w:r>
            <w:r>
              <w:rPr>
                <w:rFonts w:hint="eastAsia" w:ascii="新宋体" w:hAnsi="新宋体" w:eastAsia="新宋体" w:cs="新宋体"/>
                <w:color w:val="auto"/>
                <w:sz w:val="22"/>
                <w:szCs w:val="22"/>
                <w:highlight w:val="none"/>
                <w:u w:val="single"/>
              </w:rPr>
              <w:sym w:font="Times New Roman" w:char="00A7"/>
            </w:r>
            <w:r>
              <w:rPr>
                <w:rFonts w:hint="eastAsia" w:ascii="新宋体" w:hAnsi="新宋体" w:eastAsia="新宋体" w:cs="新宋体"/>
                <w:color w:val="auto"/>
                <w:sz w:val="22"/>
                <w:szCs w:val="22"/>
                <w:highlight w:val="none"/>
                <w:u w:val="single"/>
              </w:rPr>
              <w:t xml:space="preserve">租赁和商务服务业，其他未列明行业（包括科学研究和技术服务业，水利、环境和公共设施管理业，居民服务、修理和其他服务业，社会工作，文化、体育和娱乐业等） </w:t>
            </w:r>
            <w:r>
              <w:rPr>
                <w:rFonts w:hint="eastAsia" w:ascii="新宋体" w:hAnsi="新宋体" w:eastAsia="新宋体" w:cs="新宋体"/>
                <w:color w:val="auto"/>
                <w:sz w:val="22"/>
                <w:szCs w:val="22"/>
                <w:highlight w:val="none"/>
              </w:rPr>
              <w:t xml:space="preserve"> 行业。</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2、根据财政部发布的《政府采购促进中小企业发展管理办法》（财库（2020）46号）、浙财采监〔2022〕3号、浙财采监〔2022〕8号、财库【2022】19号文的相关规定：</w:t>
            </w:r>
          </w:p>
          <w:p>
            <w:pPr>
              <w:spacing w:line="460" w:lineRule="exact"/>
              <w:ind w:firstLine="110" w:firstLine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2.1.是否为预留份额项目：</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FE"/>
            </w:r>
            <w:r>
              <w:rPr>
                <w:rFonts w:hint="eastAsia" w:ascii="新宋体" w:hAnsi="新宋体" w:eastAsia="新宋体" w:cs="新宋体"/>
                <w:color w:val="auto"/>
                <w:sz w:val="22"/>
                <w:szCs w:val="22"/>
                <w:highlight w:val="none"/>
              </w:rPr>
              <w:t xml:space="preserve"> 本项目为预留份额项目，专门面向中小企业采购。</w:t>
            </w:r>
          </w:p>
          <w:p>
            <w:pPr>
              <w:spacing w:line="460" w:lineRule="exact"/>
              <w:ind w:left="220" w:hanging="220" w:hanging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b/>
                <w:snapToGrid w:val="0"/>
                <w:color w:val="auto"/>
                <w:sz w:val="22"/>
                <w:szCs w:val="22"/>
                <w:highlight w:val="none"/>
              </w:rPr>
              <w:t xml:space="preserve"> </w:t>
            </w:r>
            <w:r>
              <w:rPr>
                <w:rFonts w:hint="eastAsia" w:ascii="新宋体" w:hAnsi="新宋体" w:eastAsia="新宋体" w:cs="新宋体"/>
                <w:color w:val="auto"/>
                <w:sz w:val="22"/>
                <w:szCs w:val="22"/>
                <w:highlight w:val="none"/>
              </w:rPr>
              <w:t>本项目为非预留份额项目、非专门面向中小企业的项目</w:t>
            </w:r>
          </w:p>
          <w:p>
            <w:pPr>
              <w:spacing w:line="460" w:lineRule="exact"/>
              <w:ind w:left="220" w:hanging="220" w:hanging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b/>
                <w:snapToGrid w:val="0"/>
                <w:color w:val="auto"/>
                <w:sz w:val="22"/>
                <w:szCs w:val="22"/>
                <w:highlight w:val="none"/>
              </w:rPr>
              <w:t xml:space="preserve"> </w:t>
            </w:r>
            <w:r>
              <w:rPr>
                <w:rFonts w:hint="eastAsia" w:ascii="新宋体" w:hAnsi="新宋体" w:eastAsia="新宋体" w:cs="新宋体"/>
                <w:color w:val="auto"/>
                <w:sz w:val="22"/>
                <w:szCs w:val="22"/>
                <w:highlight w:val="none"/>
              </w:rPr>
              <w:t>在评审时对小型和微型企业报价给予</w:t>
            </w:r>
            <w:r>
              <w:rPr>
                <w:rFonts w:hint="eastAsia" w:ascii="新宋体" w:hAnsi="新宋体" w:eastAsia="新宋体" w:cs="新宋体"/>
                <w:color w:val="auto"/>
                <w:sz w:val="22"/>
                <w:szCs w:val="22"/>
                <w:highlight w:val="none"/>
                <w:u w:val="single"/>
              </w:rPr>
              <w:t xml:space="preserve"> 10% </w:t>
            </w:r>
            <w:r>
              <w:rPr>
                <w:rFonts w:hint="eastAsia" w:ascii="新宋体" w:hAnsi="新宋体" w:eastAsia="新宋体" w:cs="新宋体"/>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hint="eastAsia" w:ascii="新宋体" w:hAnsi="新宋体" w:eastAsia="新宋体" w:cs="新宋体"/>
                <w:color w:val="auto"/>
                <w:sz w:val="22"/>
                <w:szCs w:val="22"/>
                <w:highlight w:val="none"/>
                <w:u w:val="single"/>
              </w:rPr>
              <w:t xml:space="preserve"> /  </w:t>
            </w:r>
            <w:r>
              <w:rPr>
                <w:rFonts w:hint="eastAsia" w:ascii="新宋体" w:hAnsi="新宋体" w:eastAsia="新宋体" w:cs="新宋体"/>
                <w:color w:val="auto"/>
                <w:sz w:val="22"/>
                <w:szCs w:val="22"/>
                <w:highlight w:val="none"/>
              </w:rPr>
              <w:t>%（3%-5%）作为其价格分。</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本项目为</w:t>
            </w: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接受大中型企业与小微企业组成联合体、</w:t>
            </w: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新宋体" w:hAnsi="新宋体" w:eastAsia="新宋体" w:cs="新宋体"/>
                <w:color w:val="auto"/>
                <w:sz w:val="22"/>
                <w:szCs w:val="22"/>
                <w:highlight w:val="none"/>
                <w:u w:val="single"/>
              </w:rPr>
              <w:t xml:space="preserve"> 4  </w:t>
            </w:r>
            <w:r>
              <w:rPr>
                <w:rFonts w:hint="eastAsia" w:ascii="新宋体" w:hAnsi="新宋体" w:eastAsia="新宋体" w:cs="新宋体"/>
                <w:color w:val="auto"/>
                <w:sz w:val="22"/>
                <w:szCs w:val="22"/>
                <w:highlight w:val="none"/>
              </w:rPr>
              <w:t>%（4%-6%），工程项目为</w:t>
            </w:r>
            <w:r>
              <w:rPr>
                <w:rFonts w:hint="eastAsia" w:ascii="新宋体" w:hAnsi="新宋体" w:eastAsia="新宋体" w:cs="新宋体"/>
                <w:color w:val="auto"/>
                <w:sz w:val="22"/>
                <w:szCs w:val="22"/>
                <w:highlight w:val="none"/>
                <w:u w:val="single"/>
              </w:rPr>
              <w:t xml:space="preserve"> / %（1%—2%）</w:t>
            </w:r>
            <w:r>
              <w:rPr>
                <w:rFonts w:hint="eastAsia" w:ascii="新宋体" w:hAnsi="新宋体" w:eastAsia="新宋体" w:cs="新宋体"/>
                <w:color w:val="auto"/>
                <w:sz w:val="22"/>
                <w:szCs w:val="22"/>
                <w:highlight w:val="none"/>
              </w:rPr>
              <w:t>的扣除，用扣除后的价格参加评审。</w:t>
            </w: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%（1%—2%）作为其价格分。</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2.2组成联合体或者接受分包的小微企业与联合体内其他企业、分包企业之间存在直接控股、管理关系的，不享受价格扣除优惠政策。</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2.3价格扣除比例或者价格分加分比例对小型企业和微型企业同等对待，不作区分。</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2.5接受分包的项目，享受扶持政策获得政府采购合同的，小微企业不得将合同分包给大中型企业，中型企业不得将合同分包给大型企业。</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spacing w:line="460" w:lineRule="exac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5、专门面向中小企业采购的项目或者采购包，不再执行价格评审优惠的扶持政策。</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供应商信用信息查询</w:t>
            </w:r>
          </w:p>
        </w:tc>
        <w:tc>
          <w:tcPr>
            <w:tcW w:w="388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1、本项目供应商的信用记录进行查询。查询渠道为信用中国网站（www.creditchina.gov.cn）、中国政府采购网（www.ccgp.gov.cn）；</w:t>
            </w:r>
          </w:p>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42</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项目属性与核心产品</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bCs/>
                <w:color w:val="auto"/>
                <w:sz w:val="22"/>
                <w:szCs w:val="22"/>
                <w:highlight w:val="none"/>
                <w:u w:val="single"/>
              </w:rPr>
            </w:pPr>
            <w:r>
              <w:rPr>
                <w:rFonts w:hint="eastAsia" w:ascii="新宋体" w:hAnsi="新宋体" w:eastAsia="新宋体" w:cs="新宋体"/>
                <w:color w:val="auto"/>
                <w:sz w:val="22"/>
                <w:szCs w:val="22"/>
                <w:highlight w:val="none"/>
              </w:rPr>
              <w:sym w:font="Wingdings" w:char="00FE"/>
            </w:r>
            <w:r>
              <w:rPr>
                <w:rFonts w:hint="eastAsia" w:ascii="新宋体" w:hAnsi="新宋体" w:eastAsia="新宋体" w:cs="新宋体"/>
                <w:color w:val="auto"/>
                <w:sz w:val="22"/>
                <w:szCs w:val="22"/>
                <w:highlight w:val="none"/>
              </w:rPr>
              <w:t>货物类，</w:t>
            </w:r>
            <w:r>
              <w:rPr>
                <w:rFonts w:hint="eastAsia" w:ascii="新宋体" w:hAnsi="新宋体" w:eastAsia="新宋体" w:cs="新宋体"/>
                <w:bCs/>
                <w:color w:val="auto"/>
                <w:sz w:val="22"/>
                <w:szCs w:val="22"/>
                <w:highlight w:val="none"/>
              </w:rPr>
              <w:t>非单一产品采购项目，本项目核心产品为</w:t>
            </w:r>
            <w:r>
              <w:rPr>
                <w:rFonts w:hint="eastAsia" w:ascii="新宋体" w:hAnsi="新宋体" w:eastAsia="新宋体" w:cs="新宋体"/>
                <w:bCs/>
                <w:color w:val="auto"/>
                <w:sz w:val="22"/>
                <w:szCs w:val="22"/>
                <w:highlight w:val="none"/>
                <w:u w:val="single"/>
              </w:rPr>
              <w:t xml:space="preserve">  裂隙灯显微镜</w:t>
            </w:r>
            <w:r>
              <w:rPr>
                <w:rFonts w:ascii="宋体" w:hAnsi="宋体" w:eastAsia="宋体" w:cs="宋体"/>
                <w:color w:val="auto"/>
                <w:sz w:val="22"/>
                <w:szCs w:val="22"/>
                <w:highlight w:val="none"/>
                <w:u w:val="single"/>
              </w:rPr>
              <w:t xml:space="preserve"> </w:t>
            </w:r>
            <w:r>
              <w:rPr>
                <w:rFonts w:hint="default" w:ascii="新宋体" w:hAnsi="新宋体" w:eastAsia="新宋体" w:cs="新宋体"/>
                <w:color w:val="auto"/>
                <w:sz w:val="22"/>
                <w:szCs w:val="22"/>
                <w:highlight w:val="none"/>
                <w:u w:val="single"/>
              </w:rPr>
              <w:t xml:space="preserve"> </w:t>
            </w:r>
            <w:r>
              <w:rPr>
                <w:rFonts w:hint="eastAsia" w:ascii="新宋体" w:hAnsi="新宋体" w:eastAsia="新宋体" w:cs="新宋体"/>
                <w:bCs/>
                <w:color w:val="auto"/>
                <w:sz w:val="22"/>
                <w:szCs w:val="22"/>
                <w:highlight w:val="none"/>
                <w:u w:val="single"/>
              </w:rPr>
              <w:t xml:space="preserve">；  </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00A8"/>
            </w:r>
            <w:r>
              <w:rPr>
                <w:rFonts w:hint="eastAsia" w:ascii="新宋体" w:hAnsi="新宋体" w:eastAsia="新宋体" w:cs="新宋体"/>
                <w:color w:val="auto"/>
                <w:sz w:val="22"/>
                <w:szCs w:val="22"/>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43</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代理服务费</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lang w:eastAsia="zh-CN"/>
              </w:rPr>
              <w:t>本次采购代理服务费各区域按照“国家发展和改革委员会发改价格[2011]534号”文件规定的收费标准基础上，按照80%计取，不足2400元的，按2400元计取，供应商在报价中综合考虑。由中标供应商在领取成交通知书时支付给采购代理机构。</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2、采购代理服务费可以是现金、支票或汇票。</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3、采购代理服务费汇入账户：</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名：温州历程招标有限公司</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号：33050162870409101001</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pPr>
              <w:autoSpaceDE w:val="0"/>
              <w:autoSpaceDN w:val="0"/>
              <w:snapToGrid w:val="0"/>
              <w:spacing w:line="460" w:lineRule="exact"/>
              <w:ind w:left="330" w:hanging="330" w:hangingChars="150"/>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号：105333000038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44</w:t>
            </w:r>
          </w:p>
        </w:tc>
        <w:tc>
          <w:tcPr>
            <w:tcW w:w="767"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w:t>
            </w:r>
          </w:p>
        </w:tc>
        <w:tc>
          <w:tcPr>
            <w:tcW w:w="3881"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供应商认为招标文件、采购过程、中标或者成交结果使自己的权益受到损害的，可以在知道或者应知其权益受到损害之日起</w:t>
            </w:r>
            <w:r>
              <w:rPr>
                <w:rFonts w:hint="eastAsia"/>
                <w:color w:val="auto"/>
                <w:sz w:val="22"/>
                <w:szCs w:val="22"/>
                <w:highlight w:val="none"/>
              </w:rPr>
              <w:t>（公告期限届满后获取采购文件的，以公告期限届满之日为准）</w:t>
            </w:r>
            <w:r>
              <w:rPr>
                <w:rFonts w:hint="eastAsia" w:ascii="新宋体" w:hAnsi="新宋体" w:eastAsia="新宋体" w:cs="新宋体"/>
                <w:color w:val="auto"/>
                <w:sz w:val="22"/>
                <w:szCs w:val="22"/>
                <w:highlight w:val="none"/>
              </w:rPr>
              <w:t>7个工作日内，以书面形式向采购人、采购代理机构提出质疑，逾期采购代理机构可不予受理及答复。</w:t>
            </w:r>
            <w:r>
              <w:rPr>
                <w:rFonts w:hint="eastAsia" w:ascii="新宋体" w:hAnsi="新宋体" w:eastAsia="新宋体" w:cs="新宋体"/>
                <w:b/>
                <w:color w:val="auto"/>
                <w:sz w:val="22"/>
                <w:szCs w:val="22"/>
                <w:highlight w:val="none"/>
              </w:rPr>
              <w:t>供应商须在法定质疑期内一次性提出针对同一采购程序环节的质疑</w:t>
            </w:r>
            <w:r>
              <w:rPr>
                <w:rFonts w:hint="eastAsia" w:ascii="新宋体" w:hAnsi="新宋体" w:eastAsia="新宋体" w:cs="新宋体"/>
                <w:color w:val="auto"/>
                <w:sz w:val="22"/>
                <w:szCs w:val="22"/>
                <w:highlight w:val="none"/>
              </w:rPr>
              <w:t>。在线提起质疑的须上传质疑函扫描件。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45</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解释权</w:t>
            </w:r>
          </w:p>
        </w:tc>
        <w:tc>
          <w:tcPr>
            <w:tcW w:w="388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vMerge w:val="restart"/>
            <w:tcBorders>
              <w:top w:val="single" w:color="auto" w:sz="4" w:space="0"/>
              <w:left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46</w:t>
            </w:r>
          </w:p>
        </w:tc>
        <w:tc>
          <w:tcPr>
            <w:tcW w:w="767" w:type="pct"/>
            <w:vMerge w:val="restart"/>
            <w:tcBorders>
              <w:top w:val="single" w:color="auto" w:sz="4" w:space="0"/>
              <w:left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w:t>
            </w:r>
          </w:p>
        </w:tc>
        <w:tc>
          <w:tcPr>
            <w:tcW w:w="388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1" w:type="pct"/>
            <w:vMerge w:val="continue"/>
            <w:tcBorders>
              <w:left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p>
        </w:tc>
        <w:tc>
          <w:tcPr>
            <w:tcW w:w="767" w:type="pct"/>
            <w:vMerge w:val="continue"/>
            <w:tcBorders>
              <w:left w:val="single" w:color="auto" w:sz="4" w:space="0"/>
              <w:right w:val="single" w:color="auto" w:sz="4" w:space="0"/>
            </w:tcBorders>
            <w:vAlign w:val="center"/>
          </w:tcPr>
          <w:p>
            <w:pPr>
              <w:snapToGrid w:val="0"/>
              <w:spacing w:line="460" w:lineRule="exact"/>
              <w:jc w:val="center"/>
              <w:rPr>
                <w:rFonts w:ascii="新宋体" w:hAnsi="新宋体" w:eastAsia="新宋体" w:cs="新宋体"/>
                <w:color w:val="auto"/>
                <w:sz w:val="22"/>
                <w:szCs w:val="22"/>
                <w:highlight w:val="none"/>
              </w:rPr>
            </w:pPr>
          </w:p>
        </w:tc>
        <w:tc>
          <w:tcPr>
            <w:tcW w:w="388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新宋体" w:hAnsi="新宋体" w:eastAsia="新宋体" w:cs="新宋体"/>
                <w:b/>
                <w:color w:val="auto"/>
                <w:kern w:val="10"/>
                <w:sz w:val="22"/>
                <w:szCs w:val="22"/>
                <w:highlight w:val="none"/>
              </w:rPr>
            </w:pPr>
            <w:r>
              <w:rPr>
                <w:rFonts w:hint="eastAsia" w:ascii="新宋体" w:hAnsi="新宋体" w:eastAsia="新宋体" w:cs="新宋体"/>
                <w:color w:val="auto"/>
                <w:sz w:val="22"/>
                <w:szCs w:val="22"/>
                <w:highlight w:val="none"/>
                <w:lang w:bidi="ar"/>
              </w:rPr>
              <w:t>带“▲”条款系指实质性要求条款；</w:t>
            </w:r>
            <w:r>
              <w:rPr>
                <w:rFonts w:hint="eastAsia" w:ascii="新宋体" w:hAnsi="新宋体" w:eastAsia="新宋体" w:cs="新宋体"/>
                <w:color w:val="auto"/>
                <w:sz w:val="22"/>
                <w:szCs w:val="22"/>
                <w:highlight w:val="none"/>
              </w:rPr>
              <w:t>“★”是关键技术参数及要求。</w:t>
            </w:r>
          </w:p>
        </w:tc>
      </w:tr>
    </w:tbl>
    <w:p>
      <w:pPr>
        <w:spacing w:before="100" w:beforeAutospacing="1" w:after="100" w:afterAutospacing="1" w:line="460" w:lineRule="exact"/>
        <w:jc w:val="center"/>
        <w:outlineLvl w:val="1"/>
        <w:rPr>
          <w:rFonts w:ascii="宋体" w:hAnsi="宋体" w:cs="宋体"/>
          <w:color w:val="auto"/>
          <w:sz w:val="22"/>
          <w:szCs w:val="22"/>
          <w:highlight w:val="none"/>
        </w:rPr>
      </w:pPr>
      <w:r>
        <w:rPr>
          <w:rFonts w:hint="eastAsia" w:ascii="宋体" w:hAnsi="宋体" w:cs="宋体"/>
          <w:b/>
          <w:bCs/>
          <w:color w:val="auto"/>
          <w:sz w:val="26"/>
          <w:szCs w:val="26"/>
          <w:highlight w:val="none"/>
        </w:rPr>
        <w:br w:type="page"/>
      </w:r>
      <w:bookmarkStart w:id="43" w:name="_Toc11155"/>
      <w:bookmarkStart w:id="44" w:name="_Toc13785"/>
      <w:bookmarkStart w:id="45" w:name="_Toc31510"/>
      <w:bookmarkStart w:id="46" w:name="_Toc28455"/>
      <w:bookmarkStart w:id="47" w:name="_Toc24955"/>
      <w:bookmarkStart w:id="48" w:name="_Toc29436"/>
      <w:bookmarkStart w:id="49" w:name="_Toc31152"/>
      <w:bookmarkStart w:id="50" w:name="_Toc24435"/>
      <w:bookmarkStart w:id="51" w:name="_Toc3217"/>
      <w:bookmarkStart w:id="52" w:name="_Toc15397"/>
      <w:r>
        <w:rPr>
          <w:rFonts w:hint="eastAsia" w:ascii="宋体" w:hAnsi="宋体" w:cs="宋体"/>
          <w:b/>
          <w:bCs/>
          <w:color w:val="auto"/>
          <w:sz w:val="26"/>
          <w:szCs w:val="26"/>
          <w:highlight w:val="none"/>
        </w:rPr>
        <w:t>一、 说   明</w:t>
      </w:r>
      <w:bookmarkEnd w:id="43"/>
      <w:bookmarkEnd w:id="44"/>
      <w:bookmarkEnd w:id="45"/>
      <w:bookmarkEnd w:id="46"/>
      <w:bookmarkEnd w:id="47"/>
      <w:bookmarkEnd w:id="48"/>
      <w:bookmarkEnd w:id="49"/>
      <w:bookmarkEnd w:id="50"/>
      <w:bookmarkEnd w:id="51"/>
      <w:bookmarkEnd w:id="52"/>
    </w:p>
    <w:p>
      <w:pPr>
        <w:tabs>
          <w:tab w:val="left" w:pos="360"/>
        </w:tabs>
        <w:spacing w:line="460" w:lineRule="exact"/>
        <w:ind w:firstLine="550" w:firstLineChars="250"/>
        <w:rPr>
          <w:rFonts w:ascii="宋体" w:hAnsi="宋体" w:cs="宋体"/>
          <w:b/>
          <w:color w:val="auto"/>
          <w:sz w:val="22"/>
          <w:szCs w:val="22"/>
          <w:highlight w:val="none"/>
        </w:rPr>
      </w:pPr>
      <w:r>
        <w:rPr>
          <w:rFonts w:eastAsia="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2、定义</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采购人：是指依法进行政府采购的国家机关、事业单位、团体组织；</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采购代理机构：受采购人委托，在委托的范围内办理政府采购事宜的机构；</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投标人：是指参加本政府采购项目投标的供应商；</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甲方：是指合同签订的一方，一般与采购人、用户相同；</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乙方：是指合同签订的另一方，与中标人相同；</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制造商：是指拥有所投产品自主知识产权的单位；</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中小企业（含中型、小型、微型）：符合中小企业划分标准（工信部联企业[2011]300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pPr>
        <w:pStyle w:val="289"/>
        <w:spacing w:line="460" w:lineRule="exact"/>
        <w:ind w:firstLine="440" w:firstLineChars="200"/>
        <w:rPr>
          <w:rFonts w:hAnsi="宋体"/>
          <w:color w:val="auto"/>
          <w:highlight w:val="none"/>
        </w:rPr>
      </w:pPr>
      <w:r>
        <w:rPr>
          <w:rFonts w:hint="eastAsia" w:hAnsi="宋体"/>
          <w:color w:val="auto"/>
          <w:sz w:val="22"/>
          <w:szCs w:val="22"/>
          <w:highlight w:val="none"/>
        </w:rPr>
        <w:t>“▲”为实质性响应项，不满足则投标无效。“★”是关键技术参数及要求。</w:t>
      </w:r>
    </w:p>
    <w:p>
      <w:pPr>
        <w:tabs>
          <w:tab w:val="left" w:pos="360"/>
        </w:tabs>
        <w:spacing w:line="460" w:lineRule="exact"/>
        <w:ind w:firstLine="541" w:firstLineChars="245"/>
        <w:rPr>
          <w:rFonts w:ascii="宋体" w:hAnsi="宋体" w:cs="宋体"/>
          <w:color w:val="auto"/>
          <w:sz w:val="22"/>
          <w:szCs w:val="22"/>
          <w:highlight w:val="none"/>
        </w:rPr>
      </w:pPr>
      <w:r>
        <w:rPr>
          <w:rFonts w:hint="eastAsia" w:ascii="宋体" w:hAnsi="宋体" w:cs="宋体"/>
          <w:b/>
          <w:color w:val="auto"/>
          <w:sz w:val="22"/>
          <w:szCs w:val="22"/>
          <w:highlight w:val="none"/>
        </w:rPr>
        <w:t>3、投标人代表</w:t>
      </w:r>
    </w:p>
    <w:p>
      <w:pPr>
        <w:tabs>
          <w:tab w:val="left" w:pos="360"/>
        </w:tabs>
        <w:spacing w:line="460" w:lineRule="exact"/>
        <w:ind w:firstLine="541" w:firstLineChars="245"/>
        <w:rPr>
          <w:rFonts w:ascii="宋体" w:hAnsi="宋体" w:cs="宋体"/>
          <w:b/>
          <w:color w:val="auto"/>
          <w:sz w:val="22"/>
          <w:highlight w:val="none"/>
        </w:rPr>
      </w:pPr>
      <w:r>
        <w:rPr>
          <w:rFonts w:hint="eastAsia" w:ascii="宋体" w:hAnsi="宋体" w:cs="宋体"/>
          <w:b/>
          <w:color w:val="auto"/>
          <w:sz w:val="22"/>
          <w:szCs w:val="22"/>
          <w:highlight w:val="none"/>
        </w:rPr>
        <w:t>3.1</w:t>
      </w:r>
      <w:r>
        <w:rPr>
          <w:rFonts w:hint="eastAsia" w:ascii="宋体" w:hAnsi="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cs="宋体"/>
          <w:b/>
          <w:color w:val="auto"/>
          <w:sz w:val="22"/>
          <w:szCs w:val="22"/>
          <w:highlight w:val="none"/>
        </w:rPr>
        <w:t>。</w:t>
      </w:r>
    </w:p>
    <w:p>
      <w:pPr>
        <w:spacing w:line="460" w:lineRule="exact"/>
        <w:ind w:firstLine="541" w:firstLineChars="245"/>
        <w:rPr>
          <w:rFonts w:ascii="宋体" w:hAnsi="宋体" w:cs="宋体"/>
          <w:b/>
          <w:color w:val="auto"/>
          <w:sz w:val="22"/>
          <w:szCs w:val="22"/>
          <w:highlight w:val="none"/>
        </w:rPr>
      </w:pPr>
      <w:bookmarkStart w:id="53" w:name="_Toc19652"/>
      <w:bookmarkStart w:id="54" w:name="_Toc28349"/>
      <w:bookmarkStart w:id="55" w:name="_Toc20678"/>
      <w:r>
        <w:rPr>
          <w:rFonts w:hint="eastAsia" w:ascii="宋体" w:hAnsi="宋体" w:cs="宋体"/>
          <w:b/>
          <w:color w:val="auto"/>
          <w:sz w:val="22"/>
          <w:szCs w:val="22"/>
          <w:highlight w:val="none"/>
        </w:rPr>
        <w:t>4、投标费用</w:t>
      </w:r>
    </w:p>
    <w:p>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4.1投</w:t>
      </w:r>
      <w:r>
        <w:rPr>
          <w:rFonts w:hint="eastAsia" w:ascii="宋体" w:hAnsi="宋体" w:cs="宋体"/>
          <w:color w:val="auto"/>
          <w:sz w:val="22"/>
          <w:szCs w:val="22"/>
          <w:highlight w:val="none"/>
        </w:rPr>
        <w:t>标人应承担所有与准备和参加投标有关费用，不论投标的结果如何，采购人或招标代理机构均无义务和责任承担这些费用。</w:t>
      </w:r>
    </w:p>
    <w:p>
      <w:pPr>
        <w:spacing w:before="100" w:beforeAutospacing="1" w:after="100" w:afterAutospacing="1" w:line="460" w:lineRule="exact"/>
        <w:jc w:val="center"/>
        <w:outlineLvl w:val="1"/>
        <w:rPr>
          <w:rFonts w:ascii="宋体" w:hAnsi="宋体" w:cs="宋体"/>
          <w:b/>
          <w:bCs/>
          <w:color w:val="auto"/>
          <w:sz w:val="26"/>
          <w:szCs w:val="26"/>
          <w:highlight w:val="none"/>
        </w:rPr>
      </w:pPr>
      <w:bookmarkStart w:id="56" w:name="_Toc20346"/>
      <w:bookmarkStart w:id="57" w:name="_Toc29818"/>
      <w:bookmarkStart w:id="58" w:name="_Toc23880"/>
      <w:bookmarkStart w:id="59" w:name="_Toc4626"/>
      <w:bookmarkStart w:id="60" w:name="_Toc22800"/>
      <w:bookmarkStart w:id="61" w:name="_Toc27817"/>
      <w:bookmarkStart w:id="62" w:name="_Toc15507"/>
      <w:r>
        <w:rPr>
          <w:rFonts w:hint="eastAsia" w:ascii="宋体" w:hAnsi="宋体" w:cs="宋体"/>
          <w:b/>
          <w:bCs/>
          <w:color w:val="auto"/>
          <w:sz w:val="26"/>
          <w:szCs w:val="26"/>
          <w:highlight w:val="none"/>
        </w:rPr>
        <w:t xml:space="preserve">二、 </w:t>
      </w:r>
      <w:bookmarkEnd w:id="53"/>
      <w:bookmarkEnd w:id="54"/>
      <w:bookmarkEnd w:id="55"/>
      <w:r>
        <w:rPr>
          <w:rFonts w:hint="eastAsia" w:ascii="宋体" w:hAnsi="宋体" w:cs="宋体"/>
          <w:b/>
          <w:bCs/>
          <w:color w:val="auto"/>
          <w:sz w:val="26"/>
          <w:szCs w:val="26"/>
          <w:highlight w:val="none"/>
        </w:rPr>
        <w:t>招标文件</w:t>
      </w:r>
      <w:bookmarkEnd w:id="56"/>
      <w:bookmarkEnd w:id="57"/>
      <w:bookmarkEnd w:id="58"/>
      <w:bookmarkEnd w:id="59"/>
      <w:bookmarkEnd w:id="60"/>
      <w:bookmarkEnd w:id="61"/>
      <w:bookmarkEnd w:id="62"/>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2、招标文件的澄清</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 任何要求对招标文件进行澄清的投标人，均应以书面形式（信函、传真，下同）通知，但该通知在知道或应知道其权益受到损害之日起七个工作日内以使采购人或招标代理机构收到，采购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采购人或招标代理机构解释为准。</w:t>
      </w:r>
    </w:p>
    <w:p>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3、招标文件的修改</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采购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采购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cs="宋体"/>
          <w:color w:val="auto"/>
          <w:sz w:val="22"/>
          <w:szCs w:val="22"/>
          <w:highlight w:val="none"/>
        </w:rPr>
        <w:t>。</w:t>
      </w:r>
    </w:p>
    <w:p>
      <w:pPr>
        <w:spacing w:before="100" w:beforeAutospacing="1" w:after="100" w:afterAutospacing="1" w:line="460" w:lineRule="exact"/>
        <w:jc w:val="center"/>
        <w:outlineLvl w:val="1"/>
        <w:rPr>
          <w:rFonts w:ascii="宋体" w:hAnsi="宋体" w:cs="宋体"/>
          <w:b/>
          <w:bCs/>
          <w:color w:val="auto"/>
          <w:sz w:val="26"/>
          <w:szCs w:val="26"/>
          <w:highlight w:val="none"/>
        </w:rPr>
      </w:pPr>
      <w:bookmarkStart w:id="63" w:name="_Toc15357"/>
      <w:bookmarkStart w:id="64" w:name="_Toc3322"/>
      <w:bookmarkStart w:id="65" w:name="_Toc30695"/>
      <w:bookmarkStart w:id="66" w:name="_Toc14867"/>
      <w:bookmarkStart w:id="67" w:name="_Toc22646"/>
      <w:bookmarkStart w:id="68" w:name="_Toc21712"/>
      <w:bookmarkStart w:id="69" w:name="_Toc12726"/>
      <w:bookmarkStart w:id="70" w:name="_Toc9165"/>
      <w:bookmarkStart w:id="71" w:name="_Toc3839"/>
      <w:r>
        <w:rPr>
          <w:rFonts w:hint="eastAsia" w:ascii="宋体" w:hAnsi="宋体" w:cs="宋体"/>
          <w:b/>
          <w:bCs/>
          <w:color w:val="auto"/>
          <w:sz w:val="26"/>
          <w:szCs w:val="26"/>
          <w:highlight w:val="none"/>
        </w:rPr>
        <w:t>三、 投标文件的编制</w:t>
      </w:r>
      <w:bookmarkEnd w:id="63"/>
      <w:bookmarkEnd w:id="64"/>
      <w:bookmarkEnd w:id="65"/>
      <w:bookmarkEnd w:id="66"/>
      <w:bookmarkEnd w:id="67"/>
      <w:bookmarkEnd w:id="68"/>
      <w:bookmarkEnd w:id="69"/>
      <w:bookmarkEnd w:id="70"/>
      <w:bookmarkEnd w:id="71"/>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1、投标人应认真阅读招标文件中所有事项、格式、条款和技术规范等。</w:t>
      </w:r>
      <w:r>
        <w:rPr>
          <w:rFonts w:hint="eastAsia" w:ascii="宋体" w:hAnsi="宋体" w:cs="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3、</w:t>
      </w:r>
      <w:r>
        <w:rPr>
          <w:rFonts w:hint="eastAsia" w:ascii="宋体" w:hAnsi="宋体" w:cs="宋体"/>
          <w:b/>
          <w:bCs/>
          <w:color w:val="auto"/>
          <w:sz w:val="22"/>
          <w:szCs w:val="22"/>
          <w:highlight w:val="none"/>
        </w:rPr>
        <w:t>投标文件的构成：</w:t>
      </w:r>
    </w:p>
    <w:p>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投标</w:t>
      </w:r>
      <w:r>
        <w:rPr>
          <w:rFonts w:hint="eastAsia" w:ascii="宋体" w:hAnsi="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3.1</w:t>
      </w:r>
      <w:r>
        <w:rPr>
          <w:rFonts w:hint="eastAsia" w:ascii="宋体" w:hAnsi="宋体" w:cs="宋体"/>
          <w:b/>
          <w:bCs/>
          <w:color w:val="auto"/>
          <w:kern w:val="0"/>
          <w:sz w:val="22"/>
          <w:szCs w:val="22"/>
          <w:highlight w:val="none"/>
          <w:lang w:val="zh-CN"/>
        </w:rPr>
        <w:t xml:space="preserve">投标人的资格文件至少应包括以下内容： </w:t>
      </w:r>
    </w:p>
    <w:p>
      <w:pPr>
        <w:spacing w:line="460" w:lineRule="exact"/>
        <w:ind w:firstLine="539" w:firstLineChars="245"/>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包括：</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（1）资格条件承诺函</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（2）有效营业执照(或事业法人登记证书或其它工商等登记证明材料；自然人参与政府采购，提供身份证)复印件； </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rPr>
        <w:t>文件中提供相关材料），证明其具备实际承担责任的能力和法定的缔结合同能力，可以独立参加政府采购活动，由单位负责人签署相关文件材料；</w:t>
      </w:r>
    </w:p>
    <w:p>
      <w:pPr>
        <w:tabs>
          <w:tab w:val="left" w:pos="360"/>
        </w:tabs>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信用查询</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未被“信用中国”（www.creditchina.gov.cn）、中国政府采购网（www.ccgp.gov.cn）列入失信被执行人、重大税收违法案件当事人名单、政府采购严重违法失信行为记录名单.</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信用信息查询记录和证据以项目公告发出日期后的网页截图为准；</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4</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落实政府采购政策需满足的资格要求证明材料：</w:t>
      </w:r>
      <w:r>
        <w:rPr>
          <w:rFonts w:hint="eastAsia" w:ascii="新宋体" w:hAnsi="新宋体" w:eastAsia="新宋体" w:cs="新宋体"/>
          <w:color w:val="auto"/>
          <w:sz w:val="22"/>
          <w:szCs w:val="22"/>
          <w:highlight w:val="none"/>
          <w:u w:val="none"/>
          <w:lang w:eastAsia="zh-CN"/>
        </w:rPr>
        <w:t>中小企业声明函、监狱企业、残疾人福利性单位及其他相关的充分的证明材料；</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5</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rPr>
        <w:t>政府采购活动现场确认声明书</w:t>
      </w:r>
      <w:r>
        <w:rPr>
          <w:rFonts w:hint="eastAsia" w:ascii="新宋体" w:hAnsi="新宋体" w:eastAsia="新宋体" w:cs="新宋体"/>
          <w:color w:val="auto"/>
          <w:sz w:val="22"/>
          <w:szCs w:val="22"/>
          <w:highlight w:val="none"/>
          <w:u w:val="none"/>
          <w:lang w:eastAsia="zh-CN"/>
        </w:rPr>
        <w:t>；</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上述资格条件审查材料有一项不提供的，视为资格审查不通过。</w:t>
      </w:r>
    </w:p>
    <w:p>
      <w:pPr>
        <w:tabs>
          <w:tab w:val="left" w:pos="360"/>
        </w:tabs>
        <w:spacing w:line="460" w:lineRule="exact"/>
        <w:ind w:firstLine="442" w:firstLineChars="200"/>
        <w:rPr>
          <w:rFonts w:ascii="宋体" w:hAnsi="宋体" w:cs="宋体"/>
          <w:color w:val="auto"/>
          <w:sz w:val="22"/>
          <w:szCs w:val="22"/>
          <w:highlight w:val="none"/>
          <w:u w:val="single"/>
          <w:lang w:val="zh-CN"/>
        </w:rPr>
      </w:pPr>
      <w:r>
        <w:rPr>
          <w:rFonts w:hint="eastAsia" w:ascii="宋体" w:hAnsi="宋体" w:cs="宋体"/>
          <w:b/>
          <w:bCs/>
          <w:color w:val="auto"/>
          <w:sz w:val="22"/>
          <w:szCs w:val="22"/>
          <w:highlight w:val="none"/>
        </w:rPr>
        <w:t xml:space="preserve">3.2投标人的报价文件至少应包括以下内容： </w:t>
      </w:r>
    </w:p>
    <w:p>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）投标报价一览表；</w:t>
      </w:r>
    </w:p>
    <w:p>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）投标分项报价表。</w:t>
      </w:r>
    </w:p>
    <w:p>
      <w:pPr>
        <w:tabs>
          <w:tab w:val="left" w:pos="360"/>
        </w:tabs>
        <w:spacing w:line="460" w:lineRule="exact"/>
        <w:ind w:firstLine="442" w:firstLineChars="200"/>
        <w:rPr>
          <w:rFonts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rPr>
        <w:t>3.3</w:t>
      </w:r>
      <w:r>
        <w:rPr>
          <w:rFonts w:hint="eastAsia" w:ascii="宋体" w:hAnsi="宋体" w:cs="宋体"/>
          <w:b/>
          <w:bCs/>
          <w:color w:val="auto"/>
          <w:kern w:val="0"/>
          <w:sz w:val="22"/>
          <w:szCs w:val="22"/>
          <w:highlight w:val="none"/>
          <w:lang w:val="zh-CN"/>
        </w:rPr>
        <w:t>投标人的商务技术文件应包括以下内容：</w:t>
      </w:r>
      <w:r>
        <w:rPr>
          <w:rFonts w:hint="eastAsia" w:ascii="宋体" w:hAnsi="宋体" w:cs="宋体"/>
          <w:color w:val="auto"/>
          <w:kern w:val="0"/>
          <w:sz w:val="22"/>
          <w:szCs w:val="22"/>
          <w:highlight w:val="none"/>
          <w:lang w:val="zh-CN"/>
        </w:rPr>
        <w:t xml:space="preserve"> </w:t>
      </w:r>
    </w:p>
    <w:p>
      <w:pPr>
        <w:tabs>
          <w:tab w:val="left" w:pos="360"/>
        </w:tabs>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（1）投标函；</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）法定代表人授权委托书（需提供法定代表人及授权委托人的身份证复印件加盖公章）；</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）磋商供应商情况表</w:t>
      </w:r>
    </w:p>
    <w:p>
      <w:pPr>
        <w:tabs>
          <w:tab w:val="left" w:pos="360"/>
        </w:tabs>
        <w:spacing w:line="460" w:lineRule="exact"/>
        <w:ind w:firstLine="440" w:firstLineChars="200"/>
        <w:rPr>
          <w:rFonts w:hint="eastAsia" w:ascii="新宋体" w:hAnsi="新宋体" w:eastAsia="新宋体" w:cs="新宋体"/>
          <w:b/>
          <w:bCs/>
          <w:color w:val="auto"/>
          <w:sz w:val="22"/>
          <w:szCs w:val="22"/>
          <w:highlight w:val="none"/>
          <w:u w:val="none" w:color="000000"/>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p>
    <w:p>
      <w:pPr>
        <w:snapToGrid w:val="0"/>
        <w:spacing w:line="460" w:lineRule="exact"/>
        <w:ind w:firstLine="440" w:firstLineChars="200"/>
        <w:rPr>
          <w:rFonts w:hint="eastAsia" w:ascii="新宋体" w:hAnsi="新宋体" w:eastAsia="新宋体" w:cs="新宋体"/>
          <w:color w:val="auto"/>
          <w:sz w:val="22"/>
          <w:szCs w:val="22"/>
          <w:highlight w:val="none"/>
          <w:u w:val="none" w:color="000000"/>
        </w:rPr>
      </w:pPr>
      <w:r>
        <w:rPr>
          <w:rFonts w:hint="eastAsia" w:ascii="新宋体" w:hAnsi="新宋体" w:eastAsia="新宋体" w:cs="新宋体"/>
          <w:color w:val="auto"/>
          <w:sz w:val="22"/>
          <w:szCs w:val="22"/>
          <w:highlight w:val="none"/>
          <w:u w:val="none" w:color="000000"/>
        </w:rPr>
        <w:t>（</w:t>
      </w:r>
      <w:r>
        <w:rPr>
          <w:rFonts w:hint="eastAsia" w:ascii="新宋体" w:hAnsi="新宋体" w:eastAsia="新宋体" w:cs="新宋体"/>
          <w:color w:val="auto"/>
          <w:sz w:val="22"/>
          <w:szCs w:val="22"/>
          <w:highlight w:val="none"/>
          <w:u w:val="none" w:color="000000"/>
          <w:lang w:val="en-US" w:eastAsia="zh-CN"/>
        </w:rPr>
        <w:t>5</w:t>
      </w:r>
      <w:r>
        <w:rPr>
          <w:rFonts w:hint="eastAsia" w:ascii="新宋体" w:hAnsi="新宋体" w:eastAsia="新宋体" w:cs="新宋体"/>
          <w:color w:val="auto"/>
          <w:sz w:val="22"/>
          <w:szCs w:val="22"/>
          <w:highlight w:val="none"/>
          <w:u w:val="none" w:color="000000"/>
        </w:rPr>
        <w:t>）详细供货清单说明一览表</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）备品、易损件、备件、专用工具清单</w:t>
      </w:r>
    </w:p>
    <w:p>
      <w:pPr>
        <w:tabs>
          <w:tab w:val="left" w:pos="360"/>
        </w:tabs>
        <w:spacing w:line="460" w:lineRule="exact"/>
        <w:ind w:firstLine="440" w:firstLineChars="200"/>
        <w:rPr>
          <w:rFonts w:hint="default"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产品优势性</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）所投产品技术先进性、配置适用性</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TW" w:eastAsia="zh-TW"/>
        </w:rPr>
        <w:t>安装、调试、集成</w:t>
      </w:r>
      <w:r>
        <w:rPr>
          <w:rFonts w:hint="eastAsia" w:ascii="新宋体" w:hAnsi="新宋体" w:eastAsia="新宋体" w:cs="新宋体"/>
          <w:color w:val="auto"/>
          <w:sz w:val="22"/>
          <w:szCs w:val="22"/>
          <w:highlight w:val="none"/>
          <w:lang w:val="zh-TW"/>
        </w:rPr>
        <w:t>、</w:t>
      </w:r>
      <w:r>
        <w:rPr>
          <w:rFonts w:hint="eastAsia" w:ascii="新宋体" w:hAnsi="新宋体" w:eastAsia="新宋体" w:cs="新宋体"/>
          <w:color w:val="auto"/>
          <w:sz w:val="22"/>
          <w:szCs w:val="22"/>
          <w:highlight w:val="none"/>
        </w:rPr>
        <w:t>培训方案</w:t>
      </w:r>
    </w:p>
    <w:p>
      <w:pPr>
        <w:tabs>
          <w:tab w:val="left" w:pos="360"/>
        </w:tabs>
        <w:spacing w:line="46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验收方案</w:t>
      </w:r>
    </w:p>
    <w:p>
      <w:pPr>
        <w:tabs>
          <w:tab w:val="left" w:pos="360"/>
        </w:tabs>
        <w:spacing w:line="46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维修成本</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color="000000"/>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u w:val="none" w:color="000000"/>
        </w:rPr>
        <w:t>）</w:t>
      </w:r>
      <w:r>
        <w:rPr>
          <w:rFonts w:hint="eastAsia" w:ascii="新宋体" w:hAnsi="新宋体" w:eastAsia="新宋体" w:cs="新宋体"/>
          <w:color w:val="auto"/>
          <w:sz w:val="22"/>
          <w:szCs w:val="22"/>
          <w:highlight w:val="none"/>
        </w:rPr>
        <w:t>售后服务</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color="000000"/>
          <w:lang w:val="en-US" w:eastAsia="zh-CN"/>
        </w:rPr>
      </w:pPr>
      <w:r>
        <w:rPr>
          <w:rFonts w:hint="eastAsia" w:ascii="新宋体" w:hAnsi="新宋体" w:eastAsia="新宋体" w:cs="新宋体"/>
          <w:color w:val="auto"/>
          <w:sz w:val="22"/>
          <w:szCs w:val="22"/>
          <w:highlight w:val="none"/>
          <w:u w:val="none" w:color="000000"/>
        </w:rPr>
        <w:t>（</w:t>
      </w:r>
      <w:r>
        <w:rPr>
          <w:rFonts w:hint="eastAsia" w:ascii="新宋体" w:hAnsi="新宋体" w:eastAsia="新宋体" w:cs="新宋体"/>
          <w:color w:val="auto"/>
          <w:sz w:val="22"/>
          <w:szCs w:val="22"/>
          <w:highlight w:val="none"/>
          <w:u w:val="none" w:color="000000"/>
          <w:lang w:val="en-US" w:eastAsia="zh-CN"/>
        </w:rPr>
        <w:t>13</w:t>
      </w:r>
      <w:r>
        <w:rPr>
          <w:rFonts w:hint="eastAsia" w:ascii="新宋体" w:hAnsi="新宋体" w:eastAsia="新宋体" w:cs="新宋体"/>
          <w:color w:val="auto"/>
          <w:sz w:val="22"/>
          <w:szCs w:val="22"/>
          <w:highlight w:val="none"/>
          <w:u w:val="none" w:color="000000"/>
        </w:rPr>
        <w:t>）</w:t>
      </w:r>
      <w:r>
        <w:rPr>
          <w:rFonts w:hint="eastAsia" w:ascii="新宋体" w:hAnsi="新宋体" w:eastAsia="新宋体" w:cs="新宋体"/>
          <w:color w:val="auto"/>
          <w:sz w:val="22"/>
          <w:szCs w:val="22"/>
          <w:highlight w:val="none"/>
          <w:u w:val="none" w:color="000000"/>
          <w:lang w:val="en-US" w:eastAsia="zh-CN"/>
        </w:rPr>
        <w:t>业绩</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color="000000"/>
        </w:rPr>
      </w:pPr>
      <w:r>
        <w:rPr>
          <w:rFonts w:hint="eastAsia" w:ascii="新宋体" w:hAnsi="新宋体" w:eastAsia="新宋体" w:cs="新宋体"/>
          <w:color w:val="auto"/>
          <w:kern w:val="0"/>
          <w:sz w:val="22"/>
          <w:szCs w:val="22"/>
          <w:highlight w:val="none"/>
          <w:lang w:val="en-US" w:eastAsia="zh-CN" w:bidi="ar-SA"/>
        </w:rPr>
        <w:t>（14）环境标志产品、节能产品</w:t>
      </w:r>
    </w:p>
    <w:p>
      <w:pPr>
        <w:spacing w:line="460" w:lineRule="exact"/>
        <w:ind w:firstLine="440" w:firstLineChars="200"/>
        <w:rPr>
          <w:rFonts w:ascii="宋体" w:hAnsi="宋体" w:cs="宋体"/>
          <w:bCs/>
          <w:color w:val="auto"/>
          <w:sz w:val="22"/>
          <w:szCs w:val="22"/>
          <w:highlight w:val="none"/>
          <w:lang w:val="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）其他必要提供的资料。</w:t>
      </w:r>
      <w:r>
        <w:rPr>
          <w:rFonts w:hint="eastAsia" w:ascii="宋体" w:hAnsi="宋体" w:cs="宋体"/>
          <w:bCs/>
          <w:color w:val="auto"/>
          <w:sz w:val="22"/>
          <w:szCs w:val="22"/>
          <w:highlight w:val="none"/>
          <w:lang w:val="zh-CN"/>
        </w:rPr>
        <w:t>投标文件中所需的各种证书、证件、证明资料如是复印件，须在复印件上加盖有效公章。</w:t>
      </w:r>
    </w:p>
    <w:p>
      <w:pPr>
        <w:pStyle w:val="31"/>
        <w:snapToGrid w:val="0"/>
        <w:spacing w:line="460" w:lineRule="exact"/>
        <w:ind w:firstLine="440" w:firstLineChars="200"/>
        <w:rPr>
          <w:rFonts w:hAnsi="宋体" w:cs="宋体"/>
          <w:b w:val="0"/>
          <w:bCs/>
          <w:color w:val="auto"/>
          <w:sz w:val="22"/>
          <w:szCs w:val="22"/>
          <w:highlight w:val="none"/>
        </w:rPr>
      </w:pPr>
      <w:r>
        <w:rPr>
          <w:rFonts w:hint="eastAsia" w:hAnsi="宋体" w:cs="宋体"/>
          <w:b w:val="0"/>
          <w:bCs/>
          <w:color w:val="auto"/>
          <w:sz w:val="22"/>
          <w:szCs w:val="22"/>
          <w:highlight w:val="none"/>
          <w:lang w:val="zh-CN"/>
        </w:rPr>
        <w:t>投标人的</w:t>
      </w:r>
      <w:r>
        <w:rPr>
          <w:rFonts w:hint="eastAsia" w:hAnsi="宋体" w:cs="宋体"/>
          <w:b w:val="0"/>
          <w:bCs/>
          <w:color w:val="auto"/>
          <w:sz w:val="22"/>
          <w:szCs w:val="22"/>
          <w:highlight w:val="none"/>
        </w:rPr>
        <w:t>投标文件必须按照招标文件要求制作。</w:t>
      </w:r>
    </w:p>
    <w:p>
      <w:pPr>
        <w:pStyle w:val="31"/>
        <w:snapToGrid w:val="0"/>
        <w:spacing w:line="460" w:lineRule="exact"/>
        <w:ind w:firstLine="442" w:firstLineChars="200"/>
        <w:rPr>
          <w:rFonts w:hAnsi="宋体" w:cs="宋体"/>
          <w:color w:val="auto"/>
          <w:sz w:val="22"/>
          <w:szCs w:val="22"/>
          <w:highlight w:val="none"/>
        </w:rPr>
      </w:pPr>
      <w:r>
        <w:rPr>
          <w:rFonts w:hint="eastAsia" w:hAnsi="宋体" w:cs="宋体"/>
          <w:color w:val="auto"/>
          <w:sz w:val="22"/>
          <w:szCs w:val="22"/>
          <w:highlight w:val="none"/>
        </w:rPr>
        <w:t>投标人可在招标文件中对招标货物的技术规格和要求选用替代标准，但这些替代标准必须相当于或优于招标文件中提出的相应要求，并使采购人满意，同时在技术偏离表中作出详细说明。</w:t>
      </w:r>
    </w:p>
    <w:p>
      <w:pPr>
        <w:pStyle w:val="31"/>
        <w:snapToGrid w:val="0"/>
        <w:spacing w:line="460" w:lineRule="exact"/>
        <w:ind w:firstLine="442" w:firstLineChars="200"/>
        <w:rPr>
          <w:rFonts w:hAnsi="宋体" w:cs="宋体"/>
          <w:color w:val="auto"/>
          <w:sz w:val="22"/>
          <w:szCs w:val="22"/>
          <w:highlight w:val="none"/>
        </w:rPr>
      </w:pPr>
      <w:r>
        <w:rPr>
          <w:rFonts w:hint="eastAsia" w:ascii="新宋体" w:hAnsi="新宋体" w:eastAsia="新宋体" w:cs="新宋体"/>
          <w:color w:val="auto"/>
          <w:sz w:val="22"/>
          <w:szCs w:val="22"/>
          <w:highlight w:val="none"/>
          <w:u w:val="single"/>
        </w:rPr>
        <w:t>注：联合体成员资格证文件应与联合体牵头人一致，在相应的“报价文件”、“资格证明文件”、“商务技术文件”中提供。</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4、投标报价</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highlight w:val="none"/>
        </w:rPr>
        <w:t>4.1</w:t>
      </w:r>
      <w:r>
        <w:rPr>
          <w:rFonts w:hint="eastAsia" w:ascii="新宋体" w:hAnsi="新宋体" w:eastAsia="新宋体"/>
          <w:b/>
          <w:color w:val="auto"/>
          <w:sz w:val="22"/>
          <w:highlight w:val="none"/>
        </w:rPr>
        <w:t>报价是指完成</w:t>
      </w:r>
      <w:r>
        <w:rPr>
          <w:rFonts w:hint="eastAsia" w:ascii="新宋体" w:hAnsi="新宋体" w:eastAsia="新宋体"/>
          <w:b/>
          <w:color w:val="auto"/>
          <w:sz w:val="22"/>
          <w:highlight w:val="none"/>
          <w:lang w:eastAsia="zh-CN"/>
        </w:rPr>
        <w:t>眼视光技术专业群实训室建设项目</w:t>
      </w:r>
      <w:r>
        <w:rPr>
          <w:rFonts w:hint="eastAsia" w:ascii="新宋体" w:hAnsi="新宋体" w:eastAsia="新宋体"/>
          <w:b/>
          <w:color w:val="auto"/>
          <w:sz w:val="22"/>
          <w:highlight w:val="none"/>
        </w:rPr>
        <w:t>的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4.3</w:t>
      </w:r>
      <w:r>
        <w:rPr>
          <w:rFonts w:hint="eastAsia" w:ascii="宋体" w:hAnsi="宋体" w:cs="宋体"/>
          <w:color w:val="auto"/>
          <w:sz w:val="22"/>
          <w:highlight w:val="none"/>
        </w:rPr>
        <w:t>投标货币以人民币进行投标</w:t>
      </w:r>
      <w:r>
        <w:rPr>
          <w:rFonts w:hint="eastAsia" w:ascii="宋体" w:hAnsi="宋体" w:cs="宋体"/>
          <w:color w:val="auto"/>
          <w:sz w:val="22"/>
          <w:szCs w:val="22"/>
          <w:highlight w:val="none"/>
        </w:rPr>
        <w:t>。</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4.4</w:t>
      </w:r>
      <w:r>
        <w:rPr>
          <w:rFonts w:hint="eastAsia" w:ascii="宋体" w:hAnsi="宋体" w:cs="宋体"/>
          <w:color w:val="auto"/>
          <w:sz w:val="22"/>
          <w:highlight w:val="none"/>
        </w:rPr>
        <w:t>采购人和招标代理机构不接受任何选择投标，对任何</w:t>
      </w:r>
      <w:r>
        <w:rPr>
          <w:rFonts w:hint="eastAsia" w:ascii="宋体" w:hAnsi="宋体" w:cs="宋体"/>
          <w:color w:val="auto"/>
          <w:sz w:val="22"/>
          <w:highlight w:val="none"/>
          <w:lang w:val="en-US" w:eastAsia="zh-CN"/>
        </w:rPr>
        <w:t>货物或</w:t>
      </w:r>
      <w:r>
        <w:rPr>
          <w:rFonts w:hint="eastAsia" w:ascii="宋体" w:hAnsi="宋体" w:cs="宋体"/>
          <w:color w:val="auto"/>
          <w:sz w:val="22"/>
          <w:highlight w:val="none"/>
        </w:rPr>
        <w:t>服务只允许一个价格。</w:t>
      </w:r>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4.5采购人和</w:t>
      </w:r>
      <w:r>
        <w:rPr>
          <w:rFonts w:hint="eastAsia" w:ascii="宋体" w:hAnsi="宋体" w:cs="宋体"/>
          <w:color w:val="auto"/>
          <w:sz w:val="22"/>
          <w:highlight w:val="none"/>
        </w:rPr>
        <w:t>招标代理机构</w:t>
      </w:r>
      <w:r>
        <w:rPr>
          <w:rFonts w:hint="eastAsia" w:ascii="宋体" w:hAnsi="宋体" w:cs="宋体"/>
          <w:color w:val="auto"/>
          <w:sz w:val="22"/>
          <w:szCs w:val="22"/>
          <w:highlight w:val="none"/>
        </w:rPr>
        <w:t>要求分类报价是为了方便评标，但在任何情况下不限制采购人以其认为最合适的条款、条件签订合同的权利。</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4.7最低报价不能作为中标的保证。</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5、投标有效期</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5.1自开标之日起</w:t>
      </w:r>
      <w:r>
        <w:rPr>
          <w:rFonts w:hint="eastAsia" w:ascii="宋体" w:hAnsi="宋体" w:cs="宋体"/>
          <w:b/>
          <w:bCs/>
          <w:color w:val="auto"/>
          <w:sz w:val="22"/>
          <w:szCs w:val="22"/>
          <w:highlight w:val="none"/>
        </w:rPr>
        <w:t xml:space="preserve"> 90</w:t>
      </w:r>
      <w:r>
        <w:rPr>
          <w:rFonts w:hint="eastAsia" w:ascii="宋体" w:hAnsi="宋体" w:cs="宋体"/>
          <w:b/>
          <w:color w:val="auto"/>
          <w:sz w:val="22"/>
          <w:szCs w:val="22"/>
          <w:highlight w:val="none"/>
        </w:rPr>
        <w:t>天内投标应保持有效。</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5.2特殊情况下，在原投标有效期截止前，采购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6、投标保证金</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无。</w:t>
      </w:r>
    </w:p>
    <w:p>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7、投标文件编制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7.2投标人应当按照本章节 “投标文件的构成”规定的内容及顺序在“政采云电子交易客户端”编制投标文件。其中《资格文件》和《商务技术文件》中不得出现本项目投标报价。</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7.4《投标文件》内容不完整、编排混乱导致《投标文件》被误读、漏读或者查找不到相关内容的，投标人自行负责。</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7.5《投标文件》因字迹潦草或表达不清所引起的后果由投标人负责。</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8、投标文件的签章</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8.1《投标文件》的签章：见《前附表》；</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8.2《投标文件》应由投标人法定代表人或其授权代表签字（或盖章），并时加盖投标人公章。</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8.3电子签章操作指南详见采购公告附件《供应商项目采购-电子招投标操作指南》。</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9、投标文件的形式</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9.1投标文件的形式：见《前附表》；</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10、投标文件的份数</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10.1投标文件的份数：见《前附表》。</w:t>
      </w:r>
    </w:p>
    <w:p>
      <w:pPr>
        <w:spacing w:before="100" w:beforeAutospacing="1" w:after="100" w:afterAutospacing="1" w:line="440" w:lineRule="exact"/>
        <w:jc w:val="center"/>
        <w:outlineLvl w:val="1"/>
        <w:rPr>
          <w:rFonts w:ascii="宋体" w:hAnsi="宋体" w:cs="宋体"/>
          <w:b/>
          <w:bCs/>
          <w:color w:val="auto"/>
          <w:sz w:val="22"/>
          <w:szCs w:val="22"/>
          <w:highlight w:val="none"/>
        </w:rPr>
      </w:pPr>
      <w:bookmarkStart w:id="72" w:name="_Toc23539"/>
      <w:bookmarkStart w:id="73" w:name="_Toc13543"/>
      <w:bookmarkStart w:id="74" w:name="_Toc15422"/>
      <w:bookmarkStart w:id="75" w:name="_Toc28002"/>
      <w:bookmarkStart w:id="76" w:name="_Toc2338"/>
      <w:bookmarkStart w:id="77" w:name="_Toc29757"/>
      <w:bookmarkStart w:id="78" w:name="_Toc14324"/>
      <w:bookmarkStart w:id="79" w:name="_Toc18542"/>
      <w:bookmarkStart w:id="80" w:name="_Toc9807"/>
      <w:r>
        <w:rPr>
          <w:rFonts w:hint="eastAsia" w:ascii="宋体" w:hAnsi="宋体" w:cs="宋体"/>
          <w:b/>
          <w:bCs/>
          <w:color w:val="auto"/>
          <w:sz w:val="22"/>
          <w:szCs w:val="22"/>
          <w:highlight w:val="none"/>
        </w:rPr>
        <w:t>四、 投标文件的递交</w:t>
      </w:r>
      <w:bookmarkEnd w:id="72"/>
      <w:bookmarkEnd w:id="73"/>
      <w:bookmarkEnd w:id="74"/>
      <w:bookmarkEnd w:id="75"/>
      <w:bookmarkEnd w:id="76"/>
      <w:bookmarkEnd w:id="77"/>
      <w:bookmarkEnd w:id="78"/>
      <w:bookmarkEnd w:id="79"/>
      <w:bookmarkEnd w:id="80"/>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1、投标文件的上传和递交</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1.1“投标文件”的上传、递交：见《前附表》。</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2、“电子加密投标文件”解密和异常情况处理</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2.1“电子加密投标文件”解密：见《前附表》。</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3、投标文件的补充、修改或撤回</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3.2投标截止时间后，投标人不得撤回、修改《投标文件》。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4、投标文件的备选方案</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ascii="宋体" w:hAnsi="宋体" w:cs="宋体"/>
          <w:b/>
          <w:bCs/>
          <w:color w:val="auto"/>
          <w:sz w:val="22"/>
          <w:szCs w:val="22"/>
          <w:highlight w:val="none"/>
        </w:rPr>
      </w:pPr>
      <w:bookmarkStart w:id="81" w:name="_Toc26272"/>
      <w:bookmarkStart w:id="82" w:name="_Toc30172"/>
      <w:bookmarkStart w:id="83" w:name="_Toc11174"/>
      <w:bookmarkStart w:id="84" w:name="_Toc31416"/>
      <w:bookmarkStart w:id="85" w:name="_Toc4297"/>
      <w:bookmarkStart w:id="86" w:name="_Toc13"/>
      <w:bookmarkStart w:id="87" w:name="_Toc8079"/>
      <w:bookmarkStart w:id="88" w:name="_Toc6372"/>
      <w:bookmarkStart w:id="89" w:name="_Toc125"/>
      <w:r>
        <w:rPr>
          <w:rFonts w:hint="eastAsia" w:ascii="宋体" w:hAnsi="宋体" w:cs="宋体"/>
          <w:b/>
          <w:bCs/>
          <w:color w:val="auto"/>
          <w:sz w:val="22"/>
          <w:szCs w:val="22"/>
          <w:highlight w:val="none"/>
        </w:rPr>
        <w:t>五、 开标和评标</w:t>
      </w:r>
      <w:bookmarkEnd w:id="81"/>
      <w:bookmarkEnd w:id="82"/>
      <w:bookmarkEnd w:id="83"/>
      <w:bookmarkEnd w:id="84"/>
      <w:bookmarkEnd w:id="85"/>
      <w:bookmarkEnd w:id="86"/>
      <w:bookmarkEnd w:id="87"/>
      <w:bookmarkEnd w:id="88"/>
      <w:bookmarkEnd w:id="89"/>
    </w:p>
    <w:p>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1、评标委员会</w:t>
      </w:r>
    </w:p>
    <w:p>
      <w:pPr>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szCs w:val="22"/>
          <w:highlight w:val="none"/>
        </w:rPr>
        <w:t>采购人和招标代理机构组建评标委员会。评标委员会的成员在评标过程中必须严格遵守《政府采购法》等有关法律、法规的规定。</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2、评标过程的保密性</w:t>
      </w:r>
    </w:p>
    <w:p>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3、开标形式</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4、开标准备</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4.1开标的准备工作由采购组织机构负责落实；</w:t>
      </w:r>
    </w:p>
    <w:p>
      <w:pPr>
        <w:spacing w:line="460" w:lineRule="exact"/>
        <w:ind w:firstLine="541" w:firstLineChars="245"/>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4.2</w:t>
      </w:r>
      <w:r>
        <w:rPr>
          <w:rFonts w:hint="eastAsia" w:ascii="宋体" w:hAnsi="宋体" w:cs="宋体"/>
          <w:b/>
          <w:bCs/>
          <w:color w:val="auto"/>
          <w:sz w:val="22"/>
          <w:szCs w:val="22"/>
          <w:highlight w:val="none"/>
        </w:rPr>
        <w:t>采</w:t>
      </w:r>
      <w:r>
        <w:rPr>
          <w:rFonts w:hint="eastAsia" w:ascii="宋体" w:hAnsi="宋体" w:cs="宋体"/>
          <w:b/>
          <w:color w:val="auto"/>
          <w:sz w:val="22"/>
          <w:szCs w:val="22"/>
          <w:highlight w:val="none"/>
        </w:rPr>
        <w:t>购组织机构将按照招标文件规定的时间通过“政府采购云平台”组织开标、开启投标文件，所有供应商均应当准时(在线)参加。</w:t>
      </w:r>
      <w:r>
        <w:rPr>
          <w:rFonts w:hint="eastAsia" w:ascii="宋体" w:hAnsi="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5、开标流程</w:t>
      </w:r>
    </w:p>
    <w:p>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5.1开标、评标</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投标人不足3家的，不得开标。</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（3）开启《投标文件》，进入资格审查；</w:t>
      </w:r>
      <w:r>
        <w:rPr>
          <w:rFonts w:hint="eastAsia" w:ascii="宋体" w:hAnsi="宋体" w:cs="宋体"/>
          <w:bCs/>
          <w:color w:val="auto"/>
          <w:sz w:val="22"/>
          <w:szCs w:val="22"/>
          <w:highlight w:val="none"/>
        </w:rPr>
        <w:t>合格投标人不足3家的，不得评标。</w:t>
      </w:r>
    </w:p>
    <w:p>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备注：开标大会的结束后，采购人或采购代理机构将对依法对投标人的资格进行审查，资格审查结束后进入符合性审查和商务技术的评审工作，具体见本章节“投标人资格审查”相关规定。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ascii="宋体" w:hAnsi="宋体" w:cs="宋体"/>
          <w:bCs/>
          <w:color w:val="auto"/>
          <w:sz w:val="22"/>
          <w:szCs w:val="22"/>
          <w:highlight w:val="none"/>
        </w:rPr>
      </w:pPr>
      <w:r>
        <w:rPr>
          <w:rFonts w:hint="eastAsia" w:ascii="宋体" w:hAnsi="宋体" w:cs="宋体"/>
          <w:color w:val="auto"/>
          <w:kern w:val="0"/>
          <w:sz w:val="22"/>
          <w:szCs w:val="22"/>
          <w:highlight w:val="none"/>
        </w:rPr>
        <w:t>（4）开启资格审查通过的投标人的商务技术文件进入符合性审查，</w:t>
      </w:r>
      <w:r>
        <w:rPr>
          <w:rFonts w:hint="eastAsia" w:ascii="宋体" w:hAnsi="宋体" w:cs="宋体"/>
          <w:bCs/>
          <w:color w:val="auto"/>
          <w:sz w:val="22"/>
          <w:szCs w:val="22"/>
          <w:highlight w:val="none"/>
        </w:rPr>
        <w:t>以确定其是否满足招标文件的实质性要求，合格投标人不足3家的，不得评标。</w:t>
      </w:r>
    </w:p>
    <w:p>
      <w:pPr>
        <w:spacing w:line="460" w:lineRule="exact"/>
        <w:ind w:firstLine="541" w:firstLineChars="245"/>
        <w:rPr>
          <w:rFonts w:ascii="宋体" w:hAnsi="宋体" w:cs="宋体"/>
          <w:bCs/>
          <w:color w:val="auto"/>
          <w:sz w:val="22"/>
          <w:szCs w:val="22"/>
          <w:highlight w:val="none"/>
        </w:rPr>
      </w:pPr>
      <w:r>
        <w:rPr>
          <w:rFonts w:hint="eastAsia" w:ascii="宋体" w:hAnsi="宋体" w:cs="宋体"/>
          <w:b/>
          <w:color w:val="auto"/>
          <w:sz w:val="22"/>
          <w:szCs w:val="22"/>
          <w:highlight w:val="none"/>
        </w:rPr>
        <w:t>没有满足招标文件的实质性要求的投标作无效标处理。</w:t>
      </w:r>
      <w:r>
        <w:rPr>
          <w:rFonts w:hint="eastAsia" w:ascii="宋体" w:hAnsi="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（5）对通过资格审查、符合性审查的合格供应商进行商务技术部分的评审。</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（6）评标委员会对报价的合理性、准确性等进行审查核实。</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（7）评审结束后，公布中标（成交）候选供应商名单及采购人最终确定中标或中标人名单的时间和公告方式等，未在场的投标人通过发送邮件形式通知。</w:t>
      </w:r>
    </w:p>
    <w:p>
      <w:pPr>
        <w:spacing w:line="460" w:lineRule="exact"/>
        <w:ind w:firstLine="541" w:firstLineChars="245"/>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ascii="宋体" w:hAnsi="宋体" w:cs="宋体"/>
          <w:color w:val="auto"/>
          <w:sz w:val="22"/>
          <w:szCs w:val="22"/>
          <w:highlight w:val="none"/>
        </w:rPr>
      </w:pPr>
      <w:bookmarkStart w:id="90" w:name="_Toc33194393"/>
      <w:bookmarkStart w:id="91" w:name="_Toc24550037"/>
      <w:r>
        <w:rPr>
          <w:rFonts w:hint="eastAsia" w:ascii="宋体" w:hAnsi="宋体" w:cs="宋体"/>
          <w:color w:val="auto"/>
          <w:sz w:val="22"/>
          <w:szCs w:val="22"/>
          <w:highlight w:val="none"/>
        </w:rPr>
        <w:t>6、投标人资格审查</w:t>
      </w:r>
      <w:bookmarkEnd w:id="90"/>
      <w:bookmarkEnd w:id="91"/>
    </w:p>
    <w:p>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6.1开标大会结束后，采购人或采购代理机构首先依法对各投标人的资格进行审查，审查各投标人的资格是否满足招标文件的要求。采购人</w:t>
      </w:r>
      <w:r>
        <w:rPr>
          <w:rFonts w:hint="eastAsia" w:ascii="宋体" w:hAnsi="宋体" w:cs="宋体"/>
          <w:color w:val="auto"/>
          <w:sz w:val="22"/>
          <w:szCs w:val="22"/>
          <w:highlight w:val="none"/>
        </w:rPr>
        <w:t>或采购代理机构对投标人所提交的资格证明材料仅负审核的责任。如发现投标人所提交的资格证明材料不合法或与事实不符，采购人可取消其中标资格并追究投标人的法律责任。</w:t>
      </w:r>
    </w:p>
    <w:p>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sz w:val="22"/>
          <w:szCs w:val="22"/>
          <w:highlight w:val="none"/>
        </w:rPr>
        <w:t>6.2投标人提交的资格证明材料无法证明其符合招标文件规定的“投标人资格要求”的，采购人或采购代理机构</w:t>
      </w:r>
      <w:r>
        <w:rPr>
          <w:rFonts w:hint="eastAsia" w:ascii="宋体" w:hAnsi="宋体" w:cs="宋体"/>
          <w:bCs/>
          <w:color w:val="auto"/>
          <w:kern w:val="0"/>
          <w:sz w:val="22"/>
          <w:szCs w:val="22"/>
          <w:highlight w:val="none"/>
        </w:rPr>
        <w:t>将对其作资格审查不通过处理（无效投标），并不再将其投标提交评标委员会进行后续评审。</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w:t>
      </w:r>
      <w:r>
        <w:rPr>
          <w:rFonts w:hint="eastAsia" w:ascii="宋体" w:hAnsi="宋体" w:cs="宋体"/>
          <w:bCs/>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8、投标人存在下列情况之一的，投标无效：</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（1）投标文件未按招标文件要求签署、盖章的；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（2）不具备招标文件中规定的资格要求的； </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（3）明显不符合招标文件中主要技术规格、技术标准的；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（4）投标文件内容不全或关键字迹模糊无法辨认的；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（5）报价超过招标文件中规定的预算金额的；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（6）投标人代表没有法定代表人合法、有效委托的；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（7）投标文件存在一个或一个以上备选（替代）投标方案的；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（8）仅提交“备份投标文件”的；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（9）投标文件含有采购人不能接受的附加条件的；</w:t>
      </w:r>
    </w:p>
    <w:p>
      <w:pPr>
        <w:spacing w:line="460" w:lineRule="exact"/>
        <w:ind w:firstLine="539" w:firstLineChars="245"/>
        <w:rPr>
          <w:rFonts w:eastAsia="黑体"/>
          <w:color w:val="auto"/>
          <w:highlight w:val="none"/>
        </w:rPr>
      </w:pPr>
      <w:r>
        <w:rPr>
          <w:rFonts w:hint="eastAsia" w:ascii="新宋体" w:hAnsi="新宋体" w:eastAsia="新宋体"/>
          <w:bCs/>
          <w:color w:val="auto"/>
          <w:sz w:val="22"/>
          <w:szCs w:val="22"/>
          <w:highlight w:val="none"/>
        </w:rPr>
        <w:t>（10）联合体没有提交联合体协议；</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（11）法律、法规和招标文件规定的其他无效情形</w:t>
      </w:r>
      <w:r>
        <w:rPr>
          <w:rFonts w:hint="eastAsia" w:ascii="新宋体" w:hAnsi="新宋体" w:eastAsia="新宋体" w:cs="新宋体"/>
          <w:bCs/>
          <w:color w:val="auto"/>
          <w:sz w:val="22"/>
          <w:szCs w:val="22"/>
          <w:highlight w:val="none"/>
        </w:rPr>
        <w:t>。</w:t>
      </w:r>
    </w:p>
    <w:p>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9、有下列情形之一的，视为投标人串通投标，其投标无效</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（1）不同投标人的投标文件由同一单位或者个人编制；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（2）不同投标人委托同一单位或者个人办理投标事宜；</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（3）不同投标人的投标文件载明的项目管理成员或者联系人员为同一人；</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（4）不同投标人的投标文件异常一致或者投标报价呈规律性差异；</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（5）不同投标人的投标文件相互混装。</w:t>
      </w:r>
    </w:p>
    <w:p>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10、投标文件报价出现前后不一致的，按照下列规定修正：</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（2）大写金额和小写金额不一致的，以大写金额为准；</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（4）总价金额与按单价汇总金额不一致的，以单价金额计算结果为准。</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12、投标文件的澄清</w:t>
      </w:r>
    </w:p>
    <w:p>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12.2经澄清后，若偏差仍存在，且不可接受，投标人则被认为是“没有实质性响应招标文件要求”，其投标将被拒绝。</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13、评审结果的修改</w:t>
      </w:r>
    </w:p>
    <w:p>
      <w:pPr>
        <w:spacing w:line="460" w:lineRule="exact"/>
        <w:ind w:firstLine="762" w:firstLineChars="345"/>
        <w:rPr>
          <w:rFonts w:ascii="宋体" w:hAnsi="宋体" w:cs="宋体"/>
          <w:b/>
          <w:color w:val="auto"/>
          <w:sz w:val="22"/>
          <w:szCs w:val="22"/>
          <w:highlight w:val="none"/>
        </w:rPr>
      </w:pPr>
      <w:r>
        <w:rPr>
          <w:rFonts w:hint="eastAsia" w:ascii="宋体" w:hAnsi="宋体" w:cs="宋体"/>
          <w:b/>
          <w:color w:val="auto"/>
          <w:sz w:val="22"/>
          <w:szCs w:val="22"/>
          <w:highlight w:val="none"/>
        </w:rPr>
        <w:t>13.1评标结果汇总完成后，除下列情形外，任何人不得修改评标结果：</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（1）分值汇总计算错误的；</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（2）分项评分超出评分标准范围的；</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（3）评标委员会成员对客观评审因素评分不一致的；</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（4）经评标委员会认定评分畸高、畸低的。</w:t>
      </w:r>
    </w:p>
    <w:p>
      <w:pPr>
        <w:spacing w:line="460" w:lineRule="exact"/>
        <w:ind w:firstLine="759" w:firstLineChars="345"/>
        <w:rPr>
          <w:rFonts w:ascii="宋体" w:hAnsi="宋体" w:cs="宋体"/>
          <w:color w:val="auto"/>
          <w:highlight w:val="none"/>
        </w:rPr>
      </w:pPr>
      <w:r>
        <w:rPr>
          <w:rFonts w:hint="eastAsia" w:ascii="宋体" w:hAnsi="宋体" w:cs="宋体"/>
          <w:bCs/>
          <w:color w:val="auto"/>
          <w:sz w:val="22"/>
          <w:szCs w:val="22"/>
          <w:highlight w:val="none"/>
        </w:rPr>
        <w:t>13.2书面评标报告签署前，经复核发现存在以上情形之一的，评标委员会将当场修改评标结果，并在评标报告中记载。</w:t>
      </w:r>
    </w:p>
    <w:p>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14</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14.1由评标委员会确定中标候选人。</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采购人推荐。</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15、确定中标人</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15.1采购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15.2如中标人放弃中标；或未能在规定时间内与采购人签订合同的；或者经质疑，采购人审查后，确因排名第一的候选人在本次采购活动中存在违法违规行为或其他原因使质疑成立的，采购人可以视情况直接确定排名第二的候选人为中标人或重新组织招标。</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16、起草、签署评审报告</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17</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中标人确定后，采购人将在政府指定媒体公告中标结果，采购人向中标人发出中标通知书。</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18、采购人对决标结果不做任何解释，也不保证最低价中标。</w:t>
      </w:r>
    </w:p>
    <w:p>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19、评标细则详见“评标原则及方法”</w:t>
      </w:r>
      <w:r>
        <w:rPr>
          <w:rFonts w:hint="eastAsia" w:ascii="宋体" w:hAnsi="宋体" w:cs="宋体"/>
          <w:b/>
          <w:color w:val="auto"/>
          <w:sz w:val="22"/>
          <w:szCs w:val="22"/>
          <w:highlight w:val="none"/>
        </w:rPr>
        <w:t>。</w:t>
      </w:r>
    </w:p>
    <w:p>
      <w:pPr>
        <w:spacing w:before="100" w:beforeAutospacing="1" w:after="100" w:afterAutospacing="1" w:line="440" w:lineRule="exact"/>
        <w:jc w:val="center"/>
        <w:outlineLvl w:val="1"/>
        <w:rPr>
          <w:rFonts w:ascii="宋体" w:hAnsi="宋体" w:cs="宋体"/>
          <w:b/>
          <w:bCs/>
          <w:color w:val="auto"/>
          <w:sz w:val="22"/>
          <w:szCs w:val="22"/>
          <w:highlight w:val="none"/>
        </w:rPr>
      </w:pPr>
      <w:bookmarkStart w:id="92" w:name="_Toc32648"/>
      <w:bookmarkStart w:id="93" w:name="_Toc26836"/>
      <w:bookmarkStart w:id="94" w:name="_Toc27678"/>
      <w:bookmarkStart w:id="95" w:name="_Toc7050"/>
      <w:bookmarkStart w:id="96" w:name="_Toc8263"/>
      <w:bookmarkStart w:id="97" w:name="_Toc8947"/>
      <w:bookmarkStart w:id="98" w:name="_Toc21056"/>
      <w:bookmarkStart w:id="99" w:name="_Toc8568"/>
      <w:bookmarkStart w:id="100" w:name="_Toc28681"/>
      <w:r>
        <w:rPr>
          <w:rFonts w:hint="eastAsia" w:ascii="宋体" w:hAnsi="宋体" w:cs="宋体"/>
          <w:b/>
          <w:bCs/>
          <w:color w:val="auto"/>
          <w:sz w:val="22"/>
          <w:szCs w:val="22"/>
          <w:highlight w:val="none"/>
        </w:rPr>
        <w:t>六、 授予合同</w:t>
      </w:r>
      <w:bookmarkEnd w:id="92"/>
      <w:bookmarkEnd w:id="93"/>
      <w:bookmarkEnd w:id="94"/>
      <w:bookmarkEnd w:id="95"/>
      <w:bookmarkEnd w:id="96"/>
      <w:bookmarkEnd w:id="97"/>
      <w:bookmarkEnd w:id="98"/>
      <w:bookmarkEnd w:id="99"/>
      <w:bookmarkEnd w:id="100"/>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1、中标通知书</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1.1中标人确定后，采购人将向中标人发出中标通知书。 </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1.2中标通知书是合同的一个组成部分,对采购人和中标人均具有同等法律效力。</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2、授标时更改采购货物数量的权力</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2.1采购人在授予合同时有权对采购货物的数量和服务在一定幅度范围内予以增加或减少,但不得对单价和其他的条款和条件作任何改变。</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3、签订合同</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3.1中标人应按中标通知书规定的时间、地点与采购人签订合同。</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3.2</w:t>
      </w:r>
      <w:r>
        <w:rPr>
          <w:rFonts w:hint="eastAsia" w:ascii="宋体" w:hAnsi="宋体" w:cs="宋体"/>
          <w:bCs/>
          <w:color w:val="auto"/>
          <w:spacing w:val="6"/>
          <w:sz w:val="22"/>
          <w:szCs w:val="22"/>
          <w:highlight w:val="none"/>
        </w:rPr>
        <w:t>在签订合同前，采购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3.4拒签合同的违约责任</w:t>
      </w:r>
    </w:p>
    <w:p>
      <w:pPr>
        <w:spacing w:line="460" w:lineRule="exact"/>
        <w:ind w:firstLine="568" w:firstLineChars="245"/>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中标人接到中标通知书后，在规定时间内借故否认已经承诺的条件而拒签合同的，以违约处理。</w:t>
      </w:r>
    </w:p>
    <w:p>
      <w:pPr>
        <w:spacing w:line="460" w:lineRule="exact"/>
        <w:ind w:firstLine="571" w:firstLineChars="245"/>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（1）取消其中标资格。</w:t>
      </w:r>
    </w:p>
    <w:p>
      <w:pPr>
        <w:spacing w:line="460" w:lineRule="exact"/>
        <w:ind w:firstLine="571" w:firstLineChars="245"/>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2）《中华人民共和国政府采购法》第七十七条和《中华人民共和国政府采购法实施条例》第七十二条规定，供应商中标或成交后无正当理由拒不与采购人签订政府采购合同的情形，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60" w:lineRule="exact"/>
        <w:ind w:firstLine="571" w:firstLineChars="245"/>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（3）给采购人造成损失的，采购人有权要求赔偿。</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4、质疑与投诉</w:t>
      </w:r>
    </w:p>
    <w:p>
      <w:pPr>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highlight w:val="none"/>
        </w:rPr>
        <w:t>4.1投标人认为招标</w:t>
      </w:r>
      <w:r>
        <w:rPr>
          <w:rFonts w:hint="eastAsia" w:ascii="宋体" w:hAnsi="宋体" w:cs="宋体"/>
          <w:color w:val="auto"/>
          <w:sz w:val="22"/>
          <w:highlight w:val="none"/>
        </w:rPr>
        <w:t>文件、采购过程、中标和成交结果使自己的合法权益受到损害的，可以在知道或应知道其权益受到损害之日起七个工作日内以书面形式向采购人或招标代理机构提出质疑。</w:t>
      </w:r>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4.2采购人或招标代理机构在收到投标人的书面质疑后七个工作日内作出答复，但答复的内容不得涉及商业秘密。质疑投标人对采购人或招标代理机构的答复不满意，可以在答复期满后十五个工作日内向同级政府采购监督管理部门投诉。</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pPr>
        <w:pStyle w:val="24"/>
        <w:ind w:left="0" w:firstLine="0" w:firstLineChars="0"/>
        <w:rPr>
          <w:rFonts w:ascii="宋体" w:hAnsi="宋体" w:cs="宋体"/>
          <w:color w:val="auto"/>
          <w:sz w:val="22"/>
          <w:highlight w:val="none"/>
        </w:rPr>
      </w:pPr>
    </w:p>
    <w:p>
      <w:pPr>
        <w:pStyle w:val="3"/>
        <w:rPr>
          <w:rFonts w:ascii="宋体" w:hAnsi="宋体" w:eastAsia="宋体" w:cs="宋体"/>
          <w:color w:val="auto"/>
          <w:highlight w:val="none"/>
        </w:rPr>
      </w:pPr>
      <w:bookmarkStart w:id="101" w:name="_Toc5142"/>
      <w:bookmarkStart w:id="102" w:name="_Toc26804"/>
      <w:bookmarkStart w:id="103" w:name="_Toc29390"/>
      <w:bookmarkStart w:id="104" w:name="_Toc20554"/>
      <w:r>
        <w:rPr>
          <w:rFonts w:hint="eastAsia" w:ascii="宋体" w:hAnsi="宋体" w:eastAsia="宋体" w:cs="宋体"/>
          <w:color w:val="auto"/>
          <w:highlight w:val="none"/>
        </w:rPr>
        <w:br w:type="page"/>
      </w:r>
      <w:bookmarkStart w:id="105" w:name="_Toc9142"/>
      <w:bookmarkStart w:id="106" w:name="_Toc20362"/>
      <w:bookmarkStart w:id="107" w:name="_Toc913"/>
      <w:bookmarkStart w:id="108" w:name="_Toc1361"/>
      <w:bookmarkStart w:id="109" w:name="_Toc9840"/>
      <w:bookmarkStart w:id="110" w:name="_Toc11926"/>
      <w:r>
        <w:rPr>
          <w:rFonts w:hint="eastAsia" w:ascii="宋体" w:hAnsi="宋体" w:eastAsia="宋体" w:cs="宋体"/>
          <w:color w:val="auto"/>
          <w:highlight w:val="none"/>
        </w:rPr>
        <w:t>第二部分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合同主要条款</w:t>
      </w:r>
      <w:bookmarkEnd w:id="101"/>
      <w:bookmarkEnd w:id="102"/>
      <w:bookmarkEnd w:id="103"/>
      <w:bookmarkEnd w:id="104"/>
      <w:bookmarkEnd w:id="105"/>
      <w:bookmarkEnd w:id="106"/>
      <w:bookmarkEnd w:id="107"/>
      <w:bookmarkEnd w:id="108"/>
      <w:bookmarkEnd w:id="109"/>
      <w:bookmarkEnd w:id="110"/>
    </w:p>
    <w:p>
      <w:pPr>
        <w:keepNext w:val="0"/>
        <w:keepLines w:val="0"/>
        <w:pageBreakBefore w:val="0"/>
        <w:kinsoku/>
        <w:wordWrap/>
        <w:overflowPunct/>
        <w:topLinePunct w:val="0"/>
        <w:autoSpaceDE/>
        <w:autoSpaceDN/>
        <w:bidi w:val="0"/>
        <w:spacing w:line="460" w:lineRule="exact"/>
        <w:ind w:firstLine="437" w:firstLineChars="198"/>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特别提示：以下为浙江工贸职业技术学院的合同范本，仅供参考，不宜照搬。合同条款的具体内容应严格按照</w:t>
      </w:r>
      <w:r>
        <w:rPr>
          <w:rFonts w:hint="eastAsia" w:ascii="新宋体" w:hAnsi="新宋体" w:eastAsia="新宋体" w:cs="新宋体"/>
          <w:b/>
          <w:bCs/>
          <w:color w:val="auto"/>
          <w:sz w:val="22"/>
          <w:szCs w:val="22"/>
          <w:highlight w:val="none"/>
          <w:lang w:val="en-US" w:eastAsia="zh-CN"/>
        </w:rPr>
        <w:t>招标</w:t>
      </w:r>
      <w:r>
        <w:rPr>
          <w:rFonts w:hint="eastAsia" w:ascii="新宋体" w:hAnsi="新宋体" w:eastAsia="新宋体" w:cs="新宋体"/>
          <w:b/>
          <w:bCs/>
          <w:color w:val="auto"/>
          <w:sz w:val="22"/>
          <w:szCs w:val="22"/>
          <w:highlight w:val="none"/>
        </w:rPr>
        <w:t>文件、响应文件、采购结果及中标供应商的承诺来拟订。</w:t>
      </w:r>
    </w:p>
    <w:p>
      <w:pPr>
        <w:keepNext w:val="0"/>
        <w:keepLines w:val="0"/>
        <w:pageBreakBefore w:val="0"/>
        <w:kinsoku/>
        <w:wordWrap/>
        <w:overflowPunct/>
        <w:topLinePunct w:val="0"/>
        <w:autoSpaceDE/>
        <w:autoSpaceDN/>
        <w:bidi w:val="0"/>
        <w:spacing w:line="460" w:lineRule="exact"/>
        <w:jc w:val="left"/>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采购编号：</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合同编号：</w:t>
      </w:r>
    </w:p>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rPr>
        <w:t>浙江工贸职业技术学院</w:t>
      </w:r>
      <w:r>
        <w:rPr>
          <w:rFonts w:hint="eastAsia" w:ascii="新宋体" w:hAnsi="新宋体" w:eastAsia="新宋体" w:cs="新宋体"/>
          <w:color w:val="auto"/>
          <w:sz w:val="22"/>
          <w:szCs w:val="22"/>
          <w:highlight w:val="none"/>
        </w:rPr>
        <w:t xml:space="preserve">                          乙方</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日在浙江工贸职业技术学院的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采购中，甲乙双方及采购方根据《中华人民共和国民法典》等法规和本合同的采购文件、响应文件及其采购过程中的承诺，经双方协商，同意签订本合同，共同遵守。</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1、采购内容及价格                                                     单位： </w:t>
      </w:r>
      <w:r>
        <w:rPr>
          <w:rFonts w:hint="eastAsia" w:ascii="新宋体" w:hAnsi="新宋体" w:eastAsia="新宋体" w:cs="新宋体"/>
          <w:color w:val="auto"/>
          <w:sz w:val="22"/>
          <w:szCs w:val="22"/>
          <w:highlight w:val="none"/>
          <w:u w:val="single"/>
        </w:rPr>
        <w:t xml:space="preserve"> 元 </w:t>
      </w:r>
    </w:p>
    <w:tbl>
      <w:tblPr>
        <w:tblStyle w:val="53"/>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757"/>
        <w:gridCol w:w="709"/>
        <w:gridCol w:w="943"/>
        <w:gridCol w:w="706"/>
        <w:gridCol w:w="795"/>
        <w:gridCol w:w="795"/>
        <w:gridCol w:w="1218"/>
        <w:gridCol w:w="971"/>
        <w:gridCol w:w="1066"/>
        <w:gridCol w:w="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产地</w:t>
            </w: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规格型号</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9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rPr>
              <w:t>单价</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rPr>
              <w:t>合计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7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418"/>
              </w:tabs>
              <w:kinsoku/>
              <w:wordWrap/>
              <w:overflowPunct/>
              <w:topLinePunct w:val="0"/>
              <w:autoSpaceDE/>
              <w:autoSpaceDN/>
              <w:bidi w:val="0"/>
              <w:snapToGrid w:val="0"/>
              <w:spacing w:line="460" w:lineRule="exact"/>
              <w:jc w:val="center"/>
              <w:textAlignment w:val="auto"/>
              <w:rPr>
                <w:rFonts w:hint="eastAsia" w:ascii="新宋体" w:hAnsi="新宋体" w:eastAsia="新宋体" w:cs="新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00" w:type="dxa"/>
            <w:gridSpan w:val="1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418"/>
              </w:tabs>
              <w:kinsoku/>
              <w:wordWrap/>
              <w:overflowPunct/>
              <w:topLinePunct w:val="0"/>
              <w:autoSpaceDE/>
              <w:autoSpaceDN/>
              <w:bidi w:val="0"/>
              <w:snapToGrid w:val="0"/>
              <w:spacing w:line="460" w:lineRule="exact"/>
              <w:jc w:val="left"/>
              <w:textAlignment w:val="auto"/>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合同总价：（大写）                                                  小写：￥</w:t>
            </w:r>
          </w:p>
        </w:tc>
      </w:tr>
    </w:tbl>
    <w:p>
      <w:pPr>
        <w:keepNext w:val="0"/>
        <w:keepLines w:val="0"/>
        <w:pageBreakBefore w:val="0"/>
        <w:widowControl/>
        <w:kinsoku/>
        <w:wordWrap/>
        <w:overflowPunct/>
        <w:topLinePunct w:val="0"/>
        <w:autoSpaceDE/>
        <w:autoSpaceDN/>
        <w:bidi w:val="0"/>
        <w:adjustRightInd w:val="0"/>
        <w:snapToGrid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2、供货范围</w:t>
      </w:r>
    </w:p>
    <w:p>
      <w:pPr>
        <w:keepNext w:val="0"/>
        <w:keepLines w:val="0"/>
        <w:pageBreakBefore w:val="0"/>
        <w:widowControl/>
        <w:kinsoku/>
        <w:wordWrap/>
        <w:overflowPunct/>
        <w:topLinePunct w:val="0"/>
        <w:autoSpaceDE/>
        <w:autoSpaceDN/>
        <w:bidi w:val="0"/>
        <w:adjustRightInd w:val="0"/>
        <w:snapToGrid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2.1本合同总价为完成</w:t>
      </w:r>
      <w:r>
        <w:rPr>
          <w:rFonts w:hint="eastAsia" w:ascii="新宋体" w:hAnsi="新宋体" w:eastAsia="新宋体" w:cs="新宋体"/>
          <w:color w:val="auto"/>
          <w:sz w:val="22"/>
          <w:szCs w:val="22"/>
          <w:highlight w:val="none"/>
          <w:lang w:eastAsia="zh-CN"/>
        </w:rPr>
        <w:t>眼视光技术专业群实训室建设</w:t>
      </w:r>
      <w:r>
        <w:rPr>
          <w:rFonts w:hint="eastAsia" w:ascii="新宋体" w:hAnsi="新宋体" w:eastAsia="新宋体" w:cs="新宋体"/>
          <w:color w:val="auto"/>
          <w:sz w:val="22"/>
          <w:szCs w:val="22"/>
          <w:highlight w:val="none"/>
        </w:rPr>
        <w:t>的设备供货、税金、包装、运输、保险、装卸、检验、安装、调试、验收（含第三方验收）、技术服务、售后服务、质保期保障、材料等直至达到使用要求及质量标准、政策性文件规定及合同包含的所有风险、责任等各项应有费用，实行固定费用总包干，</w:t>
      </w: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rPr>
        <w:t>供应商应根据上述因素自行考虑含入</w:t>
      </w: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rPr>
        <w:t>报价。</w:t>
      </w:r>
    </w:p>
    <w:p>
      <w:pPr>
        <w:keepNext w:val="0"/>
        <w:keepLines w:val="0"/>
        <w:pageBreakBefore w:val="0"/>
        <w:widowControl/>
        <w:kinsoku/>
        <w:wordWrap/>
        <w:overflowPunct/>
        <w:topLinePunct w:val="0"/>
        <w:autoSpaceDE/>
        <w:autoSpaceDN/>
        <w:bidi w:val="0"/>
        <w:spacing w:line="460" w:lineRule="exact"/>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pPr>
        <w:keepNext w:val="0"/>
        <w:keepLines w:val="0"/>
        <w:pageBreakBefore w:val="0"/>
        <w:widowControl/>
        <w:kinsoku/>
        <w:wordWrap/>
        <w:overflowPunct/>
        <w:topLinePunct w:val="0"/>
        <w:autoSpaceDE/>
        <w:autoSpaceDN/>
        <w:bidi w:val="0"/>
        <w:spacing w:line="460" w:lineRule="exact"/>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3、质量保证及权利保证</w:t>
      </w:r>
    </w:p>
    <w:p>
      <w:pPr>
        <w:keepNext w:val="0"/>
        <w:keepLines w:val="0"/>
        <w:pageBreakBefore w:val="0"/>
        <w:widowControl/>
        <w:kinsoku/>
        <w:wordWrap/>
        <w:overflowPunct/>
        <w:topLinePunct w:val="0"/>
        <w:autoSpaceDE/>
        <w:autoSpaceDN/>
        <w:bidi w:val="0"/>
        <w:spacing w:line="460" w:lineRule="exact"/>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 </w:t>
      </w:r>
    </w:p>
    <w:p>
      <w:pPr>
        <w:keepNext w:val="0"/>
        <w:keepLines w:val="0"/>
        <w:pageBreakBefore w:val="0"/>
        <w:widowControl/>
        <w:kinsoku/>
        <w:wordWrap/>
        <w:overflowPunct/>
        <w:topLinePunct w:val="0"/>
        <w:autoSpaceDE/>
        <w:autoSpaceDN/>
        <w:bidi w:val="0"/>
        <w:spacing w:line="460" w:lineRule="exact"/>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3.2货物质量应符合生产厂家的出厂标准和现行国家、行业各项标准，出厂标准与国家/行业标准要求不一致时，以要求较高者为准。 </w:t>
      </w:r>
    </w:p>
    <w:p>
      <w:pPr>
        <w:keepNext w:val="0"/>
        <w:keepLines w:val="0"/>
        <w:pageBreakBefore w:val="0"/>
        <w:widowControl/>
        <w:kinsoku/>
        <w:wordWrap/>
        <w:overflowPunct/>
        <w:topLinePunct w:val="0"/>
        <w:autoSpaceDE/>
        <w:autoSpaceDN/>
        <w:bidi w:val="0"/>
        <w:spacing w:line="460" w:lineRule="exact"/>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3.3乙方保证其对货物及服务项下所有内容拥有完整、独立、有效的所有权，且完全有能力授权甲方永久、免费、全球范围内使用货物附属软件（如有）。 </w:t>
      </w:r>
    </w:p>
    <w:p>
      <w:pPr>
        <w:keepNext w:val="0"/>
        <w:keepLines w:val="0"/>
        <w:pageBreakBefore w:val="0"/>
        <w:widowControl/>
        <w:kinsoku/>
        <w:wordWrap/>
        <w:overflowPunct/>
        <w:topLinePunct w:val="0"/>
        <w:autoSpaceDE/>
        <w:autoSpaceDN/>
        <w:bidi w:val="0"/>
        <w:spacing w:line="460" w:lineRule="exact"/>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3.4乙方保证其交付的所有货物、软件及服务等，不会侵犯任何第三方的知识产权和其它权益。如因此发生任何针对甲方的争议、索赔、诉讼等，产生的一切法律责任与费用均由乙方承担。 </w:t>
      </w:r>
    </w:p>
    <w:p>
      <w:pPr>
        <w:keepNext w:val="0"/>
        <w:keepLines w:val="0"/>
        <w:pageBreakBefore w:val="0"/>
        <w:widowControl/>
        <w:kinsoku/>
        <w:wordWrap/>
        <w:overflowPunct/>
        <w:topLinePunct w:val="0"/>
        <w:autoSpaceDE/>
        <w:autoSpaceDN/>
        <w:bidi w:val="0"/>
        <w:spacing w:line="460" w:lineRule="exact"/>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4、转包或分包</w:t>
      </w:r>
    </w:p>
    <w:p>
      <w:pPr>
        <w:keepNext w:val="0"/>
        <w:keepLines w:val="0"/>
        <w:pageBreakBefore w:val="0"/>
        <w:widowControl/>
        <w:kinsoku/>
        <w:wordWrap/>
        <w:overflowPunct/>
        <w:topLinePunct w:val="0"/>
        <w:autoSpaceDE/>
        <w:autoSpaceDN/>
        <w:bidi w:val="0"/>
        <w:spacing w:line="460" w:lineRule="exact"/>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本合同范围的货物，应由乙方直接供应，不得转让他人供应，否则，甲方有权解除合同，没收履约保证金并追究乙方的违约责任。</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5、产品包装</w:t>
      </w:r>
    </w:p>
    <w:p>
      <w:pPr>
        <w:keepNext w:val="0"/>
        <w:keepLines w:val="0"/>
        <w:pageBreakBefore w:val="0"/>
        <w:widowControl/>
        <w:kinsoku/>
        <w:wordWrap/>
        <w:overflowPunct/>
        <w:topLinePunct w:val="0"/>
        <w:autoSpaceDE/>
        <w:autoSpaceDN/>
        <w:bidi w:val="0"/>
        <w:spacing w:line="460" w:lineRule="exact"/>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5.1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 乙方承担。 </w:t>
      </w:r>
    </w:p>
    <w:p>
      <w:pPr>
        <w:keepNext w:val="0"/>
        <w:keepLines w:val="0"/>
        <w:pageBreakBefore w:val="0"/>
        <w:widowControl/>
        <w:kinsoku/>
        <w:wordWrap/>
        <w:overflowPunct/>
        <w:topLinePunct w:val="0"/>
        <w:autoSpaceDE/>
        <w:autoSpaceDN/>
        <w:bidi w:val="0"/>
        <w:spacing w:line="460" w:lineRule="exact"/>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5.2乙方应向甲方提供使用货物的有关技术资料，包括相应的每套设备和仪器的中文技术文件，例如：商品目录、图纸、使用说明、质量检验证明、操作手册，维护手册或服务指南等，该类文件应包装好随货发运。</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6、本合同产品的</w:t>
      </w:r>
      <w:r>
        <w:rPr>
          <w:rFonts w:hint="eastAsia" w:ascii="新宋体" w:hAnsi="新宋体" w:eastAsia="新宋体" w:cs="新宋体"/>
          <w:color w:val="auto"/>
          <w:kern w:val="0"/>
          <w:sz w:val="22"/>
          <w:szCs w:val="22"/>
          <w:highlight w:val="none"/>
        </w:rPr>
        <w:t>质量保修期自验收合格之日起</w:t>
      </w:r>
      <w:r>
        <w:rPr>
          <w:rFonts w:hint="eastAsia" w:ascii="新宋体" w:hAnsi="新宋体" w:eastAsia="新宋体" w:cs="新宋体"/>
          <w:color w:val="auto"/>
          <w:sz w:val="22"/>
          <w:szCs w:val="22"/>
          <w:highlight w:val="none"/>
          <w:u w:val="single"/>
        </w:rPr>
        <w:t xml:space="preserve">    年 </w:t>
      </w:r>
      <w:r>
        <w:rPr>
          <w:rFonts w:hint="eastAsia" w:ascii="新宋体" w:hAnsi="新宋体" w:eastAsia="新宋体" w:cs="新宋体"/>
          <w:color w:val="auto"/>
          <w:sz w:val="22"/>
          <w:szCs w:val="22"/>
          <w:highlight w:val="none"/>
        </w:rPr>
        <w:t>。</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在产品</w:t>
      </w:r>
      <w:r>
        <w:rPr>
          <w:rFonts w:hint="eastAsia" w:ascii="新宋体" w:hAnsi="新宋体" w:eastAsia="新宋体" w:cs="新宋体"/>
          <w:color w:val="auto"/>
          <w:kern w:val="0"/>
          <w:sz w:val="22"/>
          <w:szCs w:val="22"/>
          <w:highlight w:val="none"/>
        </w:rPr>
        <w:t>质量保修期</w:t>
      </w:r>
      <w:r>
        <w:rPr>
          <w:rFonts w:hint="eastAsia" w:ascii="新宋体" w:hAnsi="新宋体" w:eastAsia="新宋体" w:cs="新宋体"/>
          <w:color w:val="auto"/>
          <w:sz w:val="22"/>
          <w:szCs w:val="22"/>
          <w:highlight w:val="none"/>
        </w:rPr>
        <w:t>限内，乙方对由于产品设计、工艺、材料、配套件的缺陷而造成的任何产品质量问题或故障负责。</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7、交付使用时间：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，交货地点：</w:t>
      </w:r>
      <w:r>
        <w:rPr>
          <w:rFonts w:hint="eastAsia" w:ascii="新宋体" w:hAnsi="新宋体" w:eastAsia="新宋体" w:cs="新宋体"/>
          <w:color w:val="auto"/>
          <w:sz w:val="22"/>
          <w:szCs w:val="22"/>
          <w:highlight w:val="none"/>
          <w:u w:val="single"/>
        </w:rPr>
        <w:t>浙江工贸职业技术学院指定地点（联系人：          ，联系电话：              ）。</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9、付款方式与结算</w:t>
      </w:r>
    </w:p>
    <w:p>
      <w:pPr>
        <w:pStyle w:val="24"/>
        <w:keepNext w:val="0"/>
        <w:keepLines w:val="0"/>
        <w:pageBreakBefore w:val="0"/>
        <w:kinsoku/>
        <w:wordWrap/>
        <w:overflowPunct/>
        <w:topLinePunct w:val="0"/>
        <w:bidi w:val="0"/>
        <w:spacing w:line="460" w:lineRule="exact"/>
        <w:ind w:left="0" w:leftChars="0"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合同签订生效以及具备实施条件后7个工作日内，甲方向乙方支付合同总额40%的预付款，乙方完成全部供货、安装、调试等工作后支付合同总额10%的货款，甲方试运行12个月后，经验收合格入库并收到乙方出具全额增值税发票后7个工作日内，甲方支付剩余的合同款。在合同签订时，乙方明确表示无需预付款，乙方完成全部供货、安装、调试等工作，甲方验收合格入库并收到乙方出具全额增值税发票后7个工作日内，甲方支付合同余款。</w:t>
      </w:r>
    </w:p>
    <w:p>
      <w:pPr>
        <w:keepNext w:val="0"/>
        <w:keepLines w:val="0"/>
        <w:pageBreakBefore w:val="0"/>
        <w:numPr>
          <w:ilvl w:val="0"/>
          <w:numId w:val="0"/>
        </w:numPr>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rPr>
        <w:t>安装与验收</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10.1到货验收：货物运抵甲方指定地点后，甲方应依据本合同、采购文件及响应文件上的技术规格要求及其采购过程中的承诺、国家有关质量标准及时进行验收。如发生所供货物与合同约定不符，甲方有权退货或要求乙方进行更换、补齐，因此造成逾期交货的，乙方应承担逾期交货的违约责任。</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10.2安装调试：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 </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安装调试过程中，乙方应采取安全保障措施，保证人员安全。如因乙方原因造成人员伤亡和财产损失的，乙方应承担全部赔偿责任。 </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10.3最终验收：货物经安装调试完成且符合技术要求后，甲方进行最终验收。验收时乙方必须在现场。货物符合合同约定的技术规范要求和验收标准的，甲方签署验收合格证明。如货物不符合合同约定的要求的，乙方应当在七日内采取措施消除缺陷后重新申请终验，并承担由此产生的费用。 </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10.4对技术复杂的货物，甲方可请国家认可的专业检测机构参与验收，并由其出具质量检测报告，检测费用由乙方承担。  </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注：安装与验收产生的费用均由乙方承担。</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11、违约责任</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11.1设备质量责任</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在设备质量保证期内，凡设备在开箱检验、安装调试、设备试运行过程中发现的设备质量问题，由乙方负责处理，实行包修、包换、包退、直至产品符合质量要求。乙方承担修理、调换、退货发生的一切费用和甲方的直接经济损失。</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2）接到甲方通知后，乙方提供24小时售后服务，合同出现故障后，乙方接到甲方通知应在不超过2小时内做出响应，若电话无法解决的，于48小时内到达现场实施维修，提供不间断的服务直到修复为止。</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3）由于甲方保管不善或使用不当造成设备短缺、故障或损坏，由甲方负责。但乙方保证及时给予补齐和修复。</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11.2违约赔偿</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除不可抗力外，如乙方发生不能按期交货或提供服务，甲方发生中途退货等情况，应及时以书面形式通知对方。双方应本着友好的态度进行协商，妥善解决。</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如协商无效，按下列规定处以罚金。</w:t>
      </w:r>
    </w:p>
    <w:p>
      <w:pPr>
        <w:keepNext w:val="0"/>
        <w:keepLines w:val="0"/>
        <w:pageBreakBefore w:val="0"/>
        <w:numPr>
          <w:ilvl w:val="0"/>
          <w:numId w:val="1"/>
        </w:numPr>
        <w:kinsoku/>
        <w:wordWrap/>
        <w:overflowPunct/>
        <w:topLinePunct w:val="0"/>
        <w:autoSpaceDE/>
        <w:autoSpaceDN/>
        <w:bidi w:val="0"/>
        <w:spacing w:line="460" w:lineRule="exact"/>
        <w:ind w:left="0"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逾期交货</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逾期交货，应向甲方偿付违约金，自逾期之日起，每逾一日违约罚款按合同总价的0.2%计收，逾期交货的违约赔偿最高限额为合同总价的2.5%，如违约金达到最高限额时乙方仍不能交货，甲方有权终止合同并按乙方不能交货的违约条款执行。甲方有权从履约保证金中得到违约金补偿。乙方未在约定时间内完成安装调试的，参照前款约定承担违约责任。 </w:t>
      </w:r>
    </w:p>
    <w:p>
      <w:pPr>
        <w:keepNext w:val="0"/>
        <w:keepLines w:val="0"/>
        <w:pageBreakBefore w:val="0"/>
        <w:numPr>
          <w:ilvl w:val="0"/>
          <w:numId w:val="1"/>
        </w:numPr>
        <w:kinsoku/>
        <w:wordWrap/>
        <w:overflowPunct/>
        <w:topLinePunct w:val="0"/>
        <w:autoSpaceDE/>
        <w:autoSpaceDN/>
        <w:bidi w:val="0"/>
        <w:spacing w:line="460" w:lineRule="exact"/>
        <w:ind w:left="0"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乙方不能交货或甲方中途退货</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乙方不能交货，履约保证金将被没收并向甲方偿付违约金。违约金按合同总价的10-30%计算。</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甲方中途退货，退还履约保证金并向乙方偿付违约金。违约金的计算方法与乙方违约相同。</w:t>
      </w:r>
    </w:p>
    <w:p>
      <w:pPr>
        <w:keepNext w:val="0"/>
        <w:keepLines w:val="0"/>
        <w:pageBreakBefore w:val="0"/>
        <w:numPr>
          <w:ilvl w:val="0"/>
          <w:numId w:val="1"/>
        </w:numPr>
        <w:kinsoku/>
        <w:wordWrap/>
        <w:overflowPunct/>
        <w:topLinePunct w:val="0"/>
        <w:autoSpaceDE/>
        <w:autoSpaceDN/>
        <w:bidi w:val="0"/>
        <w:spacing w:line="460" w:lineRule="exact"/>
        <w:ind w:left="0"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履约保证金按付款方式及时退还，逾期支付，应向乙方偿付违约金，自逾期之日起，每逾一日违约罚款按履约保证金的0.2%计付，直至付款完成。</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经双方协商同意延期交货或延长履约保证金期限或同意退货且无需罚款者不在此例。</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12、争端的解决</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合同实施或与合同有关的一切争端，甲乙双方首先应通过友好协商解决，如果协商仍得不到解决，任何一方可向甲方所在地人民法院起诉。</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13、约定事项：</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13.1本合同一式伍份，甲方叁份、乙方两份。</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13.2合同经甲乙双方签字盖章后生效。</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13.3如需修改或补充合同内容，经协商，双方应签署书面修改或补充协议，该协议将作为本合同的一个组成部分。</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w:t>
      </w:r>
      <w:r>
        <w:rPr>
          <w:rFonts w:hint="eastAsia" w:ascii="新宋体" w:hAnsi="新宋体" w:eastAsia="新宋体" w:cs="新宋体"/>
          <w:b/>
          <w:color w:val="auto"/>
          <w:sz w:val="22"/>
          <w:szCs w:val="22"/>
          <w:highlight w:val="none"/>
        </w:rPr>
        <w:t>本合同未尽事宜及对合同内容如有异议，以采购文件、响应文件和在招标现场承诺为准，</w:t>
      </w:r>
      <w:r>
        <w:rPr>
          <w:rFonts w:hint="eastAsia" w:ascii="新宋体" w:hAnsi="新宋体" w:eastAsia="新宋体" w:cs="新宋体"/>
          <w:color w:val="auto"/>
          <w:sz w:val="22"/>
          <w:szCs w:val="22"/>
          <w:highlight w:val="none"/>
        </w:rPr>
        <w:t>如遇国家法律、法规及政策另有规定的，从其规定。</w:t>
      </w:r>
    </w:p>
    <w:tbl>
      <w:tblPr>
        <w:tblStyle w:val="5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3" w:type="dxa"/>
            <w:noWrap w:val="0"/>
            <w:vAlign w:val="center"/>
          </w:tcPr>
          <w:p>
            <w:pPr>
              <w:spacing w:line="264" w:lineRule="auto"/>
              <w:rPr>
                <w:rFonts w:ascii="宋体" w:hAnsi="宋体" w:cs="宋体"/>
                <w:color w:val="auto"/>
                <w:spacing w:val="-6"/>
                <w:szCs w:val="21"/>
                <w:highlight w:val="none"/>
              </w:rPr>
            </w:pPr>
            <w:r>
              <w:rPr>
                <w:rFonts w:hint="eastAsia" w:ascii="宋体" w:hAnsi="宋体" w:cs="宋体"/>
                <w:color w:val="auto"/>
                <w:spacing w:val="-6"/>
                <w:szCs w:val="21"/>
                <w:highlight w:val="none"/>
              </w:rPr>
              <w:t>甲方（采购人）：（盖章）浙江工贸职业技术学院</w:t>
            </w:r>
          </w:p>
        </w:tc>
        <w:tc>
          <w:tcPr>
            <w:tcW w:w="4394" w:type="dxa"/>
            <w:noWrap w:val="0"/>
            <w:vAlign w:val="center"/>
          </w:tcPr>
          <w:p>
            <w:pPr>
              <w:spacing w:line="264" w:lineRule="auto"/>
              <w:rPr>
                <w:rFonts w:ascii="宋体" w:hAnsi="宋体" w:cs="宋体"/>
                <w:color w:val="auto"/>
                <w:spacing w:val="-6"/>
                <w:szCs w:val="21"/>
                <w:highlight w:val="none"/>
              </w:rPr>
            </w:pPr>
            <w:r>
              <w:rPr>
                <w:rFonts w:hint="eastAsia" w:ascii="宋体" w:hAnsi="宋体" w:cs="宋体"/>
                <w:color w:val="auto"/>
                <w:spacing w:val="-6"/>
                <w:szCs w:val="21"/>
                <w:highlight w:val="none"/>
              </w:rPr>
              <w:t>乙方（中标供应商）：（盖章）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3" w:type="dxa"/>
            <w:noWrap w:val="0"/>
            <w:vAlign w:val="center"/>
          </w:tcPr>
          <w:p>
            <w:pPr>
              <w:spacing w:line="264" w:lineRule="auto"/>
              <w:jc w:val="left"/>
              <w:rPr>
                <w:rFonts w:ascii="宋体" w:hAnsi="宋体" w:cs="宋体"/>
                <w:color w:val="auto"/>
                <w:spacing w:val="-6"/>
                <w:szCs w:val="21"/>
                <w:highlight w:val="none"/>
              </w:rPr>
            </w:pPr>
            <w:r>
              <w:rPr>
                <w:rFonts w:hint="eastAsia" w:ascii="宋体" w:hAnsi="宋体" w:cs="宋体"/>
                <w:color w:val="auto"/>
                <w:spacing w:val="-6"/>
                <w:szCs w:val="21"/>
                <w:highlight w:val="none"/>
              </w:rPr>
              <w:t>甲方法定代表人</w:t>
            </w:r>
          </w:p>
          <w:p>
            <w:pPr>
              <w:spacing w:line="264" w:lineRule="auto"/>
              <w:jc w:val="left"/>
              <w:rPr>
                <w:rFonts w:ascii="宋体" w:hAnsi="宋体" w:cs="宋体"/>
                <w:color w:val="auto"/>
                <w:spacing w:val="-6"/>
                <w:szCs w:val="21"/>
                <w:highlight w:val="none"/>
              </w:rPr>
            </w:pPr>
            <w:r>
              <w:rPr>
                <w:rFonts w:hint="eastAsia" w:ascii="宋体" w:hAnsi="宋体" w:cs="宋体"/>
                <w:color w:val="auto"/>
                <w:spacing w:val="-6"/>
                <w:szCs w:val="21"/>
                <w:highlight w:val="none"/>
              </w:rPr>
              <w:t>或授权代表（签字）：</w:t>
            </w:r>
            <w:r>
              <w:rPr>
                <w:rFonts w:ascii="宋体" w:hAnsi="宋体" w:cs="宋体"/>
                <w:color w:val="auto"/>
                <w:spacing w:val="-6"/>
                <w:szCs w:val="21"/>
                <w:highlight w:val="none"/>
              </w:rPr>
              <w:t xml:space="preserve"> </w:t>
            </w:r>
          </w:p>
        </w:tc>
        <w:tc>
          <w:tcPr>
            <w:tcW w:w="4394" w:type="dxa"/>
            <w:noWrap w:val="0"/>
            <w:vAlign w:val="center"/>
          </w:tcPr>
          <w:p>
            <w:pPr>
              <w:spacing w:line="264" w:lineRule="auto"/>
              <w:jc w:val="left"/>
              <w:rPr>
                <w:rFonts w:ascii="宋体" w:hAnsi="宋体" w:cs="宋体"/>
                <w:color w:val="auto"/>
                <w:spacing w:val="-6"/>
                <w:szCs w:val="21"/>
                <w:highlight w:val="none"/>
              </w:rPr>
            </w:pPr>
            <w:r>
              <w:rPr>
                <w:rFonts w:hint="eastAsia" w:ascii="宋体" w:hAnsi="宋体" w:cs="宋体"/>
                <w:color w:val="auto"/>
                <w:spacing w:val="-6"/>
                <w:szCs w:val="21"/>
                <w:highlight w:val="none"/>
              </w:rPr>
              <w:t>乙方法定代表人</w:t>
            </w:r>
          </w:p>
          <w:p>
            <w:pPr>
              <w:spacing w:line="264" w:lineRule="auto"/>
              <w:rPr>
                <w:rFonts w:ascii="宋体" w:hAnsi="宋体" w:cs="宋体"/>
                <w:color w:val="auto"/>
                <w:spacing w:val="-6"/>
                <w:szCs w:val="21"/>
                <w:highlight w:val="none"/>
              </w:rPr>
            </w:pPr>
            <w:r>
              <w:rPr>
                <w:rFonts w:hint="eastAsia" w:ascii="宋体" w:hAnsi="宋体" w:cs="宋体"/>
                <w:color w:val="auto"/>
                <w:spacing w:val="-6"/>
                <w:szCs w:val="21"/>
                <w:highlight w:val="none"/>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3" w:type="dxa"/>
            <w:noWrap w:val="0"/>
            <w:vAlign w:val="center"/>
          </w:tcPr>
          <w:p>
            <w:pPr>
              <w:spacing w:line="264" w:lineRule="auto"/>
              <w:rPr>
                <w:rFonts w:ascii="宋体" w:hAnsi="宋体" w:cs="宋体"/>
                <w:color w:val="auto"/>
                <w:spacing w:val="-6"/>
                <w:szCs w:val="21"/>
                <w:highlight w:val="none"/>
              </w:rPr>
            </w:pPr>
            <w:r>
              <w:rPr>
                <w:rFonts w:hint="eastAsia" w:ascii="宋体" w:hAnsi="宋体" w:cs="宋体"/>
                <w:color w:val="auto"/>
                <w:spacing w:val="-6"/>
                <w:szCs w:val="21"/>
                <w:highlight w:val="none"/>
              </w:rPr>
              <w:t>地址：温州市瓯江口产业集聚区雁云路301号</w:t>
            </w:r>
          </w:p>
        </w:tc>
        <w:tc>
          <w:tcPr>
            <w:tcW w:w="4394" w:type="dxa"/>
            <w:noWrap w:val="0"/>
            <w:vAlign w:val="center"/>
          </w:tcPr>
          <w:p>
            <w:pPr>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3" w:type="dxa"/>
            <w:noWrap w:val="0"/>
            <w:vAlign w:val="center"/>
          </w:tcPr>
          <w:p>
            <w:pPr>
              <w:spacing w:line="264" w:lineRule="auto"/>
              <w:rPr>
                <w:rFonts w:ascii="宋体" w:hAnsi="宋体" w:cs="宋体"/>
                <w:color w:val="auto"/>
                <w:spacing w:val="-6"/>
                <w:szCs w:val="21"/>
                <w:highlight w:val="none"/>
              </w:rPr>
            </w:pPr>
            <w:r>
              <w:rPr>
                <w:rFonts w:hint="eastAsia" w:ascii="宋体" w:hAnsi="宋体" w:cs="宋体"/>
                <w:color w:val="auto"/>
                <w:spacing w:val="-6"/>
                <w:szCs w:val="21"/>
                <w:highlight w:val="none"/>
              </w:rPr>
              <w:t>邮编：325000</w:t>
            </w:r>
          </w:p>
        </w:tc>
        <w:tc>
          <w:tcPr>
            <w:tcW w:w="4394" w:type="dxa"/>
            <w:noWrap w:val="0"/>
            <w:vAlign w:val="center"/>
          </w:tcPr>
          <w:p>
            <w:pPr>
              <w:spacing w:line="264" w:lineRule="auto"/>
              <w:rPr>
                <w:rFonts w:hint="default"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3" w:type="dxa"/>
            <w:noWrap w:val="0"/>
            <w:vAlign w:val="center"/>
          </w:tcPr>
          <w:p>
            <w:pPr>
              <w:spacing w:line="264" w:lineRule="auto"/>
              <w:rPr>
                <w:rFonts w:ascii="宋体" w:hAnsi="宋体" w:cs="宋体"/>
                <w:color w:val="auto"/>
                <w:spacing w:val="-6"/>
                <w:szCs w:val="21"/>
                <w:highlight w:val="none"/>
              </w:rPr>
            </w:pPr>
            <w:r>
              <w:rPr>
                <w:rFonts w:hint="eastAsia" w:ascii="宋体" w:hAnsi="宋体" w:cs="宋体"/>
                <w:color w:val="auto"/>
                <w:spacing w:val="-6"/>
                <w:szCs w:val="21"/>
                <w:highlight w:val="none"/>
              </w:rPr>
              <w:t>电话：0577-85515718</w:t>
            </w:r>
          </w:p>
        </w:tc>
        <w:tc>
          <w:tcPr>
            <w:tcW w:w="4394" w:type="dxa"/>
            <w:noWrap w:val="0"/>
            <w:vAlign w:val="center"/>
          </w:tcPr>
          <w:p>
            <w:pPr>
              <w:spacing w:line="264" w:lineRule="auto"/>
              <w:rPr>
                <w:rFonts w:hint="default"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3" w:type="dxa"/>
            <w:noWrap w:val="0"/>
            <w:vAlign w:val="center"/>
          </w:tcPr>
          <w:p>
            <w:pPr>
              <w:spacing w:line="264" w:lineRule="auto"/>
              <w:rPr>
                <w:rFonts w:hint="default"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rPr>
              <w:t>传真：</w:t>
            </w:r>
            <w:r>
              <w:rPr>
                <w:rFonts w:hint="default" w:ascii="宋体" w:hAnsi="宋体" w:cs="宋体"/>
                <w:color w:val="auto"/>
                <w:spacing w:val="-6"/>
                <w:szCs w:val="21"/>
                <w:highlight w:val="none"/>
                <w:lang w:val="en-US"/>
              </w:rPr>
              <w:t>/</w:t>
            </w:r>
          </w:p>
        </w:tc>
        <w:tc>
          <w:tcPr>
            <w:tcW w:w="4394" w:type="dxa"/>
            <w:noWrap w:val="0"/>
            <w:vAlign w:val="center"/>
          </w:tcPr>
          <w:p>
            <w:pPr>
              <w:spacing w:line="264" w:lineRule="auto"/>
              <w:rPr>
                <w:rFonts w:hint="eastAsia"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3" w:type="dxa"/>
            <w:noWrap w:val="0"/>
            <w:vAlign w:val="center"/>
          </w:tcPr>
          <w:p>
            <w:pPr>
              <w:spacing w:line="264" w:lineRule="auto"/>
              <w:rPr>
                <w:rFonts w:ascii="宋体" w:hAnsi="宋体" w:cs="宋体"/>
                <w:color w:val="auto"/>
                <w:spacing w:val="-6"/>
                <w:szCs w:val="21"/>
                <w:highlight w:val="none"/>
              </w:rPr>
            </w:pPr>
            <w:r>
              <w:rPr>
                <w:rFonts w:hint="eastAsia" w:ascii="宋体" w:hAnsi="宋体" w:cs="宋体"/>
                <w:color w:val="auto"/>
                <w:spacing w:val="-6"/>
                <w:szCs w:val="21"/>
                <w:highlight w:val="none"/>
              </w:rPr>
              <w:t>开户银行：温州市工行鹿城支行</w:t>
            </w:r>
          </w:p>
        </w:tc>
        <w:tc>
          <w:tcPr>
            <w:tcW w:w="4394" w:type="dxa"/>
            <w:noWrap w:val="0"/>
            <w:vAlign w:val="center"/>
          </w:tcPr>
          <w:p>
            <w:pPr>
              <w:jc w:val="left"/>
              <w:rPr>
                <w:rFonts w:ascii="宋体" w:hAnsi="宋体" w:cs="宋体"/>
                <w:color w:val="auto"/>
                <w:spacing w:val="-6"/>
                <w:szCs w:val="21"/>
                <w:highlight w:val="none"/>
              </w:rPr>
            </w:pPr>
            <w:r>
              <w:rPr>
                <w:rFonts w:hint="eastAsia" w:ascii="宋体" w:hAnsi="宋体" w:cs="宋体"/>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3" w:type="dxa"/>
            <w:noWrap w:val="0"/>
            <w:vAlign w:val="center"/>
          </w:tcPr>
          <w:p>
            <w:pPr>
              <w:spacing w:line="264" w:lineRule="auto"/>
              <w:rPr>
                <w:rFonts w:ascii="宋体" w:hAnsi="宋体" w:cs="宋体"/>
                <w:color w:val="auto"/>
                <w:spacing w:val="-6"/>
                <w:szCs w:val="21"/>
                <w:highlight w:val="none"/>
              </w:rPr>
            </w:pPr>
            <w:r>
              <w:rPr>
                <w:rFonts w:hint="eastAsia" w:ascii="宋体" w:hAnsi="宋体" w:cs="宋体"/>
                <w:color w:val="auto"/>
                <w:spacing w:val="-6"/>
                <w:szCs w:val="21"/>
                <w:highlight w:val="none"/>
              </w:rPr>
              <w:t>开户名称：浙江工贸职业技术学院</w:t>
            </w:r>
          </w:p>
        </w:tc>
        <w:tc>
          <w:tcPr>
            <w:tcW w:w="4394" w:type="dxa"/>
            <w:noWrap w:val="0"/>
            <w:vAlign w:val="center"/>
          </w:tcPr>
          <w:p>
            <w:pPr>
              <w:jc w:val="left"/>
              <w:rPr>
                <w:rFonts w:ascii="宋体" w:hAnsi="宋体" w:cs="宋体"/>
                <w:color w:val="auto"/>
                <w:spacing w:val="-6"/>
                <w:szCs w:val="21"/>
                <w:highlight w:val="none"/>
              </w:rPr>
            </w:pPr>
            <w:r>
              <w:rPr>
                <w:rFonts w:hint="eastAsia" w:ascii="宋体" w:hAnsi="宋体" w:cs="宋体"/>
                <w:color w:val="auto"/>
                <w:spacing w:val="-6"/>
                <w:szCs w:val="21"/>
                <w:highlight w:val="none"/>
              </w:rPr>
              <w:t>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3" w:type="dxa"/>
            <w:noWrap w:val="0"/>
            <w:vAlign w:val="center"/>
          </w:tcPr>
          <w:p>
            <w:pPr>
              <w:spacing w:line="264" w:lineRule="auto"/>
              <w:rPr>
                <w:rFonts w:ascii="宋体" w:hAnsi="宋体" w:cs="宋体"/>
                <w:color w:val="auto"/>
                <w:spacing w:val="-6"/>
                <w:szCs w:val="21"/>
                <w:highlight w:val="none"/>
              </w:rPr>
            </w:pPr>
            <w:r>
              <w:rPr>
                <w:rFonts w:hint="eastAsia" w:ascii="宋体" w:hAnsi="宋体" w:cs="宋体"/>
                <w:color w:val="auto"/>
                <w:spacing w:val="-6"/>
                <w:szCs w:val="21"/>
                <w:highlight w:val="none"/>
              </w:rPr>
              <w:t>帐号：1203207009049003445</w:t>
            </w:r>
          </w:p>
        </w:tc>
        <w:tc>
          <w:tcPr>
            <w:tcW w:w="4394" w:type="dxa"/>
            <w:noWrap w:val="0"/>
            <w:vAlign w:val="center"/>
          </w:tcPr>
          <w:p>
            <w:pPr>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3" w:type="dxa"/>
            <w:noWrap w:val="0"/>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签字日期：      年    月    日</w:t>
            </w:r>
          </w:p>
        </w:tc>
        <w:tc>
          <w:tcPr>
            <w:tcW w:w="4394" w:type="dxa"/>
            <w:noWrap w:val="0"/>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签字日期：      年    月    日</w:t>
            </w:r>
          </w:p>
        </w:tc>
      </w:tr>
    </w:tbl>
    <w:p>
      <w:pPr>
        <w:rPr>
          <w:rFonts w:ascii="新宋体" w:hAnsi="新宋体" w:eastAsia="新宋体"/>
          <w:b/>
          <w:bCs/>
          <w:color w:val="auto"/>
          <w:sz w:val="22"/>
          <w:highlight w:val="none"/>
        </w:rPr>
      </w:pPr>
    </w:p>
    <w:p>
      <w:pPr>
        <w:pStyle w:val="24"/>
        <w:rPr>
          <w:color w:val="auto"/>
          <w:highlight w:val="none"/>
        </w:rPr>
        <w:sectPr>
          <w:footerReference r:id="rId7" w:type="first"/>
          <w:footerReference r:id="rId6" w:type="default"/>
          <w:pgSz w:w="11906" w:h="16838"/>
          <w:pgMar w:top="1134" w:right="1134" w:bottom="1134" w:left="1134" w:header="851" w:footer="992" w:gutter="0"/>
          <w:pgNumType w:fmt="decimal" w:start="2"/>
          <w:cols w:space="720" w:num="1"/>
          <w:docGrid w:type="lines" w:linePitch="312" w:charSpace="0"/>
        </w:sectPr>
      </w:pPr>
    </w:p>
    <w:p>
      <w:pPr>
        <w:pStyle w:val="3"/>
        <w:jc w:val="center"/>
        <w:rPr>
          <w:rFonts w:ascii="宋体" w:hAnsi="宋体" w:eastAsia="宋体" w:cs="宋体"/>
          <w:color w:val="auto"/>
          <w:highlight w:val="none"/>
        </w:rPr>
      </w:pPr>
      <w:bookmarkStart w:id="111" w:name="_Toc5214"/>
      <w:bookmarkStart w:id="112" w:name="_Toc13882"/>
      <w:bookmarkStart w:id="113" w:name="_Toc24930"/>
      <w:bookmarkStart w:id="114" w:name="_Toc32326"/>
      <w:bookmarkStart w:id="115" w:name="_Toc30549"/>
      <w:bookmarkStart w:id="116" w:name="_Toc20666"/>
      <w:bookmarkStart w:id="117" w:name="_Toc7430"/>
      <w:bookmarkStart w:id="118" w:name="_Toc13247"/>
      <w:bookmarkStart w:id="119" w:name="_Toc19088"/>
      <w:bookmarkStart w:id="120" w:name="_Toc32103"/>
      <w:r>
        <w:rPr>
          <w:rFonts w:hint="eastAsia" w:ascii="宋体" w:hAnsi="宋体" w:eastAsia="宋体" w:cs="宋体"/>
          <w:color w:val="auto"/>
          <w:highlight w:val="none"/>
        </w:rPr>
        <w:t>第三部分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附件</w:t>
      </w:r>
      <w:bookmarkEnd w:id="111"/>
      <w:bookmarkEnd w:id="112"/>
      <w:bookmarkEnd w:id="113"/>
      <w:bookmarkEnd w:id="114"/>
      <w:bookmarkEnd w:id="115"/>
      <w:bookmarkEnd w:id="116"/>
      <w:bookmarkEnd w:id="117"/>
      <w:bookmarkEnd w:id="118"/>
      <w:bookmarkEnd w:id="119"/>
      <w:bookmarkEnd w:id="120"/>
    </w:p>
    <w:p>
      <w:pPr>
        <w:pStyle w:val="24"/>
        <w:spacing w:line="460" w:lineRule="exact"/>
        <w:ind w:left="433" w:hanging="433" w:hangingChars="196"/>
        <w:outlineLvl w:val="1"/>
        <w:rPr>
          <w:rFonts w:ascii="宋体" w:hAnsi="宋体" w:cs="宋体"/>
          <w:b/>
          <w:color w:val="auto"/>
          <w:sz w:val="22"/>
          <w:highlight w:val="none"/>
        </w:rPr>
      </w:pPr>
      <w:bookmarkStart w:id="121" w:name="_Toc25878"/>
      <w:bookmarkStart w:id="122" w:name="_Toc27095"/>
      <w:bookmarkStart w:id="123" w:name="_Toc6368"/>
      <w:bookmarkStart w:id="124" w:name="_Toc7056"/>
      <w:bookmarkStart w:id="125" w:name="_Toc9692"/>
      <w:bookmarkStart w:id="126" w:name="_Toc23666"/>
      <w:bookmarkStart w:id="127" w:name="_Toc26307"/>
      <w:bookmarkStart w:id="128" w:name="_Toc16411"/>
      <w:bookmarkStart w:id="129" w:name="_Toc11279"/>
      <w:bookmarkStart w:id="130" w:name="_Toc26225"/>
      <w:bookmarkStart w:id="131" w:name="_Toc8074"/>
      <w:r>
        <w:rPr>
          <w:rFonts w:hint="eastAsia" w:ascii="宋体" w:hAnsi="宋体" w:cs="宋体"/>
          <w:b/>
          <w:color w:val="auto"/>
          <w:sz w:val="22"/>
          <w:highlight w:val="none"/>
        </w:rPr>
        <w:t>附件一</w:t>
      </w:r>
      <w:bookmarkEnd w:id="121"/>
      <w:bookmarkEnd w:id="122"/>
      <w:bookmarkEnd w:id="123"/>
      <w:bookmarkEnd w:id="124"/>
      <w:bookmarkEnd w:id="125"/>
      <w:bookmarkEnd w:id="126"/>
      <w:bookmarkEnd w:id="127"/>
      <w:bookmarkEnd w:id="128"/>
      <w:bookmarkEnd w:id="129"/>
      <w:bookmarkEnd w:id="130"/>
      <w:bookmarkEnd w:id="131"/>
    </w:p>
    <w:p>
      <w:pPr>
        <w:spacing w:line="400" w:lineRule="exact"/>
        <w:jc w:val="center"/>
        <w:outlineLvl w:val="2"/>
        <w:rPr>
          <w:rFonts w:ascii="宋体" w:hAnsi="宋体" w:cs="宋体"/>
          <w:b/>
          <w:bCs/>
          <w:color w:val="auto"/>
          <w:sz w:val="28"/>
          <w:szCs w:val="28"/>
          <w:highlight w:val="none"/>
        </w:rPr>
      </w:pPr>
      <w:bookmarkStart w:id="132" w:name="_Toc23729"/>
      <w:bookmarkStart w:id="133" w:name="_Toc27810"/>
      <w:bookmarkStart w:id="134" w:name="_Toc30304"/>
      <w:bookmarkStart w:id="135" w:name="_Toc13365"/>
      <w:bookmarkStart w:id="136" w:name="_Toc24731"/>
      <w:bookmarkStart w:id="137" w:name="_Toc20439"/>
      <w:bookmarkStart w:id="138" w:name="_Toc5430"/>
      <w:bookmarkStart w:id="139" w:name="_Toc17536"/>
      <w:r>
        <w:rPr>
          <w:rFonts w:hint="eastAsia" w:ascii="宋体" w:hAnsi="宋体" w:cs="宋体"/>
          <w:b/>
          <w:bCs/>
          <w:color w:val="auto"/>
          <w:sz w:val="28"/>
          <w:szCs w:val="28"/>
          <w:highlight w:val="none"/>
        </w:rPr>
        <w:t>报价文件</w:t>
      </w:r>
      <w:bookmarkEnd w:id="132"/>
      <w:bookmarkEnd w:id="133"/>
      <w:bookmarkEnd w:id="134"/>
      <w:bookmarkEnd w:id="135"/>
      <w:bookmarkEnd w:id="136"/>
      <w:bookmarkEnd w:id="137"/>
      <w:bookmarkEnd w:id="138"/>
      <w:bookmarkEnd w:id="139"/>
    </w:p>
    <w:p>
      <w:pPr>
        <w:spacing w:line="40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lang w:val="zh-CN" w:eastAsia="zh-CN"/>
        </w:rPr>
        <w:t>投标报价一览表</w:t>
      </w: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color w:val="auto"/>
          <w:highlight w:val="none"/>
        </w:rPr>
      </w:pPr>
      <w:r>
        <w:rPr>
          <w:rFonts w:hint="eastAsia" w:ascii="新宋体" w:hAnsi="新宋体" w:eastAsia="新宋体" w:cs="新宋体"/>
          <w:bCs/>
          <w:color w:val="auto"/>
          <w:sz w:val="22"/>
          <w:szCs w:val="22"/>
          <w:highlight w:val="none"/>
        </w:rPr>
        <w:t>项 目 编 号：</w:t>
      </w:r>
    </w:p>
    <w:tbl>
      <w:tblPr>
        <w:tblStyle w:val="5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226"/>
        <w:gridCol w:w="5648"/>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8"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226" w:type="dxa"/>
            <w:vAlign w:val="center"/>
          </w:tcPr>
          <w:p>
            <w:pPr>
              <w:spacing w:line="380" w:lineRule="exact"/>
              <w:jc w:val="center"/>
              <w:rPr>
                <w:rFonts w:ascii="宋体" w:hAnsi="宋体" w:cs="宋体"/>
                <w:color w:val="auto"/>
                <w:sz w:val="22"/>
                <w:highlight w:val="none"/>
              </w:rPr>
            </w:pPr>
            <w:r>
              <w:rPr>
                <w:rFonts w:hint="eastAsia" w:ascii="宋体" w:hAnsi="宋体" w:cs="宋体"/>
                <w:bCs/>
                <w:color w:val="auto"/>
                <w:sz w:val="22"/>
                <w:szCs w:val="22"/>
                <w:highlight w:val="none"/>
              </w:rPr>
              <w:t>项目名称</w:t>
            </w:r>
          </w:p>
        </w:tc>
        <w:tc>
          <w:tcPr>
            <w:tcW w:w="5648" w:type="dxa"/>
            <w:vAlign w:val="center"/>
          </w:tcPr>
          <w:p>
            <w:pPr>
              <w:spacing w:line="380" w:lineRule="exact"/>
              <w:ind w:left="-422" w:leftChars="-201" w:firstLine="968" w:firstLineChars="440"/>
              <w:jc w:val="center"/>
              <w:rPr>
                <w:rFonts w:ascii="宋体" w:hAnsi="宋体" w:cs="宋体"/>
                <w:color w:val="auto"/>
                <w:sz w:val="22"/>
                <w:highlight w:val="none"/>
              </w:rPr>
            </w:pPr>
            <w:r>
              <w:rPr>
                <w:rFonts w:hint="eastAsia" w:ascii="宋体" w:hAnsi="宋体" w:cs="宋体"/>
                <w:bCs/>
                <w:color w:val="auto"/>
                <w:sz w:val="22"/>
                <w:szCs w:val="22"/>
                <w:highlight w:val="none"/>
              </w:rPr>
              <w:t>投标报价（人民币：元）</w:t>
            </w:r>
          </w:p>
        </w:tc>
        <w:tc>
          <w:tcPr>
            <w:tcW w:w="915"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98" w:type="dxa"/>
            <w:vMerge w:val="restart"/>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2226" w:type="dxa"/>
            <w:vMerge w:val="restart"/>
            <w:vAlign w:val="center"/>
          </w:tcPr>
          <w:p>
            <w:pPr>
              <w:spacing w:line="380" w:lineRule="exact"/>
              <w:jc w:val="center"/>
              <w:rPr>
                <w:rFonts w:ascii="宋体" w:hAnsi="宋体" w:cs="宋体"/>
                <w:color w:val="auto"/>
                <w:sz w:val="22"/>
                <w:highlight w:val="none"/>
              </w:rPr>
            </w:pPr>
          </w:p>
        </w:tc>
        <w:tc>
          <w:tcPr>
            <w:tcW w:w="5648" w:type="dxa"/>
            <w:vAlign w:val="center"/>
          </w:tcPr>
          <w:p>
            <w:pPr>
              <w:spacing w:line="380" w:lineRule="exact"/>
              <w:rPr>
                <w:rFonts w:ascii="宋体" w:hAnsi="宋体" w:cs="宋体"/>
                <w:color w:val="auto"/>
                <w:sz w:val="22"/>
                <w:highlight w:val="none"/>
              </w:rPr>
            </w:pPr>
            <w:r>
              <w:rPr>
                <w:rFonts w:hint="eastAsia" w:ascii="宋体" w:hAnsi="宋体" w:cs="宋体"/>
                <w:color w:val="auto"/>
                <w:sz w:val="22"/>
                <w:highlight w:val="none"/>
              </w:rPr>
              <w:t>大写：</w:t>
            </w:r>
          </w:p>
        </w:tc>
        <w:tc>
          <w:tcPr>
            <w:tcW w:w="915" w:type="dxa"/>
            <w:vMerge w:val="restart"/>
            <w:vAlign w:val="center"/>
          </w:tcPr>
          <w:p>
            <w:pPr>
              <w:spacing w:line="38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98" w:type="dxa"/>
            <w:vMerge w:val="continue"/>
            <w:vAlign w:val="center"/>
          </w:tcPr>
          <w:p>
            <w:pPr>
              <w:spacing w:line="380" w:lineRule="exact"/>
              <w:jc w:val="center"/>
              <w:rPr>
                <w:rFonts w:ascii="宋体" w:hAnsi="宋体" w:cs="宋体"/>
                <w:color w:val="auto"/>
                <w:sz w:val="22"/>
                <w:highlight w:val="none"/>
              </w:rPr>
            </w:pPr>
          </w:p>
        </w:tc>
        <w:tc>
          <w:tcPr>
            <w:tcW w:w="2226" w:type="dxa"/>
            <w:vMerge w:val="continue"/>
            <w:vAlign w:val="center"/>
          </w:tcPr>
          <w:p>
            <w:pPr>
              <w:spacing w:line="380" w:lineRule="exact"/>
              <w:jc w:val="center"/>
              <w:rPr>
                <w:rFonts w:ascii="宋体" w:hAnsi="宋体" w:cs="宋体"/>
                <w:color w:val="auto"/>
                <w:sz w:val="22"/>
                <w:highlight w:val="none"/>
              </w:rPr>
            </w:pPr>
          </w:p>
        </w:tc>
        <w:tc>
          <w:tcPr>
            <w:tcW w:w="5648" w:type="dxa"/>
            <w:vAlign w:val="center"/>
          </w:tcPr>
          <w:p>
            <w:pPr>
              <w:spacing w:line="380" w:lineRule="exact"/>
              <w:rPr>
                <w:rFonts w:ascii="宋体" w:hAnsi="宋体" w:cs="宋体"/>
                <w:color w:val="auto"/>
                <w:sz w:val="22"/>
                <w:highlight w:val="none"/>
              </w:rPr>
            </w:pPr>
            <w:r>
              <w:rPr>
                <w:rFonts w:hint="eastAsia" w:ascii="宋体" w:hAnsi="宋体" w:cs="宋体"/>
                <w:color w:val="auto"/>
                <w:sz w:val="22"/>
                <w:highlight w:val="none"/>
              </w:rPr>
              <w:t>小写：</w:t>
            </w:r>
          </w:p>
        </w:tc>
        <w:tc>
          <w:tcPr>
            <w:tcW w:w="915" w:type="dxa"/>
            <w:vMerge w:val="continue"/>
            <w:vAlign w:val="center"/>
          </w:tcPr>
          <w:p>
            <w:pPr>
              <w:spacing w:line="380" w:lineRule="exact"/>
              <w:jc w:val="center"/>
              <w:rPr>
                <w:rFonts w:ascii="宋体" w:hAnsi="宋体" w:cs="宋体"/>
                <w:color w:val="auto"/>
                <w:sz w:val="22"/>
                <w:highlight w:val="none"/>
              </w:rPr>
            </w:pPr>
          </w:p>
        </w:tc>
      </w:tr>
    </w:tbl>
    <w:p>
      <w:pPr>
        <w:spacing w:line="40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说明：</w:t>
      </w:r>
    </w:p>
    <w:p>
      <w:pPr>
        <w:numPr>
          <w:ilvl w:val="0"/>
          <w:numId w:val="2"/>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此栏投标报价应与“</w:t>
      </w:r>
      <w:r>
        <w:rPr>
          <w:rFonts w:hint="eastAsia" w:ascii="宋体" w:hAnsi="宋体" w:cs="宋体"/>
          <w:b/>
          <w:color w:val="auto"/>
          <w:sz w:val="22"/>
          <w:highlight w:val="none"/>
          <w:lang w:val="en-US" w:eastAsia="zh-CN"/>
        </w:rPr>
        <w:t>2</w:t>
      </w:r>
      <w:r>
        <w:rPr>
          <w:rFonts w:hint="eastAsia" w:ascii="宋体" w:hAnsi="宋体" w:cs="宋体"/>
          <w:b/>
          <w:color w:val="auto"/>
          <w:sz w:val="22"/>
          <w:highlight w:val="none"/>
        </w:rPr>
        <w:t>、投标分项报价表”中的总计价相一致。</w:t>
      </w:r>
    </w:p>
    <w:p>
      <w:pPr>
        <w:numPr>
          <w:ilvl w:val="0"/>
          <w:numId w:val="2"/>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不提供此表格将被视为没有实质性响应招标文件</w:t>
      </w:r>
    </w:p>
    <w:p>
      <w:pPr>
        <w:spacing w:line="360" w:lineRule="auto"/>
        <w:jc w:val="center"/>
        <w:rPr>
          <w:rFonts w:ascii="宋体" w:hAnsi="宋体" w:cs="宋体"/>
          <w:color w:val="auto"/>
          <w:sz w:val="22"/>
          <w:szCs w:val="22"/>
          <w:highlight w:val="none"/>
        </w:rPr>
      </w:pPr>
    </w:p>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日    期：</w:t>
      </w: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pStyle w:val="25"/>
        <w:ind w:left="860" w:hanging="440"/>
        <w:rPr>
          <w:rFonts w:ascii="宋体" w:hAnsi="宋体"/>
          <w:color w:val="auto"/>
          <w:sz w:val="22"/>
          <w:szCs w:val="22"/>
          <w:highlight w:val="none"/>
        </w:rPr>
      </w:pPr>
    </w:p>
    <w:p>
      <w:pPr>
        <w:rPr>
          <w:rFonts w:ascii="宋体" w:hAnsi="宋体"/>
          <w:color w:val="auto"/>
          <w:sz w:val="22"/>
          <w:szCs w:val="22"/>
          <w:highlight w:val="none"/>
        </w:rPr>
      </w:pPr>
    </w:p>
    <w:p>
      <w:pPr>
        <w:rPr>
          <w:rFonts w:ascii="宋体" w:hAnsi="宋体"/>
          <w:color w:val="auto"/>
          <w:sz w:val="22"/>
          <w:szCs w:val="22"/>
          <w:highlight w:val="none"/>
        </w:rPr>
      </w:pPr>
    </w:p>
    <w:p>
      <w:pPr>
        <w:rPr>
          <w:rFonts w:ascii="宋体" w:hAnsi="宋体"/>
          <w:color w:val="auto"/>
          <w:sz w:val="22"/>
          <w:szCs w:val="22"/>
          <w:highlight w:val="none"/>
        </w:rPr>
      </w:pPr>
    </w:p>
    <w:p>
      <w:pPr>
        <w:spacing w:line="40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2</w:t>
      </w:r>
      <w:r>
        <w:rPr>
          <w:rFonts w:hint="eastAsia" w:ascii="新宋体" w:hAnsi="新宋体" w:eastAsia="新宋体" w:cs="新宋体"/>
          <w:b/>
          <w:bCs/>
          <w:color w:val="auto"/>
          <w:sz w:val="28"/>
          <w:szCs w:val="28"/>
          <w:highlight w:val="none"/>
          <w:lang w:val="zh-CN" w:eastAsia="zh-CN"/>
        </w:rPr>
        <w:t>、</w:t>
      </w:r>
      <w:r>
        <w:rPr>
          <w:rFonts w:hint="eastAsia" w:ascii="新宋体" w:hAnsi="新宋体" w:eastAsia="新宋体" w:cs="新宋体"/>
          <w:b/>
          <w:bCs/>
          <w:color w:val="auto"/>
          <w:sz w:val="28"/>
          <w:szCs w:val="28"/>
          <w:highlight w:val="none"/>
          <w:lang w:val="en-US" w:eastAsia="zh-CN"/>
        </w:rPr>
        <w:t>投标</w:t>
      </w:r>
      <w:r>
        <w:rPr>
          <w:rFonts w:hint="eastAsia" w:ascii="新宋体" w:hAnsi="新宋体" w:eastAsia="新宋体" w:cs="新宋体"/>
          <w:b/>
          <w:bCs/>
          <w:color w:val="auto"/>
          <w:sz w:val="28"/>
          <w:szCs w:val="28"/>
          <w:highlight w:val="none"/>
          <w:lang w:val="zh-CN" w:eastAsia="zh-CN"/>
        </w:rPr>
        <w:t>分项报价表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b/>
          <w:color w:val="auto"/>
          <w:sz w:val="22"/>
          <w:szCs w:val="22"/>
          <w:highlight w:val="none"/>
        </w:rPr>
      </w:pPr>
      <w:r>
        <w:rPr>
          <w:rFonts w:hint="eastAsia" w:ascii="新宋体" w:hAnsi="新宋体" w:eastAsia="新宋体" w:cs="新宋体"/>
          <w:bCs/>
          <w:color w:val="auto"/>
          <w:sz w:val="22"/>
          <w:szCs w:val="22"/>
          <w:highlight w:val="none"/>
        </w:rPr>
        <w:t>项 目 编 号：</w:t>
      </w:r>
    </w:p>
    <w:tbl>
      <w:tblPr>
        <w:tblStyle w:val="53"/>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spacing w:line="460" w:lineRule="exact"/>
              <w:ind w:right="-11"/>
              <w:jc w:val="center"/>
              <w:rPr>
                <w:color w:val="auto"/>
                <w:sz w:val="22"/>
                <w:szCs w:val="22"/>
                <w:highlight w:val="none"/>
              </w:rPr>
            </w:pPr>
            <w:r>
              <w:rPr>
                <w:color w:val="auto"/>
                <w:sz w:val="22"/>
                <w:szCs w:val="22"/>
                <w:highlight w:val="none"/>
              </w:rPr>
              <w:t>项目</w:t>
            </w:r>
          </w:p>
        </w:tc>
        <w:tc>
          <w:tcPr>
            <w:tcW w:w="1605" w:type="dxa"/>
            <w:vAlign w:val="center"/>
          </w:tcPr>
          <w:p>
            <w:pPr>
              <w:spacing w:line="460" w:lineRule="exact"/>
              <w:ind w:right="-11"/>
              <w:jc w:val="center"/>
              <w:rPr>
                <w:color w:val="auto"/>
                <w:sz w:val="22"/>
                <w:szCs w:val="22"/>
                <w:highlight w:val="none"/>
              </w:rPr>
            </w:pPr>
            <w:r>
              <w:rPr>
                <w:color w:val="auto"/>
                <w:sz w:val="22"/>
                <w:szCs w:val="22"/>
                <w:highlight w:val="none"/>
              </w:rPr>
              <w:t>货物名称</w:t>
            </w:r>
          </w:p>
        </w:tc>
        <w:tc>
          <w:tcPr>
            <w:tcW w:w="1477" w:type="dxa"/>
            <w:vAlign w:val="center"/>
          </w:tcPr>
          <w:p>
            <w:pPr>
              <w:spacing w:line="460" w:lineRule="exact"/>
              <w:ind w:right="-11"/>
              <w:jc w:val="center"/>
              <w:rPr>
                <w:color w:val="auto"/>
                <w:sz w:val="22"/>
                <w:szCs w:val="22"/>
                <w:highlight w:val="none"/>
              </w:rPr>
            </w:pPr>
            <w:r>
              <w:rPr>
                <w:color w:val="auto"/>
                <w:sz w:val="22"/>
                <w:szCs w:val="22"/>
                <w:highlight w:val="none"/>
              </w:rPr>
              <w:t>品牌型号规格、产地</w:t>
            </w:r>
          </w:p>
        </w:tc>
        <w:tc>
          <w:tcPr>
            <w:tcW w:w="1570" w:type="dxa"/>
            <w:vAlign w:val="center"/>
          </w:tcPr>
          <w:p>
            <w:pPr>
              <w:spacing w:line="460" w:lineRule="exact"/>
              <w:ind w:right="-11"/>
              <w:jc w:val="center"/>
              <w:rPr>
                <w:color w:val="auto"/>
                <w:sz w:val="22"/>
                <w:szCs w:val="22"/>
                <w:highlight w:val="none"/>
              </w:rPr>
            </w:pPr>
            <w:r>
              <w:rPr>
                <w:color w:val="auto"/>
                <w:sz w:val="22"/>
                <w:szCs w:val="22"/>
                <w:highlight w:val="none"/>
              </w:rPr>
              <w:t>制造厂商名称</w:t>
            </w:r>
          </w:p>
        </w:tc>
        <w:tc>
          <w:tcPr>
            <w:tcW w:w="708" w:type="dxa"/>
            <w:vAlign w:val="center"/>
          </w:tcPr>
          <w:p>
            <w:pPr>
              <w:spacing w:line="460" w:lineRule="exact"/>
              <w:ind w:right="-11"/>
              <w:jc w:val="center"/>
              <w:rPr>
                <w:color w:val="auto"/>
                <w:sz w:val="22"/>
                <w:szCs w:val="22"/>
                <w:highlight w:val="none"/>
              </w:rPr>
            </w:pPr>
            <w:r>
              <w:rPr>
                <w:color w:val="auto"/>
                <w:sz w:val="22"/>
                <w:szCs w:val="22"/>
                <w:highlight w:val="none"/>
              </w:rPr>
              <w:t>单位</w:t>
            </w:r>
          </w:p>
        </w:tc>
        <w:tc>
          <w:tcPr>
            <w:tcW w:w="708" w:type="dxa"/>
            <w:vAlign w:val="center"/>
          </w:tcPr>
          <w:p>
            <w:pPr>
              <w:spacing w:line="460" w:lineRule="exact"/>
              <w:ind w:right="-11"/>
              <w:jc w:val="center"/>
              <w:rPr>
                <w:color w:val="auto"/>
                <w:sz w:val="22"/>
                <w:szCs w:val="22"/>
                <w:highlight w:val="none"/>
              </w:rPr>
            </w:pPr>
            <w:r>
              <w:rPr>
                <w:color w:val="auto"/>
                <w:sz w:val="22"/>
                <w:szCs w:val="22"/>
                <w:highlight w:val="none"/>
              </w:rPr>
              <w:t>数量</w:t>
            </w:r>
          </w:p>
        </w:tc>
        <w:tc>
          <w:tcPr>
            <w:tcW w:w="1143" w:type="dxa"/>
            <w:vAlign w:val="center"/>
          </w:tcPr>
          <w:p>
            <w:pPr>
              <w:spacing w:line="460" w:lineRule="exact"/>
              <w:ind w:right="-11"/>
              <w:jc w:val="center"/>
              <w:rPr>
                <w:color w:val="auto"/>
                <w:sz w:val="22"/>
                <w:szCs w:val="22"/>
                <w:highlight w:val="none"/>
              </w:rPr>
            </w:pPr>
            <w:r>
              <w:rPr>
                <w:color w:val="auto"/>
                <w:sz w:val="22"/>
                <w:szCs w:val="22"/>
                <w:highlight w:val="none"/>
              </w:rPr>
              <w:t>出厂单价</w:t>
            </w:r>
          </w:p>
          <w:p>
            <w:pPr>
              <w:spacing w:line="460" w:lineRule="exact"/>
              <w:ind w:right="-11"/>
              <w:jc w:val="center"/>
              <w:rPr>
                <w:color w:val="auto"/>
                <w:sz w:val="22"/>
                <w:szCs w:val="22"/>
                <w:highlight w:val="none"/>
              </w:rPr>
            </w:pPr>
            <w:r>
              <w:rPr>
                <w:color w:val="auto"/>
                <w:sz w:val="22"/>
                <w:szCs w:val="22"/>
                <w:highlight w:val="none"/>
              </w:rPr>
              <w:t>（含税）</w:t>
            </w:r>
          </w:p>
        </w:tc>
        <w:tc>
          <w:tcPr>
            <w:tcW w:w="1000" w:type="dxa"/>
            <w:vAlign w:val="center"/>
          </w:tcPr>
          <w:p>
            <w:pPr>
              <w:spacing w:line="460" w:lineRule="exact"/>
              <w:ind w:right="-11"/>
              <w:jc w:val="center"/>
              <w:rPr>
                <w:color w:val="auto"/>
                <w:sz w:val="22"/>
                <w:szCs w:val="22"/>
                <w:highlight w:val="none"/>
              </w:rPr>
            </w:pPr>
            <w:r>
              <w:rPr>
                <w:color w:val="auto"/>
                <w:sz w:val="22"/>
                <w:szCs w:val="22"/>
                <w:highlight w:val="none"/>
              </w:rPr>
              <w:t>总价</w:t>
            </w:r>
          </w:p>
          <w:p>
            <w:pPr>
              <w:spacing w:line="460" w:lineRule="exact"/>
              <w:ind w:right="-11"/>
              <w:jc w:val="center"/>
              <w:rPr>
                <w:color w:val="auto"/>
                <w:sz w:val="22"/>
                <w:szCs w:val="22"/>
                <w:highlight w:val="none"/>
              </w:rPr>
            </w:pPr>
            <w:r>
              <w:rPr>
                <w:color w:val="auto"/>
                <w:sz w:val="22"/>
                <w:szCs w:val="22"/>
                <w:highlight w:val="none"/>
              </w:rPr>
              <w:t>（含税）</w:t>
            </w:r>
          </w:p>
        </w:tc>
        <w:tc>
          <w:tcPr>
            <w:tcW w:w="1159" w:type="dxa"/>
            <w:vAlign w:val="center"/>
          </w:tcPr>
          <w:p>
            <w:pPr>
              <w:spacing w:line="460" w:lineRule="exact"/>
              <w:ind w:right="-11"/>
              <w:jc w:val="center"/>
              <w:rPr>
                <w:color w:val="auto"/>
                <w:sz w:val="22"/>
                <w:szCs w:val="22"/>
                <w:highlight w:val="none"/>
              </w:rPr>
            </w:pPr>
            <w:r>
              <w:rPr>
                <w:color w:val="auto"/>
                <w:sz w:val="22"/>
                <w:szCs w:val="22"/>
                <w:highlight w:val="none"/>
              </w:rPr>
              <w:t>免费</w:t>
            </w:r>
          </w:p>
          <w:p>
            <w:pPr>
              <w:spacing w:line="460" w:lineRule="exact"/>
              <w:ind w:right="-11"/>
              <w:jc w:val="center"/>
              <w:rPr>
                <w:color w:val="auto"/>
                <w:sz w:val="22"/>
                <w:szCs w:val="22"/>
                <w:highlight w:val="none"/>
              </w:rPr>
            </w:pPr>
            <w:r>
              <w:rPr>
                <w:color w:val="auto"/>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05" w:type="dxa"/>
            <w:vAlign w:val="center"/>
          </w:tcPr>
          <w:p>
            <w:pPr>
              <w:widowControl/>
              <w:jc w:val="center"/>
              <w:textAlignment w:val="center"/>
              <w:rPr>
                <w:color w:val="auto"/>
                <w:sz w:val="22"/>
                <w:szCs w:val="22"/>
                <w:highlight w:val="none"/>
              </w:rPr>
            </w:pPr>
          </w:p>
        </w:tc>
        <w:tc>
          <w:tcPr>
            <w:tcW w:w="1477" w:type="dxa"/>
            <w:vAlign w:val="center"/>
          </w:tcPr>
          <w:p>
            <w:pPr>
              <w:spacing w:line="460" w:lineRule="exact"/>
              <w:jc w:val="center"/>
              <w:rPr>
                <w:color w:val="auto"/>
                <w:sz w:val="22"/>
                <w:szCs w:val="22"/>
                <w:highlight w:val="none"/>
              </w:rPr>
            </w:pPr>
          </w:p>
        </w:tc>
        <w:tc>
          <w:tcPr>
            <w:tcW w:w="1570" w:type="dxa"/>
            <w:vAlign w:val="center"/>
          </w:tcPr>
          <w:p>
            <w:pPr>
              <w:spacing w:line="460" w:lineRule="exact"/>
              <w:ind w:right="-11"/>
              <w:jc w:val="center"/>
              <w:rPr>
                <w:color w:val="auto"/>
                <w:sz w:val="22"/>
                <w:szCs w:val="22"/>
                <w:highlight w:val="none"/>
              </w:rPr>
            </w:pPr>
          </w:p>
        </w:tc>
        <w:tc>
          <w:tcPr>
            <w:tcW w:w="708" w:type="dxa"/>
            <w:vAlign w:val="center"/>
          </w:tcPr>
          <w:p>
            <w:pPr>
              <w:widowControl/>
              <w:jc w:val="center"/>
              <w:textAlignment w:val="center"/>
              <w:rPr>
                <w:color w:val="auto"/>
                <w:sz w:val="22"/>
                <w:szCs w:val="22"/>
                <w:highlight w:val="none"/>
              </w:rPr>
            </w:pPr>
          </w:p>
        </w:tc>
        <w:tc>
          <w:tcPr>
            <w:tcW w:w="708" w:type="dxa"/>
            <w:vAlign w:val="center"/>
          </w:tcPr>
          <w:p>
            <w:pPr>
              <w:spacing w:line="460" w:lineRule="exact"/>
              <w:jc w:val="center"/>
              <w:rPr>
                <w:color w:val="auto"/>
                <w:sz w:val="22"/>
                <w:szCs w:val="22"/>
                <w:highlight w:val="none"/>
              </w:rPr>
            </w:pPr>
          </w:p>
        </w:tc>
        <w:tc>
          <w:tcPr>
            <w:tcW w:w="1143" w:type="dxa"/>
            <w:vAlign w:val="center"/>
          </w:tcPr>
          <w:p>
            <w:pPr>
              <w:spacing w:line="460" w:lineRule="exact"/>
              <w:ind w:right="-11"/>
              <w:jc w:val="center"/>
              <w:rPr>
                <w:color w:val="auto"/>
                <w:sz w:val="22"/>
                <w:szCs w:val="22"/>
                <w:highlight w:val="none"/>
              </w:rPr>
            </w:pPr>
          </w:p>
        </w:tc>
        <w:tc>
          <w:tcPr>
            <w:tcW w:w="1000" w:type="dxa"/>
            <w:vAlign w:val="center"/>
          </w:tcPr>
          <w:p>
            <w:pPr>
              <w:spacing w:line="460" w:lineRule="exact"/>
              <w:ind w:right="-11"/>
              <w:jc w:val="center"/>
              <w:rPr>
                <w:color w:val="auto"/>
                <w:sz w:val="22"/>
                <w:szCs w:val="22"/>
                <w:highlight w:val="none"/>
              </w:rPr>
            </w:pPr>
          </w:p>
        </w:tc>
        <w:tc>
          <w:tcPr>
            <w:tcW w:w="1159" w:type="dxa"/>
            <w:vAlign w:val="center"/>
          </w:tcPr>
          <w:p>
            <w:pPr>
              <w:spacing w:line="460" w:lineRule="exact"/>
              <w:ind w:right="-11"/>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605" w:type="dxa"/>
            <w:vAlign w:val="center"/>
          </w:tcPr>
          <w:p>
            <w:pPr>
              <w:widowControl/>
              <w:jc w:val="center"/>
              <w:textAlignment w:val="center"/>
              <w:rPr>
                <w:color w:val="auto"/>
                <w:sz w:val="22"/>
                <w:szCs w:val="22"/>
                <w:highlight w:val="none"/>
              </w:rPr>
            </w:pPr>
          </w:p>
        </w:tc>
        <w:tc>
          <w:tcPr>
            <w:tcW w:w="1477" w:type="dxa"/>
            <w:vAlign w:val="center"/>
          </w:tcPr>
          <w:p>
            <w:pPr>
              <w:spacing w:line="460" w:lineRule="exact"/>
              <w:jc w:val="center"/>
              <w:rPr>
                <w:color w:val="auto"/>
                <w:sz w:val="22"/>
                <w:szCs w:val="22"/>
                <w:highlight w:val="none"/>
              </w:rPr>
            </w:pPr>
          </w:p>
        </w:tc>
        <w:tc>
          <w:tcPr>
            <w:tcW w:w="1570" w:type="dxa"/>
            <w:vAlign w:val="center"/>
          </w:tcPr>
          <w:p>
            <w:pPr>
              <w:spacing w:line="460" w:lineRule="exact"/>
              <w:ind w:right="-11"/>
              <w:jc w:val="center"/>
              <w:rPr>
                <w:color w:val="auto"/>
                <w:sz w:val="22"/>
                <w:szCs w:val="22"/>
                <w:highlight w:val="none"/>
              </w:rPr>
            </w:pPr>
          </w:p>
        </w:tc>
        <w:tc>
          <w:tcPr>
            <w:tcW w:w="708" w:type="dxa"/>
            <w:vAlign w:val="center"/>
          </w:tcPr>
          <w:p>
            <w:pPr>
              <w:widowControl/>
              <w:jc w:val="center"/>
              <w:textAlignment w:val="center"/>
              <w:rPr>
                <w:color w:val="auto"/>
                <w:sz w:val="22"/>
                <w:szCs w:val="22"/>
                <w:highlight w:val="none"/>
              </w:rPr>
            </w:pPr>
          </w:p>
        </w:tc>
        <w:tc>
          <w:tcPr>
            <w:tcW w:w="708" w:type="dxa"/>
            <w:vAlign w:val="center"/>
          </w:tcPr>
          <w:p>
            <w:pPr>
              <w:spacing w:line="460" w:lineRule="exact"/>
              <w:jc w:val="center"/>
              <w:rPr>
                <w:color w:val="auto"/>
                <w:sz w:val="22"/>
                <w:szCs w:val="22"/>
                <w:highlight w:val="none"/>
              </w:rPr>
            </w:pPr>
          </w:p>
        </w:tc>
        <w:tc>
          <w:tcPr>
            <w:tcW w:w="1143" w:type="dxa"/>
            <w:vAlign w:val="center"/>
          </w:tcPr>
          <w:p>
            <w:pPr>
              <w:spacing w:line="460" w:lineRule="exact"/>
              <w:ind w:right="-11"/>
              <w:jc w:val="center"/>
              <w:rPr>
                <w:color w:val="auto"/>
                <w:sz w:val="22"/>
                <w:szCs w:val="22"/>
                <w:highlight w:val="none"/>
              </w:rPr>
            </w:pPr>
          </w:p>
        </w:tc>
        <w:tc>
          <w:tcPr>
            <w:tcW w:w="1000" w:type="dxa"/>
            <w:vAlign w:val="center"/>
          </w:tcPr>
          <w:p>
            <w:pPr>
              <w:spacing w:line="460" w:lineRule="exact"/>
              <w:ind w:right="-11"/>
              <w:jc w:val="center"/>
              <w:rPr>
                <w:color w:val="auto"/>
                <w:sz w:val="22"/>
                <w:szCs w:val="22"/>
                <w:highlight w:val="none"/>
              </w:rPr>
            </w:pPr>
          </w:p>
        </w:tc>
        <w:tc>
          <w:tcPr>
            <w:tcW w:w="1159" w:type="dxa"/>
            <w:vAlign w:val="center"/>
          </w:tcPr>
          <w:p>
            <w:pPr>
              <w:spacing w:line="460" w:lineRule="exact"/>
              <w:ind w:right="-11"/>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605" w:type="dxa"/>
            <w:vAlign w:val="center"/>
          </w:tcPr>
          <w:p>
            <w:pPr>
              <w:widowControl/>
              <w:jc w:val="center"/>
              <w:textAlignment w:val="center"/>
              <w:rPr>
                <w:color w:val="auto"/>
                <w:sz w:val="22"/>
                <w:szCs w:val="22"/>
                <w:highlight w:val="none"/>
              </w:rPr>
            </w:pPr>
          </w:p>
        </w:tc>
        <w:tc>
          <w:tcPr>
            <w:tcW w:w="1477" w:type="dxa"/>
            <w:vAlign w:val="center"/>
          </w:tcPr>
          <w:p>
            <w:pPr>
              <w:spacing w:line="460" w:lineRule="exact"/>
              <w:jc w:val="center"/>
              <w:rPr>
                <w:color w:val="auto"/>
                <w:sz w:val="22"/>
                <w:szCs w:val="22"/>
                <w:highlight w:val="none"/>
              </w:rPr>
            </w:pPr>
          </w:p>
        </w:tc>
        <w:tc>
          <w:tcPr>
            <w:tcW w:w="1570" w:type="dxa"/>
            <w:vAlign w:val="center"/>
          </w:tcPr>
          <w:p>
            <w:pPr>
              <w:spacing w:line="460" w:lineRule="exact"/>
              <w:ind w:right="-11"/>
              <w:jc w:val="center"/>
              <w:rPr>
                <w:color w:val="auto"/>
                <w:sz w:val="22"/>
                <w:szCs w:val="22"/>
                <w:highlight w:val="none"/>
              </w:rPr>
            </w:pPr>
          </w:p>
        </w:tc>
        <w:tc>
          <w:tcPr>
            <w:tcW w:w="708" w:type="dxa"/>
            <w:vAlign w:val="center"/>
          </w:tcPr>
          <w:p>
            <w:pPr>
              <w:widowControl/>
              <w:jc w:val="center"/>
              <w:textAlignment w:val="center"/>
              <w:rPr>
                <w:color w:val="auto"/>
                <w:sz w:val="22"/>
                <w:szCs w:val="22"/>
                <w:highlight w:val="none"/>
              </w:rPr>
            </w:pPr>
          </w:p>
        </w:tc>
        <w:tc>
          <w:tcPr>
            <w:tcW w:w="708" w:type="dxa"/>
            <w:vAlign w:val="center"/>
          </w:tcPr>
          <w:p>
            <w:pPr>
              <w:spacing w:line="460" w:lineRule="exact"/>
              <w:jc w:val="center"/>
              <w:rPr>
                <w:color w:val="auto"/>
                <w:sz w:val="22"/>
                <w:szCs w:val="22"/>
                <w:highlight w:val="none"/>
              </w:rPr>
            </w:pPr>
          </w:p>
        </w:tc>
        <w:tc>
          <w:tcPr>
            <w:tcW w:w="1143" w:type="dxa"/>
            <w:vAlign w:val="center"/>
          </w:tcPr>
          <w:p>
            <w:pPr>
              <w:spacing w:line="460" w:lineRule="exact"/>
              <w:ind w:right="-11"/>
              <w:jc w:val="center"/>
              <w:rPr>
                <w:color w:val="auto"/>
                <w:sz w:val="22"/>
                <w:szCs w:val="22"/>
                <w:highlight w:val="none"/>
              </w:rPr>
            </w:pPr>
          </w:p>
        </w:tc>
        <w:tc>
          <w:tcPr>
            <w:tcW w:w="1000" w:type="dxa"/>
            <w:vAlign w:val="center"/>
          </w:tcPr>
          <w:p>
            <w:pPr>
              <w:spacing w:line="460" w:lineRule="exact"/>
              <w:ind w:right="-11"/>
              <w:jc w:val="center"/>
              <w:rPr>
                <w:color w:val="auto"/>
                <w:sz w:val="22"/>
                <w:szCs w:val="22"/>
                <w:highlight w:val="none"/>
              </w:rPr>
            </w:pPr>
          </w:p>
        </w:tc>
        <w:tc>
          <w:tcPr>
            <w:tcW w:w="1159" w:type="dxa"/>
            <w:vAlign w:val="center"/>
          </w:tcPr>
          <w:p>
            <w:pPr>
              <w:spacing w:line="460" w:lineRule="exact"/>
              <w:ind w:right="-11"/>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605" w:type="dxa"/>
            <w:vAlign w:val="center"/>
          </w:tcPr>
          <w:p>
            <w:pPr>
              <w:widowControl/>
              <w:jc w:val="center"/>
              <w:textAlignment w:val="center"/>
              <w:rPr>
                <w:color w:val="auto"/>
                <w:sz w:val="22"/>
                <w:szCs w:val="22"/>
                <w:highlight w:val="none"/>
              </w:rPr>
            </w:pPr>
          </w:p>
        </w:tc>
        <w:tc>
          <w:tcPr>
            <w:tcW w:w="1477" w:type="dxa"/>
            <w:vAlign w:val="center"/>
          </w:tcPr>
          <w:p>
            <w:pPr>
              <w:spacing w:line="460" w:lineRule="exact"/>
              <w:jc w:val="center"/>
              <w:rPr>
                <w:color w:val="auto"/>
                <w:sz w:val="22"/>
                <w:szCs w:val="22"/>
                <w:highlight w:val="none"/>
              </w:rPr>
            </w:pPr>
          </w:p>
        </w:tc>
        <w:tc>
          <w:tcPr>
            <w:tcW w:w="1570" w:type="dxa"/>
            <w:vAlign w:val="center"/>
          </w:tcPr>
          <w:p>
            <w:pPr>
              <w:spacing w:line="460" w:lineRule="exact"/>
              <w:ind w:right="-11"/>
              <w:jc w:val="center"/>
              <w:rPr>
                <w:color w:val="auto"/>
                <w:sz w:val="22"/>
                <w:szCs w:val="22"/>
                <w:highlight w:val="none"/>
              </w:rPr>
            </w:pPr>
          </w:p>
        </w:tc>
        <w:tc>
          <w:tcPr>
            <w:tcW w:w="708" w:type="dxa"/>
            <w:vAlign w:val="center"/>
          </w:tcPr>
          <w:p>
            <w:pPr>
              <w:widowControl/>
              <w:jc w:val="center"/>
              <w:textAlignment w:val="center"/>
              <w:rPr>
                <w:color w:val="auto"/>
                <w:sz w:val="22"/>
                <w:szCs w:val="22"/>
                <w:highlight w:val="none"/>
              </w:rPr>
            </w:pPr>
          </w:p>
        </w:tc>
        <w:tc>
          <w:tcPr>
            <w:tcW w:w="708" w:type="dxa"/>
            <w:vAlign w:val="center"/>
          </w:tcPr>
          <w:p>
            <w:pPr>
              <w:spacing w:line="460" w:lineRule="exact"/>
              <w:jc w:val="center"/>
              <w:rPr>
                <w:color w:val="auto"/>
                <w:sz w:val="22"/>
                <w:szCs w:val="22"/>
                <w:highlight w:val="none"/>
              </w:rPr>
            </w:pPr>
          </w:p>
        </w:tc>
        <w:tc>
          <w:tcPr>
            <w:tcW w:w="1143" w:type="dxa"/>
            <w:vAlign w:val="center"/>
          </w:tcPr>
          <w:p>
            <w:pPr>
              <w:spacing w:line="460" w:lineRule="exact"/>
              <w:ind w:right="-11"/>
              <w:jc w:val="center"/>
              <w:rPr>
                <w:color w:val="auto"/>
                <w:sz w:val="22"/>
                <w:szCs w:val="22"/>
                <w:highlight w:val="none"/>
              </w:rPr>
            </w:pPr>
          </w:p>
        </w:tc>
        <w:tc>
          <w:tcPr>
            <w:tcW w:w="1000" w:type="dxa"/>
            <w:vAlign w:val="center"/>
          </w:tcPr>
          <w:p>
            <w:pPr>
              <w:spacing w:line="460" w:lineRule="exact"/>
              <w:ind w:right="-11"/>
              <w:jc w:val="center"/>
              <w:rPr>
                <w:color w:val="auto"/>
                <w:sz w:val="22"/>
                <w:szCs w:val="22"/>
                <w:highlight w:val="none"/>
              </w:rPr>
            </w:pPr>
          </w:p>
        </w:tc>
        <w:tc>
          <w:tcPr>
            <w:tcW w:w="1159" w:type="dxa"/>
            <w:vAlign w:val="center"/>
          </w:tcPr>
          <w:p>
            <w:pPr>
              <w:spacing w:line="460" w:lineRule="exact"/>
              <w:ind w:right="-11"/>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605" w:type="dxa"/>
            <w:vAlign w:val="center"/>
          </w:tcPr>
          <w:p>
            <w:pPr>
              <w:widowControl/>
              <w:jc w:val="center"/>
              <w:textAlignment w:val="center"/>
              <w:rPr>
                <w:color w:val="auto"/>
                <w:sz w:val="22"/>
                <w:szCs w:val="22"/>
                <w:highlight w:val="none"/>
              </w:rPr>
            </w:pPr>
          </w:p>
        </w:tc>
        <w:tc>
          <w:tcPr>
            <w:tcW w:w="1477" w:type="dxa"/>
            <w:vAlign w:val="center"/>
          </w:tcPr>
          <w:p>
            <w:pPr>
              <w:spacing w:line="460" w:lineRule="exact"/>
              <w:jc w:val="center"/>
              <w:rPr>
                <w:color w:val="auto"/>
                <w:sz w:val="22"/>
                <w:szCs w:val="22"/>
                <w:highlight w:val="none"/>
              </w:rPr>
            </w:pPr>
          </w:p>
        </w:tc>
        <w:tc>
          <w:tcPr>
            <w:tcW w:w="1570" w:type="dxa"/>
            <w:vAlign w:val="center"/>
          </w:tcPr>
          <w:p>
            <w:pPr>
              <w:spacing w:line="460" w:lineRule="exact"/>
              <w:ind w:right="-11"/>
              <w:jc w:val="center"/>
              <w:rPr>
                <w:color w:val="auto"/>
                <w:sz w:val="22"/>
                <w:szCs w:val="22"/>
                <w:highlight w:val="none"/>
              </w:rPr>
            </w:pPr>
          </w:p>
        </w:tc>
        <w:tc>
          <w:tcPr>
            <w:tcW w:w="708" w:type="dxa"/>
            <w:vAlign w:val="center"/>
          </w:tcPr>
          <w:p>
            <w:pPr>
              <w:widowControl/>
              <w:jc w:val="center"/>
              <w:textAlignment w:val="center"/>
              <w:rPr>
                <w:color w:val="auto"/>
                <w:sz w:val="22"/>
                <w:szCs w:val="22"/>
                <w:highlight w:val="none"/>
              </w:rPr>
            </w:pPr>
          </w:p>
        </w:tc>
        <w:tc>
          <w:tcPr>
            <w:tcW w:w="708" w:type="dxa"/>
            <w:vAlign w:val="center"/>
          </w:tcPr>
          <w:p>
            <w:pPr>
              <w:spacing w:line="460" w:lineRule="exact"/>
              <w:jc w:val="center"/>
              <w:rPr>
                <w:color w:val="auto"/>
                <w:sz w:val="22"/>
                <w:szCs w:val="22"/>
                <w:highlight w:val="none"/>
              </w:rPr>
            </w:pPr>
          </w:p>
        </w:tc>
        <w:tc>
          <w:tcPr>
            <w:tcW w:w="1143" w:type="dxa"/>
            <w:vAlign w:val="center"/>
          </w:tcPr>
          <w:p>
            <w:pPr>
              <w:spacing w:line="460" w:lineRule="exact"/>
              <w:ind w:right="-11"/>
              <w:jc w:val="center"/>
              <w:rPr>
                <w:color w:val="auto"/>
                <w:sz w:val="22"/>
                <w:szCs w:val="22"/>
                <w:highlight w:val="none"/>
              </w:rPr>
            </w:pPr>
          </w:p>
        </w:tc>
        <w:tc>
          <w:tcPr>
            <w:tcW w:w="1000" w:type="dxa"/>
            <w:vAlign w:val="center"/>
          </w:tcPr>
          <w:p>
            <w:pPr>
              <w:spacing w:line="460" w:lineRule="exact"/>
              <w:ind w:right="-11"/>
              <w:jc w:val="center"/>
              <w:rPr>
                <w:color w:val="auto"/>
                <w:sz w:val="22"/>
                <w:szCs w:val="22"/>
                <w:highlight w:val="none"/>
              </w:rPr>
            </w:pPr>
          </w:p>
        </w:tc>
        <w:tc>
          <w:tcPr>
            <w:tcW w:w="1159" w:type="dxa"/>
            <w:vAlign w:val="center"/>
          </w:tcPr>
          <w:p>
            <w:pPr>
              <w:spacing w:line="460" w:lineRule="exact"/>
              <w:ind w:right="-11"/>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1605" w:type="dxa"/>
            <w:vAlign w:val="center"/>
          </w:tcPr>
          <w:p>
            <w:pPr>
              <w:widowControl/>
              <w:jc w:val="center"/>
              <w:textAlignment w:val="center"/>
              <w:rPr>
                <w:color w:val="auto"/>
                <w:sz w:val="22"/>
                <w:szCs w:val="22"/>
                <w:highlight w:val="none"/>
              </w:rPr>
            </w:pPr>
          </w:p>
        </w:tc>
        <w:tc>
          <w:tcPr>
            <w:tcW w:w="1477" w:type="dxa"/>
            <w:vAlign w:val="center"/>
          </w:tcPr>
          <w:p>
            <w:pPr>
              <w:spacing w:line="460" w:lineRule="exact"/>
              <w:jc w:val="center"/>
              <w:rPr>
                <w:color w:val="auto"/>
                <w:sz w:val="22"/>
                <w:szCs w:val="22"/>
                <w:highlight w:val="none"/>
              </w:rPr>
            </w:pPr>
          </w:p>
        </w:tc>
        <w:tc>
          <w:tcPr>
            <w:tcW w:w="1570" w:type="dxa"/>
            <w:vAlign w:val="center"/>
          </w:tcPr>
          <w:p>
            <w:pPr>
              <w:spacing w:line="460" w:lineRule="exact"/>
              <w:ind w:right="-11"/>
              <w:jc w:val="center"/>
              <w:rPr>
                <w:color w:val="auto"/>
                <w:sz w:val="22"/>
                <w:szCs w:val="22"/>
                <w:highlight w:val="none"/>
              </w:rPr>
            </w:pPr>
          </w:p>
        </w:tc>
        <w:tc>
          <w:tcPr>
            <w:tcW w:w="708" w:type="dxa"/>
            <w:vAlign w:val="center"/>
          </w:tcPr>
          <w:p>
            <w:pPr>
              <w:widowControl/>
              <w:jc w:val="center"/>
              <w:textAlignment w:val="center"/>
              <w:rPr>
                <w:color w:val="auto"/>
                <w:sz w:val="22"/>
                <w:szCs w:val="22"/>
                <w:highlight w:val="none"/>
              </w:rPr>
            </w:pPr>
          </w:p>
        </w:tc>
        <w:tc>
          <w:tcPr>
            <w:tcW w:w="708" w:type="dxa"/>
            <w:vAlign w:val="center"/>
          </w:tcPr>
          <w:p>
            <w:pPr>
              <w:spacing w:line="460" w:lineRule="exact"/>
              <w:jc w:val="center"/>
              <w:rPr>
                <w:color w:val="auto"/>
                <w:sz w:val="22"/>
                <w:szCs w:val="22"/>
                <w:highlight w:val="none"/>
              </w:rPr>
            </w:pPr>
          </w:p>
        </w:tc>
        <w:tc>
          <w:tcPr>
            <w:tcW w:w="1143" w:type="dxa"/>
            <w:vAlign w:val="center"/>
          </w:tcPr>
          <w:p>
            <w:pPr>
              <w:spacing w:line="460" w:lineRule="exact"/>
              <w:ind w:right="-11"/>
              <w:jc w:val="center"/>
              <w:rPr>
                <w:color w:val="auto"/>
                <w:sz w:val="22"/>
                <w:szCs w:val="22"/>
                <w:highlight w:val="none"/>
              </w:rPr>
            </w:pPr>
          </w:p>
        </w:tc>
        <w:tc>
          <w:tcPr>
            <w:tcW w:w="1000" w:type="dxa"/>
            <w:vAlign w:val="center"/>
          </w:tcPr>
          <w:p>
            <w:pPr>
              <w:spacing w:line="460" w:lineRule="exact"/>
              <w:ind w:right="-11"/>
              <w:jc w:val="center"/>
              <w:rPr>
                <w:color w:val="auto"/>
                <w:sz w:val="22"/>
                <w:szCs w:val="22"/>
                <w:highlight w:val="none"/>
              </w:rPr>
            </w:pPr>
          </w:p>
        </w:tc>
        <w:tc>
          <w:tcPr>
            <w:tcW w:w="1159" w:type="dxa"/>
            <w:vAlign w:val="center"/>
          </w:tcPr>
          <w:p>
            <w:pPr>
              <w:spacing w:line="460" w:lineRule="exact"/>
              <w:ind w:right="-11"/>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color w:val="auto"/>
                <w:kern w:val="0"/>
                <w:sz w:val="22"/>
                <w:szCs w:val="22"/>
                <w:highlight w:val="none"/>
                <w:lang w:bidi="ar"/>
              </w:rPr>
            </w:pPr>
          </w:p>
        </w:tc>
        <w:tc>
          <w:tcPr>
            <w:tcW w:w="1605" w:type="dxa"/>
            <w:vAlign w:val="center"/>
          </w:tcPr>
          <w:p>
            <w:pPr>
              <w:widowControl/>
              <w:jc w:val="center"/>
              <w:textAlignment w:val="center"/>
              <w:rPr>
                <w:color w:val="auto"/>
                <w:kern w:val="0"/>
                <w:szCs w:val="21"/>
                <w:highlight w:val="none"/>
              </w:rPr>
            </w:pPr>
          </w:p>
        </w:tc>
        <w:tc>
          <w:tcPr>
            <w:tcW w:w="1477" w:type="dxa"/>
            <w:vAlign w:val="center"/>
          </w:tcPr>
          <w:p>
            <w:pPr>
              <w:spacing w:line="460" w:lineRule="exact"/>
              <w:jc w:val="center"/>
              <w:rPr>
                <w:color w:val="auto"/>
                <w:sz w:val="22"/>
                <w:szCs w:val="22"/>
                <w:highlight w:val="none"/>
              </w:rPr>
            </w:pPr>
          </w:p>
        </w:tc>
        <w:tc>
          <w:tcPr>
            <w:tcW w:w="1570" w:type="dxa"/>
            <w:vAlign w:val="center"/>
          </w:tcPr>
          <w:p>
            <w:pPr>
              <w:spacing w:line="460" w:lineRule="exact"/>
              <w:ind w:right="-11"/>
              <w:jc w:val="center"/>
              <w:rPr>
                <w:color w:val="auto"/>
                <w:sz w:val="22"/>
                <w:szCs w:val="22"/>
                <w:highlight w:val="none"/>
              </w:rPr>
            </w:pPr>
          </w:p>
        </w:tc>
        <w:tc>
          <w:tcPr>
            <w:tcW w:w="708" w:type="dxa"/>
            <w:vAlign w:val="center"/>
          </w:tcPr>
          <w:p>
            <w:pPr>
              <w:widowControl/>
              <w:jc w:val="center"/>
              <w:textAlignment w:val="center"/>
              <w:rPr>
                <w:color w:val="auto"/>
                <w:szCs w:val="21"/>
                <w:highlight w:val="none"/>
              </w:rPr>
            </w:pPr>
          </w:p>
        </w:tc>
        <w:tc>
          <w:tcPr>
            <w:tcW w:w="708" w:type="dxa"/>
            <w:vAlign w:val="center"/>
          </w:tcPr>
          <w:p>
            <w:pPr>
              <w:spacing w:line="460" w:lineRule="exact"/>
              <w:jc w:val="center"/>
              <w:rPr>
                <w:color w:val="auto"/>
                <w:sz w:val="22"/>
                <w:szCs w:val="22"/>
                <w:highlight w:val="none"/>
              </w:rPr>
            </w:pPr>
          </w:p>
        </w:tc>
        <w:tc>
          <w:tcPr>
            <w:tcW w:w="1143" w:type="dxa"/>
            <w:vAlign w:val="center"/>
          </w:tcPr>
          <w:p>
            <w:pPr>
              <w:spacing w:line="460" w:lineRule="exact"/>
              <w:ind w:right="-11"/>
              <w:jc w:val="center"/>
              <w:rPr>
                <w:color w:val="auto"/>
                <w:sz w:val="22"/>
                <w:szCs w:val="22"/>
                <w:highlight w:val="none"/>
              </w:rPr>
            </w:pPr>
          </w:p>
        </w:tc>
        <w:tc>
          <w:tcPr>
            <w:tcW w:w="1000" w:type="dxa"/>
            <w:vAlign w:val="center"/>
          </w:tcPr>
          <w:p>
            <w:pPr>
              <w:spacing w:line="460" w:lineRule="exact"/>
              <w:ind w:right="-11"/>
              <w:jc w:val="center"/>
              <w:rPr>
                <w:color w:val="auto"/>
                <w:sz w:val="22"/>
                <w:szCs w:val="22"/>
                <w:highlight w:val="none"/>
              </w:rPr>
            </w:pPr>
          </w:p>
        </w:tc>
        <w:tc>
          <w:tcPr>
            <w:tcW w:w="1159" w:type="dxa"/>
            <w:vAlign w:val="center"/>
          </w:tcPr>
          <w:p>
            <w:pPr>
              <w:spacing w:line="460" w:lineRule="exact"/>
              <w:ind w:right="-11"/>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color w:val="auto"/>
                <w:kern w:val="0"/>
                <w:sz w:val="22"/>
                <w:szCs w:val="22"/>
                <w:highlight w:val="none"/>
                <w:lang w:bidi="ar"/>
              </w:rPr>
            </w:pPr>
          </w:p>
        </w:tc>
        <w:tc>
          <w:tcPr>
            <w:tcW w:w="1605" w:type="dxa"/>
            <w:vAlign w:val="center"/>
          </w:tcPr>
          <w:p>
            <w:pPr>
              <w:widowControl/>
              <w:spacing w:line="460" w:lineRule="exact"/>
              <w:textAlignment w:val="center"/>
              <w:rPr>
                <w:color w:val="auto"/>
                <w:sz w:val="22"/>
                <w:szCs w:val="22"/>
                <w:highlight w:val="none"/>
              </w:rPr>
            </w:pPr>
            <w:r>
              <w:rPr>
                <w:color w:val="auto"/>
                <w:sz w:val="22"/>
                <w:szCs w:val="22"/>
                <w:highlight w:val="none"/>
              </w:rPr>
              <w:t>... ...</w:t>
            </w:r>
          </w:p>
        </w:tc>
        <w:tc>
          <w:tcPr>
            <w:tcW w:w="1477" w:type="dxa"/>
            <w:vAlign w:val="center"/>
          </w:tcPr>
          <w:p>
            <w:pPr>
              <w:spacing w:line="460" w:lineRule="exact"/>
              <w:jc w:val="center"/>
              <w:rPr>
                <w:color w:val="auto"/>
                <w:sz w:val="22"/>
                <w:szCs w:val="22"/>
                <w:highlight w:val="none"/>
              </w:rPr>
            </w:pPr>
          </w:p>
        </w:tc>
        <w:tc>
          <w:tcPr>
            <w:tcW w:w="1570" w:type="dxa"/>
            <w:vAlign w:val="center"/>
          </w:tcPr>
          <w:p>
            <w:pPr>
              <w:spacing w:line="460" w:lineRule="exact"/>
              <w:ind w:right="-11"/>
              <w:jc w:val="center"/>
              <w:rPr>
                <w:color w:val="auto"/>
                <w:sz w:val="22"/>
                <w:szCs w:val="22"/>
                <w:highlight w:val="none"/>
              </w:rPr>
            </w:pPr>
          </w:p>
        </w:tc>
        <w:tc>
          <w:tcPr>
            <w:tcW w:w="708" w:type="dxa"/>
            <w:vAlign w:val="center"/>
          </w:tcPr>
          <w:p>
            <w:pPr>
              <w:spacing w:line="460" w:lineRule="exact"/>
              <w:jc w:val="center"/>
              <w:rPr>
                <w:color w:val="auto"/>
                <w:sz w:val="22"/>
                <w:szCs w:val="22"/>
                <w:highlight w:val="none"/>
              </w:rPr>
            </w:pPr>
          </w:p>
        </w:tc>
        <w:tc>
          <w:tcPr>
            <w:tcW w:w="708" w:type="dxa"/>
            <w:vAlign w:val="center"/>
          </w:tcPr>
          <w:p>
            <w:pPr>
              <w:spacing w:line="460" w:lineRule="exact"/>
              <w:jc w:val="center"/>
              <w:rPr>
                <w:color w:val="auto"/>
                <w:sz w:val="22"/>
                <w:szCs w:val="22"/>
                <w:highlight w:val="none"/>
              </w:rPr>
            </w:pPr>
          </w:p>
        </w:tc>
        <w:tc>
          <w:tcPr>
            <w:tcW w:w="1143" w:type="dxa"/>
            <w:vAlign w:val="center"/>
          </w:tcPr>
          <w:p>
            <w:pPr>
              <w:spacing w:line="460" w:lineRule="exact"/>
              <w:ind w:right="-11"/>
              <w:jc w:val="center"/>
              <w:rPr>
                <w:color w:val="auto"/>
                <w:sz w:val="22"/>
                <w:szCs w:val="22"/>
                <w:highlight w:val="none"/>
              </w:rPr>
            </w:pPr>
          </w:p>
        </w:tc>
        <w:tc>
          <w:tcPr>
            <w:tcW w:w="1000" w:type="dxa"/>
            <w:vAlign w:val="center"/>
          </w:tcPr>
          <w:p>
            <w:pPr>
              <w:spacing w:line="460" w:lineRule="exact"/>
              <w:ind w:right="-11"/>
              <w:jc w:val="center"/>
              <w:rPr>
                <w:color w:val="auto"/>
                <w:sz w:val="22"/>
                <w:szCs w:val="22"/>
                <w:highlight w:val="none"/>
              </w:rPr>
            </w:pPr>
          </w:p>
        </w:tc>
        <w:tc>
          <w:tcPr>
            <w:tcW w:w="1159" w:type="dxa"/>
            <w:vAlign w:val="center"/>
          </w:tcPr>
          <w:p>
            <w:pPr>
              <w:spacing w:line="460" w:lineRule="exact"/>
              <w:ind w:right="-11"/>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jc w:val="center"/>
              <w:rPr>
                <w:color w:val="auto"/>
                <w:sz w:val="22"/>
                <w:szCs w:val="22"/>
                <w:highlight w:val="none"/>
              </w:rPr>
            </w:pPr>
            <w:r>
              <w:rPr>
                <w:color w:val="auto"/>
                <w:sz w:val="22"/>
                <w:szCs w:val="22"/>
                <w:highlight w:val="none"/>
              </w:rPr>
              <w:t>运杂及保险费（含卸货）</w:t>
            </w:r>
          </w:p>
        </w:tc>
        <w:tc>
          <w:tcPr>
            <w:tcW w:w="6288" w:type="dxa"/>
            <w:gridSpan w:val="6"/>
          </w:tcPr>
          <w:p>
            <w:pPr>
              <w:spacing w:line="460" w:lineRule="exact"/>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jc w:val="center"/>
              <w:rPr>
                <w:color w:val="auto"/>
                <w:sz w:val="22"/>
                <w:szCs w:val="22"/>
                <w:highlight w:val="none"/>
              </w:rPr>
            </w:pPr>
            <w:r>
              <w:rPr>
                <w:color w:val="auto"/>
                <w:sz w:val="22"/>
                <w:szCs w:val="22"/>
                <w:highlight w:val="none"/>
              </w:rPr>
              <w:t>安装调试费（包括设备的测试、调试、验收等费用）</w:t>
            </w:r>
          </w:p>
        </w:tc>
        <w:tc>
          <w:tcPr>
            <w:tcW w:w="6288" w:type="dxa"/>
            <w:gridSpan w:val="6"/>
          </w:tcPr>
          <w:p>
            <w:pPr>
              <w:spacing w:line="460" w:lineRule="exact"/>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jc w:val="center"/>
              <w:rPr>
                <w:color w:val="auto"/>
                <w:sz w:val="22"/>
                <w:szCs w:val="22"/>
                <w:highlight w:val="none"/>
              </w:rPr>
            </w:pPr>
            <w:r>
              <w:rPr>
                <w:color w:val="auto"/>
                <w:sz w:val="22"/>
                <w:szCs w:val="22"/>
                <w:highlight w:val="none"/>
              </w:rPr>
              <w:t>培训费、技术服务费、售后服务费等</w:t>
            </w:r>
          </w:p>
        </w:tc>
        <w:tc>
          <w:tcPr>
            <w:tcW w:w="6288" w:type="dxa"/>
            <w:gridSpan w:val="6"/>
          </w:tcPr>
          <w:p>
            <w:pPr>
              <w:spacing w:line="460" w:lineRule="exact"/>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jc w:val="center"/>
              <w:rPr>
                <w:color w:val="auto"/>
                <w:sz w:val="22"/>
                <w:szCs w:val="22"/>
                <w:highlight w:val="none"/>
              </w:rPr>
            </w:pPr>
            <w:r>
              <w:rPr>
                <w:color w:val="auto"/>
                <w:sz w:val="22"/>
                <w:szCs w:val="22"/>
                <w:highlight w:val="none"/>
              </w:rPr>
              <w:t>税金</w:t>
            </w:r>
          </w:p>
        </w:tc>
        <w:tc>
          <w:tcPr>
            <w:tcW w:w="6288" w:type="dxa"/>
            <w:gridSpan w:val="6"/>
          </w:tcPr>
          <w:p>
            <w:pPr>
              <w:spacing w:line="460" w:lineRule="exact"/>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jc w:val="center"/>
              <w:rPr>
                <w:color w:val="auto"/>
                <w:sz w:val="22"/>
                <w:szCs w:val="22"/>
                <w:highlight w:val="none"/>
              </w:rPr>
            </w:pPr>
            <w:r>
              <w:rPr>
                <w:color w:val="auto"/>
                <w:sz w:val="22"/>
                <w:szCs w:val="22"/>
                <w:highlight w:val="none"/>
              </w:rPr>
              <w:t>总计价</w:t>
            </w:r>
          </w:p>
        </w:tc>
        <w:tc>
          <w:tcPr>
            <w:tcW w:w="6288" w:type="dxa"/>
            <w:gridSpan w:val="6"/>
          </w:tcPr>
          <w:p>
            <w:pPr>
              <w:spacing w:line="460" w:lineRule="exact"/>
              <w:rPr>
                <w:color w:val="auto"/>
                <w:sz w:val="22"/>
                <w:szCs w:val="22"/>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b/>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说明： 1、此表总计价应与“</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、投标报价一览表”中投标报价相一致。</w:t>
      </w:r>
    </w:p>
    <w:p>
      <w:pPr>
        <w:keepNext w:val="0"/>
        <w:keepLines w:val="0"/>
        <w:pageBreakBefore w:val="0"/>
        <w:widowControl w:val="0"/>
        <w:kinsoku/>
        <w:wordWrap/>
        <w:overflowPunct/>
        <w:topLinePunct w:val="0"/>
        <w:autoSpaceDE/>
        <w:autoSpaceDN/>
        <w:bidi w:val="0"/>
        <w:adjustRightInd/>
        <w:snapToGrid/>
        <w:spacing w:line="460" w:lineRule="exact"/>
        <w:ind w:firstLine="752" w:firstLineChars="342"/>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2、不提供详细分项报价将视为没有实质性响应招标文件。</w:t>
      </w:r>
    </w:p>
    <w:p>
      <w:pPr>
        <w:keepNext w:val="0"/>
        <w:keepLines w:val="0"/>
        <w:pageBreakBefore w:val="0"/>
        <w:widowControl w:val="0"/>
        <w:kinsoku/>
        <w:wordWrap/>
        <w:overflowPunct/>
        <w:topLinePunct w:val="0"/>
        <w:autoSpaceDE/>
        <w:autoSpaceDN/>
        <w:bidi w:val="0"/>
        <w:adjustRightInd/>
        <w:snapToGrid/>
        <w:spacing w:line="460" w:lineRule="exact"/>
        <w:ind w:firstLine="720"/>
        <w:textAlignment w:val="auto"/>
        <w:rPr>
          <w:rFonts w:ascii="宋体" w:hAnsi="宋体" w:cs="宋体"/>
          <w:bCs/>
          <w:color w:val="auto"/>
          <w:sz w:val="20"/>
          <w:szCs w:val="22"/>
          <w:highlight w:val="none"/>
        </w:rPr>
      </w:pPr>
      <w:r>
        <w:rPr>
          <w:rFonts w:hint="eastAsia" w:ascii="宋体" w:hAnsi="宋体" w:cs="宋体"/>
          <w:bCs/>
          <w:color w:val="auto"/>
          <w:sz w:val="22"/>
          <w:szCs w:val="22"/>
          <w:highlight w:val="none"/>
        </w:rPr>
        <w:t>3、如果免费请在该项内容栏内注明“免”，如果含在产品价格中则填“含”，如无此项内容则填“无”。</w:t>
      </w:r>
    </w:p>
    <w:p>
      <w:pPr>
        <w:keepNext w:val="0"/>
        <w:keepLines w:val="0"/>
        <w:pageBreakBefore w:val="0"/>
        <w:widowControl w:val="0"/>
        <w:kinsoku/>
        <w:wordWrap/>
        <w:overflowPunct/>
        <w:topLinePunct w:val="0"/>
        <w:autoSpaceDE/>
        <w:autoSpaceDN/>
        <w:bidi w:val="0"/>
        <w:adjustRightInd/>
        <w:snapToGrid/>
        <w:spacing w:line="460" w:lineRule="exact"/>
        <w:ind w:firstLine="5500" w:firstLineChars="25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keepNext w:val="0"/>
        <w:keepLines w:val="0"/>
        <w:pageBreakBefore w:val="0"/>
        <w:widowControl w:val="0"/>
        <w:kinsoku/>
        <w:wordWrap/>
        <w:overflowPunct/>
        <w:topLinePunct w:val="0"/>
        <w:autoSpaceDE/>
        <w:autoSpaceDN/>
        <w:bidi w:val="0"/>
        <w:adjustRightInd/>
        <w:snapToGrid/>
        <w:spacing w:line="460" w:lineRule="exact"/>
        <w:ind w:firstLine="5500" w:firstLineChars="25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keepNext w:val="0"/>
        <w:keepLines w:val="0"/>
        <w:pageBreakBefore w:val="0"/>
        <w:widowControl w:val="0"/>
        <w:kinsoku/>
        <w:wordWrap/>
        <w:overflowPunct/>
        <w:topLinePunct w:val="0"/>
        <w:autoSpaceDE/>
        <w:autoSpaceDN/>
        <w:bidi w:val="0"/>
        <w:adjustRightInd/>
        <w:snapToGrid/>
        <w:spacing w:line="460" w:lineRule="exact"/>
        <w:ind w:firstLine="5500" w:firstLineChars="25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日    期：</w:t>
      </w:r>
    </w:p>
    <w:p>
      <w:pPr>
        <w:rPr>
          <w:rFonts w:ascii="宋体" w:hAnsi="宋体" w:cs="宋体"/>
          <w:color w:val="auto"/>
          <w:sz w:val="22"/>
          <w:szCs w:val="22"/>
          <w:highlight w:val="none"/>
        </w:rPr>
      </w:pPr>
    </w:p>
    <w:p>
      <w:pPr>
        <w:rPr>
          <w:rFonts w:ascii="宋体" w:hAnsi="宋体" w:cs="宋体"/>
          <w:b/>
          <w:color w:val="auto"/>
          <w:sz w:val="22"/>
          <w:szCs w:val="22"/>
          <w:highlight w:val="none"/>
        </w:rPr>
      </w:pPr>
      <w:r>
        <w:rPr>
          <w:rFonts w:hint="eastAsia" w:ascii="宋体" w:hAnsi="宋体" w:cs="宋体"/>
          <w:b/>
          <w:color w:val="auto"/>
          <w:sz w:val="22"/>
          <w:szCs w:val="22"/>
          <w:highlight w:val="none"/>
        </w:rPr>
        <w:br w:type="page"/>
      </w:r>
    </w:p>
    <w:p>
      <w:pPr>
        <w:pStyle w:val="24"/>
        <w:spacing w:line="460" w:lineRule="exact"/>
        <w:ind w:left="433" w:hanging="433" w:hangingChars="196"/>
        <w:outlineLvl w:val="1"/>
        <w:rPr>
          <w:rFonts w:ascii="宋体" w:hAnsi="宋体" w:cs="宋体"/>
          <w:b/>
          <w:color w:val="auto"/>
          <w:sz w:val="22"/>
          <w:szCs w:val="22"/>
          <w:highlight w:val="none"/>
        </w:rPr>
      </w:pPr>
      <w:bookmarkStart w:id="140" w:name="_Toc24418"/>
      <w:bookmarkStart w:id="141" w:name="_Toc20449"/>
      <w:bookmarkStart w:id="142" w:name="_Toc19402"/>
      <w:bookmarkStart w:id="143" w:name="_Toc28973"/>
      <w:bookmarkStart w:id="144" w:name="_Toc12035"/>
      <w:bookmarkStart w:id="145" w:name="_Toc5377"/>
      <w:bookmarkStart w:id="146" w:name="_Toc27335"/>
      <w:bookmarkStart w:id="147" w:name="_Toc14839"/>
      <w:bookmarkStart w:id="148" w:name="_Toc5469"/>
      <w:bookmarkStart w:id="149" w:name="_Toc17121"/>
      <w:bookmarkStart w:id="150" w:name="_Toc29212"/>
      <w:r>
        <w:rPr>
          <w:rFonts w:hint="eastAsia" w:ascii="宋体" w:hAnsi="宋体" w:cs="宋体"/>
          <w:b/>
          <w:color w:val="auto"/>
          <w:sz w:val="22"/>
          <w:szCs w:val="22"/>
          <w:highlight w:val="none"/>
        </w:rPr>
        <w:t>附件二</w:t>
      </w:r>
      <w:bookmarkEnd w:id="140"/>
      <w:bookmarkEnd w:id="141"/>
      <w:bookmarkEnd w:id="142"/>
      <w:bookmarkEnd w:id="143"/>
      <w:bookmarkEnd w:id="144"/>
      <w:bookmarkEnd w:id="145"/>
      <w:bookmarkEnd w:id="146"/>
      <w:bookmarkEnd w:id="147"/>
      <w:bookmarkEnd w:id="148"/>
      <w:bookmarkEnd w:id="149"/>
      <w:bookmarkEnd w:id="150"/>
    </w:p>
    <w:p>
      <w:pPr>
        <w:spacing w:line="460" w:lineRule="exact"/>
        <w:jc w:val="center"/>
        <w:outlineLvl w:val="2"/>
        <w:rPr>
          <w:rFonts w:ascii="宋体" w:hAnsi="宋体" w:cs="宋体"/>
          <w:color w:val="auto"/>
          <w:sz w:val="28"/>
          <w:szCs w:val="28"/>
          <w:highlight w:val="none"/>
        </w:rPr>
      </w:pPr>
      <w:bookmarkStart w:id="151" w:name="_Toc25309"/>
      <w:bookmarkStart w:id="152" w:name="_Toc5796"/>
      <w:bookmarkStart w:id="153" w:name="_Toc4718"/>
      <w:bookmarkStart w:id="154" w:name="_Toc669"/>
      <w:bookmarkStart w:id="155" w:name="_Toc20562"/>
      <w:bookmarkStart w:id="156" w:name="_Toc21109"/>
      <w:bookmarkStart w:id="157" w:name="_Toc5795"/>
      <w:bookmarkStart w:id="158" w:name="_Toc5694"/>
      <w:r>
        <w:rPr>
          <w:rFonts w:hint="eastAsia" w:ascii="宋体" w:hAnsi="宋体" w:cs="宋体"/>
          <w:b/>
          <w:bCs/>
          <w:color w:val="auto"/>
          <w:sz w:val="28"/>
          <w:szCs w:val="28"/>
          <w:highlight w:val="none"/>
        </w:rPr>
        <w:t>资格证明文件</w:t>
      </w:r>
      <w:bookmarkEnd w:id="151"/>
      <w:bookmarkEnd w:id="152"/>
      <w:bookmarkEnd w:id="153"/>
      <w:bookmarkEnd w:id="154"/>
      <w:bookmarkEnd w:id="155"/>
      <w:bookmarkEnd w:id="156"/>
      <w:bookmarkEnd w:id="157"/>
      <w:bookmarkEnd w:id="158"/>
      <w:r>
        <w:rPr>
          <w:rFonts w:hint="eastAsia" w:ascii="宋体" w:hAnsi="宋体" w:cs="宋体"/>
          <w:color w:val="auto"/>
          <w:sz w:val="28"/>
          <w:szCs w:val="28"/>
          <w:highlight w:val="none"/>
        </w:rPr>
        <w:t xml:space="preserve"> </w:t>
      </w:r>
    </w:p>
    <w:p>
      <w:pPr>
        <w:spacing w:line="46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1、资格条件承诺函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浙江工贸职业技术学院</w:t>
      </w:r>
      <w:r>
        <w:rPr>
          <w:rFonts w:hint="eastAsia" w:ascii="新宋体" w:hAnsi="新宋体" w:eastAsia="新宋体" w:cs="新宋体"/>
          <w:color w:val="auto"/>
          <w:sz w:val="22"/>
          <w:szCs w:val="22"/>
          <w:highlight w:val="none"/>
        </w:rPr>
        <w:t>、温州历程招标有限公司：</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（采购项目名称、编号）投标，现郑重承诺，</w:t>
      </w:r>
      <w:r>
        <w:rPr>
          <w:rFonts w:hint="eastAsia" w:ascii="新宋体" w:hAnsi="新宋体" w:eastAsia="新宋体" w:cs="新宋体"/>
          <w:color w:val="auto"/>
          <w:kern w:val="0"/>
          <w:sz w:val="22"/>
          <w:szCs w:val="22"/>
          <w:highlight w:val="none"/>
        </w:rPr>
        <w:t>参加本次政府采购活动前3年内</w:t>
      </w:r>
      <w:r>
        <w:rPr>
          <w:rFonts w:hint="eastAsia" w:ascii="新宋体" w:hAnsi="新宋体" w:eastAsia="新宋体" w:cs="新宋体"/>
          <w:color w:val="auto"/>
          <w:sz w:val="22"/>
          <w:szCs w:val="22"/>
          <w:highlight w:val="none"/>
        </w:rPr>
        <w:t>：</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1、我方符合《中华人民共和国政府采购法》第22条规定的资格条件，即</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（1）我方具有独立承担民事责任的能力；</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（2）我方具有良好的商业信誉和健全的财务会计制度；</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（3）我方具有履行合同所必需的设备和专业技术能力；</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（4）我方有依法缴纳税收和社会保障资金的良好记录；</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2、到本项目投标截止时间为止，我方未被“信用中国（</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"http://www.creditchina.gov.cn）、"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2"/>
          <w:highlight w:val="none"/>
        </w:rPr>
        <w:t>www.creditchina.gov.cn）、</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t>中国政府采购网（www.ccgp.gov.cn）列入失信被执行人名单、重大税收违法案件当事人名单、政府采购严重违法失信行为记录名单。</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3、我方与参加本次项目同一合同项下政府采购活动的其他供应商不存在单位负责人为同一人</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sz w:val="22"/>
          <w:szCs w:val="22"/>
          <w:highlight w:val="none"/>
        </w:rPr>
        <w:t>者直接控股、管理关系。</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4、我方不属于公益一类事业单位。</w:t>
      </w:r>
    </w:p>
    <w:p>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以上承诺如有虚假，愿接受取消我方任何资格（投标/成交/签订合同）及其他任何形式的处理。</w:t>
      </w:r>
    </w:p>
    <w:p>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p>
    <w:p>
      <w:pPr>
        <w:snapToGrid w:val="0"/>
        <w:spacing w:line="360" w:lineRule="auto"/>
        <w:ind w:firstLine="5060" w:firstLineChars="2300"/>
        <w:rPr>
          <w:rFonts w:hint="eastAsia" w:ascii="新宋体" w:hAnsi="新宋体" w:eastAsia="新宋体" w:cs="新宋体"/>
          <w:color w:val="auto"/>
          <w:kern w:val="0"/>
          <w:sz w:val="22"/>
          <w:szCs w:val="22"/>
          <w:highlight w:val="none"/>
          <w:lang w:val="zh-CN"/>
        </w:rPr>
      </w:pP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val="en-US" w:eastAsia="zh-CN"/>
        </w:rPr>
        <w:t>投标供应商</w:t>
      </w:r>
      <w:r>
        <w:rPr>
          <w:rFonts w:hint="eastAsia" w:ascii="新宋体" w:hAnsi="新宋体" w:eastAsia="新宋体" w:cs="新宋体"/>
          <w:color w:val="auto"/>
          <w:sz w:val="22"/>
          <w:szCs w:val="22"/>
          <w:highlight w:val="none"/>
        </w:rPr>
        <w:t>全称（盖章）</w:t>
      </w:r>
      <w:r>
        <w:rPr>
          <w:rFonts w:hint="eastAsia" w:ascii="新宋体" w:hAnsi="新宋体" w:eastAsia="新宋体" w:cs="新宋体"/>
          <w:color w:val="auto"/>
          <w:kern w:val="0"/>
          <w:sz w:val="22"/>
          <w:szCs w:val="22"/>
          <w:highlight w:val="none"/>
        </w:rPr>
        <w:t>：</w:t>
      </w: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tabs>
          <w:tab w:val="left" w:pos="360"/>
        </w:tabs>
        <w:spacing w:line="460" w:lineRule="exact"/>
        <w:rPr>
          <w:rFonts w:hint="eastAsia" w:ascii="新宋体" w:hAnsi="新宋体" w:eastAsia="新宋体" w:cs="新宋体"/>
          <w:b/>
          <w:bCs/>
          <w:color w:val="auto"/>
          <w:sz w:val="22"/>
          <w:szCs w:val="22"/>
          <w:highlight w:val="none"/>
          <w:u w:val="single"/>
        </w:rPr>
      </w:pPr>
    </w:p>
    <w:p>
      <w:pPr>
        <w:spacing w:line="460" w:lineRule="exact"/>
        <w:rPr>
          <w:rFonts w:hint="eastAsia" w:ascii="新宋体" w:hAnsi="新宋体" w:eastAsia="新宋体" w:cs="新宋体"/>
          <w:b/>
          <w:bCs/>
          <w:color w:val="auto"/>
          <w:sz w:val="22"/>
          <w:szCs w:val="22"/>
          <w:highlight w:val="none"/>
        </w:rPr>
      </w:pPr>
    </w:p>
    <w:p>
      <w:pPr>
        <w:spacing w:line="46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8"/>
          <w:szCs w:val="28"/>
          <w:highlight w:val="none"/>
        </w:rPr>
        <w:t>2、有效营业执照</w:t>
      </w:r>
    </w:p>
    <w:p>
      <w:pPr>
        <w:pStyle w:val="50"/>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highlight w:val="none"/>
        </w:rPr>
      </w:pP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投标人须在投标文件中出具符合以下情况的证明材料复印件（五选一）：</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①如投标人是企业（包括合伙企业），提供在工商部门注册的有效“企业法人营业执照”或“营业执照”；</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②如投标人是事业单位，提供有效的“事业单位法人证书”；</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③如投标人是非企业专业服务机构的，提供执业许可证等证明文件；</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④如投标人是个体工商户，提供有效的“个体工商户营业执照”；</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⑤如投标人是自然人，提供有效的自然人身份证明（居民身份证正反面或公安机关出具的临时居民身份证正反面或港澳台胞证或护照）。</w:t>
      </w:r>
    </w:p>
    <w:p>
      <w:pPr>
        <w:pStyle w:val="50"/>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460" w:lineRule="exact"/>
        <w:rPr>
          <w:rFonts w:hint="eastAsia" w:ascii="新宋体" w:hAnsi="新宋体" w:eastAsia="新宋体" w:cs="新宋体"/>
          <w:b/>
          <w:bCs/>
          <w:color w:val="auto"/>
          <w:sz w:val="22"/>
          <w:szCs w:val="22"/>
          <w:highlight w:val="none"/>
        </w:rPr>
      </w:pPr>
    </w:p>
    <w:p>
      <w:pPr>
        <w:spacing w:line="460" w:lineRule="exact"/>
        <w:rPr>
          <w:rFonts w:hint="eastAsia" w:ascii="新宋体" w:hAnsi="新宋体" w:eastAsia="新宋体" w:cs="新宋体"/>
          <w:b/>
          <w:bCs/>
          <w:color w:val="auto"/>
          <w:sz w:val="22"/>
          <w:szCs w:val="22"/>
          <w:highlight w:val="none"/>
        </w:rPr>
      </w:pPr>
    </w:p>
    <w:p>
      <w:pPr>
        <w:spacing w:line="460" w:lineRule="exact"/>
        <w:rPr>
          <w:rFonts w:hint="eastAsia" w:ascii="新宋体" w:hAnsi="新宋体" w:eastAsia="新宋体" w:cs="新宋体"/>
          <w:b/>
          <w:bCs/>
          <w:color w:val="auto"/>
          <w:sz w:val="22"/>
          <w:szCs w:val="22"/>
          <w:highlight w:val="none"/>
        </w:rPr>
      </w:pPr>
    </w:p>
    <w:p>
      <w:pPr>
        <w:spacing w:line="460" w:lineRule="exact"/>
        <w:rPr>
          <w:rFonts w:hint="eastAsia" w:ascii="新宋体" w:hAnsi="新宋体" w:eastAsia="新宋体" w:cs="新宋体"/>
          <w:b/>
          <w:bCs/>
          <w:color w:val="auto"/>
          <w:sz w:val="22"/>
          <w:szCs w:val="22"/>
          <w:highlight w:val="none"/>
        </w:rPr>
      </w:pPr>
    </w:p>
    <w:p>
      <w:pPr>
        <w:spacing w:line="46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highlight w:val="none"/>
        </w:rPr>
        <w:br w:type="page"/>
      </w:r>
      <w:r>
        <w:rPr>
          <w:rFonts w:hint="eastAsia" w:ascii="新宋体" w:hAnsi="新宋体" w:eastAsia="新宋体" w:cs="新宋体"/>
          <w:b/>
          <w:bCs/>
          <w:color w:val="auto"/>
          <w:sz w:val="28"/>
          <w:szCs w:val="28"/>
          <w:highlight w:val="none"/>
        </w:rPr>
        <w:t>3、投标人信用查询</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1、投标人信用信息查询的查询渠道：“信用中国”（www.creditchina.gov.cn）；“中国政府采购网”（http://www.ccgp.gov.cn/）；</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2、投标人信用信息查询截止时点：招标公告发布之日至投标截止时间前。</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3、投标人信用信息查询记录和证据留存的具体方式：网页截图；</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4、信用信息的使用规则：对列入失信被执行人、重大税收违法案件当事人名单、政府采购严重违法失信行为记录名单的投标人，其投标将作无效标处理。</w:t>
      </w:r>
    </w:p>
    <w:p>
      <w:pPr>
        <w:rPr>
          <w:rFonts w:hint="eastAsia" w:ascii="新宋体" w:hAnsi="新宋体" w:eastAsia="新宋体" w:cs="新宋体"/>
          <w:color w:val="auto"/>
          <w:highlight w:val="none"/>
        </w:rPr>
      </w:pPr>
    </w:p>
    <w:p>
      <w:pPr>
        <w:spacing w:line="460" w:lineRule="exact"/>
        <w:rPr>
          <w:rFonts w:hint="eastAsia" w:ascii="新宋体" w:hAnsi="新宋体" w:eastAsia="新宋体" w:cs="新宋体"/>
          <w:b/>
          <w:bCs/>
          <w:color w:val="auto"/>
          <w:sz w:val="22"/>
          <w:szCs w:val="22"/>
          <w:highlight w:val="none"/>
        </w:rPr>
      </w:pPr>
    </w:p>
    <w:p>
      <w:pPr>
        <w:pStyle w:val="24"/>
        <w:spacing w:line="460" w:lineRule="exact"/>
        <w:jc w:val="right"/>
        <w:rPr>
          <w:rFonts w:hint="eastAsia" w:ascii="新宋体" w:hAnsi="新宋体" w:eastAsia="新宋体" w:cs="新宋体"/>
          <w:b/>
          <w:color w:val="auto"/>
          <w:kern w:val="0"/>
          <w:sz w:val="22"/>
          <w:szCs w:val="22"/>
          <w:highlight w:val="none"/>
          <w:lang w:bidi="ar"/>
        </w:rPr>
      </w:pPr>
      <w:r>
        <w:rPr>
          <w:rFonts w:hint="eastAsia" w:ascii="新宋体" w:hAnsi="新宋体" w:eastAsia="新宋体" w:cs="新宋体"/>
          <w:b/>
          <w:bCs/>
          <w:color w:val="auto"/>
          <w:sz w:val="28"/>
          <w:szCs w:val="28"/>
          <w:highlight w:val="none"/>
        </w:rPr>
        <w:br w:type="page"/>
      </w:r>
    </w:p>
    <w:p>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4、落实政府采购政策需满足的资格要求证明材料</w:t>
      </w:r>
    </w:p>
    <w:p>
      <w:pPr>
        <w:bidi w:val="0"/>
        <w:jc w:val="center"/>
        <w:rPr>
          <w:rFonts w:hint="eastAsia" w:ascii="新宋体" w:hAnsi="新宋体" w:eastAsia="新宋体" w:cs="新宋体"/>
          <w:b/>
          <w:bCs/>
          <w:color w:val="auto"/>
          <w:szCs w:val="28"/>
          <w:highlight w:val="none"/>
          <w:lang w:val="en-US" w:eastAsia="zh-CN"/>
        </w:rPr>
      </w:pPr>
      <w:r>
        <w:rPr>
          <w:rFonts w:hint="eastAsia"/>
          <w:color w:val="auto"/>
          <w:highlight w:val="none"/>
        </w:rPr>
        <w:t>（根据</w:t>
      </w:r>
      <w:r>
        <w:rPr>
          <w:rFonts w:hint="eastAsia"/>
          <w:color w:val="auto"/>
          <w:highlight w:val="none"/>
          <w:lang w:val="en-US" w:eastAsia="zh-CN"/>
        </w:rPr>
        <w:t>招标</w:t>
      </w:r>
      <w:r>
        <w:rPr>
          <w:rFonts w:hint="eastAsia"/>
          <w:color w:val="auto"/>
          <w:highlight w:val="none"/>
        </w:rPr>
        <w:t>公告落实政府采购政策需满足的资格要求选择提供相应的材料；未要求的，无需提供）</w:t>
      </w:r>
    </w:p>
    <w:p>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（1）中小企业的相关证明材料</w:t>
      </w:r>
    </w:p>
    <w:p>
      <w:pPr>
        <w:spacing w:line="460" w:lineRule="exact"/>
        <w:jc w:val="both"/>
        <w:rPr>
          <w:rFonts w:hint="eastAsia" w:ascii="新宋体" w:hAnsi="新宋体" w:eastAsia="新宋体" w:cs="新宋体"/>
          <w:b/>
          <w:bCs/>
          <w:color w:val="auto"/>
          <w:sz w:val="22"/>
          <w:szCs w:val="22"/>
          <w:highlight w:val="none"/>
        </w:rPr>
      </w:pPr>
    </w:p>
    <w:p>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pacing w:val="20"/>
          <w:sz w:val="22"/>
          <w:szCs w:val="22"/>
          <w:highlight w:val="none"/>
          <w:lang w:eastAsia="zh-CN"/>
        </w:rPr>
        <w:t>）</w:t>
      </w:r>
      <w:r>
        <w:rPr>
          <w:rFonts w:hint="eastAsia" w:ascii="新宋体" w:hAnsi="新宋体" w:eastAsia="新宋体" w:cs="新宋体"/>
          <w:b/>
          <w:bCs/>
          <w:color w:val="auto"/>
          <w:sz w:val="22"/>
          <w:szCs w:val="22"/>
          <w:highlight w:val="none"/>
        </w:rPr>
        <w:t>》</w:t>
      </w:r>
    </w:p>
    <w:p>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b w:val="0"/>
          <w:bCs w:val="0"/>
          <w:color w:val="auto"/>
          <w:sz w:val="22"/>
          <w:szCs w:val="22"/>
          <w:highlight w:val="none"/>
          <w:lang w:val="zh-CN"/>
        </w:rPr>
        <w:t>1.</w:t>
      </w:r>
      <w:r>
        <w:rPr>
          <w:rFonts w:hint="eastAsia" w:ascii="新宋体" w:hAnsi="新宋体" w:eastAsia="新宋体" w:cs="新宋体"/>
          <w:b w:val="0"/>
          <w:bCs w:val="0"/>
          <w:color w:val="auto"/>
          <w:sz w:val="22"/>
          <w:szCs w:val="22"/>
          <w:highlight w:val="none"/>
          <w:u w:val="single"/>
          <w:lang w:val="zh-CN"/>
        </w:rPr>
        <w:t>（标的名称）</w:t>
      </w:r>
      <w:r>
        <w:rPr>
          <w:rFonts w:hint="eastAsia" w:ascii="新宋体" w:hAnsi="新宋体" w:eastAsia="新宋体" w:cs="新宋体"/>
          <w:b w:val="0"/>
          <w:bCs w:val="0"/>
          <w:color w:val="auto"/>
          <w:sz w:val="22"/>
          <w:szCs w:val="22"/>
          <w:highlight w:val="none"/>
          <w:lang w:val="zh-CN"/>
        </w:rPr>
        <w:t xml:space="preserve"> ，属于</w:t>
      </w:r>
      <w:r>
        <w:rPr>
          <w:rFonts w:hint="eastAsia" w:ascii="新宋体" w:hAnsi="新宋体" w:eastAsia="新宋体" w:cs="新宋体"/>
          <w:b w:val="0"/>
          <w:bCs w:val="0"/>
          <w:color w:val="auto"/>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u w:val="single"/>
          <w:lang w:eastAsia="zh-CN"/>
        </w:rPr>
        <w:t>，</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pacing w:val="20"/>
          <w:sz w:val="22"/>
          <w:szCs w:val="22"/>
          <w:highlight w:val="none"/>
          <w:u w:val="single"/>
        </w:rPr>
        <w:t>（采购文件中明确的所属行业）</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万元，属于（中型企业、小型企业、微型企业）；</w:t>
      </w:r>
    </w:p>
    <w:p>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pPr>
        <w:spacing w:line="460" w:lineRule="exact"/>
        <w:rPr>
          <w:rFonts w:hint="eastAsia" w:ascii="新宋体" w:hAnsi="新宋体" w:eastAsia="新宋体" w:cs="新宋体"/>
          <w:color w:val="auto"/>
          <w:spacing w:val="20"/>
          <w:sz w:val="22"/>
          <w:szCs w:val="22"/>
          <w:highlight w:val="none"/>
        </w:rPr>
      </w:pPr>
    </w:p>
    <w:p>
      <w:pPr>
        <w:pStyle w:val="9"/>
        <w:rPr>
          <w:rFonts w:hint="eastAsia" w:ascii="新宋体" w:hAnsi="新宋体" w:eastAsia="新宋体" w:cs="新宋体"/>
          <w:color w:val="auto"/>
          <w:sz w:val="22"/>
          <w:szCs w:val="22"/>
          <w:highlight w:val="none"/>
        </w:rPr>
      </w:pPr>
    </w:p>
    <w:p>
      <w:pPr>
        <w:spacing w:line="460" w:lineRule="exact"/>
        <w:ind w:firstLine="4680" w:firstLineChars="18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pPr>
        <w:spacing w:line="460" w:lineRule="exact"/>
        <w:ind w:firstLine="4680" w:firstLineChars="18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（2）残疾人福利性单位的相关证明材料</w:t>
      </w:r>
    </w:p>
    <w:p>
      <w:pPr>
        <w:spacing w:line="460" w:lineRule="exact"/>
        <w:ind w:firstLine="520" w:firstLineChars="200"/>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pPr>
        <w:snapToGrid w:val="0"/>
        <w:spacing w:line="460" w:lineRule="exact"/>
        <w:jc w:val="center"/>
        <w:rPr>
          <w:rFonts w:hint="eastAsia" w:ascii="新宋体" w:hAnsi="新宋体" w:eastAsia="新宋体" w:cs="新宋体"/>
          <w:b/>
          <w:bCs/>
          <w:color w:val="auto"/>
          <w:sz w:val="22"/>
          <w:szCs w:val="22"/>
          <w:highlight w:val="none"/>
        </w:rPr>
      </w:pP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w:t>
      </w:r>
      <w:r>
        <w:rPr>
          <w:rFonts w:hint="eastAsia" w:ascii="新宋体" w:hAnsi="新宋体" w:eastAsia="新宋体" w:cs="新宋体"/>
          <w:color w:val="auto"/>
          <w:spacing w:val="6"/>
          <w:sz w:val="22"/>
          <w:szCs w:val="22"/>
          <w:highlight w:val="none"/>
          <w:u w:val="single"/>
          <w:lang w:eastAsia="zh-CN"/>
        </w:rPr>
        <w:t>采购人</w:t>
      </w:r>
      <w:r>
        <w:rPr>
          <w:rFonts w:hint="eastAsia" w:ascii="新宋体" w:hAnsi="新宋体" w:eastAsia="新宋体" w:cs="新宋体"/>
          <w:color w:val="auto"/>
          <w:spacing w:val="6"/>
          <w:sz w:val="22"/>
          <w:szCs w:val="22"/>
          <w:highlight w:val="none"/>
          <w:u w:val="single"/>
        </w:rPr>
        <w:t>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p>
    <w:p>
      <w:pPr>
        <w:snapToGrid w:val="0"/>
        <w:spacing w:line="460" w:lineRule="exact"/>
        <w:ind w:firstLine="464" w:firstLineChars="200"/>
        <w:rPr>
          <w:rFonts w:hint="eastAsia" w:ascii="新宋体" w:hAnsi="新宋体" w:eastAsia="新宋体" w:cs="新宋体"/>
          <w:color w:val="auto"/>
          <w:spacing w:val="6"/>
          <w:sz w:val="22"/>
          <w:szCs w:val="22"/>
          <w:highlight w:val="none"/>
        </w:rPr>
      </w:pP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pPr>
        <w:pStyle w:val="24"/>
        <w:spacing w:line="460" w:lineRule="exact"/>
        <w:ind w:left="437" w:leftChars="208"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pStyle w:val="24"/>
        <w:spacing w:line="460" w:lineRule="exact"/>
        <w:ind w:left="440" w:hanging="440"/>
        <w:rPr>
          <w:rFonts w:hint="eastAsia" w:ascii="新宋体" w:hAnsi="新宋体" w:eastAsia="新宋体" w:cs="新宋体"/>
          <w:color w:val="auto"/>
          <w:kern w:val="0"/>
          <w:sz w:val="22"/>
          <w:szCs w:val="22"/>
          <w:highlight w:val="none"/>
        </w:rPr>
      </w:pPr>
    </w:p>
    <w:p>
      <w:pPr>
        <w:pStyle w:val="24"/>
        <w:ind w:left="440" w:hanging="440"/>
        <w:rPr>
          <w:rFonts w:hint="eastAsia" w:ascii="新宋体" w:hAnsi="新宋体" w:eastAsia="新宋体" w:cs="新宋体"/>
          <w:color w:val="auto"/>
          <w:kern w:val="0"/>
          <w:sz w:val="22"/>
          <w:szCs w:val="22"/>
          <w:highlight w:val="none"/>
        </w:rPr>
      </w:pPr>
    </w:p>
    <w:p>
      <w:pPr>
        <w:pStyle w:val="24"/>
        <w:ind w:left="440" w:hanging="440"/>
        <w:rPr>
          <w:rFonts w:hint="eastAsia" w:ascii="新宋体" w:hAnsi="新宋体" w:eastAsia="新宋体" w:cs="新宋体"/>
          <w:color w:val="auto"/>
          <w:kern w:val="0"/>
          <w:sz w:val="22"/>
          <w:szCs w:val="22"/>
          <w:highlight w:val="none"/>
        </w:rPr>
      </w:pPr>
    </w:p>
    <w:p>
      <w:pPr>
        <w:pStyle w:val="24"/>
        <w:ind w:left="440" w:hanging="440"/>
        <w:rPr>
          <w:rFonts w:hint="eastAsia" w:ascii="新宋体" w:hAnsi="新宋体" w:eastAsia="新宋体" w:cs="新宋体"/>
          <w:color w:val="auto"/>
          <w:kern w:val="0"/>
          <w:sz w:val="22"/>
          <w:szCs w:val="22"/>
          <w:highlight w:val="none"/>
        </w:rPr>
      </w:pPr>
    </w:p>
    <w:p>
      <w:pPr>
        <w:pStyle w:val="24"/>
        <w:ind w:left="440" w:hanging="440"/>
        <w:rPr>
          <w:rFonts w:hint="eastAsia" w:ascii="新宋体" w:hAnsi="新宋体" w:eastAsia="新宋体" w:cs="新宋体"/>
          <w:color w:val="auto"/>
          <w:kern w:val="0"/>
          <w:sz w:val="22"/>
          <w:szCs w:val="22"/>
          <w:highlight w:val="none"/>
        </w:rPr>
      </w:pPr>
    </w:p>
    <w:p>
      <w:pPr>
        <w:pStyle w:val="24"/>
        <w:ind w:left="440" w:hanging="440"/>
        <w:rPr>
          <w:rFonts w:hint="eastAsia" w:ascii="新宋体" w:hAnsi="新宋体" w:eastAsia="新宋体" w:cs="新宋体"/>
          <w:color w:val="auto"/>
          <w:kern w:val="0"/>
          <w:sz w:val="22"/>
          <w:szCs w:val="22"/>
          <w:highlight w:val="none"/>
        </w:rPr>
      </w:pPr>
    </w:p>
    <w:p>
      <w:pPr>
        <w:pStyle w:val="24"/>
        <w:ind w:left="440" w:hanging="440"/>
        <w:rPr>
          <w:rFonts w:hint="eastAsia" w:ascii="新宋体" w:hAnsi="新宋体" w:eastAsia="新宋体" w:cs="新宋体"/>
          <w:color w:val="auto"/>
          <w:kern w:val="0"/>
          <w:sz w:val="22"/>
          <w:szCs w:val="22"/>
          <w:highlight w:val="none"/>
        </w:rPr>
      </w:pPr>
    </w:p>
    <w:p>
      <w:pPr>
        <w:pStyle w:val="24"/>
        <w:ind w:left="440" w:hanging="440"/>
        <w:rPr>
          <w:rFonts w:hint="eastAsia" w:ascii="新宋体" w:hAnsi="新宋体" w:eastAsia="新宋体" w:cs="新宋体"/>
          <w:color w:val="auto"/>
          <w:kern w:val="0"/>
          <w:sz w:val="22"/>
          <w:szCs w:val="22"/>
          <w:highlight w:val="none"/>
        </w:rPr>
      </w:pPr>
    </w:p>
    <w:p>
      <w:pPr>
        <w:pStyle w:val="24"/>
        <w:ind w:left="440" w:hanging="440"/>
        <w:rPr>
          <w:rFonts w:hint="eastAsia" w:ascii="新宋体" w:hAnsi="新宋体" w:eastAsia="新宋体" w:cs="新宋体"/>
          <w:color w:val="auto"/>
          <w:kern w:val="0"/>
          <w:sz w:val="22"/>
          <w:szCs w:val="22"/>
          <w:highlight w:val="none"/>
        </w:rPr>
      </w:pPr>
    </w:p>
    <w:p>
      <w:pPr>
        <w:rPr>
          <w:rFonts w:hint="eastAsia"/>
          <w:color w:val="auto"/>
          <w:highlight w:val="none"/>
        </w:rPr>
      </w:pPr>
      <w:r>
        <w:rPr>
          <w:rFonts w:hint="eastAsia"/>
          <w:color w:val="auto"/>
          <w:highlight w:val="none"/>
        </w:rPr>
        <w:br w:type="page"/>
      </w:r>
    </w:p>
    <w:p>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（3）监狱企业的相关证明材料</w:t>
      </w:r>
    </w:p>
    <w:p>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pPr>
        <w:adjustRightInd w:val="0"/>
        <w:snapToGrid w:val="0"/>
        <w:spacing w:line="300" w:lineRule="auto"/>
        <w:jc w:val="center"/>
        <w:rPr>
          <w:rFonts w:hint="eastAsia" w:ascii="新宋体" w:hAnsi="新宋体" w:eastAsia="新宋体" w:cs="新宋体"/>
          <w:b/>
          <w:color w:val="auto"/>
          <w:spacing w:val="6"/>
          <w:sz w:val="22"/>
          <w:szCs w:val="22"/>
          <w:highlight w:val="none"/>
        </w:rPr>
      </w:pPr>
    </w:p>
    <w:p>
      <w:pPr>
        <w:adjustRightInd w:val="0"/>
        <w:snapToGrid w:val="0"/>
        <w:spacing w:line="300" w:lineRule="auto"/>
        <w:jc w:val="center"/>
        <w:rPr>
          <w:rFonts w:hint="eastAsia" w:ascii="新宋体" w:hAnsi="新宋体" w:eastAsia="新宋体" w:cs="新宋体"/>
          <w:b/>
          <w:color w:val="auto"/>
          <w:spacing w:val="6"/>
          <w:sz w:val="22"/>
          <w:szCs w:val="22"/>
          <w:highlight w:val="none"/>
        </w:rPr>
      </w:pPr>
    </w:p>
    <w:p>
      <w:pPr>
        <w:adjustRightInd w:val="0"/>
        <w:snapToGrid w:val="0"/>
        <w:spacing w:line="300" w:lineRule="auto"/>
        <w:jc w:val="center"/>
        <w:rPr>
          <w:rFonts w:hint="eastAsia" w:ascii="新宋体" w:hAnsi="新宋体" w:eastAsia="新宋体" w:cs="新宋体"/>
          <w:b/>
          <w:color w:val="auto"/>
          <w:spacing w:val="6"/>
          <w:sz w:val="22"/>
          <w:szCs w:val="22"/>
          <w:highlight w:val="none"/>
        </w:rPr>
      </w:pPr>
    </w:p>
    <w:p>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）采购活动并承担本工程。</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日期：    年    月   日</w:t>
      </w:r>
      <w:r>
        <w:rPr>
          <w:rFonts w:hint="eastAsia" w:ascii="新宋体" w:hAnsi="新宋体" w:eastAsia="新宋体" w:cs="新宋体"/>
          <w:color w:val="auto"/>
          <w:kern w:val="0"/>
          <w:sz w:val="22"/>
          <w:szCs w:val="22"/>
          <w:highlight w:val="none"/>
        </w:rPr>
        <w:t xml:space="preserve">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新宋体" w:hAnsi="新宋体" w:eastAsia="新宋体" w:cs="新宋体"/>
          <w:color w:val="auto"/>
          <w:spacing w:val="20"/>
          <w:sz w:val="22"/>
          <w:szCs w:val="22"/>
          <w:highlight w:val="none"/>
        </w:rPr>
      </w:pPr>
    </w:p>
    <w:p>
      <w:pPr>
        <w:pStyle w:val="24"/>
        <w:rPr>
          <w:rFonts w:hint="eastAsia"/>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b/>
          <w:bCs w:val="0"/>
          <w:color w:val="auto"/>
          <w:kern w:val="0"/>
          <w:sz w:val="28"/>
          <w:szCs w:val="28"/>
          <w:highlight w:val="none"/>
          <w:lang w:val="en-US" w:eastAsia="zh-CN" w:bidi="ar-SA"/>
        </w:rPr>
      </w:pPr>
    </w:p>
    <w:p>
      <w:pPr>
        <w:pStyle w:val="24"/>
        <w:ind w:left="440" w:hanging="440"/>
        <w:rPr>
          <w:rFonts w:hint="eastAsia" w:ascii="新宋体" w:hAnsi="新宋体" w:eastAsia="新宋体" w:cs="新宋体"/>
          <w:color w:val="auto"/>
          <w:kern w:val="0"/>
          <w:sz w:val="22"/>
          <w:szCs w:val="22"/>
          <w:highlight w:val="none"/>
        </w:rPr>
      </w:pPr>
    </w:p>
    <w:p>
      <w:pPr>
        <w:pStyle w:val="24"/>
        <w:ind w:left="440" w:hanging="440"/>
        <w:rPr>
          <w:rFonts w:hint="eastAsia" w:ascii="新宋体" w:hAnsi="新宋体" w:eastAsia="新宋体" w:cs="新宋体"/>
          <w:color w:val="auto"/>
          <w:kern w:val="0"/>
          <w:sz w:val="22"/>
          <w:szCs w:val="22"/>
          <w:highlight w:val="none"/>
        </w:rPr>
      </w:pP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br w:type="page"/>
      </w:r>
    </w:p>
    <w:p>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5、政府采购活动现场确认声明书</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lang w:bidi="ar"/>
        </w:rPr>
        <w:t>温州历程招标有限公司：</w:t>
      </w:r>
    </w:p>
    <w:p>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）政府采购活动，经与本单位法人代表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（一）本单位与采购人之间 □不存在利害关系 □存在下列利害关系：</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22"/>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□与其他所有供应商之间均不存在利害关系 </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pPr>
        <w:pStyle w:val="24"/>
        <w:spacing w:line="460" w:lineRule="exact"/>
        <w:ind w:left="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（三）现已清楚知道并严格遵守政府采购法律法规和现场纪律</w:t>
      </w:r>
    </w:p>
    <w:p>
      <w:pPr>
        <w:pStyle w:val="24"/>
        <w:spacing w:line="460" w:lineRule="exact"/>
        <w:ind w:left="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22"/>
          <w:rFonts w:hint="eastAsia" w:ascii="新宋体" w:hAnsi="新宋体" w:eastAsia="新宋体" w:cs="新宋体"/>
          <w:color w:val="auto"/>
          <w:sz w:val="22"/>
          <w:szCs w:val="22"/>
          <w:highlight w:val="none"/>
          <w:lang w:bidi="ar"/>
        </w:rPr>
        <w:t xml:space="preserve">                  </w:t>
      </w:r>
      <w:r>
        <w:rPr>
          <w:rStyle w:val="122"/>
          <w:rFonts w:hint="eastAsia" w:ascii="新宋体" w:hAnsi="新宋体" w:eastAsia="新宋体" w:cs="新宋体"/>
          <w:color w:val="auto"/>
          <w:sz w:val="22"/>
          <w:szCs w:val="22"/>
          <w:highlight w:val="none"/>
          <w:u w:val="none"/>
          <w:lang w:bidi="ar"/>
        </w:rPr>
        <w:t>与</w:t>
      </w:r>
      <w:r>
        <w:rPr>
          <w:rStyle w:val="122"/>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22"/>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pPr>
        <w:pStyle w:val="24"/>
        <w:spacing w:line="460" w:lineRule="exact"/>
        <w:ind w:left="442" w:hanging="442"/>
        <w:rPr>
          <w:rFonts w:hint="eastAsia" w:ascii="新宋体" w:hAnsi="新宋体" w:eastAsia="新宋体" w:cs="新宋体"/>
          <w:b/>
          <w:color w:val="auto"/>
          <w:kern w:val="0"/>
          <w:sz w:val="22"/>
          <w:szCs w:val="22"/>
          <w:highlight w:val="none"/>
          <w:lang w:bidi="ar"/>
        </w:rPr>
      </w:pPr>
      <w:r>
        <w:rPr>
          <w:rFonts w:hint="eastAsia" w:ascii="新宋体" w:hAnsi="新宋体" w:eastAsia="新宋体" w:cs="新宋体"/>
          <w:b/>
          <w:color w:val="auto"/>
          <w:kern w:val="0"/>
          <w:sz w:val="22"/>
          <w:szCs w:val="22"/>
          <w:highlight w:val="none"/>
          <w:lang w:bidi="ar"/>
        </w:rPr>
        <w:t>供应商代表签名：</w:t>
      </w:r>
    </w:p>
    <w:p>
      <w:pPr>
        <w:pStyle w:val="24"/>
        <w:spacing w:line="460" w:lineRule="exact"/>
        <w:ind w:left="442" w:hanging="442"/>
        <w:rPr>
          <w:rFonts w:hint="eastAsia" w:ascii="新宋体" w:hAnsi="新宋体" w:eastAsia="新宋体" w:cs="新宋体"/>
          <w:b/>
          <w:color w:val="auto"/>
          <w:kern w:val="0"/>
          <w:sz w:val="22"/>
          <w:szCs w:val="22"/>
          <w:highlight w:val="none"/>
          <w:lang w:bidi="ar"/>
        </w:rPr>
      </w:pPr>
    </w:p>
    <w:p>
      <w:pPr>
        <w:pStyle w:val="24"/>
        <w:spacing w:line="460" w:lineRule="exact"/>
        <w:ind w:left="442" w:hanging="442"/>
        <w:jc w:val="right"/>
        <w:rPr>
          <w:rFonts w:hint="eastAsia" w:ascii="新宋体" w:hAnsi="新宋体" w:eastAsia="新宋体" w:cs="新宋体"/>
          <w:b/>
          <w:color w:val="auto"/>
          <w:kern w:val="0"/>
          <w:sz w:val="22"/>
          <w:szCs w:val="22"/>
          <w:highlight w:val="none"/>
          <w:lang w:bidi="ar"/>
        </w:rPr>
      </w:pPr>
      <w:r>
        <w:rPr>
          <w:rFonts w:hint="eastAsia" w:ascii="新宋体" w:hAnsi="新宋体" w:eastAsia="新宋体" w:cs="新宋体"/>
          <w:b/>
          <w:color w:val="auto"/>
          <w:kern w:val="0"/>
          <w:sz w:val="22"/>
          <w:szCs w:val="22"/>
          <w:highlight w:val="none"/>
          <w:lang w:bidi="ar"/>
        </w:rPr>
        <w:t>日期：     年    月    日</w:t>
      </w:r>
    </w:p>
    <w:p>
      <w:pPr>
        <w:pStyle w:val="25"/>
        <w:ind w:left="0" w:leftChars="0" w:firstLine="0" w:firstLineChars="0"/>
        <w:rPr>
          <w:rFonts w:hint="eastAsia"/>
        </w:rPr>
      </w:pPr>
    </w:p>
    <w:p>
      <w:pPr>
        <w:pStyle w:val="24"/>
        <w:ind w:left="440" w:hanging="440"/>
        <w:rPr>
          <w:rFonts w:hint="eastAsia" w:ascii="新宋体" w:hAnsi="新宋体" w:eastAsia="新宋体" w:cs="新宋体"/>
          <w:color w:val="auto"/>
          <w:kern w:val="0"/>
          <w:sz w:val="22"/>
          <w:szCs w:val="22"/>
          <w:highlight w:val="none"/>
        </w:rPr>
      </w:pPr>
    </w:p>
    <w:p>
      <w:pPr>
        <w:pStyle w:val="24"/>
        <w:ind w:left="440" w:hanging="440"/>
        <w:rPr>
          <w:rFonts w:hint="eastAsia" w:ascii="新宋体" w:hAnsi="新宋体" w:eastAsia="新宋体" w:cs="新宋体"/>
          <w:color w:val="auto"/>
          <w:kern w:val="0"/>
          <w:sz w:val="22"/>
          <w:szCs w:val="22"/>
          <w:highlight w:val="none"/>
        </w:rPr>
      </w:pPr>
    </w:p>
    <w:p>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bookmarkStart w:id="159" w:name="_Toc16751"/>
      <w:bookmarkStart w:id="160" w:name="_Toc25804"/>
      <w:bookmarkStart w:id="161" w:name="_Toc11942"/>
      <w:bookmarkStart w:id="162" w:name="_Toc3264"/>
      <w:bookmarkStart w:id="163" w:name="_Toc26459"/>
      <w:bookmarkStart w:id="164" w:name="_Toc16516"/>
      <w:bookmarkStart w:id="165" w:name="_Toc31356"/>
      <w:bookmarkStart w:id="166" w:name="_Toc16836"/>
      <w:bookmarkStart w:id="167" w:name="_Toc1182"/>
      <w:bookmarkStart w:id="168" w:name="_Toc23460"/>
      <w:r>
        <w:rPr>
          <w:rFonts w:hint="eastAsia" w:ascii="宋体" w:hAnsi="宋体" w:cs="宋体"/>
          <w:b/>
          <w:color w:val="auto"/>
          <w:sz w:val="22"/>
          <w:szCs w:val="22"/>
          <w:highlight w:val="none"/>
        </w:rPr>
        <w:t>附件三</w:t>
      </w:r>
      <w:bookmarkEnd w:id="159"/>
      <w:bookmarkEnd w:id="160"/>
      <w:bookmarkEnd w:id="161"/>
      <w:bookmarkEnd w:id="162"/>
      <w:bookmarkEnd w:id="163"/>
      <w:bookmarkEnd w:id="164"/>
      <w:bookmarkEnd w:id="165"/>
      <w:bookmarkEnd w:id="166"/>
      <w:bookmarkEnd w:id="167"/>
      <w:bookmarkEnd w:id="168"/>
    </w:p>
    <w:p>
      <w:pPr>
        <w:spacing w:line="460" w:lineRule="exact"/>
        <w:jc w:val="center"/>
        <w:outlineLvl w:val="2"/>
        <w:rPr>
          <w:rFonts w:ascii="宋体" w:hAnsi="宋体" w:cs="宋体"/>
          <w:b/>
          <w:bCs/>
          <w:color w:val="auto"/>
          <w:sz w:val="28"/>
          <w:szCs w:val="28"/>
          <w:highlight w:val="none"/>
          <w:lang w:val="zh-CN"/>
        </w:rPr>
      </w:pPr>
      <w:bookmarkStart w:id="169" w:name="_Toc24444"/>
      <w:bookmarkStart w:id="170" w:name="_Toc13639"/>
      <w:bookmarkStart w:id="171" w:name="_Toc13787"/>
      <w:bookmarkStart w:id="172" w:name="_Toc29102"/>
      <w:bookmarkStart w:id="173" w:name="_Toc5643"/>
      <w:bookmarkStart w:id="174" w:name="_Toc27080"/>
      <w:bookmarkStart w:id="175" w:name="_Toc21625"/>
      <w:bookmarkStart w:id="176" w:name="_Toc3068"/>
      <w:r>
        <w:rPr>
          <w:rFonts w:hint="eastAsia" w:ascii="宋体" w:hAnsi="宋体" w:cs="宋体"/>
          <w:b/>
          <w:bCs/>
          <w:color w:val="auto"/>
          <w:sz w:val="28"/>
          <w:szCs w:val="28"/>
          <w:highlight w:val="none"/>
          <w:lang w:val="zh-CN"/>
        </w:rPr>
        <w:t>商务技术文件</w:t>
      </w:r>
      <w:bookmarkEnd w:id="169"/>
      <w:bookmarkEnd w:id="170"/>
      <w:bookmarkEnd w:id="171"/>
      <w:bookmarkEnd w:id="172"/>
      <w:bookmarkEnd w:id="173"/>
      <w:bookmarkEnd w:id="174"/>
      <w:bookmarkEnd w:id="175"/>
      <w:bookmarkEnd w:id="176"/>
    </w:p>
    <w:p>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1、</w:t>
      </w:r>
      <w:r>
        <w:rPr>
          <w:rFonts w:hint="eastAsia" w:ascii="宋体" w:hAnsi="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致：</w:t>
      </w:r>
      <w:r>
        <w:rPr>
          <w:rFonts w:hint="eastAsia" w:ascii="宋体" w:hAnsi="宋体" w:cs="宋体"/>
          <w:color w:val="auto"/>
          <w:sz w:val="22"/>
          <w:szCs w:val="22"/>
          <w:highlight w:val="none"/>
          <w:lang w:eastAsia="zh-CN"/>
        </w:rPr>
        <w:t>浙江工贸职业技术学院</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项目（招标编号：</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1、我方同意在投标人</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(4)良好的资金、财务状况；</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3、提供</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(1)资格文件</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(2)报价文件；</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商务</w:t>
      </w:r>
      <w:r>
        <w:rPr>
          <w:rFonts w:hint="eastAsia" w:ascii="宋体" w:hAnsi="宋体" w:cs="宋体"/>
          <w:color w:val="auto"/>
          <w:kern w:val="0"/>
          <w:sz w:val="22"/>
          <w:szCs w:val="22"/>
          <w:highlight w:val="none"/>
          <w:lang w:val="zh-CN"/>
        </w:rPr>
        <w:t>技术文件</w:t>
      </w:r>
      <w:r>
        <w:rPr>
          <w:rFonts w:hint="eastAsia" w:ascii="宋体" w:hAnsi="宋体" w:cs="宋体"/>
          <w:color w:val="auto"/>
          <w:sz w:val="22"/>
          <w:szCs w:val="22"/>
          <w:highlight w:val="none"/>
        </w:rPr>
        <w:t>；</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要求投标人提交的全部文件；</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6、如中标，按招标文件规定与采购人签订合同。如拒绝签订合同，承诺按本项目预算金额的2%对采购人进行赔偿；赔偿金额不足以弥补采购人损失的，承诺继续承担超过部分的损失。</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(3)与采购人、其它供应商或者招标代理机构恶意串通的；</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(4)向采购人、招标代理机构行贿或者提供其他不正当利益的；</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(5)在招标采购过程中与采购人进行协商谈判的；</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供应商有前款第(1)至(5)项情形之一的，中标、成交无效。</w:t>
      </w:r>
    </w:p>
    <w:p>
      <w:pPr>
        <w:shd w:val="clear" w:color="auto" w:fill="FFFFFF"/>
        <w:snapToGrid w:val="0"/>
        <w:spacing w:line="360" w:lineRule="auto"/>
        <w:rPr>
          <w:rFonts w:ascii="宋体" w:hAnsi="宋体" w:cs="宋体"/>
          <w:color w:val="auto"/>
          <w:kern w:val="0"/>
          <w:sz w:val="22"/>
          <w:szCs w:val="22"/>
          <w:highlight w:val="none"/>
          <w:lang w:val="zh-CN"/>
        </w:rPr>
      </w:pPr>
    </w:p>
    <w:p>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法定（授权）代表人（签字）：</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p>
    <w:p>
      <w:pPr>
        <w:shd w:val="clear" w:color="auto" w:fill="FFFFFF"/>
        <w:snapToGrid w:val="0"/>
        <w:spacing w:line="360" w:lineRule="auto"/>
        <w:ind w:firstLine="440" w:firstLineChars="200"/>
        <w:rPr>
          <w:rFonts w:ascii="宋体" w:hAnsi="宋体" w:cs="宋体"/>
          <w:color w:val="auto"/>
          <w:kern w:val="0"/>
          <w:sz w:val="22"/>
          <w:szCs w:val="22"/>
          <w:highlight w:val="none"/>
          <w:u w:val="single"/>
          <w:lang w:val="zh-CN"/>
        </w:rPr>
      </w:pPr>
      <w:r>
        <w:rPr>
          <w:rFonts w:hint="eastAsia" w:ascii="宋体" w:hAnsi="宋体" w:cs="宋体"/>
          <w:color w:val="auto"/>
          <w:kern w:val="0"/>
          <w:sz w:val="22"/>
          <w:szCs w:val="22"/>
          <w:highlight w:val="none"/>
          <w:lang w:val="zh-CN"/>
        </w:rPr>
        <w:t>投标人盖 章：</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 xml:space="preserve">联系电话：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传真：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电子邮件：  </w:t>
      </w:r>
      <w:r>
        <w:rPr>
          <w:rFonts w:hint="eastAsia" w:ascii="宋体" w:hAnsi="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传真号码：</w:t>
      </w:r>
      <w:r>
        <w:rPr>
          <w:rFonts w:hint="eastAsia" w:ascii="宋体" w:hAnsi="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期</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日</w:t>
      </w:r>
    </w:p>
    <w:p>
      <w:pPr>
        <w:spacing w:line="440" w:lineRule="exact"/>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val="zh-CN"/>
        </w:rPr>
        <w:t>注：未按照本投标响应函要求填报的将被视为非实质性响应，从而可能导致该投标文件被拒绝。</w:t>
      </w:r>
    </w:p>
    <w:p>
      <w:pPr>
        <w:pStyle w:val="24"/>
        <w:ind w:left="442" w:hanging="442"/>
        <w:rPr>
          <w:rFonts w:ascii="宋体" w:hAnsi="宋体" w:cs="宋体"/>
          <w:b/>
          <w:bCs/>
          <w:color w:val="auto"/>
          <w:sz w:val="22"/>
          <w:szCs w:val="22"/>
          <w:highlight w:val="none"/>
        </w:rPr>
      </w:pPr>
    </w:p>
    <w:p>
      <w:pPr>
        <w:spacing w:line="400" w:lineRule="exact"/>
        <w:jc w:val="center"/>
        <w:rPr>
          <w:rFonts w:ascii="宋体" w:hAnsi="宋体" w:cs="宋体"/>
          <w:b/>
          <w:bCs/>
          <w:color w:val="auto"/>
          <w:sz w:val="28"/>
          <w:szCs w:val="28"/>
          <w:highlight w:val="none"/>
        </w:rPr>
      </w:pP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rPr>
        <w:t>、法定代表人授权书</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浙江工贸职业技术学院</w:t>
      </w:r>
      <w:r>
        <w:rPr>
          <w:rFonts w:hint="eastAsia" w:ascii="宋体" w:hAnsi="宋体" w:cs="宋体"/>
          <w:color w:val="auto"/>
          <w:sz w:val="22"/>
          <w:szCs w:val="22"/>
          <w:highlight w:val="none"/>
        </w:rPr>
        <w:t>：</w:t>
      </w:r>
    </w:p>
    <w:p>
      <w:pPr>
        <w:spacing w:line="460" w:lineRule="exact"/>
        <w:rPr>
          <w:rFonts w:ascii="宋体" w:hAnsi="宋体" w:cs="宋体"/>
          <w:color w:val="auto"/>
          <w:sz w:val="22"/>
          <w:szCs w:val="22"/>
          <w:highlight w:val="none"/>
          <w:u w:val="single"/>
        </w:rPr>
      </w:pPr>
    </w:p>
    <w:p>
      <w:pPr>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（全权代表姓名）为全权代表，参加贵处组织的（项目名称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的招标活动，全权代表我方处理招标活动中的一切事宜。</w:t>
      </w:r>
    </w:p>
    <w:p>
      <w:pPr>
        <w:spacing w:line="460" w:lineRule="exact"/>
        <w:ind w:firstLine="2955"/>
        <w:rPr>
          <w:rFonts w:ascii="宋体" w:hAnsi="宋体" w:cs="宋体"/>
          <w:color w:val="auto"/>
          <w:sz w:val="22"/>
          <w:szCs w:val="22"/>
          <w:highlight w:val="none"/>
        </w:rPr>
      </w:pPr>
    </w:p>
    <w:p>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460" w:lineRule="exact"/>
        <w:ind w:firstLine="4081" w:firstLineChars="1855"/>
        <w:rPr>
          <w:rFonts w:ascii="宋体" w:hAnsi="宋体" w:cs="宋体"/>
          <w:color w:val="auto"/>
          <w:sz w:val="22"/>
          <w:szCs w:val="22"/>
          <w:highlight w:val="none"/>
        </w:rPr>
      </w:pPr>
      <w:r>
        <w:rPr>
          <w:rFonts w:hint="eastAsia" w:ascii="宋体" w:hAnsi="宋体" w:cs="宋体"/>
          <w:color w:val="auto"/>
          <w:sz w:val="22"/>
          <w:szCs w:val="22"/>
          <w:highlight w:val="none"/>
        </w:rPr>
        <w:t>法定代表人(签字或盖章)：</w:t>
      </w:r>
    </w:p>
    <w:p>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   期：  </w:t>
      </w: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附：</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 xml:space="preserve">授权代表姓名：                               </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职务：</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详细通讯地址：</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电话：</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传真：</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邮政编码:</w:t>
      </w:r>
    </w:p>
    <w:p>
      <w:pPr>
        <w:spacing w:line="380" w:lineRule="exact"/>
        <w:rPr>
          <w:rFonts w:ascii="宋体" w:hAnsi="宋体" w:cs="宋体"/>
          <w:color w:val="auto"/>
          <w:sz w:val="22"/>
          <w:szCs w:val="22"/>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r>
        <w:rPr>
          <w:rFonts w:hint="eastAsia" w:ascii="宋体" w:hAnsi="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wrap="square" upright="1"/>
                    </wps:wsp>
                  </a:graphicData>
                </a:graphic>
              </wp:anchor>
            </w:drawing>
          </mc:Choice>
          <mc:Fallback>
            <w:pict>
              <v:shape id="Text Box 2" o:spid="_x0000_s1026" o:spt="202" type="#_x0000_t202" style="position:absolute;left:0pt;margin-left:8.95pt;margin-top:25.25pt;height:236.55pt;width:492.45pt;z-index:251660288;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3CNo2AAAAAoBAAAPAAAAAAAAAAEAIAAA&#10;ACIAAABkcnMvZG93bnJldi54bWxQSwECFAAUAAAACACHTuJAepCT5gwCAABSBAAADgAAAAAAAAAB&#10;ACAAAAAnAQAAZHJzL2Uyb0RvYy54bWxQSwUGAAAAAAYABgBZAQAApQU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r>
        <w:rPr>
          <w:rFonts w:hint="eastAsia" w:ascii="宋体" w:hAnsi="宋体" w:cs="宋体"/>
          <w:color w:val="auto"/>
          <w:sz w:val="22"/>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wrap="square" upright="1"/>
                    </wps:wsp>
                  </a:graphicData>
                </a:graphic>
              </wp:anchor>
            </w:drawing>
          </mc:Choice>
          <mc:Fallback>
            <w:pict>
              <v:shape id="文本框 26" o:spid="_x0000_s1026" o:spt="202" type="#_x0000_t202" style="position:absolute;left:0pt;margin-left:6.95pt;margin-top:-4.25pt;height:305.15pt;width:496.35pt;z-index:251661312;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hqi13YAAAA&#10;CgEAAA8AAAAAAAAAAQAgAAAAIgAAAGRycy9kb3ducmV2LnhtbFBLAQIUABQAAAAIAIdO4kBdSQlB&#10;HQIAAFQEAAAOAAAAAAAAAAEAIAAAACcBAABkcnMvZTJvRG9jLnhtbFBLBQYAAAAABgAGAFkBAAC2&#10;BQ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rPr>
          <w:rFonts w:ascii="宋体" w:hAnsi="宋体" w:cs="宋体"/>
          <w:b/>
          <w:bCs/>
          <w:color w:val="auto"/>
          <w:sz w:val="28"/>
          <w:szCs w:val="28"/>
          <w:highlight w:val="none"/>
        </w:rPr>
      </w:pPr>
    </w:p>
    <w:p>
      <w:pPr>
        <w:spacing w:line="460" w:lineRule="exact"/>
        <w:jc w:val="center"/>
        <w:outlineLvl w:val="3"/>
        <w:rPr>
          <w:rFonts w:ascii="宋体" w:hAnsi="宋体" w:cs="宋体"/>
          <w:b/>
          <w:bCs/>
          <w:color w:val="auto"/>
          <w:sz w:val="22"/>
          <w:szCs w:val="22"/>
          <w:highlight w:val="none"/>
        </w:rPr>
        <w:sectPr>
          <w:headerReference r:id="rId8" w:type="default"/>
          <w:pgSz w:w="11906" w:h="16838"/>
          <w:pgMar w:top="1134" w:right="1134" w:bottom="1134" w:left="1134" w:header="850" w:footer="992" w:gutter="0"/>
          <w:pgNumType w:fmt="decimal"/>
          <w:cols w:space="720" w:num="1"/>
          <w:docGrid w:type="lines" w:linePitch="312" w:charSpace="0"/>
        </w:sectPr>
      </w:pPr>
    </w:p>
    <w:p>
      <w:pPr>
        <w:spacing w:line="38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rPr>
        <w:t>、投标人情况表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b/>
          <w:color w:val="auto"/>
          <w:sz w:val="22"/>
          <w:szCs w:val="22"/>
          <w:highlight w:val="none"/>
        </w:rPr>
      </w:pPr>
      <w:r>
        <w:rPr>
          <w:rFonts w:hint="eastAsia" w:ascii="新宋体" w:hAnsi="新宋体" w:eastAsia="新宋体" w:cs="新宋体"/>
          <w:bCs/>
          <w:color w:val="auto"/>
          <w:sz w:val="22"/>
          <w:szCs w:val="22"/>
          <w:highlight w:val="none"/>
        </w:rPr>
        <w:t>项 目 编 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单位名称（盖章）</w:t>
            </w:r>
          </w:p>
        </w:tc>
        <w:tc>
          <w:tcPr>
            <w:tcW w:w="2804" w:type="dxa"/>
            <w:gridSpan w:val="2"/>
          </w:tcPr>
          <w:p>
            <w:pPr>
              <w:spacing w:line="480" w:lineRule="exact"/>
              <w:rPr>
                <w:rFonts w:ascii="宋体" w:hAnsi="宋体" w:cs="宋体"/>
                <w:color w:val="auto"/>
                <w:sz w:val="22"/>
                <w:szCs w:val="22"/>
                <w:highlight w:val="none"/>
              </w:rPr>
            </w:pPr>
          </w:p>
        </w:tc>
        <w:tc>
          <w:tcPr>
            <w:tcW w:w="1115"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电 话</w:t>
            </w:r>
          </w:p>
        </w:tc>
        <w:tc>
          <w:tcPr>
            <w:tcW w:w="2588" w:type="dxa"/>
            <w:gridSpan w:val="2"/>
          </w:tcPr>
          <w:p>
            <w:pPr>
              <w:spacing w:line="480" w:lineRule="exact"/>
              <w:rPr>
                <w:rFonts w:ascii="宋体" w:hAnsi="宋体" w:cs="宋体"/>
                <w:color w:val="auto"/>
                <w:sz w:val="22"/>
                <w:szCs w:val="22"/>
                <w:highlight w:val="none"/>
              </w:rPr>
            </w:pPr>
          </w:p>
        </w:tc>
        <w:tc>
          <w:tcPr>
            <w:tcW w:w="1488"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1502" w:type="dxa"/>
          </w:tcPr>
          <w:p>
            <w:pPr>
              <w:spacing w:line="480" w:lineRule="exact"/>
              <w:rPr>
                <w:rFonts w:ascii="宋体" w:hAnsi="宋体" w:cs="宋体"/>
                <w:color w:val="auto"/>
                <w:sz w:val="22"/>
                <w:szCs w:val="22"/>
                <w:highlight w:val="none"/>
              </w:rPr>
            </w:pPr>
          </w:p>
        </w:tc>
        <w:tc>
          <w:tcPr>
            <w:tcW w:w="1488"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企业负责人</w:t>
            </w:r>
          </w:p>
        </w:tc>
        <w:tc>
          <w:tcPr>
            <w:tcW w:w="1115" w:type="dxa"/>
          </w:tcPr>
          <w:p>
            <w:pPr>
              <w:spacing w:line="480" w:lineRule="exact"/>
              <w:rPr>
                <w:rFonts w:ascii="宋体" w:hAnsi="宋体" w:cs="宋体"/>
                <w:color w:val="auto"/>
                <w:sz w:val="22"/>
                <w:szCs w:val="22"/>
                <w:highlight w:val="none"/>
              </w:rPr>
            </w:pPr>
          </w:p>
        </w:tc>
        <w:tc>
          <w:tcPr>
            <w:tcW w:w="1461"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p>
        </w:tc>
        <w:tc>
          <w:tcPr>
            <w:tcW w:w="2804" w:type="dxa"/>
            <w:gridSpan w:val="2"/>
          </w:tcPr>
          <w:p>
            <w:pPr>
              <w:spacing w:line="480" w:lineRule="exact"/>
              <w:rPr>
                <w:rFonts w:ascii="宋体" w:hAnsi="宋体" w:cs="宋体"/>
                <w:color w:val="auto"/>
                <w:sz w:val="22"/>
                <w:szCs w:val="22"/>
                <w:highlight w:val="none"/>
              </w:rPr>
            </w:pPr>
          </w:p>
        </w:tc>
        <w:tc>
          <w:tcPr>
            <w:tcW w:w="1115"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传 真</w:t>
            </w:r>
          </w:p>
        </w:tc>
        <w:tc>
          <w:tcPr>
            <w:tcW w:w="2588" w:type="dxa"/>
            <w:gridSpan w:val="2"/>
          </w:tcPr>
          <w:p>
            <w:pPr>
              <w:spacing w:line="480" w:lineRule="exact"/>
              <w:rPr>
                <w:rFonts w:ascii="宋体" w:hAnsi="宋体" w:cs="宋体"/>
                <w:color w:val="auto"/>
                <w:sz w:val="22"/>
                <w:szCs w:val="22"/>
                <w:highlight w:val="none"/>
              </w:rPr>
            </w:pPr>
          </w:p>
        </w:tc>
        <w:tc>
          <w:tcPr>
            <w:tcW w:w="1488"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1502" w:type="dxa"/>
          </w:tcPr>
          <w:p>
            <w:pPr>
              <w:spacing w:line="480" w:lineRule="exact"/>
              <w:rPr>
                <w:rFonts w:ascii="宋体" w:hAnsi="宋体" w:cs="宋体"/>
                <w:color w:val="auto"/>
                <w:sz w:val="22"/>
                <w:szCs w:val="22"/>
                <w:highlight w:val="none"/>
              </w:rPr>
            </w:pPr>
          </w:p>
        </w:tc>
        <w:tc>
          <w:tcPr>
            <w:tcW w:w="1488"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授权代表</w:t>
            </w:r>
          </w:p>
        </w:tc>
        <w:tc>
          <w:tcPr>
            <w:tcW w:w="1115" w:type="dxa"/>
          </w:tcPr>
          <w:p>
            <w:pPr>
              <w:spacing w:line="480" w:lineRule="exact"/>
              <w:rPr>
                <w:rFonts w:ascii="宋体" w:hAnsi="宋体" w:cs="宋体"/>
                <w:color w:val="auto"/>
                <w:sz w:val="22"/>
                <w:szCs w:val="22"/>
                <w:highlight w:val="none"/>
              </w:rPr>
            </w:pPr>
          </w:p>
        </w:tc>
        <w:tc>
          <w:tcPr>
            <w:tcW w:w="1461"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6507" w:type="dxa"/>
            <w:gridSpan w:val="6"/>
            <w:vAlign w:val="center"/>
          </w:tcPr>
          <w:p>
            <w:pPr>
              <w:spacing w:line="480" w:lineRule="exact"/>
              <w:jc w:val="center"/>
              <w:rPr>
                <w:rFonts w:ascii="宋体" w:hAnsi="宋体" w:cs="宋体"/>
                <w:color w:val="auto"/>
                <w:sz w:val="22"/>
                <w:szCs w:val="22"/>
                <w:highlight w:val="none"/>
              </w:rPr>
            </w:pPr>
          </w:p>
        </w:tc>
        <w:tc>
          <w:tcPr>
            <w:tcW w:w="1488"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单位优势</w:t>
            </w:r>
          </w:p>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及特长</w:t>
            </w:r>
          </w:p>
        </w:tc>
        <w:tc>
          <w:tcPr>
            <w:tcW w:w="5566" w:type="dxa"/>
            <w:gridSpan w:val="5"/>
          </w:tcPr>
          <w:p>
            <w:pPr>
              <w:spacing w:line="480" w:lineRule="exact"/>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单位概况</w:t>
            </w:r>
          </w:p>
        </w:tc>
        <w:tc>
          <w:tcPr>
            <w:tcW w:w="1115"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职工总数</w:t>
            </w:r>
          </w:p>
        </w:tc>
        <w:tc>
          <w:tcPr>
            <w:tcW w:w="1689" w:type="dxa"/>
            <w:vMerge w:val="restart"/>
          </w:tcPr>
          <w:p>
            <w:pPr>
              <w:spacing w:line="480" w:lineRule="exact"/>
              <w:ind w:firstLine="1540" w:firstLineChars="700"/>
              <w:rPr>
                <w:rFonts w:ascii="宋体" w:hAnsi="宋体" w:cs="宋体"/>
                <w:color w:val="auto"/>
                <w:sz w:val="22"/>
                <w:szCs w:val="22"/>
                <w:highlight w:val="none"/>
              </w:rPr>
            </w:pPr>
          </w:p>
        </w:tc>
        <w:tc>
          <w:tcPr>
            <w:tcW w:w="3703" w:type="dxa"/>
            <w:gridSpan w:val="4"/>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各人员构成情况</w:t>
            </w:r>
          </w:p>
        </w:tc>
        <w:tc>
          <w:tcPr>
            <w:tcW w:w="1488" w:type="dxa"/>
            <w:vMerge w:val="restart"/>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上一年主要  经济指标</w:t>
            </w:r>
          </w:p>
        </w:tc>
        <w:tc>
          <w:tcPr>
            <w:tcW w:w="1502"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ascii="宋体" w:hAnsi="宋体" w:cs="宋体"/>
                <w:color w:val="auto"/>
                <w:sz w:val="22"/>
                <w:szCs w:val="22"/>
                <w:highlight w:val="none"/>
              </w:rPr>
            </w:pPr>
          </w:p>
        </w:tc>
        <w:tc>
          <w:tcPr>
            <w:tcW w:w="1470" w:type="dxa"/>
            <w:gridSpan w:val="2"/>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ascii="宋体" w:hAnsi="宋体" w:cs="宋体"/>
                <w:color w:val="auto"/>
                <w:sz w:val="22"/>
                <w:szCs w:val="22"/>
                <w:highlight w:val="none"/>
              </w:rPr>
            </w:pPr>
          </w:p>
        </w:tc>
        <w:tc>
          <w:tcPr>
            <w:tcW w:w="1115" w:type="dxa"/>
            <w:vMerge w:val="continue"/>
          </w:tcPr>
          <w:p>
            <w:pPr>
              <w:spacing w:line="480" w:lineRule="exact"/>
              <w:rPr>
                <w:rFonts w:ascii="宋体" w:hAnsi="宋体" w:cs="宋体"/>
                <w:color w:val="auto"/>
                <w:sz w:val="22"/>
                <w:szCs w:val="22"/>
                <w:highlight w:val="none"/>
              </w:rPr>
            </w:pPr>
          </w:p>
        </w:tc>
        <w:tc>
          <w:tcPr>
            <w:tcW w:w="1689" w:type="dxa"/>
            <w:vMerge w:val="continue"/>
          </w:tcPr>
          <w:p>
            <w:pPr>
              <w:spacing w:line="480" w:lineRule="exact"/>
              <w:rPr>
                <w:rFonts w:ascii="宋体" w:hAnsi="宋体" w:cs="宋体"/>
                <w:color w:val="auto"/>
                <w:sz w:val="22"/>
                <w:szCs w:val="22"/>
                <w:highlight w:val="none"/>
              </w:rPr>
            </w:pPr>
          </w:p>
        </w:tc>
        <w:tc>
          <w:tcPr>
            <w:tcW w:w="3703" w:type="dxa"/>
            <w:gridSpan w:val="4"/>
            <w:vMerge w:val="continue"/>
          </w:tcPr>
          <w:p>
            <w:pPr>
              <w:spacing w:line="480" w:lineRule="exact"/>
              <w:rPr>
                <w:rFonts w:ascii="宋体" w:hAnsi="宋体" w:cs="宋体"/>
                <w:color w:val="auto"/>
                <w:sz w:val="22"/>
                <w:szCs w:val="22"/>
                <w:highlight w:val="none"/>
              </w:rPr>
            </w:pPr>
          </w:p>
        </w:tc>
        <w:tc>
          <w:tcPr>
            <w:tcW w:w="1488" w:type="dxa"/>
            <w:vMerge w:val="continue"/>
          </w:tcPr>
          <w:p>
            <w:pPr>
              <w:spacing w:line="480" w:lineRule="exact"/>
              <w:rPr>
                <w:rFonts w:ascii="宋体" w:hAnsi="宋体" w:cs="宋体"/>
                <w:color w:val="auto"/>
                <w:sz w:val="22"/>
                <w:szCs w:val="22"/>
                <w:highlight w:val="none"/>
              </w:rPr>
            </w:pPr>
          </w:p>
        </w:tc>
        <w:tc>
          <w:tcPr>
            <w:tcW w:w="1502"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488" w:type="dxa"/>
            <w:vAlign w:val="center"/>
          </w:tcPr>
          <w:p>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106"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ascii="宋体" w:hAnsi="宋体" w:cs="宋体"/>
                <w:color w:val="auto"/>
                <w:sz w:val="22"/>
                <w:szCs w:val="22"/>
                <w:highlight w:val="none"/>
              </w:rPr>
            </w:pPr>
          </w:p>
        </w:tc>
        <w:tc>
          <w:tcPr>
            <w:tcW w:w="1115"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流动资金</w:t>
            </w:r>
          </w:p>
        </w:tc>
        <w:tc>
          <w:tcPr>
            <w:tcW w:w="1689" w:type="dxa"/>
            <w:vMerge w:val="restart"/>
          </w:tcPr>
          <w:p>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万元 </w:t>
            </w:r>
          </w:p>
        </w:tc>
        <w:tc>
          <w:tcPr>
            <w:tcW w:w="728"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1487" w:type="dxa"/>
            <w:gridSpan w:val="2"/>
            <w:vAlign w:val="center"/>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自有资金</w:t>
            </w:r>
          </w:p>
        </w:tc>
        <w:tc>
          <w:tcPr>
            <w:tcW w:w="1488"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pPr>
              <w:spacing w:line="480" w:lineRule="exact"/>
              <w:rPr>
                <w:rFonts w:ascii="宋体" w:hAnsi="宋体" w:cs="宋体"/>
                <w:color w:val="auto"/>
                <w:sz w:val="22"/>
                <w:szCs w:val="22"/>
                <w:highlight w:val="none"/>
              </w:rPr>
            </w:pPr>
          </w:p>
        </w:tc>
        <w:tc>
          <w:tcPr>
            <w:tcW w:w="1502"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488" w:type="dxa"/>
            <w:vAlign w:val="center"/>
          </w:tcPr>
          <w:p>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106"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1115"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1689"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728"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1487" w:type="dxa"/>
            <w:gridSpan w:val="2"/>
            <w:tcBorders>
              <w:bottom w:val="single" w:color="auto" w:sz="4" w:space="0"/>
            </w:tcBorders>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ascii="宋体" w:hAnsi="宋体" w:cs="宋体"/>
                <w:color w:val="auto"/>
                <w:sz w:val="22"/>
                <w:szCs w:val="22"/>
                <w:highlight w:val="none"/>
              </w:rPr>
            </w:pPr>
          </w:p>
        </w:tc>
        <w:tc>
          <w:tcPr>
            <w:tcW w:w="1115"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固定资产</w:t>
            </w:r>
          </w:p>
        </w:tc>
        <w:tc>
          <w:tcPr>
            <w:tcW w:w="1689" w:type="dxa"/>
            <w:vMerge w:val="restart"/>
          </w:tcPr>
          <w:p>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原值   万元</w:t>
            </w:r>
          </w:p>
          <w:p>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净值   万元</w:t>
            </w:r>
          </w:p>
        </w:tc>
        <w:tc>
          <w:tcPr>
            <w:tcW w:w="728"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资金性质</w:t>
            </w:r>
          </w:p>
        </w:tc>
        <w:tc>
          <w:tcPr>
            <w:tcW w:w="1487"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生产性</w:t>
            </w:r>
          </w:p>
        </w:tc>
        <w:tc>
          <w:tcPr>
            <w:tcW w:w="1488" w:type="dxa"/>
          </w:tcPr>
          <w:p>
            <w:pPr>
              <w:spacing w:line="48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pPr>
              <w:spacing w:line="480" w:lineRule="exact"/>
              <w:rPr>
                <w:rFonts w:ascii="宋体" w:hAnsi="宋体" w:cs="宋体"/>
                <w:color w:val="auto"/>
                <w:sz w:val="22"/>
                <w:szCs w:val="22"/>
                <w:highlight w:val="none"/>
              </w:rPr>
            </w:pPr>
          </w:p>
        </w:tc>
        <w:tc>
          <w:tcPr>
            <w:tcW w:w="1502" w:type="dxa"/>
            <w:vMerge w:val="continue"/>
          </w:tcPr>
          <w:p>
            <w:pPr>
              <w:spacing w:line="480" w:lineRule="exact"/>
              <w:rPr>
                <w:rFonts w:ascii="宋体" w:hAnsi="宋体" w:cs="宋体"/>
                <w:color w:val="auto"/>
                <w:sz w:val="22"/>
                <w:szCs w:val="22"/>
                <w:highlight w:val="none"/>
              </w:rPr>
            </w:pPr>
          </w:p>
        </w:tc>
        <w:tc>
          <w:tcPr>
            <w:tcW w:w="4064" w:type="dxa"/>
            <w:gridSpan w:val="4"/>
            <w:vMerge w:val="continue"/>
          </w:tcPr>
          <w:p>
            <w:pPr>
              <w:spacing w:line="480" w:lineRule="exact"/>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ascii="宋体" w:hAnsi="宋体" w:cs="宋体"/>
                <w:color w:val="auto"/>
                <w:sz w:val="22"/>
                <w:szCs w:val="22"/>
                <w:highlight w:val="none"/>
              </w:rPr>
            </w:pPr>
          </w:p>
        </w:tc>
        <w:tc>
          <w:tcPr>
            <w:tcW w:w="1115" w:type="dxa"/>
            <w:vMerge w:val="continue"/>
          </w:tcPr>
          <w:p>
            <w:pPr>
              <w:spacing w:line="480" w:lineRule="exact"/>
              <w:rPr>
                <w:rFonts w:ascii="宋体" w:hAnsi="宋体" w:cs="宋体"/>
                <w:color w:val="auto"/>
                <w:sz w:val="22"/>
                <w:szCs w:val="22"/>
                <w:highlight w:val="none"/>
              </w:rPr>
            </w:pPr>
          </w:p>
        </w:tc>
        <w:tc>
          <w:tcPr>
            <w:tcW w:w="1689" w:type="dxa"/>
            <w:vMerge w:val="continue"/>
          </w:tcPr>
          <w:p>
            <w:pPr>
              <w:spacing w:line="480" w:lineRule="exact"/>
              <w:rPr>
                <w:rFonts w:ascii="宋体" w:hAnsi="宋体" w:cs="宋体"/>
                <w:color w:val="auto"/>
                <w:sz w:val="22"/>
                <w:szCs w:val="22"/>
                <w:highlight w:val="none"/>
              </w:rPr>
            </w:pPr>
          </w:p>
        </w:tc>
        <w:tc>
          <w:tcPr>
            <w:tcW w:w="728" w:type="dxa"/>
            <w:vMerge w:val="continue"/>
          </w:tcPr>
          <w:p>
            <w:pPr>
              <w:spacing w:line="480" w:lineRule="exact"/>
              <w:rPr>
                <w:rFonts w:ascii="宋体" w:hAnsi="宋体" w:cs="宋体"/>
                <w:color w:val="auto"/>
                <w:sz w:val="22"/>
                <w:szCs w:val="22"/>
                <w:highlight w:val="none"/>
              </w:rPr>
            </w:pPr>
          </w:p>
        </w:tc>
        <w:tc>
          <w:tcPr>
            <w:tcW w:w="1487"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非生产性</w:t>
            </w:r>
          </w:p>
        </w:tc>
        <w:tc>
          <w:tcPr>
            <w:tcW w:w="1488" w:type="dxa"/>
          </w:tcPr>
          <w:p>
            <w:pPr>
              <w:spacing w:line="48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pPr>
              <w:spacing w:line="480" w:lineRule="exact"/>
              <w:rPr>
                <w:rFonts w:ascii="宋体" w:hAnsi="宋体" w:cs="宋体"/>
                <w:color w:val="auto"/>
                <w:sz w:val="22"/>
                <w:szCs w:val="22"/>
                <w:highlight w:val="none"/>
              </w:rPr>
            </w:pPr>
          </w:p>
        </w:tc>
        <w:tc>
          <w:tcPr>
            <w:tcW w:w="1502" w:type="dxa"/>
            <w:vMerge w:val="continue"/>
          </w:tcPr>
          <w:p>
            <w:pPr>
              <w:spacing w:line="480" w:lineRule="exact"/>
              <w:rPr>
                <w:rFonts w:ascii="宋体" w:hAnsi="宋体" w:cs="宋体"/>
                <w:color w:val="auto"/>
                <w:sz w:val="22"/>
                <w:szCs w:val="22"/>
                <w:highlight w:val="none"/>
              </w:rPr>
            </w:pPr>
          </w:p>
        </w:tc>
        <w:tc>
          <w:tcPr>
            <w:tcW w:w="4064" w:type="dxa"/>
            <w:gridSpan w:val="4"/>
            <w:vMerge w:val="continue"/>
          </w:tcPr>
          <w:p>
            <w:pPr>
              <w:spacing w:line="480" w:lineRule="exact"/>
              <w:rPr>
                <w:rFonts w:ascii="宋体" w:hAnsi="宋体" w:cs="宋体"/>
                <w:color w:val="auto"/>
                <w:sz w:val="22"/>
                <w:szCs w:val="22"/>
                <w:highlight w:val="none"/>
              </w:rPr>
            </w:pPr>
          </w:p>
        </w:tc>
      </w:tr>
    </w:tbl>
    <w:p>
      <w:pPr>
        <w:spacing w:line="460" w:lineRule="exact"/>
        <w:rPr>
          <w:rFonts w:ascii="宋体" w:hAnsi="宋体" w:cs="宋体"/>
          <w:color w:val="auto"/>
          <w:sz w:val="22"/>
          <w:szCs w:val="22"/>
          <w:highlight w:val="none"/>
        </w:rPr>
        <w:sectPr>
          <w:pgSz w:w="16838" w:h="11906" w:orient="landscape"/>
          <w:pgMar w:top="1134" w:right="1134" w:bottom="1134" w:left="1134" w:header="850" w:footer="992" w:gutter="0"/>
          <w:pgNumType w:fmt="decimal"/>
          <w:cols w:space="720" w:num="1"/>
          <w:docGrid w:type="lines" w:linePitch="321" w:charSpace="0"/>
        </w:sectPr>
      </w:pPr>
    </w:p>
    <w:p>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偏离表（</w:t>
      </w:r>
      <w:r>
        <w:rPr>
          <w:rFonts w:hint="eastAsia" w:ascii="宋体" w:hAnsi="宋体" w:cs="宋体"/>
          <w:b/>
          <w:bCs/>
          <w:color w:val="auto"/>
          <w:sz w:val="28"/>
          <w:szCs w:val="28"/>
          <w:highlight w:val="none"/>
        </w:rPr>
        <w:t>商务、技术偏离</w:t>
      </w:r>
      <w:r>
        <w:rPr>
          <w:rFonts w:hint="eastAsia" w:ascii="宋体" w:hAnsi="宋体" w:cs="宋体"/>
          <w:b/>
          <w:bCs/>
          <w:color w:val="auto"/>
          <w:sz w:val="28"/>
          <w:szCs w:val="28"/>
          <w:highlight w:val="none"/>
          <w:lang w:val="zh-CN"/>
        </w:rPr>
        <w:t>）</w:t>
      </w:r>
    </w:p>
    <w:p>
      <w:pPr>
        <w:spacing w:line="360" w:lineRule="auto"/>
        <w:rPr>
          <w:rFonts w:hint="eastAsia" w:ascii="宋体" w:hAnsi="宋体" w:cs="宋体"/>
          <w:color w:val="auto"/>
          <w:sz w:val="22"/>
          <w:szCs w:val="22"/>
          <w:highlight w:val="none"/>
        </w:rPr>
      </w:pPr>
      <w:r>
        <w:rPr>
          <w:rFonts w:eastAsia="新宋体"/>
          <w:b/>
          <w:bCs/>
          <w:color w:val="auto"/>
          <w:sz w:val="22"/>
          <w:szCs w:val="22"/>
          <w:highlight w:val="none"/>
        </w:rPr>
        <w:t>（所投产品主要技术参数应对于</w:t>
      </w:r>
      <w:r>
        <w:rPr>
          <w:rFonts w:hint="eastAsia" w:eastAsia="新宋体"/>
          <w:b/>
          <w:bCs/>
          <w:color w:val="auto"/>
          <w:sz w:val="22"/>
          <w:szCs w:val="22"/>
          <w:highlight w:val="none"/>
          <w:lang w:val="en-US" w:eastAsia="zh-CN"/>
        </w:rPr>
        <w:t>招标</w:t>
      </w:r>
      <w:r>
        <w:rPr>
          <w:rFonts w:eastAsia="新宋体"/>
          <w:b/>
          <w:bCs/>
          <w:color w:val="auto"/>
          <w:sz w:val="22"/>
          <w:szCs w:val="22"/>
          <w:highlight w:val="none"/>
        </w:rPr>
        <w:t>文件中“项目技术规范和服务要求”，逐项自行编制偏离情况）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b/>
          <w:bCs/>
          <w:color w:val="auto"/>
          <w:sz w:val="22"/>
          <w:szCs w:val="22"/>
          <w:highlight w:val="none"/>
        </w:rPr>
      </w:pPr>
      <w:r>
        <w:rPr>
          <w:rFonts w:hint="eastAsia" w:ascii="新宋体" w:hAnsi="新宋体" w:eastAsia="新宋体" w:cs="新宋体"/>
          <w:bCs/>
          <w:color w:val="auto"/>
          <w:sz w:val="22"/>
          <w:szCs w:val="22"/>
          <w:highlight w:val="none"/>
        </w:rPr>
        <w:t>项 目 编 号：</w:t>
      </w:r>
    </w:p>
    <w:tbl>
      <w:tblPr>
        <w:tblStyle w:val="5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  号</w:t>
            </w:r>
          </w:p>
        </w:tc>
        <w:tc>
          <w:tcPr>
            <w:tcW w:w="3687" w:type="dxa"/>
            <w:shd w:val="clear" w:color="auto" w:fill="FFFFFF"/>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招标文件</w:t>
            </w:r>
          </w:p>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规格要求</w:t>
            </w:r>
          </w:p>
        </w:tc>
        <w:tc>
          <w:tcPr>
            <w:tcW w:w="3402" w:type="dxa"/>
            <w:shd w:val="clear" w:color="auto" w:fill="FFFFFF"/>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投标文件</w:t>
            </w:r>
          </w:p>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对应规格</w:t>
            </w:r>
          </w:p>
        </w:tc>
        <w:tc>
          <w:tcPr>
            <w:tcW w:w="1580" w:type="dxa"/>
            <w:shd w:val="clear" w:color="auto" w:fill="FFFFFF"/>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color w:val="auto"/>
                <w:sz w:val="22"/>
                <w:szCs w:val="22"/>
                <w:highlight w:val="none"/>
              </w:rPr>
            </w:pPr>
          </w:p>
        </w:tc>
        <w:tc>
          <w:tcPr>
            <w:tcW w:w="3687" w:type="dxa"/>
            <w:vAlign w:val="center"/>
          </w:tcPr>
          <w:p>
            <w:pPr>
              <w:jc w:val="center"/>
              <w:rPr>
                <w:rFonts w:ascii="宋体" w:hAnsi="宋体" w:cs="宋体"/>
                <w:color w:val="auto"/>
                <w:sz w:val="22"/>
                <w:szCs w:val="22"/>
                <w:highlight w:val="none"/>
              </w:rPr>
            </w:pPr>
          </w:p>
        </w:tc>
        <w:tc>
          <w:tcPr>
            <w:tcW w:w="3402" w:type="dxa"/>
            <w:vAlign w:val="center"/>
          </w:tcPr>
          <w:p>
            <w:pPr>
              <w:jc w:val="center"/>
              <w:rPr>
                <w:rFonts w:ascii="宋体" w:hAnsi="宋体" w:cs="宋体"/>
                <w:color w:val="auto"/>
                <w:sz w:val="22"/>
                <w:szCs w:val="22"/>
                <w:highlight w:val="none"/>
              </w:rPr>
            </w:pPr>
          </w:p>
        </w:tc>
        <w:tc>
          <w:tcPr>
            <w:tcW w:w="1580" w:type="dxa"/>
            <w:vAlign w:val="center"/>
          </w:tcPr>
          <w:p>
            <w:pPr>
              <w:jc w:val="center"/>
              <w:rPr>
                <w:rFonts w:ascii="宋体" w:hAnsi="宋体" w:cs="宋体"/>
                <w:color w:val="auto"/>
                <w:sz w:val="22"/>
                <w:szCs w:val="22"/>
                <w:highlight w:val="none"/>
              </w:rPr>
            </w:pPr>
          </w:p>
        </w:tc>
      </w:tr>
    </w:tbl>
    <w:p>
      <w:pP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   期：</w:t>
      </w:r>
    </w:p>
    <w:p>
      <w:pPr>
        <w:rPr>
          <w:rFonts w:ascii="宋体" w:hAnsi="宋体" w:cs="宋体"/>
          <w:b/>
          <w:color w:val="auto"/>
          <w:sz w:val="24"/>
          <w:highlight w:val="none"/>
        </w:rPr>
      </w:pPr>
      <w:bookmarkStart w:id="177" w:name="_Toc415152386"/>
      <w:r>
        <w:rPr>
          <w:rFonts w:hint="eastAsia" w:ascii="宋体" w:hAnsi="宋体" w:cs="宋体"/>
          <w:b/>
          <w:color w:val="auto"/>
          <w:sz w:val="24"/>
          <w:highlight w:val="none"/>
        </w:rPr>
        <w:br w:type="page"/>
      </w:r>
    </w:p>
    <w:p>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、详细供货清单说明一览表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color w:val="auto"/>
          <w:highlight w:val="none"/>
        </w:rPr>
      </w:pPr>
      <w:r>
        <w:rPr>
          <w:rFonts w:hint="eastAsia" w:ascii="新宋体" w:hAnsi="新宋体" w:eastAsia="新宋体" w:cs="新宋体"/>
          <w:bCs/>
          <w:color w:val="auto"/>
          <w:sz w:val="22"/>
          <w:szCs w:val="22"/>
          <w:highlight w:val="none"/>
        </w:rPr>
        <w:t>项 目 编 号：</w:t>
      </w:r>
    </w:p>
    <w:tbl>
      <w:tblPr>
        <w:tblStyle w:val="53"/>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692"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设备名称</w:t>
            </w:r>
          </w:p>
        </w:tc>
        <w:tc>
          <w:tcPr>
            <w:tcW w:w="2880"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规格及技术参数</w:t>
            </w:r>
          </w:p>
        </w:tc>
        <w:tc>
          <w:tcPr>
            <w:tcW w:w="1661"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w:t>
            </w:r>
          </w:p>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（生产厂家）</w:t>
            </w:r>
          </w:p>
        </w:tc>
        <w:tc>
          <w:tcPr>
            <w:tcW w:w="1260"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219"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880" w:type="dxa"/>
            <w:vAlign w:val="center"/>
          </w:tcPr>
          <w:p>
            <w:pPr>
              <w:spacing w:line="360" w:lineRule="auto"/>
              <w:jc w:val="center"/>
              <w:rPr>
                <w:rFonts w:ascii="新宋体" w:hAnsi="新宋体" w:eastAsia="新宋体"/>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color w:val="auto"/>
                <w:sz w:val="22"/>
                <w:szCs w:val="22"/>
                <w:highlight w:val="none"/>
              </w:rPr>
            </w:pPr>
          </w:p>
        </w:tc>
        <w:tc>
          <w:tcPr>
            <w:tcW w:w="2880" w:type="dxa"/>
          </w:tcPr>
          <w:p>
            <w:pPr>
              <w:spacing w:line="360" w:lineRule="auto"/>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880" w:type="dxa"/>
          </w:tcPr>
          <w:p>
            <w:pPr>
              <w:spacing w:line="360" w:lineRule="auto"/>
              <w:rPr>
                <w:rFonts w:ascii="新宋体" w:hAnsi="新宋体" w:eastAsia="新宋体"/>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color w:val="auto"/>
                <w:sz w:val="22"/>
                <w:szCs w:val="22"/>
                <w:highlight w:val="none"/>
              </w:rPr>
            </w:pPr>
          </w:p>
        </w:tc>
        <w:tc>
          <w:tcPr>
            <w:tcW w:w="2880" w:type="dxa"/>
          </w:tcPr>
          <w:p>
            <w:pPr>
              <w:spacing w:line="360" w:lineRule="auto"/>
              <w:rPr>
                <w:rFonts w:ascii="新宋体" w:hAnsi="新宋体" w:eastAsia="新宋体"/>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color w:val="auto"/>
                <w:sz w:val="22"/>
                <w:szCs w:val="22"/>
                <w:highlight w:val="none"/>
              </w:rPr>
            </w:pPr>
          </w:p>
        </w:tc>
        <w:tc>
          <w:tcPr>
            <w:tcW w:w="2880" w:type="dxa"/>
          </w:tcPr>
          <w:p>
            <w:pPr>
              <w:spacing w:line="360" w:lineRule="auto"/>
              <w:rPr>
                <w:rFonts w:ascii="新宋体" w:hAnsi="新宋体" w:eastAsia="新宋体"/>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Cs/>
                <w:color w:val="auto"/>
                <w:sz w:val="22"/>
                <w:szCs w:val="22"/>
                <w:highlight w:val="none"/>
              </w:rPr>
            </w:pPr>
          </w:p>
        </w:tc>
        <w:tc>
          <w:tcPr>
            <w:tcW w:w="1692" w:type="dxa"/>
            <w:vAlign w:val="center"/>
          </w:tcPr>
          <w:p>
            <w:pPr>
              <w:spacing w:line="360" w:lineRule="auto"/>
              <w:rPr>
                <w:rFonts w:ascii="新宋体" w:hAnsi="新宋体" w:eastAsia="新宋体"/>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rPr>
                <w:rFonts w:ascii="新宋体" w:hAnsi="新宋体" w:eastAsia="新宋体"/>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rPr>
                <w:rFonts w:ascii="新宋体" w:hAnsi="新宋体" w:eastAsia="新宋体"/>
                <w:color w:val="auto"/>
                <w:sz w:val="22"/>
                <w:szCs w:val="22"/>
                <w:highlight w:val="none"/>
              </w:rPr>
            </w:pPr>
          </w:p>
        </w:tc>
        <w:tc>
          <w:tcPr>
            <w:tcW w:w="1692" w:type="dxa"/>
            <w:vAlign w:val="center"/>
          </w:tcPr>
          <w:p>
            <w:pPr>
              <w:spacing w:line="360" w:lineRule="auto"/>
              <w:rPr>
                <w:rFonts w:ascii="新宋体" w:hAnsi="新宋体" w:eastAsia="新宋体"/>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tcPr>
          <w:p>
            <w:pPr>
              <w:spacing w:line="360" w:lineRule="auto"/>
              <w:rPr>
                <w:rFonts w:ascii="新宋体" w:hAnsi="新宋体" w:eastAsia="新宋体"/>
                <w:color w:val="auto"/>
                <w:sz w:val="22"/>
                <w:szCs w:val="22"/>
                <w:highlight w:val="none"/>
              </w:rPr>
            </w:pPr>
          </w:p>
        </w:tc>
        <w:tc>
          <w:tcPr>
            <w:tcW w:w="2880" w:type="dxa"/>
            <w:vAlign w:val="center"/>
          </w:tcPr>
          <w:p>
            <w:pPr>
              <w:spacing w:line="360" w:lineRule="auto"/>
              <w:jc w:val="center"/>
              <w:rPr>
                <w:rFonts w:ascii="新宋体" w:hAnsi="新宋体" w:eastAsia="新宋体"/>
                <w:b/>
                <w:bCs/>
                <w:color w:val="auto"/>
                <w:sz w:val="22"/>
                <w:szCs w:val="22"/>
                <w:highlight w:val="none"/>
              </w:rPr>
            </w:pPr>
          </w:p>
        </w:tc>
        <w:tc>
          <w:tcPr>
            <w:tcW w:w="1661"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bl>
    <w:p>
      <w:pPr>
        <w:pStyle w:val="31"/>
        <w:spacing w:line="400" w:lineRule="atLeast"/>
        <w:rPr>
          <w:rFonts w:hAnsi="宋体" w:cs="宋体"/>
          <w:color w:val="auto"/>
          <w:sz w:val="22"/>
          <w:szCs w:val="22"/>
          <w:highlight w:val="none"/>
        </w:rPr>
      </w:pP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pPr>
        <w:spacing w:line="460" w:lineRule="exact"/>
        <w:ind w:firstLine="5060" w:firstLineChars="2300"/>
        <w:rPr>
          <w:rFonts w:ascii="宋体" w:hAnsi="宋体" w:cs="宋体"/>
          <w:color w:val="auto"/>
          <w:sz w:val="22"/>
          <w:szCs w:val="22"/>
          <w:highlight w:val="none"/>
        </w:rPr>
      </w:pPr>
    </w:p>
    <w:p>
      <w:pPr>
        <w:rPr>
          <w:rFonts w:ascii="宋体" w:hAnsi="宋体" w:cs="宋体"/>
          <w:b/>
          <w:color w:val="auto"/>
          <w:sz w:val="24"/>
          <w:highlight w:val="none"/>
        </w:rPr>
      </w:pPr>
      <w:r>
        <w:rPr>
          <w:rFonts w:hint="eastAsia" w:ascii="宋体" w:hAnsi="宋体" w:cs="宋体"/>
          <w:b/>
          <w:color w:val="auto"/>
          <w:sz w:val="24"/>
          <w:highlight w:val="none"/>
        </w:rPr>
        <w:br w:type="page"/>
      </w:r>
    </w:p>
    <w:p>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6</w:t>
      </w:r>
      <w:r>
        <w:rPr>
          <w:rFonts w:hint="eastAsia" w:ascii="宋体" w:hAnsi="宋体" w:cs="宋体"/>
          <w:b/>
          <w:bCs/>
          <w:color w:val="auto"/>
          <w:sz w:val="28"/>
          <w:szCs w:val="28"/>
          <w:highlight w:val="none"/>
        </w:rPr>
        <w:t>、备品、易损件、备件、专用工具清单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color w:val="auto"/>
          <w:highlight w:val="none"/>
        </w:rPr>
      </w:pPr>
      <w:r>
        <w:rPr>
          <w:rFonts w:hint="eastAsia" w:ascii="新宋体" w:hAnsi="新宋体" w:eastAsia="新宋体" w:cs="新宋体"/>
          <w:bCs/>
          <w:color w:val="auto"/>
          <w:sz w:val="22"/>
          <w:szCs w:val="22"/>
          <w:highlight w:val="none"/>
        </w:rPr>
        <w:t>项 目 编 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color w:val="auto"/>
                <w:sz w:val="22"/>
                <w:szCs w:val="22"/>
                <w:highlight w:val="none"/>
              </w:rPr>
            </w:pPr>
          </w:p>
        </w:tc>
        <w:tc>
          <w:tcPr>
            <w:tcW w:w="1240" w:type="dxa"/>
          </w:tcPr>
          <w:p>
            <w:pPr>
              <w:spacing w:line="400" w:lineRule="exact"/>
              <w:rPr>
                <w:rFonts w:ascii="新宋体" w:hAnsi="新宋体" w:eastAsia="新宋体" w:cs="新宋体"/>
                <w:color w:val="auto"/>
                <w:sz w:val="22"/>
                <w:szCs w:val="22"/>
                <w:highlight w:val="none"/>
              </w:rPr>
            </w:pPr>
          </w:p>
        </w:tc>
        <w:tc>
          <w:tcPr>
            <w:tcW w:w="1404" w:type="dxa"/>
          </w:tcPr>
          <w:p>
            <w:pPr>
              <w:spacing w:line="400" w:lineRule="exact"/>
              <w:rPr>
                <w:rFonts w:ascii="新宋体" w:hAnsi="新宋体" w:eastAsia="新宋体" w:cs="新宋体"/>
                <w:color w:val="auto"/>
                <w:sz w:val="22"/>
                <w:szCs w:val="22"/>
                <w:highlight w:val="none"/>
              </w:rPr>
            </w:pPr>
          </w:p>
        </w:tc>
        <w:tc>
          <w:tcPr>
            <w:tcW w:w="796" w:type="dxa"/>
          </w:tcPr>
          <w:p>
            <w:pPr>
              <w:spacing w:line="400" w:lineRule="exact"/>
              <w:rPr>
                <w:rFonts w:ascii="新宋体" w:hAnsi="新宋体" w:eastAsia="新宋体" w:cs="新宋体"/>
                <w:color w:val="auto"/>
                <w:sz w:val="22"/>
                <w:szCs w:val="22"/>
                <w:highlight w:val="none"/>
              </w:rPr>
            </w:pPr>
          </w:p>
        </w:tc>
        <w:tc>
          <w:tcPr>
            <w:tcW w:w="3704" w:type="dxa"/>
          </w:tcPr>
          <w:p>
            <w:pPr>
              <w:spacing w:line="400" w:lineRule="exact"/>
              <w:rPr>
                <w:rFonts w:ascii="新宋体" w:hAnsi="新宋体" w:eastAsia="新宋体" w:cs="新宋体"/>
                <w:color w:val="auto"/>
                <w:sz w:val="22"/>
                <w:szCs w:val="22"/>
                <w:highlight w:val="none"/>
              </w:rPr>
            </w:pPr>
          </w:p>
        </w:tc>
        <w:tc>
          <w:tcPr>
            <w:tcW w:w="1568" w:type="dxa"/>
          </w:tcPr>
          <w:p>
            <w:pPr>
              <w:spacing w:line="400" w:lineRule="exact"/>
              <w:rPr>
                <w:rFonts w:ascii="新宋体" w:hAnsi="新宋体" w:eastAsia="新宋体" w:cs="新宋体"/>
                <w:color w:val="auto"/>
                <w:sz w:val="22"/>
                <w:szCs w:val="22"/>
                <w:highlight w:val="none"/>
              </w:rPr>
            </w:pPr>
          </w:p>
        </w:tc>
      </w:tr>
    </w:tbl>
    <w:p>
      <w:pPr>
        <w:spacing w:line="400" w:lineRule="exact"/>
        <w:rPr>
          <w:rFonts w:ascii="宋体" w:hAnsi="宋体" w:cs="宋体"/>
          <w:color w:val="auto"/>
          <w:sz w:val="22"/>
          <w:szCs w:val="22"/>
          <w:highlight w:val="none"/>
        </w:rPr>
      </w:pPr>
    </w:p>
    <w:p>
      <w:pPr>
        <w:spacing w:line="400" w:lineRule="exact"/>
        <w:ind w:firstLine="5280" w:firstLineChars="24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投标人代表（签字）：</w:t>
      </w: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日    期：</w:t>
      </w:r>
    </w:p>
    <w:p>
      <w:pP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bookmarkEnd w:id="177"/>
    <w:p>
      <w:pPr>
        <w:spacing w:line="46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7</w:t>
      </w:r>
      <w:r>
        <w:rPr>
          <w:rFonts w:hint="eastAsia" w:ascii="新宋体" w:hAnsi="新宋体" w:eastAsia="新宋体" w:cs="新宋体"/>
          <w:b/>
          <w:bCs/>
          <w:color w:val="auto"/>
          <w:sz w:val="28"/>
          <w:szCs w:val="28"/>
          <w:highlight w:val="none"/>
        </w:rPr>
        <w:t>、</w:t>
      </w:r>
      <w:r>
        <w:rPr>
          <w:rFonts w:eastAsia="新宋体"/>
          <w:b/>
          <w:bCs/>
          <w:color w:val="auto"/>
          <w:sz w:val="28"/>
          <w:szCs w:val="28"/>
          <w:highlight w:val="none"/>
        </w:rPr>
        <w:t>产品优势性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 目 编 号：</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341" w:type="dxa"/>
            <w:noWrap w:val="0"/>
            <w:vAlign w:val="center"/>
          </w:tcPr>
          <w:p>
            <w:pPr>
              <w:pStyle w:val="207"/>
              <w:keepNext w:val="0"/>
              <w:spacing w:after="0"/>
              <w:rPr>
                <w:rFonts w:hint="eastAsia" w:ascii="新宋体" w:hAnsi="新宋体" w:eastAsia="新宋体" w:cs="新宋体"/>
                <w:color w:val="auto"/>
                <w:highlight w:val="none"/>
              </w:rPr>
            </w:pPr>
          </w:p>
        </w:tc>
      </w:tr>
    </w:tbl>
    <w:p>
      <w:pPr>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8"/>
          <w:highlight w:val="none"/>
        </w:rPr>
        <w:t xml:space="preserve">  </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pPr>
        <w:spacing w:line="380" w:lineRule="exact"/>
        <w:ind w:firstLine="4400" w:firstLineChars="2000"/>
        <w:rPr>
          <w:rFonts w:hint="eastAsia" w:ascii="新宋体" w:hAnsi="新宋体" w:eastAsia="新宋体" w:cs="新宋体"/>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sectPr>
          <w:pgSz w:w="11907" w:h="16840"/>
          <w:pgMar w:top="1134" w:right="1134" w:bottom="1134" w:left="1134" w:header="851" w:footer="992" w:gutter="0"/>
          <w:pgNumType w:fmt="decimal"/>
          <w:cols w:space="720" w:num="1"/>
          <w:docGrid w:linePitch="312" w:charSpace="0"/>
        </w:sectPr>
      </w:pPr>
    </w:p>
    <w:p>
      <w:pPr>
        <w:spacing w:line="46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8</w:t>
      </w:r>
      <w:r>
        <w:rPr>
          <w:rFonts w:hint="eastAsia" w:ascii="新宋体" w:hAnsi="新宋体" w:eastAsia="新宋体" w:cs="新宋体"/>
          <w:b/>
          <w:bCs/>
          <w:color w:val="auto"/>
          <w:sz w:val="28"/>
          <w:szCs w:val="28"/>
          <w:highlight w:val="none"/>
        </w:rPr>
        <w:t>、所投产品技术先进性、配置适用性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 目 编 号：</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341" w:type="dxa"/>
            <w:noWrap w:val="0"/>
            <w:vAlign w:val="center"/>
          </w:tcPr>
          <w:p>
            <w:pPr>
              <w:pStyle w:val="207"/>
              <w:keepNext w:val="0"/>
              <w:spacing w:after="0"/>
              <w:rPr>
                <w:rFonts w:hint="eastAsia" w:ascii="新宋体" w:hAnsi="新宋体" w:eastAsia="新宋体" w:cs="新宋体"/>
                <w:color w:val="auto"/>
                <w:highlight w:val="none"/>
              </w:rPr>
            </w:pPr>
          </w:p>
        </w:tc>
      </w:tr>
    </w:tbl>
    <w:p>
      <w:pPr>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8"/>
          <w:highlight w:val="none"/>
        </w:rPr>
        <w:t xml:space="preserve">  </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pPr>
        <w:spacing w:line="380" w:lineRule="exact"/>
        <w:ind w:firstLine="4400" w:firstLineChars="2000"/>
        <w:rPr>
          <w:rFonts w:hint="eastAsia" w:ascii="新宋体" w:hAnsi="新宋体" w:eastAsia="新宋体" w:cs="新宋体"/>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sectPr>
          <w:pgSz w:w="11907" w:h="16840"/>
          <w:pgMar w:top="1134" w:right="1134" w:bottom="1134" w:left="1134" w:header="851" w:footer="992" w:gutter="0"/>
          <w:pgNumType w:fmt="decimal"/>
          <w:cols w:space="720" w:num="1"/>
          <w:docGrid w:linePitch="312" w:charSpace="0"/>
        </w:sectPr>
      </w:pPr>
    </w:p>
    <w:p>
      <w:pPr>
        <w:autoSpaceDE w:val="0"/>
        <w:autoSpaceDN w:val="0"/>
        <w:ind w:right="896" w:firstLine="420"/>
        <w:jc w:val="center"/>
        <w:textAlignment w:val="bottom"/>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9</w:t>
      </w:r>
      <w:r>
        <w:rPr>
          <w:rFonts w:hint="eastAsia" w:ascii="新宋体" w:hAnsi="新宋体" w:eastAsia="新宋体" w:cs="新宋体"/>
          <w:b/>
          <w:bCs/>
          <w:color w:val="auto"/>
          <w:sz w:val="28"/>
          <w:szCs w:val="28"/>
          <w:highlight w:val="none"/>
        </w:rPr>
        <w:t>、</w:t>
      </w:r>
      <w:r>
        <w:rPr>
          <w:rFonts w:hint="eastAsia" w:ascii="新宋体" w:hAnsi="新宋体" w:eastAsia="新宋体" w:cs="新宋体"/>
          <w:b/>
          <w:bCs/>
          <w:color w:val="auto"/>
          <w:sz w:val="28"/>
          <w:szCs w:val="28"/>
          <w:highlight w:val="none"/>
          <w:lang w:val="zh-TW" w:eastAsia="zh-TW"/>
        </w:rPr>
        <w:t>安装、调试、集成</w:t>
      </w:r>
      <w:r>
        <w:rPr>
          <w:rFonts w:hint="eastAsia" w:ascii="新宋体" w:hAnsi="新宋体" w:eastAsia="新宋体" w:cs="新宋体"/>
          <w:b/>
          <w:bCs/>
          <w:color w:val="auto"/>
          <w:sz w:val="28"/>
          <w:szCs w:val="28"/>
          <w:highlight w:val="none"/>
          <w:lang w:val="zh-TW"/>
        </w:rPr>
        <w:t>、</w:t>
      </w:r>
      <w:r>
        <w:rPr>
          <w:rFonts w:hint="eastAsia" w:ascii="新宋体" w:hAnsi="新宋体" w:eastAsia="新宋体" w:cs="新宋体"/>
          <w:b/>
          <w:bCs/>
          <w:color w:val="auto"/>
          <w:sz w:val="28"/>
          <w:szCs w:val="28"/>
          <w:highlight w:val="none"/>
        </w:rPr>
        <w:t>培训方案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 目 编 号：</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341" w:type="dxa"/>
            <w:noWrap w:val="0"/>
            <w:vAlign w:val="center"/>
          </w:tcPr>
          <w:p>
            <w:pPr>
              <w:pStyle w:val="207"/>
              <w:keepNext w:val="0"/>
              <w:spacing w:after="0"/>
              <w:rPr>
                <w:rFonts w:hint="eastAsia" w:ascii="新宋体" w:hAnsi="新宋体" w:eastAsia="新宋体" w:cs="新宋体"/>
                <w:color w:val="auto"/>
                <w:highlight w:val="none"/>
              </w:rPr>
            </w:pPr>
          </w:p>
        </w:tc>
      </w:tr>
    </w:tbl>
    <w:p>
      <w:pPr>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8"/>
          <w:highlight w:val="none"/>
        </w:rPr>
        <w:t xml:space="preserve">  </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pPr>
        <w:autoSpaceDE w:val="0"/>
        <w:autoSpaceDN w:val="0"/>
        <w:ind w:right="896" w:firstLine="420"/>
        <w:jc w:val="center"/>
        <w:textAlignment w:val="bottom"/>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br w:type="page"/>
      </w:r>
      <w:r>
        <w:rPr>
          <w:rFonts w:hint="eastAsia" w:ascii="新宋体" w:hAnsi="新宋体" w:eastAsia="新宋体" w:cs="新宋体"/>
          <w:b/>
          <w:bCs/>
          <w:color w:val="auto"/>
          <w:sz w:val="28"/>
          <w:szCs w:val="28"/>
          <w:highlight w:val="none"/>
          <w:lang w:val="en-US" w:eastAsia="zh-CN"/>
        </w:rPr>
        <w:t>10</w:t>
      </w:r>
      <w:r>
        <w:rPr>
          <w:rFonts w:hint="eastAsia" w:ascii="新宋体" w:hAnsi="新宋体" w:eastAsia="新宋体" w:cs="新宋体"/>
          <w:b/>
          <w:bCs/>
          <w:color w:val="auto"/>
          <w:sz w:val="28"/>
          <w:szCs w:val="28"/>
          <w:highlight w:val="none"/>
        </w:rPr>
        <w:t>、</w:t>
      </w:r>
      <w:r>
        <w:rPr>
          <w:rFonts w:hint="eastAsia" w:ascii="新宋体" w:hAnsi="新宋体" w:eastAsia="新宋体" w:cs="新宋体"/>
          <w:b/>
          <w:bCs/>
          <w:color w:val="auto"/>
          <w:sz w:val="28"/>
          <w:szCs w:val="28"/>
          <w:highlight w:val="none"/>
          <w:lang w:val="zh-TW" w:eastAsia="zh-TW"/>
        </w:rPr>
        <w:t>验收方案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 目 编 号：</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341" w:type="dxa"/>
            <w:noWrap w:val="0"/>
            <w:vAlign w:val="center"/>
          </w:tcPr>
          <w:p>
            <w:pPr>
              <w:pStyle w:val="207"/>
              <w:keepNext w:val="0"/>
              <w:spacing w:after="0"/>
              <w:rPr>
                <w:rFonts w:hint="eastAsia" w:ascii="新宋体" w:hAnsi="新宋体" w:eastAsia="新宋体" w:cs="新宋体"/>
                <w:color w:val="auto"/>
                <w:highlight w:val="none"/>
              </w:rPr>
            </w:pPr>
          </w:p>
        </w:tc>
      </w:tr>
    </w:tbl>
    <w:p>
      <w:pPr>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8"/>
          <w:highlight w:val="none"/>
        </w:rPr>
        <w:t xml:space="preserve">  </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pPr>
        <w:autoSpaceDE w:val="0"/>
        <w:autoSpaceDN w:val="0"/>
        <w:ind w:right="896" w:firstLine="420"/>
        <w:jc w:val="center"/>
        <w:textAlignment w:val="bottom"/>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br w:type="page"/>
      </w:r>
      <w:r>
        <w:rPr>
          <w:rFonts w:hint="eastAsia" w:ascii="新宋体" w:hAnsi="新宋体" w:eastAsia="新宋体" w:cs="新宋体"/>
          <w:b/>
          <w:bCs/>
          <w:color w:val="auto"/>
          <w:sz w:val="28"/>
          <w:szCs w:val="28"/>
          <w:highlight w:val="none"/>
          <w:lang w:val="en-US" w:eastAsia="zh-CN"/>
        </w:rPr>
        <w:t>11</w:t>
      </w:r>
      <w:r>
        <w:rPr>
          <w:rFonts w:hint="eastAsia" w:ascii="新宋体" w:hAnsi="新宋体" w:eastAsia="新宋体" w:cs="新宋体"/>
          <w:b/>
          <w:bCs/>
          <w:color w:val="auto"/>
          <w:sz w:val="28"/>
          <w:szCs w:val="28"/>
          <w:highlight w:val="none"/>
        </w:rPr>
        <w:t>、维修成本</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 目 编 号：</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341" w:type="dxa"/>
            <w:noWrap w:val="0"/>
            <w:vAlign w:val="center"/>
          </w:tcPr>
          <w:p>
            <w:pPr>
              <w:pStyle w:val="207"/>
              <w:keepNext w:val="0"/>
              <w:spacing w:after="0"/>
              <w:rPr>
                <w:rFonts w:hint="eastAsia" w:ascii="新宋体" w:hAnsi="新宋体" w:eastAsia="新宋体" w:cs="新宋体"/>
                <w:color w:val="auto"/>
                <w:highlight w:val="none"/>
              </w:rPr>
            </w:pPr>
          </w:p>
        </w:tc>
      </w:tr>
    </w:tbl>
    <w:p>
      <w:pPr>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8"/>
          <w:highlight w:val="none"/>
        </w:rPr>
        <w:t xml:space="preserve">  </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pPr>
        <w:autoSpaceDE w:val="0"/>
        <w:autoSpaceDN w:val="0"/>
        <w:ind w:right="896" w:firstLine="420"/>
        <w:jc w:val="center"/>
        <w:textAlignment w:val="bottom"/>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br w:type="page"/>
      </w:r>
      <w:r>
        <w:rPr>
          <w:rFonts w:hint="eastAsia" w:ascii="新宋体" w:hAnsi="新宋体" w:eastAsia="新宋体" w:cs="新宋体"/>
          <w:b/>
          <w:bCs/>
          <w:color w:val="auto"/>
          <w:sz w:val="28"/>
          <w:szCs w:val="28"/>
          <w:highlight w:val="none"/>
          <w:lang w:val="en-US" w:eastAsia="zh-CN"/>
        </w:rPr>
        <w:t>12</w:t>
      </w:r>
      <w:r>
        <w:rPr>
          <w:rFonts w:hint="eastAsia" w:ascii="新宋体" w:hAnsi="新宋体" w:eastAsia="新宋体" w:cs="新宋体"/>
          <w:b/>
          <w:bCs/>
          <w:color w:val="auto"/>
          <w:sz w:val="28"/>
          <w:szCs w:val="28"/>
          <w:highlight w:val="none"/>
        </w:rPr>
        <w:t>、售后服务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 目 编 号：</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341" w:type="dxa"/>
            <w:noWrap w:val="0"/>
            <w:vAlign w:val="center"/>
          </w:tcPr>
          <w:p>
            <w:pPr>
              <w:pStyle w:val="207"/>
              <w:keepNext w:val="0"/>
              <w:spacing w:after="0"/>
              <w:rPr>
                <w:rFonts w:hint="eastAsia" w:ascii="新宋体" w:hAnsi="新宋体" w:eastAsia="新宋体" w:cs="新宋体"/>
                <w:color w:val="auto"/>
                <w:highlight w:val="none"/>
              </w:rPr>
            </w:pPr>
          </w:p>
        </w:tc>
      </w:tr>
    </w:tbl>
    <w:p>
      <w:pPr>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8"/>
          <w:highlight w:val="none"/>
        </w:rPr>
        <w:t xml:space="preserve">  </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pPr>
        <w:spacing w:line="46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br w:type="page"/>
      </w:r>
      <w:r>
        <w:rPr>
          <w:rFonts w:hint="eastAsia" w:ascii="新宋体" w:hAnsi="新宋体" w:eastAsia="新宋体" w:cs="新宋体"/>
          <w:b/>
          <w:bCs/>
          <w:color w:val="auto"/>
          <w:sz w:val="28"/>
          <w:szCs w:val="28"/>
          <w:highlight w:val="none"/>
          <w:lang w:val="en-US" w:eastAsia="zh-CN"/>
        </w:rPr>
        <w:t>13</w:t>
      </w:r>
      <w:r>
        <w:rPr>
          <w:rFonts w:hint="eastAsia" w:ascii="新宋体" w:hAnsi="新宋体" w:eastAsia="新宋体" w:cs="新宋体"/>
          <w:b/>
          <w:bCs/>
          <w:color w:val="auto"/>
          <w:sz w:val="28"/>
          <w:szCs w:val="28"/>
          <w:highlight w:val="none"/>
        </w:rPr>
        <w:t>、业绩</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 目 编 号：</w:t>
      </w:r>
    </w:p>
    <w:tbl>
      <w:tblPr>
        <w:tblStyle w:val="53"/>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298"/>
        <w:gridCol w:w="2591"/>
        <w:gridCol w:w="1214"/>
        <w:gridCol w:w="167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29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用户名称</w:t>
            </w:r>
          </w:p>
        </w:tc>
        <w:tc>
          <w:tcPr>
            <w:tcW w:w="2591"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w:t>
            </w:r>
          </w:p>
        </w:tc>
        <w:tc>
          <w:tcPr>
            <w:tcW w:w="1214"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金额</w:t>
            </w:r>
          </w:p>
        </w:tc>
        <w:tc>
          <w:tcPr>
            <w:tcW w:w="167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联系方式</w:t>
            </w:r>
          </w:p>
        </w:tc>
        <w:tc>
          <w:tcPr>
            <w:tcW w:w="112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29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29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29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29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29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29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29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29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29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29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29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29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bl>
    <w:p>
      <w:pPr>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8"/>
          <w:highlight w:val="none"/>
        </w:rPr>
        <w:t xml:space="preserve">  </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pPr>
        <w:autoSpaceDE w:val="0"/>
        <w:autoSpaceDN w:val="0"/>
        <w:ind w:right="896" w:firstLine="420"/>
        <w:jc w:val="center"/>
        <w:textAlignment w:val="bottom"/>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br w:type="page"/>
      </w:r>
      <w:r>
        <w:rPr>
          <w:rFonts w:hint="eastAsia" w:ascii="新宋体" w:hAnsi="新宋体" w:eastAsia="新宋体" w:cs="新宋体"/>
          <w:b/>
          <w:bCs/>
          <w:color w:val="auto"/>
          <w:sz w:val="28"/>
          <w:szCs w:val="28"/>
          <w:highlight w:val="none"/>
          <w:lang w:val="en-US" w:eastAsia="zh-CN"/>
        </w:rPr>
        <w:t>14</w:t>
      </w:r>
      <w:r>
        <w:rPr>
          <w:rFonts w:hint="eastAsia" w:ascii="新宋体" w:hAnsi="新宋体" w:eastAsia="新宋体" w:cs="新宋体"/>
          <w:b/>
          <w:bCs/>
          <w:color w:val="auto"/>
          <w:sz w:val="28"/>
          <w:szCs w:val="28"/>
          <w:highlight w:val="none"/>
        </w:rPr>
        <w:t>、</w:t>
      </w:r>
      <w:r>
        <w:rPr>
          <w:rFonts w:hint="eastAsia" w:ascii="新宋体" w:hAnsi="新宋体" w:eastAsia="新宋体" w:cs="新宋体"/>
          <w:b/>
          <w:bCs/>
          <w:color w:val="auto"/>
          <w:sz w:val="28"/>
          <w:szCs w:val="28"/>
          <w:highlight w:val="none"/>
          <w:lang w:val="en-US" w:eastAsia="zh-CN"/>
        </w:rPr>
        <w:t>环境标志产品、节能产品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 目 编 号：</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341" w:type="dxa"/>
            <w:noWrap w:val="0"/>
            <w:vAlign w:val="center"/>
          </w:tcPr>
          <w:p>
            <w:pPr>
              <w:pStyle w:val="207"/>
              <w:keepNext w:val="0"/>
              <w:spacing w:after="0"/>
              <w:rPr>
                <w:rFonts w:hint="eastAsia" w:ascii="新宋体" w:hAnsi="新宋体" w:eastAsia="新宋体" w:cs="新宋体"/>
                <w:color w:val="auto"/>
                <w:highlight w:val="none"/>
              </w:rPr>
            </w:pPr>
          </w:p>
        </w:tc>
      </w:tr>
    </w:tbl>
    <w:p>
      <w:pPr>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8"/>
          <w:highlight w:val="none"/>
        </w:rPr>
        <w:t xml:space="preserve">  </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pPr>
        <w:pStyle w:val="24"/>
        <w:ind w:left="440" w:hanging="44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24"/>
        <w:rPr>
          <w:rFonts w:hint="eastAsia" w:ascii="新宋体" w:hAnsi="新宋体" w:eastAsia="新宋体" w:cs="新宋体"/>
          <w:color w:val="auto"/>
          <w:highlight w:val="none"/>
        </w:rPr>
      </w:pPr>
    </w:p>
    <w:p>
      <w:pPr>
        <w:rPr>
          <w:color w:val="auto"/>
          <w:highlight w:val="none"/>
        </w:rPr>
      </w:pPr>
    </w:p>
    <w:p>
      <w:pPr>
        <w:pStyle w:val="3"/>
        <w:rPr>
          <w:rFonts w:ascii="宋体" w:hAnsi="宋体" w:eastAsia="宋体" w:cs="宋体"/>
          <w:b w:val="0"/>
          <w:color w:val="auto"/>
          <w:sz w:val="22"/>
          <w:szCs w:val="22"/>
          <w:highlight w:val="none"/>
        </w:rPr>
      </w:pPr>
      <w:bookmarkStart w:id="178" w:name="_Toc12365"/>
      <w:bookmarkStart w:id="179" w:name="_Toc26576"/>
      <w:bookmarkStart w:id="180" w:name="_Toc27936"/>
      <w:bookmarkStart w:id="181" w:name="_Toc8496"/>
      <w:bookmarkStart w:id="182" w:name="_Toc30600"/>
      <w:bookmarkStart w:id="183" w:name="_Toc6733"/>
      <w:bookmarkStart w:id="184" w:name="_Toc28528"/>
      <w:bookmarkStart w:id="185" w:name="_Toc19012"/>
      <w:bookmarkStart w:id="186" w:name="_Toc5220"/>
      <w:bookmarkStart w:id="187" w:name="_Toc5317"/>
      <w:r>
        <w:rPr>
          <w:rFonts w:hint="eastAsia" w:ascii="宋体" w:hAnsi="宋体" w:eastAsia="宋体" w:cs="宋体"/>
          <w:color w:val="auto"/>
          <w:highlight w:val="none"/>
        </w:rPr>
        <w:t>第四部分</w:t>
      </w:r>
      <w:bookmarkStart w:id="188" w:name="_Toc221356958"/>
      <w:bookmarkStart w:id="189" w:name="_Toc221356895"/>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项目技术规范和服务要求</w:t>
      </w:r>
      <w:bookmarkEnd w:id="178"/>
      <w:bookmarkEnd w:id="179"/>
      <w:bookmarkEnd w:id="180"/>
      <w:bookmarkEnd w:id="181"/>
      <w:bookmarkEnd w:id="182"/>
      <w:bookmarkEnd w:id="183"/>
      <w:bookmarkEnd w:id="184"/>
      <w:bookmarkEnd w:id="185"/>
      <w:bookmarkEnd w:id="186"/>
      <w:bookmarkEnd w:id="187"/>
      <w:bookmarkEnd w:id="188"/>
      <w:bookmarkEnd w:id="189"/>
      <w:bookmarkStart w:id="190" w:name="_Toc195502588"/>
      <w:bookmarkStart w:id="191" w:name="_Toc202085298"/>
      <w:bookmarkStart w:id="192" w:name="_Toc195502498"/>
    </w:p>
    <w:bookmarkEnd w:id="190"/>
    <w:bookmarkEnd w:id="191"/>
    <w:bookmarkEnd w:id="192"/>
    <w:p>
      <w:pPr>
        <w:keepNext w:val="0"/>
        <w:keepLines w:val="0"/>
        <w:pageBreakBefore w:val="0"/>
        <w:kinsoku/>
        <w:wordWrap/>
        <w:overflowPunct/>
        <w:topLinePunct w:val="0"/>
        <w:bidi w:val="0"/>
        <w:spacing w:line="460" w:lineRule="exact"/>
        <w:ind w:firstLine="442" w:firstLineChars="200"/>
        <w:outlineLvl w:val="1"/>
        <w:rPr>
          <w:rFonts w:hint="eastAsia" w:ascii="新宋体" w:hAnsi="新宋体" w:eastAsia="新宋体" w:cs="新宋体"/>
          <w:b/>
          <w:bCs/>
          <w:color w:val="auto"/>
          <w:sz w:val="22"/>
          <w:szCs w:val="22"/>
          <w:highlight w:val="none"/>
        </w:rPr>
      </w:pPr>
      <w:bookmarkStart w:id="193" w:name="_Toc6671"/>
      <w:bookmarkStart w:id="194" w:name="_Toc12327"/>
      <w:bookmarkStart w:id="195" w:name="_Toc9114"/>
      <w:bookmarkStart w:id="196" w:name="_Toc4850"/>
      <w:bookmarkStart w:id="197" w:name="_Toc17875"/>
      <w:bookmarkStart w:id="198" w:name="_Toc12622"/>
      <w:bookmarkStart w:id="199" w:name="_Toc1179"/>
      <w:bookmarkStart w:id="200" w:name="_Toc22845"/>
      <w:bookmarkStart w:id="201" w:name="_Toc18052"/>
      <w:bookmarkStart w:id="202" w:name="_Toc1599"/>
      <w:bookmarkStart w:id="203" w:name="_Toc6767"/>
      <w:bookmarkStart w:id="204" w:name="_Toc9439"/>
      <w:r>
        <w:rPr>
          <w:rFonts w:hint="eastAsia" w:ascii="新宋体" w:hAnsi="新宋体" w:eastAsia="新宋体" w:cs="新宋体"/>
          <w:b/>
          <w:bCs/>
          <w:color w:val="auto"/>
          <w:sz w:val="22"/>
          <w:szCs w:val="22"/>
          <w:highlight w:val="none"/>
        </w:rPr>
        <w:t>一、项目概况</w:t>
      </w:r>
      <w:bookmarkEnd w:id="193"/>
      <w:bookmarkEnd w:id="194"/>
      <w:bookmarkEnd w:id="195"/>
      <w:bookmarkEnd w:id="196"/>
      <w:bookmarkEnd w:id="197"/>
      <w:bookmarkEnd w:id="198"/>
      <w:bookmarkEnd w:id="199"/>
    </w:p>
    <w:p>
      <w:pPr>
        <w:keepNext w:val="0"/>
        <w:keepLines w:val="0"/>
        <w:pageBreakBefore w:val="0"/>
        <w:widowControl/>
        <w:tabs>
          <w:tab w:val="left" w:pos="785"/>
        </w:tabs>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采购内容为浙江工贸职业技术学院所需的眼视光技术专业群实训室建设项目，采购内容包含但不仅限于所需产品的设计、制造、运输（至采购人指定地点）、临时仓储、安装（含辅材辅料）、调试、验收配合、第三方检测（若需要）、技术培训、售后服务以及伴随的其他一切内容。</w:t>
      </w:r>
      <w:bookmarkStart w:id="205" w:name="_Toc8307800"/>
      <w:bookmarkStart w:id="206" w:name="_Toc24566457"/>
      <w:bookmarkStart w:id="207" w:name="_Toc25241317"/>
      <w:bookmarkStart w:id="208" w:name="_Toc14794622"/>
      <w:bookmarkStart w:id="209" w:name="_Toc8137051"/>
      <w:bookmarkStart w:id="210" w:name="_Toc22808714"/>
      <w:bookmarkStart w:id="211" w:name="_Toc17992968"/>
      <w:bookmarkStart w:id="212" w:name="_Toc44256582"/>
      <w:bookmarkStart w:id="213" w:name="_Toc41642960"/>
      <w:bookmarkStart w:id="214" w:name="_Toc22909707"/>
      <w:bookmarkStart w:id="215" w:name="_Toc17975036"/>
      <w:bookmarkStart w:id="216" w:name="_Toc37146035"/>
      <w:bookmarkStart w:id="217" w:name="_Toc5624938"/>
      <w:bookmarkStart w:id="218" w:name="_Toc5287469"/>
      <w:bookmarkStart w:id="219" w:name="_Toc20120"/>
      <w:bookmarkStart w:id="220" w:name="_Toc14937259"/>
      <w:bookmarkStart w:id="221" w:name="_Toc44229553"/>
      <w:bookmarkStart w:id="222" w:name="_Toc25227822"/>
      <w:r>
        <w:rPr>
          <w:rFonts w:hint="eastAsia" w:ascii="新宋体" w:hAnsi="新宋体" w:eastAsia="新宋体" w:cs="新宋体"/>
          <w:bCs/>
          <w:color w:val="auto"/>
          <w:sz w:val="22"/>
          <w:szCs w:val="22"/>
          <w:highlight w:val="none"/>
        </w:rPr>
        <w:t>此份采购内容及技术要求书是</w:t>
      </w:r>
      <w:r>
        <w:rPr>
          <w:rFonts w:hint="eastAsia" w:ascii="新宋体" w:hAnsi="新宋体" w:eastAsia="新宋体" w:cs="新宋体"/>
          <w:bCs/>
          <w:color w:val="auto"/>
          <w:sz w:val="22"/>
          <w:szCs w:val="22"/>
          <w:highlight w:val="none"/>
          <w:lang w:val="en-US" w:eastAsia="zh-CN"/>
        </w:rPr>
        <w:t>招标</w:t>
      </w:r>
      <w:r>
        <w:rPr>
          <w:rFonts w:hint="eastAsia" w:ascii="新宋体" w:hAnsi="新宋体" w:eastAsia="新宋体" w:cs="新宋体"/>
          <w:bCs/>
          <w:color w:val="auto"/>
          <w:sz w:val="22"/>
          <w:szCs w:val="22"/>
          <w:highlight w:val="none"/>
        </w:rPr>
        <w:t>文件的一部分，包括所有条款的具体说明及技术要求，</w:t>
      </w:r>
      <w:r>
        <w:rPr>
          <w:rFonts w:hint="eastAsia" w:ascii="新宋体" w:hAnsi="新宋体" w:eastAsia="新宋体" w:cs="新宋体"/>
          <w:color w:val="auto"/>
          <w:spacing w:val="6"/>
          <w:sz w:val="22"/>
          <w:szCs w:val="22"/>
          <w:highlight w:val="none"/>
          <w:lang w:val="en-US" w:eastAsia="zh-CN"/>
        </w:rPr>
        <w:t>投标</w:t>
      </w:r>
      <w:r>
        <w:rPr>
          <w:rFonts w:hint="eastAsia" w:ascii="新宋体" w:hAnsi="新宋体" w:eastAsia="新宋体" w:cs="新宋体"/>
          <w:bCs/>
          <w:color w:val="auto"/>
          <w:sz w:val="22"/>
          <w:szCs w:val="22"/>
          <w:highlight w:val="none"/>
        </w:rPr>
        <w:t>供应商需在各自技术和商务占优势的基础上对本次采购内容进行</w:t>
      </w:r>
      <w:r>
        <w:rPr>
          <w:rFonts w:hint="eastAsia" w:ascii="新宋体" w:hAnsi="新宋体" w:eastAsia="新宋体" w:cs="新宋体"/>
          <w:color w:val="auto"/>
          <w:spacing w:val="6"/>
          <w:sz w:val="22"/>
          <w:szCs w:val="22"/>
          <w:highlight w:val="none"/>
          <w:lang w:val="en-US" w:eastAsia="zh-CN"/>
        </w:rPr>
        <w:t>投标</w:t>
      </w:r>
      <w:r>
        <w:rPr>
          <w:rFonts w:hint="eastAsia" w:ascii="新宋体" w:hAnsi="新宋体" w:eastAsia="新宋体" w:cs="新宋体"/>
          <w:bCs/>
          <w:color w:val="auto"/>
          <w:sz w:val="22"/>
          <w:szCs w:val="22"/>
          <w:highlight w:val="none"/>
        </w:rPr>
        <w:t>报价。</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2、各供应商应根据所提出的技术、服务和商务等相关要求，综合考虑产品的适应性，选择具有最佳性能价格比的产品前来</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。希望</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供应商以精良的设备、优良的服务和优惠的价格，充分显示你们的竞争实力。</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3、所涉及的产品标准、规范，验收标准、规范，应符合国家有关条例及规范，如有新的标准应采纳新标准，如是国外相应标准应得到采购人认可，</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供应商应使选用的设备和材料符合最新版本的国际和国家的标准、规范，并提供采用的国家和国际标准、规范以及所采用的版本的有关技术资料。</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bookmarkStart w:id="223" w:name="_Toc17992972"/>
      <w:bookmarkStart w:id="224" w:name="_Toc8137055"/>
      <w:bookmarkStart w:id="225" w:name="_Toc17975040"/>
      <w:bookmarkStart w:id="226" w:name="_Toc8307804"/>
      <w:bookmarkStart w:id="227" w:name="_Toc24566461"/>
      <w:bookmarkStart w:id="228" w:name="_Toc25227826"/>
      <w:bookmarkStart w:id="229" w:name="_Toc37146039"/>
      <w:bookmarkStart w:id="230" w:name="_Toc41642964"/>
      <w:bookmarkStart w:id="231" w:name="_Toc5624942"/>
      <w:bookmarkStart w:id="232" w:name="_Toc5287473"/>
      <w:bookmarkStart w:id="233" w:name="_Toc44229557"/>
      <w:bookmarkStart w:id="234" w:name="_Toc25241321"/>
      <w:bookmarkStart w:id="235" w:name="_Toc14794626"/>
      <w:bookmarkStart w:id="236" w:name="_Toc22808718"/>
      <w:bookmarkStart w:id="237" w:name="_Toc14937263"/>
      <w:bookmarkStart w:id="238" w:name="_Toc44256586"/>
      <w:bookmarkStart w:id="239" w:name="_Toc22909711"/>
      <w:bookmarkStart w:id="240" w:name="_Toc31337"/>
      <w:r>
        <w:rPr>
          <w:rFonts w:hint="eastAsia" w:ascii="新宋体" w:hAnsi="新宋体" w:eastAsia="新宋体" w:cs="新宋体"/>
          <w:color w:val="auto"/>
          <w:sz w:val="22"/>
          <w:szCs w:val="22"/>
          <w:highlight w:val="none"/>
        </w:rPr>
        <w:t>4、在</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报价之前，</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供应商须仔细阅读</w:t>
      </w:r>
      <w:r>
        <w:rPr>
          <w:rFonts w:hint="eastAsia" w:ascii="新宋体" w:hAnsi="新宋体" w:eastAsia="新宋体" w:cs="新宋体"/>
          <w:color w:val="auto"/>
          <w:sz w:val="22"/>
          <w:szCs w:val="22"/>
          <w:highlight w:val="none"/>
          <w:lang w:val="en-US" w:eastAsia="zh-CN"/>
        </w:rPr>
        <w:t>招标</w:t>
      </w:r>
      <w:r>
        <w:rPr>
          <w:rFonts w:hint="eastAsia" w:ascii="新宋体" w:hAnsi="新宋体" w:eastAsia="新宋体" w:cs="新宋体"/>
          <w:color w:val="auto"/>
          <w:sz w:val="22"/>
          <w:szCs w:val="22"/>
          <w:highlight w:val="none"/>
        </w:rPr>
        <w:t>文件，如发现有任何疑问、冲突或技术问题，</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供应商须在答疑截止时间前以书面形式向采购代理机构提出。逾期采购人不再作答复，有关风险及责任由</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供应商自行承担。</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5、项目中涉及到的设备、材料属于政府采购节能产品、环境标志产品的，要求符合相关规定。</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供应商所投产品及主要部件的名称、品牌、型号、技术参数、性能、数量、单价、合价、制造商、质保期等应对照采购内容及技术要求列表对应进行说明，在</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响应文件的相应部分明确，对</w:t>
      </w:r>
      <w:r>
        <w:rPr>
          <w:rFonts w:hint="eastAsia" w:ascii="新宋体" w:hAnsi="新宋体" w:eastAsia="新宋体" w:cs="新宋体"/>
          <w:color w:val="auto"/>
          <w:sz w:val="22"/>
          <w:szCs w:val="22"/>
          <w:highlight w:val="none"/>
          <w:lang w:val="en-US" w:eastAsia="zh-CN"/>
        </w:rPr>
        <w:t>招标</w:t>
      </w:r>
      <w:r>
        <w:rPr>
          <w:rFonts w:hint="eastAsia" w:ascii="新宋体" w:hAnsi="新宋体" w:eastAsia="新宋体" w:cs="新宋体"/>
          <w:color w:val="auto"/>
          <w:sz w:val="22"/>
          <w:szCs w:val="22"/>
          <w:highlight w:val="none"/>
        </w:rPr>
        <w:t>文件的技术条款及其它要求应予以实质性响应，如有偏离须在偏离表中注明，否则会对</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供应商做出不利评定。</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供应商须完成货物的生产、运输、安装、整合调试，直至验收合格交付使用前的所有工作。在此过程中发生的一切费用（包括辅助材料、零部件等配套设施）均由</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提供，各</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供应商应对本</w:t>
      </w:r>
      <w:r>
        <w:rPr>
          <w:rFonts w:hint="eastAsia" w:ascii="新宋体" w:hAnsi="新宋体" w:eastAsia="新宋体" w:cs="新宋体"/>
          <w:color w:val="auto"/>
          <w:sz w:val="22"/>
          <w:szCs w:val="22"/>
          <w:highlight w:val="none"/>
          <w:lang w:val="en-US" w:eastAsia="zh-CN"/>
        </w:rPr>
        <w:t>招标</w:t>
      </w:r>
      <w:r>
        <w:rPr>
          <w:rFonts w:hint="eastAsia" w:ascii="新宋体" w:hAnsi="新宋体" w:eastAsia="新宋体" w:cs="新宋体"/>
          <w:color w:val="auto"/>
          <w:sz w:val="22"/>
          <w:szCs w:val="22"/>
          <w:highlight w:val="none"/>
        </w:rPr>
        <w:t>文件未列出但完成本项目所必须的其他材料一一列出，并详细注明报价等情况，如未列出，则视为已包含在总价内，由</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供应商免费提供。</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8、供应商需针对本项目所提供的产品的技术性能、质量水平、具体实施方案、售后服务、培训计划等做详尽的描述。</w:t>
      </w:r>
    </w:p>
    <w:p>
      <w:pPr>
        <w:keepNext w:val="0"/>
        <w:keepLines w:val="0"/>
        <w:pageBreakBefore w:val="0"/>
        <w:kinsoku/>
        <w:wordWrap/>
        <w:overflowPunct/>
        <w:topLinePunct w:val="0"/>
        <w:bidi w:val="0"/>
        <w:spacing w:line="460" w:lineRule="exact"/>
        <w:ind w:firstLine="442" w:firstLineChars="200"/>
        <w:outlineLvl w:val="1"/>
        <w:rPr>
          <w:rFonts w:hint="eastAsia" w:ascii="新宋体" w:hAnsi="新宋体" w:eastAsia="新宋体" w:cs="新宋体"/>
          <w:b/>
          <w:bCs/>
          <w:color w:val="auto"/>
          <w:sz w:val="22"/>
          <w:szCs w:val="22"/>
          <w:highlight w:val="none"/>
        </w:rPr>
      </w:pPr>
      <w:bookmarkStart w:id="241" w:name="_Toc26409"/>
      <w:bookmarkStart w:id="242" w:name="_Toc25304"/>
      <w:bookmarkStart w:id="243" w:name="_Toc7168"/>
      <w:bookmarkStart w:id="244" w:name="_Toc28134"/>
      <w:bookmarkStart w:id="245" w:name="_Toc24041"/>
      <w:r>
        <w:rPr>
          <w:rFonts w:hint="eastAsia" w:ascii="新宋体" w:hAnsi="新宋体" w:eastAsia="新宋体" w:cs="新宋体"/>
          <w:b/>
          <w:bCs/>
          <w:color w:val="auto"/>
          <w:sz w:val="22"/>
          <w:szCs w:val="22"/>
          <w:highlight w:val="none"/>
        </w:rPr>
        <w:t>二、采购清单</w:t>
      </w:r>
      <w:bookmarkEnd w:id="241"/>
      <w:bookmarkEnd w:id="242"/>
      <w:bookmarkEnd w:id="243"/>
      <w:bookmarkEnd w:id="244"/>
      <w:bookmarkEnd w:id="245"/>
    </w:p>
    <w:p>
      <w:pPr>
        <w:pStyle w:val="22"/>
        <w:keepNext w:val="0"/>
        <w:keepLines w:val="0"/>
        <w:pageBreakBefore w:val="0"/>
        <w:kinsoku/>
        <w:wordWrap/>
        <w:overflowPunct/>
        <w:topLinePunct w:val="0"/>
        <w:bidi w:val="0"/>
        <w:spacing w:line="460" w:lineRule="exact"/>
        <w:ind w:left="0" w:leftChars="0"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本次采购的核心产品为</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裂隙灯显微镜</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提供相同品牌产品（或同品牌核心产品）且通过资格审查、符合性审查的不同供应商参加同一合同项下投标的，按一家供应商计算，评审后得分最高的同品牌（或同品牌核心产品）供应商获得中标候选人推荐资格。</w:t>
      </w:r>
    </w:p>
    <w:tbl>
      <w:tblPr>
        <w:tblStyle w:val="53"/>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490"/>
        <w:gridCol w:w="705"/>
        <w:gridCol w:w="163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54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采购内容</w:t>
            </w:r>
          </w:p>
        </w:tc>
        <w:tc>
          <w:tcPr>
            <w:tcW w:w="70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63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最高限价单价（元）</w:t>
            </w:r>
          </w:p>
        </w:tc>
        <w:tc>
          <w:tcPr>
            <w:tcW w:w="15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最高限价小计（元）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54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2"/>
                <w:sz w:val="22"/>
                <w:szCs w:val="22"/>
                <w:highlight w:val="none"/>
                <w:lang w:val="en-US" w:eastAsia="zh-CN" w:bidi="ar-SA"/>
              </w:rPr>
              <w:t>全自动磨边机</w:t>
            </w:r>
          </w:p>
        </w:tc>
        <w:tc>
          <w:tcPr>
            <w:tcW w:w="70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p>
        </w:tc>
        <w:tc>
          <w:tcPr>
            <w:tcW w:w="163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60000</w:t>
            </w:r>
          </w:p>
        </w:tc>
        <w:tc>
          <w:tcPr>
            <w:tcW w:w="15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bookmarkStart w:id="246" w:name="_Toc24512"/>
            <w:r>
              <w:rPr>
                <w:rFonts w:hint="eastAsia" w:ascii="新宋体" w:hAnsi="新宋体" w:eastAsia="新宋体" w:cs="新宋体"/>
                <w:color w:val="auto"/>
                <w:sz w:val="22"/>
                <w:szCs w:val="22"/>
                <w:highlight w:val="none"/>
              </w:rPr>
              <w:t>2</w:t>
            </w:r>
          </w:p>
        </w:tc>
        <w:tc>
          <w:tcPr>
            <w:tcW w:w="5490" w:type="dxa"/>
            <w:noWrap w:val="0"/>
            <w:vAlign w:val="center"/>
          </w:tcPr>
          <w:p>
            <w:pPr>
              <w:keepNext w:val="0"/>
              <w:keepLines w:val="0"/>
              <w:pageBreakBefore w:val="0"/>
              <w:kinsoku/>
              <w:wordWrap/>
              <w:overflowPunct/>
              <w:topLinePunct w:val="0"/>
              <w:bidi w:val="0"/>
              <w:spacing w:line="460" w:lineRule="exact"/>
              <w:jc w:val="center"/>
              <w:rPr>
                <w:rStyle w:val="337"/>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rPr>
              <w:t>半自动眼镜片磨边机</w:t>
            </w:r>
          </w:p>
        </w:tc>
        <w:tc>
          <w:tcPr>
            <w:tcW w:w="70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163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15000</w:t>
            </w:r>
          </w:p>
        </w:tc>
        <w:tc>
          <w:tcPr>
            <w:tcW w:w="15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5490" w:type="dxa"/>
            <w:noWrap w:val="0"/>
            <w:vAlign w:val="center"/>
          </w:tcPr>
          <w:p>
            <w:pPr>
              <w:keepNext w:val="0"/>
              <w:keepLines w:val="0"/>
              <w:pageBreakBefore w:val="0"/>
              <w:kinsoku/>
              <w:wordWrap/>
              <w:overflowPunct/>
              <w:topLinePunct w:val="0"/>
              <w:bidi w:val="0"/>
              <w:spacing w:line="460" w:lineRule="exact"/>
              <w:jc w:val="center"/>
              <w:rPr>
                <w:rStyle w:val="337"/>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rPr>
              <w:t>全自动综合验光仪</w:t>
            </w:r>
          </w:p>
        </w:tc>
        <w:tc>
          <w:tcPr>
            <w:tcW w:w="70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c>
          <w:tcPr>
            <w:tcW w:w="163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78000</w:t>
            </w:r>
          </w:p>
        </w:tc>
        <w:tc>
          <w:tcPr>
            <w:tcW w:w="15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390000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5490" w:type="dxa"/>
            <w:noWrap w:val="0"/>
            <w:vAlign w:val="center"/>
          </w:tcPr>
          <w:p>
            <w:pPr>
              <w:keepNext w:val="0"/>
              <w:keepLines w:val="0"/>
              <w:pageBreakBefore w:val="0"/>
              <w:kinsoku/>
              <w:wordWrap/>
              <w:overflowPunct/>
              <w:topLinePunct w:val="0"/>
              <w:bidi w:val="0"/>
              <w:spacing w:line="460" w:lineRule="exact"/>
              <w:jc w:val="center"/>
              <w:rPr>
                <w:rStyle w:val="337"/>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rPr>
              <w:t>裂隙灯显微镜</w:t>
            </w:r>
          </w:p>
        </w:tc>
        <w:tc>
          <w:tcPr>
            <w:tcW w:w="70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p>
        </w:tc>
        <w:tc>
          <w:tcPr>
            <w:tcW w:w="163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35000</w:t>
            </w:r>
          </w:p>
        </w:tc>
        <w:tc>
          <w:tcPr>
            <w:tcW w:w="15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54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sz w:val="22"/>
                <w:szCs w:val="22"/>
                <w:highlight w:val="none"/>
              </w:rPr>
              <w:t>角膜曲率计</w:t>
            </w:r>
          </w:p>
        </w:tc>
        <w:tc>
          <w:tcPr>
            <w:tcW w:w="70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163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15000</w:t>
            </w:r>
          </w:p>
        </w:tc>
        <w:tc>
          <w:tcPr>
            <w:tcW w:w="15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54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kern w:val="0"/>
                <w:sz w:val="22"/>
                <w:szCs w:val="22"/>
                <w:highlight w:val="none"/>
                <w:lang w:eastAsia="zh-CN" w:bidi="ar"/>
              </w:rPr>
            </w:pPr>
            <w:r>
              <w:rPr>
                <w:rFonts w:hint="eastAsia" w:ascii="新宋体" w:hAnsi="新宋体" w:eastAsia="新宋体" w:cs="新宋体"/>
                <w:color w:val="auto"/>
                <w:sz w:val="22"/>
                <w:szCs w:val="22"/>
                <w:highlight w:val="none"/>
              </w:rPr>
              <w:t>弱视斜视矫治系统（3D多媒体视觉健康训练系统</w:t>
            </w:r>
            <w:r>
              <w:rPr>
                <w:rFonts w:hint="eastAsia" w:ascii="新宋体" w:hAnsi="新宋体" w:eastAsia="新宋体" w:cs="新宋体"/>
                <w:color w:val="auto"/>
                <w:sz w:val="22"/>
                <w:szCs w:val="22"/>
                <w:highlight w:val="none"/>
                <w:lang w:eastAsia="zh-CN"/>
              </w:rPr>
              <w:t>）</w:t>
            </w:r>
          </w:p>
        </w:tc>
        <w:tc>
          <w:tcPr>
            <w:tcW w:w="70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163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190000</w:t>
            </w:r>
          </w:p>
        </w:tc>
        <w:tc>
          <w:tcPr>
            <w:tcW w:w="15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54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sz w:val="22"/>
                <w:szCs w:val="22"/>
                <w:highlight w:val="none"/>
              </w:rPr>
              <w:t>视觉功能训练治疗软件</w:t>
            </w:r>
          </w:p>
        </w:tc>
        <w:tc>
          <w:tcPr>
            <w:tcW w:w="70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163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300000</w:t>
            </w:r>
          </w:p>
        </w:tc>
        <w:tc>
          <w:tcPr>
            <w:tcW w:w="15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lang w:val="en-US" w:eastAsia="zh-CN"/>
              </w:rPr>
            </w:pPr>
            <w:bookmarkStart w:id="247" w:name="_Toc32006"/>
            <w:r>
              <w:rPr>
                <w:rFonts w:hint="eastAsia" w:ascii="新宋体" w:hAnsi="新宋体" w:eastAsia="新宋体" w:cs="新宋体"/>
                <w:color w:val="auto"/>
                <w:sz w:val="22"/>
                <w:szCs w:val="22"/>
                <w:highlight w:val="none"/>
                <w:lang w:val="en-US" w:eastAsia="zh-CN"/>
              </w:rPr>
              <w:t>8</w:t>
            </w:r>
          </w:p>
        </w:tc>
        <w:tc>
          <w:tcPr>
            <w:tcW w:w="54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弱视斜视矫治系统（4D数字化斜弱视视功能矫治系统)</w:t>
            </w:r>
          </w:p>
        </w:tc>
        <w:tc>
          <w:tcPr>
            <w:tcW w:w="70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163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189000</w:t>
            </w:r>
          </w:p>
        </w:tc>
        <w:tc>
          <w:tcPr>
            <w:tcW w:w="15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189000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w:t>
            </w:r>
          </w:p>
        </w:tc>
        <w:tc>
          <w:tcPr>
            <w:tcW w:w="54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眼控</w:t>
            </w:r>
          </w:p>
        </w:tc>
        <w:tc>
          <w:tcPr>
            <w:tcW w:w="70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1635"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90000</w:t>
            </w:r>
          </w:p>
        </w:tc>
        <w:tc>
          <w:tcPr>
            <w:tcW w:w="1590" w:type="dxa"/>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center"/>
          </w:tcPr>
          <w:p>
            <w:pPr>
              <w:keepNext w:val="0"/>
              <w:keepLines w:val="0"/>
              <w:pageBreakBefore w:val="0"/>
              <w:kinsoku/>
              <w:wordWrap/>
              <w:overflowPunct/>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合计</w:t>
            </w:r>
          </w:p>
        </w:tc>
        <w:tc>
          <w:tcPr>
            <w:tcW w:w="1590" w:type="dxa"/>
            <w:noWrap w:val="0"/>
            <w:vAlign w:val="center"/>
          </w:tcPr>
          <w:p>
            <w:pPr>
              <w:keepNext w:val="0"/>
              <w:keepLines w:val="0"/>
              <w:pageBreakBefore w:val="0"/>
              <w:kinsoku/>
              <w:wordWrap/>
              <w:overflowPunct/>
              <w:topLinePunct w:val="0"/>
              <w:bidi w:val="0"/>
              <w:spacing w:line="460" w:lineRule="exact"/>
              <w:jc w:val="center"/>
              <w:rPr>
                <w:rFonts w:hint="default"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1999000</w:t>
            </w:r>
          </w:p>
        </w:tc>
      </w:tr>
    </w:tbl>
    <w:p>
      <w:pPr>
        <w:snapToGrid w:val="0"/>
        <w:spacing w:line="460" w:lineRule="exact"/>
        <w:rPr>
          <w:rFonts w:hint="eastAsia" w:ascii="新宋体" w:hAnsi="新宋体" w:eastAsia="新宋体" w:cs="新宋体"/>
          <w:bCs/>
          <w:color w:val="auto"/>
          <w:sz w:val="22"/>
          <w:szCs w:val="22"/>
          <w:highlight w:val="none"/>
          <w:u w:val="single"/>
        </w:rPr>
      </w:pPr>
      <w:r>
        <w:rPr>
          <w:rFonts w:hint="eastAsia" w:ascii="新宋体" w:hAnsi="新宋体" w:eastAsia="新宋体" w:cs="新宋体"/>
          <w:b/>
          <w:color w:val="auto"/>
          <w:sz w:val="22"/>
          <w:szCs w:val="22"/>
          <w:highlight w:val="none"/>
          <w:u w:val="single"/>
        </w:rPr>
        <w:t>▲注：1、</w:t>
      </w:r>
      <w:r>
        <w:rPr>
          <w:rFonts w:hint="eastAsia" w:ascii="新宋体" w:hAnsi="新宋体" w:eastAsia="新宋体" w:cs="新宋体"/>
          <w:b/>
          <w:color w:val="auto"/>
          <w:sz w:val="22"/>
          <w:szCs w:val="22"/>
          <w:highlight w:val="none"/>
          <w:u w:val="single"/>
          <w:lang w:val="en-US" w:eastAsia="zh-CN"/>
        </w:rPr>
        <w:t>供应商</w:t>
      </w:r>
      <w:r>
        <w:rPr>
          <w:rFonts w:hint="eastAsia" w:ascii="新宋体" w:hAnsi="新宋体" w:eastAsia="新宋体" w:cs="新宋体"/>
          <w:b/>
          <w:color w:val="auto"/>
          <w:sz w:val="22"/>
          <w:szCs w:val="22"/>
          <w:highlight w:val="none"/>
          <w:u w:val="single"/>
        </w:rPr>
        <w:t>必须同时对以上所有</w:t>
      </w:r>
      <w:r>
        <w:rPr>
          <w:rFonts w:hint="eastAsia" w:ascii="新宋体" w:hAnsi="新宋体" w:eastAsia="新宋体" w:cs="新宋体"/>
          <w:b/>
          <w:color w:val="auto"/>
          <w:sz w:val="22"/>
          <w:szCs w:val="22"/>
          <w:highlight w:val="none"/>
          <w:u w:val="single"/>
          <w:lang w:val="en-US" w:eastAsia="zh-CN"/>
        </w:rPr>
        <w:t>采购</w:t>
      </w:r>
      <w:r>
        <w:rPr>
          <w:rFonts w:hint="eastAsia" w:ascii="新宋体" w:hAnsi="新宋体" w:eastAsia="新宋体" w:cs="新宋体"/>
          <w:b/>
          <w:color w:val="auto"/>
          <w:sz w:val="22"/>
          <w:szCs w:val="22"/>
          <w:highlight w:val="none"/>
          <w:u w:val="single"/>
        </w:rPr>
        <w:t>内容进行</w:t>
      </w:r>
      <w:r>
        <w:rPr>
          <w:rFonts w:hint="eastAsia" w:ascii="新宋体" w:hAnsi="新宋体" w:eastAsia="新宋体" w:cs="新宋体"/>
          <w:b/>
          <w:color w:val="auto"/>
          <w:sz w:val="22"/>
          <w:szCs w:val="22"/>
          <w:highlight w:val="none"/>
          <w:u w:val="single"/>
          <w:lang w:val="en-US" w:eastAsia="zh-CN"/>
        </w:rPr>
        <w:t>响应</w:t>
      </w:r>
      <w:r>
        <w:rPr>
          <w:rFonts w:hint="eastAsia" w:ascii="新宋体" w:hAnsi="新宋体" w:eastAsia="新宋体" w:cs="新宋体"/>
          <w:b/>
          <w:color w:val="auto"/>
          <w:sz w:val="22"/>
          <w:szCs w:val="22"/>
          <w:highlight w:val="none"/>
          <w:u w:val="single"/>
        </w:rPr>
        <w:t>，不允许拆分，否则其</w:t>
      </w:r>
      <w:r>
        <w:rPr>
          <w:rFonts w:hint="eastAsia" w:ascii="新宋体" w:hAnsi="新宋体" w:eastAsia="新宋体" w:cs="新宋体"/>
          <w:b/>
          <w:color w:val="auto"/>
          <w:sz w:val="22"/>
          <w:szCs w:val="22"/>
          <w:highlight w:val="none"/>
          <w:u w:val="single"/>
          <w:lang w:val="en-US" w:eastAsia="zh-CN"/>
        </w:rPr>
        <w:t>响应</w:t>
      </w:r>
      <w:r>
        <w:rPr>
          <w:rFonts w:hint="eastAsia" w:ascii="新宋体" w:hAnsi="新宋体" w:eastAsia="新宋体" w:cs="新宋体"/>
          <w:b/>
          <w:color w:val="auto"/>
          <w:sz w:val="22"/>
          <w:szCs w:val="22"/>
          <w:highlight w:val="none"/>
          <w:u w:val="single"/>
        </w:rPr>
        <w:t>文件不予接受。</w:t>
      </w:r>
    </w:p>
    <w:p>
      <w:pPr>
        <w:keepNext w:val="0"/>
        <w:keepLines w:val="0"/>
        <w:pageBreakBefore w:val="0"/>
        <w:kinsoku/>
        <w:wordWrap/>
        <w:overflowPunct/>
        <w:topLinePunct w:val="0"/>
        <w:bidi w:val="0"/>
        <w:spacing w:line="460" w:lineRule="exact"/>
        <w:ind w:firstLine="663" w:firstLineChars="3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u w:val="single"/>
        </w:rPr>
        <w:t>2、</w:t>
      </w:r>
      <w:r>
        <w:rPr>
          <w:rFonts w:hint="eastAsia" w:ascii="新宋体" w:hAnsi="新宋体" w:eastAsia="新宋体" w:cs="新宋体"/>
          <w:b/>
          <w:color w:val="auto"/>
          <w:sz w:val="22"/>
          <w:szCs w:val="22"/>
          <w:highlight w:val="none"/>
          <w:u w:val="single"/>
          <w:lang w:val="en-US" w:eastAsia="zh-CN"/>
        </w:rPr>
        <w:t>供应商</w:t>
      </w:r>
      <w:r>
        <w:rPr>
          <w:rFonts w:hint="eastAsia" w:ascii="新宋体" w:hAnsi="新宋体" w:eastAsia="新宋体" w:cs="新宋体"/>
          <w:b/>
          <w:color w:val="auto"/>
          <w:sz w:val="22"/>
          <w:szCs w:val="22"/>
          <w:highlight w:val="none"/>
          <w:u w:val="single"/>
        </w:rPr>
        <w:t>分项报价超过各项目内容的</w:t>
      </w:r>
      <w:r>
        <w:rPr>
          <w:rFonts w:hint="eastAsia" w:ascii="新宋体" w:hAnsi="新宋体" w:eastAsia="新宋体" w:cs="新宋体"/>
          <w:b/>
          <w:color w:val="auto"/>
          <w:sz w:val="22"/>
          <w:szCs w:val="22"/>
          <w:highlight w:val="none"/>
          <w:u w:val="single"/>
          <w:lang w:val="en-US" w:eastAsia="zh-CN"/>
        </w:rPr>
        <w:t>最高限价</w:t>
      </w:r>
      <w:r>
        <w:rPr>
          <w:rFonts w:hint="eastAsia" w:ascii="新宋体" w:hAnsi="新宋体" w:eastAsia="新宋体" w:cs="新宋体"/>
          <w:b/>
          <w:color w:val="auto"/>
          <w:sz w:val="22"/>
          <w:szCs w:val="22"/>
          <w:highlight w:val="none"/>
          <w:u w:val="single"/>
        </w:rPr>
        <w:t>按无效标处理</w:t>
      </w:r>
    </w:p>
    <w:p>
      <w:pPr>
        <w:keepNext w:val="0"/>
        <w:keepLines w:val="0"/>
        <w:pageBreakBefore w:val="0"/>
        <w:kinsoku/>
        <w:wordWrap/>
        <w:overflowPunct/>
        <w:topLinePunct w:val="0"/>
        <w:bidi w:val="0"/>
        <w:spacing w:line="460" w:lineRule="exact"/>
        <w:ind w:firstLine="442" w:firstLineChars="200"/>
        <w:outlineLvl w:val="1"/>
        <w:rPr>
          <w:rFonts w:hint="eastAsia" w:ascii="新宋体" w:hAnsi="新宋体" w:eastAsia="新宋体" w:cs="新宋体"/>
          <w:b/>
          <w:bCs/>
          <w:color w:val="auto"/>
          <w:sz w:val="22"/>
          <w:szCs w:val="22"/>
          <w:highlight w:val="none"/>
        </w:rPr>
      </w:pPr>
      <w:bookmarkStart w:id="248" w:name="_Toc16729"/>
      <w:bookmarkStart w:id="249" w:name="_Toc22010"/>
      <w:bookmarkStart w:id="250" w:name="_Toc8843"/>
      <w:r>
        <w:rPr>
          <w:rFonts w:hint="eastAsia" w:ascii="新宋体" w:hAnsi="新宋体" w:eastAsia="新宋体" w:cs="新宋体"/>
          <w:b/>
          <w:bCs/>
          <w:color w:val="auto"/>
          <w:sz w:val="22"/>
          <w:szCs w:val="22"/>
          <w:highlight w:val="none"/>
        </w:rPr>
        <w:t>三、技术参数及配置</w:t>
      </w:r>
      <w:bookmarkEnd w:id="246"/>
      <w:bookmarkEnd w:id="247"/>
      <w:bookmarkEnd w:id="248"/>
      <w:bookmarkEnd w:id="249"/>
      <w:bookmarkEnd w:id="250"/>
    </w:p>
    <w:tbl>
      <w:tblPr>
        <w:tblStyle w:val="54"/>
        <w:tblW w:w="496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87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blHeader/>
        </w:trPr>
        <w:tc>
          <w:tcPr>
            <w:tcW w:w="512" w:type="pc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4487" w:type="pc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shd w:val="clear" w:color="auto" w:fill="FFFFFF"/>
                <w:lang w:val="en-US" w:eastAsia="zh-CN"/>
              </w:rPr>
              <w:t>技术</w:t>
            </w:r>
            <w:r>
              <w:rPr>
                <w:rFonts w:hint="eastAsia" w:ascii="新宋体" w:hAnsi="新宋体" w:eastAsia="新宋体" w:cs="新宋体"/>
                <w:color w:val="auto"/>
                <w:sz w:val="22"/>
                <w:szCs w:val="22"/>
                <w:highlight w:val="none"/>
                <w:shd w:val="clear" w:color="auto" w:fill="FFFFFF"/>
              </w:rPr>
              <w:t>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全自动磨边机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bidi="ar-SA"/>
              </w:rPr>
              <w:t>全自动三维尖边、平边镜片加工磨边机，镜片扫描、中心定位和磨边功能一体化；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衬片或原镜片凸面朝下重力平衡扫描；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全数字化无视差中心仪，可避免斜视棱镜引起的误差， 同时具备临界点检测功能；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w:t>
            </w:r>
          </w:p>
        </w:tc>
        <w:tc>
          <w:tcPr>
            <w:tcW w:w="4487" w:type="pct"/>
            <w:tcBorders>
              <w:tl2br w:val="nil"/>
              <w:tr2bl w:val="nil"/>
            </w:tcBorders>
            <w:noWrap w:val="0"/>
            <w:vAlign w:val="center"/>
          </w:tcPr>
          <w:p>
            <w:pPr>
              <w:pStyle w:val="344"/>
              <w:keepNext w:val="0"/>
              <w:keepLines w:val="0"/>
              <w:pageBreakBefore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90mm 砂轮直径，确保高弯镜片的磨片效果；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w:t>
            </w:r>
          </w:p>
        </w:tc>
        <w:tc>
          <w:tcPr>
            <w:tcW w:w="4487" w:type="pct"/>
            <w:tcBorders>
              <w:tl2br w:val="nil"/>
              <w:tr2bl w:val="nil"/>
            </w:tcBorders>
            <w:noWrap w:val="0"/>
            <w:vAlign w:val="center"/>
          </w:tcPr>
          <w:p>
            <w:pPr>
              <w:pStyle w:val="344"/>
              <w:keepNext w:val="0"/>
              <w:keepLines w:val="0"/>
              <w:pageBreakBefore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可加工的镜片材料：普通树脂，高折树脂，PC（聚碳酸酯），Trivex；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1.6</w:t>
            </w:r>
          </w:p>
        </w:tc>
        <w:tc>
          <w:tcPr>
            <w:tcW w:w="4487" w:type="pct"/>
            <w:tcBorders>
              <w:tl2br w:val="nil"/>
              <w:tr2bl w:val="nil"/>
            </w:tcBorders>
            <w:noWrap w:val="0"/>
            <w:vAlign w:val="center"/>
          </w:tcPr>
          <w:p>
            <w:pPr>
              <w:pStyle w:val="344"/>
              <w:keepNext w:val="0"/>
              <w:keepLines w:val="0"/>
              <w:pageBreakBefore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最小加工尺寸：平边17.5mm，尖边19.1mm，开槽18.5mm（根据吸盘）；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1.7</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自动开槽功能，开槽宽度 0.6-1.2mm，固定开槽机构设计，确保开槽稳定可靠；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4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半自动眼镜片磨边机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砂轮配置：PC砂轮，玻璃粗磨轮，细磨倒角轮，抛光轮；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2.2</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磨片直径范围：φ22~80mm；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磨片夹紧力：多级调压；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砂轮直径：φ100mm；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全自动综合验光仪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3.1</w:t>
            </w:r>
          </w:p>
        </w:tc>
        <w:tc>
          <w:tcPr>
            <w:tcW w:w="4487" w:type="pct"/>
            <w:tcBorders>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before="60" w:after="60" w:line="460" w:lineRule="exact"/>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验光头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3.1.1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使用平板和键盘操控，通过蓝牙连接视标设备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3.1.2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球镜范围：-29.00D ~ +26.75D 步长（0.25D/0.50D/1.00D/3.00D）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3.1.3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柱镜范围：0.00 ~ ±8.75D   步长（0.25D/1.00D)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3.1.4</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轴位：0~180°   步长（1°/5°/15°）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3.1.5</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瞳距范围：远用48~80mm，近用48~76mm，步长0.5/1.0mm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3.1.6</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旋转棱镜：0~20△     步长（0.1△/0.5△/1△/2△）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3.1.7</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杰克逊交叉柱镜：±0.25D，±0.5D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3.1.8</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双重交叉柱镜：±0.25D（分离棱镜）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视力表投影仪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3.2.1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操作模式：同时支持遥控器手动模式和平板控制模式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3.2.2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投射距离：2m-6m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3.2.3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视标放大倍率：30倍（5m距离）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3.2.4</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五分对数视力表，符合国家标准《标准对数视力表》GB11533-2011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3.2.5</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视标显示方法：五分记录法，兼容小数记录法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3.2.6</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E视标大小范围：3.8~5.3（0.06~2.0）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组合台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工作台面既可升降也可旋转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裂隙灯显微镜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w:t>
            </w:r>
          </w:p>
        </w:tc>
        <w:tc>
          <w:tcPr>
            <w:tcW w:w="4487"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60" w:after="60" w:line="460" w:lineRule="exact"/>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2"/>
                <w:sz w:val="22"/>
                <w:szCs w:val="22"/>
                <w:highlight w:val="none"/>
                <w:lang w:val="en-US" w:eastAsia="zh-CN" w:bidi="ar-SA"/>
              </w:rPr>
              <w:t>显微镜类型:伽利略平行夹角式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变倍方式:非连续5级转鼓变倍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放大倍率:6x、10x、 16x、 25x、 40x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4.4</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目镜倍率:12.5x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4.5</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裂隙宽度:0mm~ 14mm连续可调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4.6</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裂隙长度:0.2mm、1mm~ 14mm连续可调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4.7</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光源:LED持久稳定光源(亮度连续调节)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4.8</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裂隙角度:0° ~180°由垂直到水平方向连续调节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4.9</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裂隙倾斜:5°、10°、 15°、 20°四档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4.10</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滤色片:隔热、减光、无赤光、钴蓝光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光斑直径( mm):Ф14mm、Ф10mm、 Ф5mm、Ф3mm、Ф2mm、Ф1mm、Ф0.2mm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图像采集系统:数码单反相机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4.13</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图像分辨率:≥2400万像素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角膜曲率计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5.1</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bidi="ar-SA"/>
              </w:rPr>
              <w:t>曲率半径测量范围大易于对焦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5.2</w:t>
            </w:r>
          </w:p>
        </w:tc>
        <w:tc>
          <w:tcPr>
            <w:tcW w:w="4487" w:type="pct"/>
            <w:tcBorders>
              <w:tl2br w:val="nil"/>
              <w:tr2bl w:val="nil"/>
            </w:tcBorders>
            <w:noWrap w:val="0"/>
            <w:vAlign w:val="center"/>
          </w:tcPr>
          <w:p>
            <w:pPr>
              <w:pStyle w:val="344"/>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内部刻度读取系统，单手操作使测量结果更加精确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5.3</w:t>
            </w:r>
          </w:p>
        </w:tc>
        <w:tc>
          <w:tcPr>
            <w:tcW w:w="4487" w:type="pct"/>
            <w:tcBorders>
              <w:tl2br w:val="nil"/>
              <w:tr2bl w:val="nil"/>
            </w:tcBorders>
            <w:noWrap w:val="0"/>
            <w:vAlign w:val="center"/>
          </w:tcPr>
          <w:p>
            <w:pPr>
              <w:pStyle w:val="344"/>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角膜曲率半径：5.5~11mm，最小间隔读数0.02mm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5.4</w:t>
            </w:r>
          </w:p>
        </w:tc>
        <w:tc>
          <w:tcPr>
            <w:tcW w:w="4487" w:type="pct"/>
            <w:tcBorders>
              <w:tl2br w:val="nil"/>
              <w:tr2bl w:val="nil"/>
            </w:tcBorders>
            <w:noWrap w:val="0"/>
            <w:vAlign w:val="center"/>
          </w:tcPr>
          <w:p>
            <w:pPr>
              <w:pStyle w:val="344"/>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角膜屈光度：31.00~61.00D，最小间隔读数0.25D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5.5</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角膜散光轴：0~180°，最小读数1°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44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弱视斜视矫治系统（3D多媒体视觉健康训练系统</w:t>
            </w:r>
            <w:r>
              <w:rPr>
                <w:rFonts w:hint="eastAsia" w:ascii="新宋体" w:hAnsi="新宋体" w:eastAsia="新宋体" w:cs="新宋体"/>
                <w:color w:val="auto"/>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6.1</w:t>
            </w:r>
          </w:p>
        </w:tc>
        <w:tc>
          <w:tcPr>
            <w:tcW w:w="4487" w:type="pct"/>
            <w:tcBorders>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before="60" w:after="60" w:line="460" w:lineRule="exact"/>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bidi="ar-SA"/>
              </w:rPr>
              <w:t>立体视觉训练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6.1.1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专用立体视觉训练系统播放软件1套,三维视频短片</w:t>
            </w:r>
            <w:r>
              <w:rPr>
                <w:rFonts w:hint="eastAsia" w:ascii="新宋体" w:hAnsi="新宋体" w:eastAsia="新宋体" w:cs="新宋体"/>
                <w:color w:val="auto"/>
                <w:kern w:val="0"/>
                <w:sz w:val="22"/>
                <w:szCs w:val="22"/>
                <w:highlight w:val="none"/>
                <w:lang w:val="en-US" w:eastAsia="zh-CN"/>
              </w:rPr>
              <w:t>≥</w:t>
            </w:r>
            <w:r>
              <w:rPr>
                <w:rFonts w:hint="eastAsia" w:ascii="新宋体" w:hAnsi="新宋体" w:eastAsia="新宋体" w:cs="新宋体"/>
                <w:color w:val="auto"/>
                <w:sz w:val="22"/>
                <w:szCs w:val="22"/>
                <w:highlight w:val="none"/>
                <w:lang w:val="en-US" w:eastAsia="zh-CN"/>
              </w:rPr>
              <w:t>18部。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6.1.2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非交叉视差50000〞（秒角）；交叉视差50000〞（秒角）。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空间健眼训练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6.2.1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由微电脑控制器、发光循环系统、LED集成灯板及合金框架组成。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6.2.2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包含精细训练、刺激训练（多色光）、双眼协调训练、追随训练、眼肌锻炼。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6.2.3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远距离增视训练内容包含互动凝视、极限挑战、多人对战、超级挑战。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6.2.4</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精细训练包括：描图、找不同、找相同、穿针。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6.2.5</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刺激训练包括：三色光、CAM、空间频率（棋盘格）、红光。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6.2.6</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训练用配件包括雾视镜和无线手柄。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弱视刺激训练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6.3.1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刺激训练包括：后像、三色光、CAM、空间频率（棋盘格）、红光。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6.3.2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3种训练阶段：一阶、二阶、三阶。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6.3.3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3种训练级别：轻度、中度、重度。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6.4</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训练工具：偏光立体眼镜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spacing w:before="60" w:after="60"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1</w:t>
            </w:r>
          </w:p>
        </w:tc>
        <w:tc>
          <w:tcPr>
            <w:tcW w:w="4487" w:type="pct"/>
            <w:tcBorders>
              <w:tl2br w:val="nil"/>
              <w:tr2bl w:val="nil"/>
            </w:tcBorders>
            <w:noWrap w:val="0"/>
            <w:vAlign w:val="center"/>
          </w:tcPr>
          <w:p>
            <w:pPr>
              <w:pStyle w:val="344"/>
              <w:spacing w:line="460" w:lineRule="exact"/>
              <w:ind w:firstLine="0" w:firstLineChars="0"/>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图片顺时针或逆时针旋转，步进为1°（度）。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spacing w:before="60" w:after="60"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2</w:t>
            </w:r>
          </w:p>
        </w:tc>
        <w:tc>
          <w:tcPr>
            <w:tcW w:w="4487" w:type="pct"/>
            <w:tcBorders>
              <w:tl2br w:val="nil"/>
              <w:tr2bl w:val="nil"/>
            </w:tcBorders>
            <w:noWrap w:val="0"/>
            <w:vAlign w:val="center"/>
          </w:tcPr>
          <w:p>
            <w:pPr>
              <w:pStyle w:val="344"/>
              <w:spacing w:line="460" w:lineRule="exact"/>
              <w:ind w:firstLine="0" w:firstLineChars="0"/>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图片可以上下左右移动，步进是0.2△（棱镜度）。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spacing w:before="60" w:after="60"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3</w:t>
            </w:r>
          </w:p>
        </w:tc>
        <w:tc>
          <w:tcPr>
            <w:tcW w:w="4487" w:type="pct"/>
            <w:tcBorders>
              <w:tl2br w:val="nil"/>
              <w:tr2bl w:val="nil"/>
            </w:tcBorders>
            <w:noWrap w:val="0"/>
            <w:vAlign w:val="center"/>
          </w:tcPr>
          <w:p>
            <w:pPr>
              <w:pStyle w:val="344"/>
              <w:spacing w:line="460" w:lineRule="exact"/>
              <w:ind w:firstLine="0" w:firstLineChars="0"/>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图片可以放大缩小，步进是原图面积的5%。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视觉功能训练治疗软件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结构及组成：产品预装于计算机交付，主要由精细刺激训练、视觉技巧训练和双 眼视功能训练三个模块组成。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原理：弱视儿童通过三大模块训练，最终可以有效改善视神经对视觉形成的处理过程，提高眼球运动能力，纠正异常视网膜对应，恢复立体视，提高视力。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适用范围：适用于儿童轻、中度弱视及融合功能不足的治疗。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7.4</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产品特点：能够根据患者的视力和视功能状况，因人而异制定个性化的治疗方案，能让患者进行更有效的弱视康复训练、提高视觉功能。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7.5</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硬件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7.5.1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行走平台，规格：长2570mm,宽2500mm,高2520mm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7.5.2</w:t>
            </w:r>
          </w:p>
        </w:tc>
        <w:tc>
          <w:tcPr>
            <w:tcW w:w="4487" w:type="pct"/>
            <w:tcBorders>
              <w:tl2br w:val="nil"/>
              <w:tr2bl w:val="nil"/>
            </w:tcBorders>
            <w:noWrap w:val="0"/>
            <w:vAlign w:val="center"/>
          </w:tcPr>
          <w:p>
            <w:pPr>
              <w:pStyle w:val="18"/>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配件板块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7.5.2.1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系统：Windows系统10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7.5.2.2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显示屏幕</w:t>
            </w:r>
            <w:r>
              <w:rPr>
                <w:rFonts w:hint="eastAsia" w:ascii="新宋体" w:hAnsi="新宋体" w:eastAsia="新宋体" w:cs="新宋体"/>
                <w:color w:val="auto"/>
                <w:kern w:val="0"/>
                <w:sz w:val="22"/>
                <w:szCs w:val="22"/>
                <w:highlight w:val="none"/>
                <w:lang w:val="en-US" w:eastAsia="zh-CN"/>
              </w:rPr>
              <w:t>≥</w:t>
            </w:r>
            <w:r>
              <w:rPr>
                <w:rFonts w:hint="eastAsia" w:ascii="新宋体" w:hAnsi="新宋体" w:eastAsia="新宋体" w:cs="新宋体"/>
                <w:color w:val="auto"/>
                <w:kern w:val="0"/>
                <w:sz w:val="22"/>
                <w:szCs w:val="22"/>
                <w:highlight w:val="none"/>
              </w:rPr>
              <w:t>55寸高清屏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7.5.2.3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触控屏幕</w:t>
            </w:r>
            <w:r>
              <w:rPr>
                <w:rFonts w:hint="eastAsia" w:ascii="新宋体" w:hAnsi="新宋体" w:eastAsia="新宋体" w:cs="新宋体"/>
                <w:color w:val="auto"/>
                <w:kern w:val="0"/>
                <w:sz w:val="22"/>
                <w:szCs w:val="22"/>
                <w:highlight w:val="none"/>
                <w:lang w:val="en-US" w:eastAsia="zh-CN"/>
              </w:rPr>
              <w:t>≥19</w:t>
            </w:r>
            <w:r>
              <w:rPr>
                <w:rFonts w:hint="eastAsia" w:ascii="新宋体" w:hAnsi="新宋体" w:eastAsia="新宋体" w:cs="新宋体"/>
                <w:color w:val="auto"/>
                <w:kern w:val="0"/>
                <w:sz w:val="22"/>
                <w:szCs w:val="22"/>
                <w:highlight w:val="none"/>
              </w:rPr>
              <w:t>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7.5.3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VR头盔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7.5.3.1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VR头戴显示器（头盔，定位器，手柄）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7.5.3.2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光学设计：视场角</w:t>
            </w:r>
            <w:r>
              <w:rPr>
                <w:rFonts w:hint="eastAsia" w:ascii="新宋体" w:hAnsi="新宋体" w:eastAsia="新宋体" w:cs="新宋体"/>
                <w:color w:val="auto"/>
                <w:kern w:val="0"/>
                <w:sz w:val="22"/>
                <w:szCs w:val="22"/>
                <w:highlight w:val="none"/>
                <w:lang w:val="en-US" w:eastAsia="zh-CN"/>
              </w:rPr>
              <w:t>≥</w:t>
            </w:r>
            <w:r>
              <w:rPr>
                <w:rFonts w:hint="eastAsia" w:ascii="新宋体" w:hAnsi="新宋体" w:eastAsia="新宋体" w:cs="新宋体"/>
                <w:color w:val="auto"/>
                <w:sz w:val="22"/>
                <w:szCs w:val="22"/>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7.5.3.3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屏幕：低眩晕度AMOLED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7.5.3.4</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接口：支持USB接口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7.6</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设备功能：在符合硬件配置和系统配置要求的虚拟现实头戴显示器（VR）上使用，利用VR技术优势，在充满沉浸的虚拟世界中以游戏的方式进行训练治疗。VR视觉训练以VR设备为载体，将枯燥的传统视觉训练转变为沉浸式的VR游戏，训练效果远优于传统训练方式，突破性的解决了受训者依从性差、训练时间久等弊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7.7</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训练项目：软件游戏训练项目</w:t>
            </w:r>
            <w:r>
              <w:rPr>
                <w:rFonts w:hint="eastAsia" w:ascii="新宋体" w:hAnsi="新宋体" w:eastAsia="新宋体" w:cs="新宋体"/>
                <w:color w:val="auto"/>
                <w:kern w:val="0"/>
                <w:sz w:val="22"/>
                <w:szCs w:val="22"/>
                <w:highlight w:val="none"/>
                <w:lang w:val="en-US" w:eastAsia="zh-CN"/>
              </w:rPr>
              <w:t>大于</w:t>
            </w: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7.8</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产品训练特点：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7.8.1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可通过VR设备的双眼分视让每只眼看到各自的图像，帮助患者建立、恢复同时视、融合视、立体视功能。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7.8.2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可对于弱视患者，VR视觉训练实现双眼显示信息，对比度不同，营造更理想的双眼分视训练环境，让双眼感知达到平衡，快速建立双眼视功能。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7.8.3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沉浸式互动体验∶游戏化互动激发训练者的兴趣，提高训练者依从性，提升训练效果。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7.8.4</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可视化训练过程训练陪同者和医生（训练者家长）可通过屏幕看到整个训练的过程，了解训练进展。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7.8.5</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训练效果与趣味性的巧妙平衡游戏化互动，有效加强弱视患者手、眼、脑和眼球运动的配合能力，提高弱视儿童的视觉动用能力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7.9</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训练刺激模式：双眼分视刺激模式、刺激模式A、刺激模式B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7.10</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训练项目：软件游戏训练项目18个。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弱视斜视矫治系统（4D数字化斜弱视视功能矫治系统)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7.1</w:t>
            </w:r>
          </w:p>
        </w:tc>
        <w:tc>
          <w:tcPr>
            <w:tcW w:w="4487" w:type="pct"/>
            <w:tcBorders>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before="60" w:after="60" w:line="460" w:lineRule="exact"/>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bidi="ar-SA"/>
              </w:rPr>
              <w:t>测试系统：8组尺寸的视标，级别分别为0.1、 0.12、 0.15、0.2、0.25、0.3、0.4、0.5。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一级二维精细视力训练（刺激）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8.2.1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精细训练包括：打泡泡、描图、找不同、找相同、穿针、敲鼓。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8.2.2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刺激训练包括：三色光、CAM、空间频率（棋盘格）、后像、红光。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二级融合知觉视力训练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8.3.1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包括同时视训练画片40组、周边融合训练画片50组、中心融合训练画片55组、立体图片训练画片40组、随机点立体训练画片5组。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8.3.2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图片顺时针或逆时针旋转，步进为1°（度）。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8.3.3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图片可以上下左右移动，步进是0.2△（棱镜度）。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8.3.4</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图片可以放大缩小，步进是原图面积的5%。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8.3.5</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同时视训练：400*400像素点、800*800像素点。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8.3.6</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周边融合训练：400*400像素点、800*600像素点。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8.3.7</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中心融合训练：400*400像素点。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8.3.8</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立体图片训练：800*800像素点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8.3.9</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随机点立体训练：400*400像素点。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8.4</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三维立体空间视力训练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8.4.1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三维视频短片12部，时间4-8分钟。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8.4.2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非交叉视差50000〞（秒角）；交叉视差50000〞（秒角）。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8.5</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管理系统：设置医生端账号，对弱视斜视矫治系统的患者信息进行记录、保存、读取、设置及修改等功能。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8.6</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针对弱视斜视矫治系统的患者进行立体视锐度的检测</w:t>
            </w:r>
          </w:p>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检查由7个等级画片组成，分别为：</w:t>
            </w:r>
          </w:p>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立体盲筛查画片： 1组</w:t>
            </w:r>
          </w:p>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800秒画片： 10组</w:t>
            </w:r>
          </w:p>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400秒画片： 10组</w:t>
            </w:r>
          </w:p>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200秒画片： 10组</w:t>
            </w:r>
          </w:p>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100秒画片： 10组</w:t>
            </w:r>
          </w:p>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60秒画片：10组</w:t>
            </w:r>
          </w:p>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40秒画片：10组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8.7</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配套要求和训练工具：工作台、显示屏、训练座椅、分时立体眼镜、立体发射器。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眼控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9.1</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bidi="ar-SA"/>
              </w:rPr>
              <w:t>识别检测用户的注视和固定，提供及时的生物反馈；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9.2</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bidi="ar-SA"/>
              </w:rPr>
              <w:t>训练参数可按患者情况调整，来增加或降低训练难度；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9.3</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bidi="ar-SA"/>
              </w:rPr>
              <w:t>可在玩游戏中提高固定、扫视和追随的准确性和控制；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9.4</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bidi="ar-SA"/>
              </w:rPr>
              <w:t>眼控每项游戏训练都可以在双眼或单眼；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9.5</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bidi="ar-SA"/>
              </w:rPr>
              <w:t>互动式设计，实时接收治疗反馈，使治疗更有效果；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60" w:after="60"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9.6</w:t>
            </w:r>
          </w:p>
        </w:tc>
        <w:tc>
          <w:tcPr>
            <w:tcW w:w="4487" w:type="pct"/>
            <w:tcBorders>
              <w:tl2br w:val="nil"/>
              <w:tr2bl w:val="nil"/>
            </w:tcBorders>
            <w:noWrap w:val="0"/>
            <w:vAlign w:val="center"/>
          </w:tcPr>
          <w:p>
            <w:pPr>
              <w:pStyle w:val="344"/>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bidi="ar-SA"/>
              </w:rPr>
              <w:t>操作简便，可适用于任何诊室的视觉训练；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spacing w:before="60" w:after="60"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rPr>
              <w:t>9.7</w:t>
            </w:r>
          </w:p>
        </w:tc>
        <w:tc>
          <w:tcPr>
            <w:tcW w:w="4487" w:type="pct"/>
            <w:tcBorders>
              <w:tl2br w:val="nil"/>
              <w:tr2bl w:val="nil"/>
            </w:tcBorders>
            <w:noWrap w:val="0"/>
            <w:vAlign w:val="center"/>
          </w:tcPr>
          <w:p>
            <w:pPr>
              <w:pStyle w:val="344"/>
              <w:spacing w:line="460" w:lineRule="exact"/>
              <w:ind w:firstLine="0" w:firstLineChars="0"/>
              <w:rPr>
                <w:rFonts w:hint="eastAsia" w:ascii="新宋体" w:hAnsi="新宋体" w:eastAsia="新宋体" w:cs="新宋体"/>
                <w:color w:val="auto"/>
                <w:kern w:val="2"/>
                <w:sz w:val="22"/>
                <w:szCs w:val="22"/>
                <w:highlight w:val="none"/>
                <w:lang w:val="en-US" w:eastAsia="zh-CN" w:bidi="ar-SA"/>
              </w:rPr>
            </w:pPr>
            <w:r>
              <w:rPr>
                <w:rFonts w:hint="default" w:ascii="新宋体" w:hAnsi="新宋体" w:eastAsia="新宋体" w:cs="新宋体"/>
                <w:color w:val="auto"/>
                <w:kern w:val="2"/>
                <w:sz w:val="22"/>
                <w:szCs w:val="22"/>
                <w:highlight w:val="none"/>
                <w:lang w:val="en-US" w:eastAsia="zh-CN"/>
              </w:rPr>
              <w:t>工作距离</w:t>
            </w:r>
            <w:r>
              <w:rPr>
                <w:rFonts w:hint="eastAsia" w:ascii="新宋体" w:hAnsi="新宋体" w:eastAsia="新宋体" w:cs="新宋体"/>
                <w:color w:val="auto"/>
                <w:kern w:val="2"/>
                <w:sz w:val="22"/>
                <w:szCs w:val="22"/>
                <w:highlight w:val="none"/>
                <w:lang w:val="en-US" w:eastAsia="zh-CN"/>
              </w:rPr>
              <w:t>：</w:t>
            </w:r>
            <w:r>
              <w:rPr>
                <w:rFonts w:hint="default" w:ascii="新宋体" w:hAnsi="新宋体" w:eastAsia="新宋体" w:cs="新宋体"/>
                <w:color w:val="auto"/>
                <w:kern w:val="2"/>
                <w:sz w:val="22"/>
                <w:szCs w:val="22"/>
                <w:highlight w:val="none"/>
                <w:lang w:val="en-US" w:eastAsia="zh-CN"/>
              </w:rPr>
              <w:t>45-95厘米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2" w:type="pct"/>
            <w:tcBorders>
              <w:tl2br w:val="nil"/>
              <w:tr2bl w:val="nil"/>
            </w:tcBorders>
            <w:noWrap w:val="0"/>
            <w:vAlign w:val="center"/>
          </w:tcPr>
          <w:p>
            <w:pPr>
              <w:spacing w:before="60" w:after="60"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rPr>
              <w:t>9.8</w:t>
            </w:r>
          </w:p>
        </w:tc>
        <w:tc>
          <w:tcPr>
            <w:tcW w:w="4487" w:type="pct"/>
            <w:tcBorders>
              <w:tl2br w:val="nil"/>
              <w:tr2bl w:val="nil"/>
            </w:tcBorders>
            <w:noWrap w:val="0"/>
            <w:vAlign w:val="center"/>
          </w:tcPr>
          <w:p>
            <w:pPr>
              <w:pStyle w:val="344"/>
              <w:spacing w:line="460" w:lineRule="exact"/>
              <w:ind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rPr>
              <w:t>支持的屏幕尺寸区域</w:t>
            </w:r>
            <w:r>
              <w:rPr>
                <w:rFonts w:hint="eastAsia" w:ascii="新宋体" w:hAnsi="新宋体" w:eastAsia="新宋体" w:cs="新宋体"/>
                <w:color w:val="auto"/>
                <w:kern w:val="2"/>
                <w:sz w:val="22"/>
                <w:szCs w:val="22"/>
                <w:highlight w:val="none"/>
                <w:lang w:eastAsia="zh-CN"/>
              </w:rPr>
              <w:t>：</w:t>
            </w:r>
            <w:r>
              <w:rPr>
                <w:rFonts w:hint="eastAsia" w:ascii="新宋体" w:hAnsi="新宋体" w:eastAsia="新宋体" w:cs="新宋体"/>
                <w:color w:val="auto"/>
                <w:kern w:val="2"/>
                <w:sz w:val="22"/>
                <w:szCs w:val="22"/>
                <w:highlight w:val="none"/>
              </w:rPr>
              <w:t>[16: 9]或[21: 9]</w:t>
            </w:r>
            <w:r>
              <w:rPr>
                <w:rFonts w:hint="eastAsia" w:ascii="新宋体" w:hAnsi="新宋体" w:eastAsia="新宋体" w:cs="新宋体"/>
                <w:color w:val="auto"/>
                <w:kern w:val="2"/>
                <w:sz w:val="22"/>
                <w:szCs w:val="22"/>
                <w:highlight w:val="none"/>
                <w:lang w:eastAsia="zh-CN"/>
              </w:rPr>
              <w:t>；</w:t>
            </w:r>
          </w:p>
        </w:tc>
      </w:tr>
    </w:tbl>
    <w:p>
      <w:pPr>
        <w:keepNext w:val="0"/>
        <w:keepLines w:val="0"/>
        <w:pageBreakBefore w:val="0"/>
        <w:kinsoku/>
        <w:wordWrap/>
        <w:overflowPunct/>
        <w:topLinePunct w:val="0"/>
        <w:bidi w:val="0"/>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bCs/>
          <w:color w:val="auto"/>
          <w:sz w:val="22"/>
          <w:szCs w:val="22"/>
          <w:highlight w:val="none"/>
        </w:rPr>
        <w:t>注：</w:t>
      </w:r>
      <w:r>
        <w:rPr>
          <w:rFonts w:hint="eastAsia" w:ascii="新宋体" w:hAnsi="新宋体" w:eastAsia="新宋体" w:cs="新宋体"/>
          <w:color w:val="auto"/>
          <w:sz w:val="22"/>
          <w:szCs w:val="22"/>
          <w:highlight w:val="none"/>
        </w:rPr>
        <w:t>有设备如无特别注明的均为制造厂出厂的标准配置。</w:t>
      </w:r>
      <w:r>
        <w:rPr>
          <w:rFonts w:hint="eastAsia" w:ascii="新宋体" w:hAnsi="新宋体" w:eastAsia="新宋体" w:cs="新宋体"/>
          <w:b/>
          <w:color w:val="auto"/>
          <w:sz w:val="22"/>
          <w:szCs w:val="22"/>
          <w:highlight w:val="none"/>
          <w:lang w:val="zh-CN"/>
        </w:rPr>
        <w:t>投标供应商可根据以上所列设备的技术配置及技术性能要求</w:t>
      </w:r>
      <w:r>
        <w:rPr>
          <w:rFonts w:hint="eastAsia" w:ascii="新宋体" w:hAnsi="新宋体" w:eastAsia="新宋体" w:cs="新宋体"/>
          <w:b/>
          <w:color w:val="auto"/>
          <w:sz w:val="22"/>
          <w:szCs w:val="22"/>
          <w:highlight w:val="none"/>
        </w:rPr>
        <w:t>作为</w:t>
      </w:r>
      <w:r>
        <w:rPr>
          <w:rFonts w:hint="eastAsia" w:ascii="新宋体" w:hAnsi="新宋体" w:eastAsia="新宋体" w:cs="新宋体"/>
          <w:b/>
          <w:color w:val="auto"/>
          <w:sz w:val="22"/>
          <w:szCs w:val="22"/>
          <w:highlight w:val="none"/>
          <w:lang w:val="zh-CN"/>
        </w:rPr>
        <w:t>参考选用产品，但所选产品的技术配置及技术性能应相当于或高于</w:t>
      </w:r>
      <w:r>
        <w:rPr>
          <w:rFonts w:hint="eastAsia" w:ascii="新宋体" w:hAnsi="新宋体" w:eastAsia="新宋体" w:cs="新宋体"/>
          <w:b/>
          <w:color w:val="auto"/>
          <w:sz w:val="22"/>
          <w:szCs w:val="22"/>
          <w:highlight w:val="none"/>
          <w:lang w:val="en-US" w:eastAsia="zh-CN"/>
        </w:rPr>
        <w:t>招标</w:t>
      </w:r>
      <w:r>
        <w:rPr>
          <w:rFonts w:hint="eastAsia" w:ascii="新宋体" w:hAnsi="新宋体" w:eastAsia="新宋体" w:cs="新宋体"/>
          <w:b/>
          <w:color w:val="auto"/>
          <w:sz w:val="22"/>
          <w:szCs w:val="22"/>
          <w:highlight w:val="none"/>
          <w:lang w:val="zh-CN"/>
        </w:rPr>
        <w:t>文件要求，并满足采购需求，否则将可能作出对投标供应商不利的评定。</w:t>
      </w:r>
    </w:p>
    <w:p>
      <w:pPr>
        <w:keepNext w:val="0"/>
        <w:keepLines w:val="0"/>
        <w:pageBreakBefore w:val="0"/>
        <w:kinsoku/>
        <w:wordWrap/>
        <w:overflowPunct/>
        <w:topLinePunct w:val="0"/>
        <w:bidi w:val="0"/>
        <w:spacing w:line="460" w:lineRule="exact"/>
        <w:ind w:firstLine="442" w:firstLineChars="200"/>
        <w:outlineLvl w:val="1"/>
        <w:rPr>
          <w:rFonts w:hint="eastAsia" w:ascii="新宋体" w:hAnsi="新宋体" w:eastAsia="新宋体" w:cs="新宋体"/>
          <w:b/>
          <w:bCs/>
          <w:color w:val="auto"/>
          <w:sz w:val="22"/>
          <w:szCs w:val="22"/>
          <w:highlight w:val="none"/>
        </w:rPr>
      </w:pPr>
      <w:bookmarkStart w:id="251" w:name="_Toc10170"/>
      <w:bookmarkStart w:id="252" w:name="_Toc14887"/>
      <w:bookmarkStart w:id="253" w:name="_Toc13870"/>
      <w:bookmarkStart w:id="254" w:name="_Toc22043"/>
      <w:bookmarkStart w:id="255" w:name="_Toc21708"/>
      <w:r>
        <w:rPr>
          <w:rFonts w:hint="eastAsia" w:ascii="新宋体" w:hAnsi="新宋体" w:eastAsia="新宋体" w:cs="新宋体"/>
          <w:b/>
          <w:bCs/>
          <w:color w:val="auto"/>
          <w:sz w:val="22"/>
          <w:szCs w:val="22"/>
          <w:highlight w:val="none"/>
        </w:rPr>
        <w:t>四、商务要求（技术参数里另有注明的以技术参数为准）</w:t>
      </w:r>
      <w:bookmarkEnd w:id="251"/>
      <w:bookmarkEnd w:id="252"/>
      <w:bookmarkEnd w:id="253"/>
      <w:bookmarkEnd w:id="254"/>
      <w:bookmarkEnd w:id="255"/>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1、设备交货时间地点</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1.1设备交货地点：采购人指定地点</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1.2设备交货时间：合同签订后</w:t>
      </w:r>
      <w:r>
        <w:rPr>
          <w:rFonts w:hint="eastAsia" w:ascii="新宋体" w:hAnsi="新宋体" w:eastAsia="新宋体" w:cs="新宋体"/>
          <w:color w:val="auto"/>
          <w:sz w:val="22"/>
          <w:szCs w:val="22"/>
          <w:highlight w:val="none"/>
          <w:lang w:val="en-US" w:eastAsia="zh-CN"/>
        </w:rPr>
        <w:t xml:space="preserve"> 8个月</w:t>
      </w:r>
      <w:r>
        <w:rPr>
          <w:rFonts w:hint="eastAsia" w:ascii="新宋体" w:hAnsi="新宋体" w:eastAsia="新宋体" w:cs="新宋体"/>
          <w:color w:val="auto"/>
          <w:sz w:val="22"/>
          <w:szCs w:val="22"/>
          <w:highlight w:val="none"/>
        </w:rPr>
        <w:t>内完成所有货物的运输、安装、调试</w:t>
      </w:r>
      <w:r>
        <w:rPr>
          <w:rFonts w:hint="eastAsia" w:ascii="新宋体" w:hAnsi="新宋体" w:eastAsia="新宋体" w:cs="新宋体"/>
          <w:color w:val="auto"/>
          <w:sz w:val="22"/>
          <w:szCs w:val="22"/>
          <w:highlight w:val="none"/>
          <w:lang w:eastAsia="zh-CN"/>
        </w:rPr>
        <w:t>；试用</w:t>
      </w:r>
      <w:r>
        <w:rPr>
          <w:rFonts w:hint="eastAsia" w:ascii="新宋体" w:hAnsi="新宋体" w:eastAsia="新宋体" w:cs="新宋体"/>
          <w:color w:val="auto"/>
          <w:sz w:val="22"/>
          <w:szCs w:val="22"/>
          <w:highlight w:val="none"/>
          <w:lang w:val="en-US" w:eastAsia="zh-CN"/>
        </w:rPr>
        <w:t>12个月后</w:t>
      </w:r>
      <w:r>
        <w:rPr>
          <w:rFonts w:hint="eastAsia" w:ascii="新宋体" w:hAnsi="新宋体" w:eastAsia="新宋体" w:cs="新宋体"/>
          <w:color w:val="auto"/>
          <w:sz w:val="22"/>
          <w:szCs w:val="22"/>
          <w:highlight w:val="none"/>
        </w:rPr>
        <w:t>由</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进行验收。</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1.3实验装置若有易耗品，请在</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响应文件中指明，另要求成交厂商供货时配备齐全，采购人第一次使用时无需另配易耗品即可使用。</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2、技术文件</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设备交货同时提供下列技术资料：</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2.1随机的易损件、备品备件及特殊专用工具及清单。（如有）</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2.2设备生产厂家的产品检测证书、出厂检验报告、合格证书、产品说明书、相关图纸。</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2.3设备随机提供的装箱清单（每箱一单）。</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3、设备安装、调试和验收</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3.1为确保安装调试工作安全有序的进行，要求</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在货物运抵安装现场前</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天内，向采购人提供一份详细的安装、调试验收计划和所采用的标准及方法，现场负责人、工程师和参与安装人员的名单，此计划和采用的标准一旦被采购人确认就不得随意更改，否则</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应承担相应责任。</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应承担设备安装所需电气材料等，安装必须符合有关标准和规范。安装过程中采购人将对设备的安装质量进行监督。</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3.3设备安装就位、校准后，</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应按事先被采购人认可的调试验收计划对设备进行调试，并对设备所标注的各项技术指标进行测试，测试报告将在设备验收完毕后提交给采购人，但</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应对测试的各种数据的真实性负责。采购人可指定第三方法定检定机构，对仪器进行检定，由此产生的费用由</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支付。</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3.4设备经过试运行考核无故障（或存在的故障和隐患均已全部排除或解决），并经有关部门检验合格，所有的技术资料和图纸已向采购人移交并被接受，验收视为合格，双方签署验收合格证书。 若因</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产品质量或安装技术问题导致验收不合格，</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应及时予以解决，直至验收合格，期间发生的一切费用由</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承担，同时采购人保留向</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索赔的权利。</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3.5 </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在设备到货、安装、调试和验收期间应接受采购人的协调和管理，</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应采取严格的安全措施，承担由于自身原因所造成的事故责任及其发生的一切费用。</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3.6验收标准：</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（1）验收应在采购人和</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双方共同参加下进行。</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（2）验收按国家有关的规定、规范进行。验收时如发现所交付的货物有短缺、次品、损坏等情形者，采购人应做出详尽的现场记录，或由采购人和</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双方签署备忘录。此现场记录或备忘录可用作补充、缺失和更换损坏部件的有效证据。由此产生的有关费用由</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承担。</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（3）如果合同货物运输过程中因事故造成货物短缺、损坏，</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应及时安排换货，以保证合同货物成功完整交付。换货的相关费用由</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承担。</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4、人员培训</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设备安装、调试结束后，</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应立即派有经验的工程师到现场对采购人人员进行操作和日常管理与维护的培训（</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承担），并确保采购人参与培训的人员能独立、熟练地进行操作和进行日常维护保养。</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在</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响应文件中应提出具体的培训计划（如：培训师资、教材、课程、人数、地点、日程等）。</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不得以任何理由追加培训费用及降低培训质量。</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5、质量保证和售后服务</w:t>
      </w:r>
    </w:p>
    <w:p>
      <w:pPr>
        <w:keepNext w:val="0"/>
        <w:keepLines w:val="0"/>
        <w:pageBreakBefore w:val="0"/>
        <w:kinsoku/>
        <w:wordWrap/>
        <w:overflowPunct/>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5.1本项目所有货物免费质量保证期为原厂质保</w:t>
      </w:r>
      <w:r>
        <w:rPr>
          <w:rFonts w:hint="eastAsia" w:ascii="新宋体" w:hAnsi="新宋体" w:eastAsia="新宋体" w:cs="新宋体"/>
          <w:b/>
          <w:bCs/>
          <w:color w:val="auto"/>
          <w:sz w:val="22"/>
          <w:szCs w:val="22"/>
          <w:highlight w:val="none"/>
          <w:u w:val="single"/>
          <w:lang w:val="en-US" w:eastAsia="zh-CN"/>
        </w:rPr>
        <w:t xml:space="preserve"> 三 </w:t>
      </w:r>
      <w:r>
        <w:rPr>
          <w:rFonts w:hint="eastAsia" w:ascii="新宋体" w:hAnsi="新宋体" w:eastAsia="新宋体" w:cs="新宋体"/>
          <w:b/>
          <w:bCs/>
          <w:color w:val="auto"/>
          <w:sz w:val="22"/>
          <w:szCs w:val="22"/>
          <w:highlight w:val="none"/>
        </w:rPr>
        <w:t>年，自验收合格之日起算。货物另有超过质保期规定或</w:t>
      </w:r>
      <w:r>
        <w:rPr>
          <w:rFonts w:hint="eastAsia" w:ascii="新宋体" w:hAnsi="新宋体" w:eastAsia="新宋体" w:cs="新宋体"/>
          <w:b/>
          <w:bCs/>
          <w:color w:val="auto"/>
          <w:sz w:val="22"/>
          <w:szCs w:val="22"/>
          <w:highlight w:val="none"/>
          <w:lang w:val="en-US" w:eastAsia="zh-CN"/>
        </w:rPr>
        <w:t>招标</w:t>
      </w:r>
      <w:r>
        <w:rPr>
          <w:rFonts w:hint="eastAsia" w:ascii="新宋体" w:hAnsi="新宋体" w:eastAsia="新宋体" w:cs="新宋体"/>
          <w:b/>
          <w:bCs/>
          <w:color w:val="auto"/>
          <w:sz w:val="22"/>
          <w:szCs w:val="22"/>
          <w:highlight w:val="none"/>
        </w:rPr>
        <w:t>文件另有规定的按就高原则执行。</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所提供的货物应保证是企业原厂生产的产品而不是其他地方生产的、全新的、未使用过的，是原包装未拆封的，是用一流的工艺和最佳材料制造而成的，并完全符合合同规定的质量、规格和性能要求。</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应保证所提供的货物经正确安装、正常运转和保养，在其使用寿命期内应具有使采购人满意的性能，并且确保一次性通过各项检验和测试。在货物质量保证期内，</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应对由于设计、工艺、材料和配套件的缺陷所产生的任何不足或故障负责。</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5.3售后服务标准要求</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保证本合同中所供应的商品是最新生产的符合国家技术规格和质量标准的出厂原装合格产品。如发生所供商品与合同不符，采购人有权拒收或退货，由此产生的一切责任和后果由</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承担。</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提供的货物在质保期内因货物本身的质量问题发生故障，</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应负责及时免费更换，对于因此故障或因未能及时更换而产生的损失，均由</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负责并赔偿。对达不到技术要求者，根据实际情况，采购人可选择以下方式处理：</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①更换：由</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承担所发生的全部费用。</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②贬值处理：由双方合议定价。</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③退货处理：</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应退还采购人支付的合同款，同时应承担处理该货物的全部费用（运输、保险、检验、货款利息及银行手续费等）。</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（3）在质保期内，</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应对货物出现的质量及安全问题负责处理解决并承担一切费用。</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5.4 售后服务效率要求</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在设备质量保证期内，凡设备在开箱检验、安装调试、设备试运行过程中发现的设备质量问题，由乙方负责处理，实行包修、包换、包退、直至产品符合质量要求。乙方承担修理、调换、退货发生的一切费用和甲方的直接经济损失。</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接到甲方通知后，乙方提供24小时售后服务，合同出现故障后，乙方接到甲方通知应在不超过2小时内做出响应，若电话无法解决的，于48小时内到达现场实施维修，提供不间断的服务直到修复为止。</w:t>
      </w:r>
    </w:p>
    <w:p>
      <w:pPr>
        <w:keepNext w:val="0"/>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由于甲方保管不善或使用不当造成设备短缺、故障或损坏，由甲方负责。但乙方保证及时给予补齐和修复。</w:t>
      </w:r>
    </w:p>
    <w:p>
      <w:pPr>
        <w:keepNext w:val="0"/>
        <w:keepLines w:val="0"/>
        <w:pageBreakBefore w:val="0"/>
        <w:kinsoku/>
        <w:wordWrap/>
        <w:overflowPunct/>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6</w:t>
      </w:r>
      <w:r>
        <w:rPr>
          <w:rFonts w:hint="eastAsia" w:ascii="新宋体" w:hAnsi="新宋体" w:eastAsia="新宋体" w:cs="新宋体"/>
          <w:b/>
          <w:color w:val="auto"/>
          <w:sz w:val="22"/>
          <w:szCs w:val="22"/>
          <w:highlight w:val="none"/>
        </w:rPr>
        <w:t>、付款方式：</w:t>
      </w:r>
    </w:p>
    <w:p>
      <w:pPr>
        <w:pStyle w:val="24"/>
        <w:keepNext w:val="0"/>
        <w:keepLines w:val="0"/>
        <w:pageBreakBefore w:val="0"/>
        <w:kinsoku/>
        <w:wordWrap/>
        <w:overflowPunct/>
        <w:topLinePunct w:val="0"/>
        <w:bidi w:val="0"/>
        <w:spacing w:line="460" w:lineRule="exact"/>
        <w:ind w:left="0" w:leftChars="0"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合同签订生效以及具备实施条件后7个工作日内，甲方向乙方支付合同总额40%的预付款，乙方完成全部供货、安装、调试等工作后支付合同总额10%的货款，甲方试运行12个月后，经验收合格入库并收到乙方出具全额增值税发票后7个工作日内，甲方支付剩余的合同款。在合同签订时，乙方明确表示无需预付款，乙方完成全部供货、安装、调试等工作，甲方验收合格入库并收到乙方出具全额增值税发票后7个工作日内，甲方支付合同余款。</w:t>
      </w:r>
    </w:p>
    <w:p>
      <w:pPr>
        <w:pStyle w:val="23"/>
        <w:rPr>
          <w:rFonts w:ascii="宋体" w:hAnsi="宋体" w:cs="宋体"/>
          <w:b/>
          <w:bCs/>
          <w:color w:val="auto"/>
          <w:sz w:val="22"/>
          <w:szCs w:val="22"/>
          <w:highlight w:val="none"/>
        </w:rPr>
      </w:pPr>
    </w:p>
    <w:p>
      <w:pPr>
        <w:rPr>
          <w:color w:val="auto"/>
          <w:highlight w:val="none"/>
        </w:rPr>
      </w:pPr>
    </w:p>
    <w:p>
      <w:pPr>
        <w:spacing w:line="500" w:lineRule="exact"/>
        <w:ind w:firstLine="562" w:firstLineChars="200"/>
        <w:rPr>
          <w:rFonts w:ascii="宋体" w:hAnsi="宋体"/>
          <w:b/>
          <w:color w:val="auto"/>
          <w:sz w:val="28"/>
          <w:szCs w:val="28"/>
          <w:highlight w:val="none"/>
        </w:rPr>
      </w:pPr>
    </w:p>
    <w:p>
      <w:pPr>
        <w:jc w:val="center"/>
        <w:outlineLvl w:val="0"/>
        <w:rPr>
          <w:rStyle w:val="65"/>
          <w:rFonts w:ascii="宋体" w:hAnsi="宋体" w:eastAsia="宋体" w:cs="宋体"/>
          <w:color w:val="auto"/>
          <w:highlight w:val="none"/>
        </w:rPr>
      </w:pPr>
      <w:r>
        <w:rPr>
          <w:rStyle w:val="65"/>
          <w:rFonts w:hint="eastAsia" w:ascii="宋体" w:hAnsi="宋体" w:eastAsia="宋体" w:cs="宋体"/>
          <w:color w:val="auto"/>
          <w:highlight w:val="none"/>
        </w:rPr>
        <w:br w:type="page"/>
      </w:r>
      <w:bookmarkStart w:id="256" w:name="_Toc24038"/>
      <w:bookmarkStart w:id="257" w:name="_Toc29364"/>
      <w:bookmarkStart w:id="258" w:name="_Toc11011"/>
      <w:bookmarkStart w:id="259" w:name="_Toc14033"/>
      <w:bookmarkStart w:id="260" w:name="_Toc3823"/>
      <w:r>
        <w:rPr>
          <w:rStyle w:val="65"/>
          <w:rFonts w:hint="eastAsia" w:ascii="宋体" w:hAnsi="宋体" w:eastAsia="宋体" w:cs="宋体"/>
          <w:color w:val="auto"/>
          <w:highlight w:val="none"/>
        </w:rPr>
        <w:t>第五部分</w:t>
      </w:r>
      <w:bookmarkEnd w:id="200"/>
      <w:bookmarkEnd w:id="201"/>
      <w:r>
        <w:rPr>
          <w:rStyle w:val="65"/>
          <w:rFonts w:hint="eastAsia" w:ascii="宋体" w:hAnsi="宋体" w:cs="宋体"/>
          <w:color w:val="auto"/>
          <w:highlight w:val="none"/>
          <w:lang w:val="en-US"/>
        </w:rPr>
        <w:t xml:space="preserve">   </w:t>
      </w:r>
      <w:r>
        <w:rPr>
          <w:rStyle w:val="65"/>
          <w:rFonts w:hint="eastAsia" w:ascii="宋体" w:hAnsi="宋体" w:eastAsia="宋体" w:cs="宋体"/>
          <w:color w:val="auto"/>
          <w:highlight w:val="none"/>
        </w:rPr>
        <w:t>评标原则及方法</w:t>
      </w:r>
      <w:bookmarkEnd w:id="202"/>
      <w:bookmarkEnd w:id="203"/>
      <w:bookmarkEnd w:id="256"/>
      <w:bookmarkEnd w:id="257"/>
      <w:bookmarkEnd w:id="258"/>
      <w:bookmarkEnd w:id="259"/>
      <w:bookmarkEnd w:id="260"/>
    </w:p>
    <w:bookmarkEnd w:id="204"/>
    <w:p>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spacing w:line="460" w:lineRule="exact"/>
        <w:ind w:firstLine="442" w:firstLineChars="200"/>
        <w:outlineLvl w:val="1"/>
        <w:rPr>
          <w:rFonts w:ascii="宋体" w:hAnsi="宋体" w:cs="宋体"/>
          <w:b/>
          <w:color w:val="auto"/>
          <w:sz w:val="22"/>
          <w:szCs w:val="22"/>
          <w:highlight w:val="none"/>
        </w:rPr>
      </w:pPr>
      <w:bookmarkStart w:id="261" w:name="_Toc15713"/>
      <w:bookmarkStart w:id="262" w:name="_Toc27474"/>
      <w:bookmarkStart w:id="263" w:name="_Toc10273"/>
      <w:bookmarkStart w:id="264" w:name="_Toc32700"/>
      <w:bookmarkStart w:id="265" w:name="_Toc4407"/>
      <w:bookmarkStart w:id="266" w:name="_Toc17088"/>
      <w:bookmarkStart w:id="267" w:name="_Toc4816"/>
      <w:bookmarkStart w:id="268" w:name="_Toc9287"/>
      <w:bookmarkStart w:id="269" w:name="_Toc26166"/>
      <w:r>
        <w:rPr>
          <w:rFonts w:hint="eastAsia" w:ascii="宋体" w:hAnsi="宋体" w:cs="宋体"/>
          <w:b/>
          <w:color w:val="auto"/>
          <w:sz w:val="22"/>
          <w:szCs w:val="22"/>
          <w:highlight w:val="none"/>
        </w:rPr>
        <w:t>一、总 则</w:t>
      </w:r>
      <w:bookmarkEnd w:id="261"/>
      <w:bookmarkEnd w:id="262"/>
      <w:bookmarkEnd w:id="263"/>
      <w:bookmarkEnd w:id="264"/>
      <w:bookmarkEnd w:id="265"/>
      <w:bookmarkEnd w:id="266"/>
      <w:bookmarkEnd w:id="267"/>
      <w:bookmarkEnd w:id="268"/>
      <w:bookmarkEnd w:id="269"/>
    </w:p>
    <w:p>
      <w:pPr>
        <w:spacing w:line="460" w:lineRule="exact"/>
        <w:ind w:firstLine="440" w:firstLineChars="200"/>
        <w:rPr>
          <w:rFonts w:ascii="宋体" w:hAnsi="宋体" w:cs="宋体"/>
          <w:b/>
          <w:color w:val="auto"/>
          <w:sz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442" w:firstLineChars="200"/>
        <w:outlineLvl w:val="1"/>
        <w:rPr>
          <w:rFonts w:ascii="宋体" w:hAnsi="宋体" w:cs="宋体"/>
          <w:b/>
          <w:color w:val="auto"/>
          <w:sz w:val="22"/>
          <w:szCs w:val="22"/>
          <w:highlight w:val="none"/>
        </w:rPr>
      </w:pPr>
      <w:bookmarkStart w:id="270" w:name="_Toc18070"/>
      <w:bookmarkStart w:id="271" w:name="_Toc24603"/>
      <w:bookmarkStart w:id="272" w:name="_Toc32177"/>
      <w:bookmarkStart w:id="273" w:name="_Toc23152"/>
      <w:bookmarkStart w:id="274" w:name="_Toc24468"/>
      <w:bookmarkStart w:id="275" w:name="_Toc15132"/>
      <w:bookmarkStart w:id="276" w:name="_Toc13995"/>
      <w:bookmarkStart w:id="277" w:name="_Toc17174"/>
      <w:bookmarkStart w:id="278" w:name="_Toc1020"/>
      <w:r>
        <w:rPr>
          <w:rFonts w:hint="eastAsia" w:ascii="宋体" w:hAnsi="宋体" w:cs="宋体"/>
          <w:b/>
          <w:color w:val="auto"/>
          <w:sz w:val="22"/>
          <w:szCs w:val="22"/>
          <w:highlight w:val="none"/>
        </w:rPr>
        <w:t>二、评标组织</w:t>
      </w:r>
      <w:bookmarkEnd w:id="270"/>
      <w:bookmarkEnd w:id="271"/>
      <w:bookmarkEnd w:id="272"/>
      <w:bookmarkEnd w:id="273"/>
      <w:bookmarkEnd w:id="274"/>
      <w:bookmarkEnd w:id="275"/>
      <w:bookmarkEnd w:id="276"/>
      <w:bookmarkEnd w:id="277"/>
      <w:bookmarkEnd w:id="278"/>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评标工作由采购人组建的评标委员会负责，评标全过程由有关部门指导监督。</w:t>
      </w:r>
    </w:p>
    <w:p>
      <w:pPr>
        <w:spacing w:line="460" w:lineRule="exact"/>
        <w:ind w:firstLine="442" w:firstLineChars="200"/>
        <w:outlineLvl w:val="1"/>
        <w:rPr>
          <w:rFonts w:ascii="宋体" w:hAnsi="宋体" w:cs="宋体"/>
          <w:b/>
          <w:color w:val="auto"/>
          <w:sz w:val="22"/>
          <w:szCs w:val="22"/>
          <w:highlight w:val="none"/>
        </w:rPr>
      </w:pPr>
      <w:bookmarkStart w:id="279" w:name="_Toc10167"/>
      <w:bookmarkStart w:id="280" w:name="_Toc67"/>
      <w:bookmarkStart w:id="281" w:name="_Toc341"/>
      <w:bookmarkStart w:id="282" w:name="_Toc24385"/>
      <w:bookmarkStart w:id="283" w:name="_Toc22480"/>
      <w:bookmarkStart w:id="284" w:name="_Toc30575"/>
      <w:bookmarkStart w:id="285" w:name="_Toc32755"/>
      <w:bookmarkStart w:id="286" w:name="_Toc12006"/>
      <w:bookmarkStart w:id="287" w:name="_Toc15153"/>
      <w:r>
        <w:rPr>
          <w:rFonts w:hint="eastAsia" w:ascii="宋体" w:hAnsi="宋体" w:cs="宋体"/>
          <w:b/>
          <w:color w:val="auto"/>
          <w:sz w:val="22"/>
          <w:szCs w:val="22"/>
          <w:highlight w:val="none"/>
        </w:rPr>
        <w:t>三、评标程序</w:t>
      </w:r>
      <w:bookmarkEnd w:id="279"/>
      <w:bookmarkEnd w:id="280"/>
      <w:bookmarkEnd w:id="281"/>
      <w:bookmarkEnd w:id="282"/>
      <w:bookmarkEnd w:id="283"/>
      <w:bookmarkEnd w:id="284"/>
      <w:bookmarkEnd w:id="285"/>
      <w:bookmarkEnd w:id="286"/>
      <w:bookmarkEnd w:id="287"/>
    </w:p>
    <w:p>
      <w:pPr>
        <w:spacing w:line="460" w:lineRule="exact"/>
        <w:ind w:firstLine="440" w:firstLineChars="200"/>
        <w:rPr>
          <w:rFonts w:ascii="宋体" w:hAnsi="宋体" w:cs="宋体"/>
          <w:color w:val="auto"/>
          <w:sz w:val="22"/>
          <w:szCs w:val="22"/>
          <w:highlight w:val="none"/>
        </w:rPr>
      </w:pPr>
      <w:r>
        <w:rPr>
          <w:rFonts w:hint="eastAsia" w:ascii="宋体" w:hAnsi="宋体" w:cs="宋体"/>
          <w:bCs/>
          <w:color w:val="auto"/>
          <w:sz w:val="22"/>
          <w:szCs w:val="22"/>
          <w:highlight w:val="none"/>
        </w:rPr>
        <w:t>1、评标委员按照招标文件中规定的评标方法和标准，对投标文件进行商务和技术评估，综合比较与评价</w:t>
      </w:r>
      <w:r>
        <w:rPr>
          <w:rFonts w:hint="eastAsia" w:ascii="宋体" w:hAnsi="宋体" w:cs="宋体"/>
          <w:color w:val="auto"/>
          <w:sz w:val="22"/>
          <w:szCs w:val="22"/>
          <w:highlight w:val="none"/>
        </w:rPr>
        <w:t>，根据综合评审结果，提交评审报告。</w:t>
      </w:r>
    </w:p>
    <w:p>
      <w:pPr>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442" w:firstLineChars="200"/>
        <w:rPr>
          <w:b/>
          <w:bCs/>
          <w:color w:val="auto"/>
          <w:highlight w:val="none"/>
        </w:rPr>
      </w:pPr>
      <w:r>
        <w:rPr>
          <w:rFonts w:hint="eastAsia" w:ascii="宋体" w:hAnsi="宋体" w:cs="宋体"/>
          <w:b/>
          <w:bCs/>
          <w:color w:val="auto"/>
          <w:sz w:val="22"/>
          <w:szCs w:val="22"/>
          <w:highlight w:val="none"/>
        </w:rPr>
        <w:t>非单一产品采购项目，应当根据采购项目技术构成、产品价格比重等合理确定核心产品。多家投标人提供的核心产品品牌相同的，按前款规定处理。</w:t>
      </w:r>
    </w:p>
    <w:p>
      <w:pPr>
        <w:spacing w:line="460" w:lineRule="exact"/>
        <w:ind w:firstLine="442" w:firstLineChars="200"/>
        <w:outlineLvl w:val="1"/>
        <w:rPr>
          <w:rFonts w:ascii="宋体" w:hAnsi="宋体" w:cs="宋体"/>
          <w:b/>
          <w:color w:val="auto"/>
          <w:sz w:val="22"/>
          <w:szCs w:val="22"/>
          <w:highlight w:val="none"/>
        </w:rPr>
      </w:pPr>
      <w:bookmarkStart w:id="288" w:name="_Toc30542"/>
      <w:bookmarkStart w:id="289" w:name="_Toc12809"/>
      <w:bookmarkStart w:id="290" w:name="_Toc9003"/>
      <w:bookmarkStart w:id="291" w:name="_Toc24825"/>
      <w:bookmarkStart w:id="292" w:name="_Toc31471"/>
      <w:bookmarkStart w:id="293" w:name="_Toc11306"/>
      <w:bookmarkStart w:id="294" w:name="_Toc15235"/>
      <w:bookmarkStart w:id="295" w:name="_Toc17427"/>
      <w:bookmarkStart w:id="296" w:name="_Toc16978"/>
      <w:r>
        <w:rPr>
          <w:rFonts w:hint="eastAsia" w:ascii="宋体" w:hAnsi="宋体" w:cs="宋体"/>
          <w:b/>
          <w:color w:val="auto"/>
          <w:sz w:val="22"/>
          <w:szCs w:val="22"/>
          <w:highlight w:val="none"/>
        </w:rPr>
        <w:t>四、评标办法</w:t>
      </w:r>
      <w:bookmarkEnd w:id="288"/>
      <w:bookmarkEnd w:id="289"/>
      <w:bookmarkEnd w:id="290"/>
      <w:bookmarkEnd w:id="291"/>
      <w:bookmarkEnd w:id="292"/>
      <w:bookmarkEnd w:id="293"/>
      <w:bookmarkEnd w:id="294"/>
      <w:bookmarkEnd w:id="295"/>
      <w:bookmarkEnd w:id="296"/>
    </w:p>
    <w:p>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宋体"/>
          <w:b/>
          <w:color w:val="auto"/>
          <w:sz w:val="22"/>
          <w:szCs w:val="22"/>
          <w:highlight w:val="none"/>
        </w:rPr>
        <w:t>总分设定为100分：商务技术标70分（权值70%），报价标 30分（权值30%）。</w:t>
      </w:r>
    </w:p>
    <w:p>
      <w:pPr>
        <w:spacing w:line="460" w:lineRule="exact"/>
        <w:ind w:firstLine="442" w:firstLineChars="200"/>
        <w:outlineLvl w:val="1"/>
        <w:rPr>
          <w:rFonts w:ascii="宋体" w:hAnsi="宋体" w:cs="宋体"/>
          <w:b/>
          <w:color w:val="auto"/>
          <w:sz w:val="22"/>
          <w:szCs w:val="22"/>
          <w:highlight w:val="none"/>
        </w:rPr>
      </w:pPr>
      <w:bookmarkStart w:id="297" w:name="_Toc1403"/>
      <w:bookmarkStart w:id="298" w:name="_Toc1535"/>
      <w:bookmarkStart w:id="299" w:name="_Toc10010"/>
      <w:bookmarkStart w:id="300" w:name="_Toc28632"/>
      <w:bookmarkStart w:id="301" w:name="_Toc11450"/>
      <w:bookmarkStart w:id="302" w:name="_Toc9390"/>
      <w:bookmarkStart w:id="303" w:name="_Toc8291"/>
      <w:bookmarkStart w:id="304" w:name="_Toc18395"/>
      <w:bookmarkStart w:id="305" w:name="_Toc32027"/>
      <w:r>
        <w:rPr>
          <w:rFonts w:hint="eastAsia" w:ascii="宋体" w:hAnsi="宋体" w:cs="宋体"/>
          <w:b/>
          <w:color w:val="auto"/>
          <w:sz w:val="22"/>
          <w:szCs w:val="22"/>
          <w:highlight w:val="none"/>
          <w:lang w:val="en-US" w:eastAsia="zh-CN"/>
        </w:rPr>
        <w:t>五、</w:t>
      </w:r>
      <w:r>
        <w:rPr>
          <w:rFonts w:hint="eastAsia" w:ascii="宋体" w:hAnsi="宋体" w:cs="宋体"/>
          <w:b/>
          <w:color w:val="auto"/>
          <w:sz w:val="22"/>
          <w:szCs w:val="22"/>
          <w:highlight w:val="none"/>
        </w:rPr>
        <w:t>评分细则</w:t>
      </w:r>
      <w:bookmarkEnd w:id="297"/>
      <w:bookmarkEnd w:id="298"/>
      <w:bookmarkEnd w:id="299"/>
      <w:bookmarkEnd w:id="300"/>
      <w:bookmarkEnd w:id="301"/>
      <w:bookmarkEnd w:id="302"/>
      <w:bookmarkEnd w:id="303"/>
      <w:bookmarkEnd w:id="304"/>
      <w:bookmarkEnd w:id="305"/>
    </w:p>
    <w:p>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1、商务技术分的评定：商务技术标70分（权值70%）</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cs="宋体"/>
          <w:color w:val="auto"/>
          <w:sz w:val="22"/>
          <w:highlight w:val="none"/>
        </w:rPr>
        <w:t>各评标委员会成员对各投标人的各项评分内容评分的算术平均值为各投标人技术分得分</w:t>
      </w:r>
      <w:r>
        <w:rPr>
          <w:rFonts w:hint="eastAsia" w:ascii="宋体" w:hAnsi="宋体" w:cs="宋体"/>
          <w:color w:val="auto"/>
          <w:sz w:val="22"/>
          <w:szCs w:val="22"/>
          <w:highlight w:val="none"/>
        </w:rPr>
        <w:t>（小数点后按四舍五入保留2位）。</w:t>
      </w:r>
    </w:p>
    <w:tbl>
      <w:tblPr>
        <w:tblStyle w:val="53"/>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41"/>
        <w:gridCol w:w="3180"/>
        <w:gridCol w:w="315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741"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评分内容</w:t>
            </w:r>
          </w:p>
        </w:tc>
        <w:tc>
          <w:tcPr>
            <w:tcW w:w="633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评分标准</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74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对应于招标文件货物技术规格及配置等的偏离度</w:t>
            </w:r>
          </w:p>
        </w:tc>
        <w:tc>
          <w:tcPr>
            <w:tcW w:w="318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rPr>
            </w:pPr>
            <w:r>
              <w:rPr>
                <w:rStyle w:val="335"/>
                <w:rFonts w:hint="eastAsia" w:ascii="新宋体" w:hAnsi="新宋体" w:eastAsia="新宋体" w:cs="新宋体"/>
                <w:color w:val="auto"/>
                <w:sz w:val="22"/>
                <w:szCs w:val="22"/>
                <w:highlight w:val="none"/>
              </w:rPr>
              <w:t>根据所投产品技术指标与招标文件要求的响应程度，完全响应的得相应的分数，带★的技术参数负偏离一项扣1分，其他技术参数负偏离一项扣0.5分，扣完为止。</w:t>
            </w:r>
          </w:p>
        </w:tc>
        <w:tc>
          <w:tcPr>
            <w:tcW w:w="315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2"/>
                <w:sz w:val="22"/>
                <w:szCs w:val="22"/>
                <w:highlight w:val="none"/>
                <w:lang w:val="en-US" w:eastAsia="zh-CN" w:bidi="ar-SA"/>
              </w:rPr>
              <w:t>全自动磨边机</w:t>
            </w:r>
          </w:p>
        </w:tc>
        <w:tc>
          <w:tcPr>
            <w:tcW w:w="900" w:type="dxa"/>
            <w:noWrap w:val="0"/>
            <w:vAlign w:val="center"/>
          </w:tcPr>
          <w:p>
            <w:pPr>
              <w:keepNext w:val="0"/>
              <w:keepLines w:val="0"/>
              <w:pageBreakBefore w:val="0"/>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p>
        </w:tc>
        <w:tc>
          <w:tcPr>
            <w:tcW w:w="174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bCs/>
                <w:color w:val="auto"/>
                <w:sz w:val="22"/>
                <w:szCs w:val="22"/>
                <w:highlight w:val="none"/>
              </w:rPr>
            </w:pPr>
          </w:p>
        </w:tc>
        <w:tc>
          <w:tcPr>
            <w:tcW w:w="318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Style w:val="335"/>
                <w:rFonts w:hint="eastAsia" w:ascii="新宋体" w:hAnsi="新宋体" w:eastAsia="新宋体" w:cs="新宋体"/>
                <w:color w:val="auto"/>
                <w:sz w:val="22"/>
                <w:szCs w:val="22"/>
                <w:highlight w:val="none"/>
              </w:rPr>
            </w:pPr>
          </w:p>
        </w:tc>
        <w:tc>
          <w:tcPr>
            <w:tcW w:w="315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半自动眼镜片磨边机</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p>
        </w:tc>
        <w:tc>
          <w:tcPr>
            <w:tcW w:w="174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bCs/>
                <w:color w:val="auto"/>
                <w:sz w:val="22"/>
                <w:szCs w:val="22"/>
                <w:highlight w:val="none"/>
              </w:rPr>
            </w:pPr>
          </w:p>
        </w:tc>
        <w:tc>
          <w:tcPr>
            <w:tcW w:w="318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Style w:val="335"/>
                <w:rFonts w:hint="eastAsia" w:ascii="新宋体" w:hAnsi="新宋体" w:eastAsia="新宋体" w:cs="新宋体"/>
                <w:color w:val="auto"/>
                <w:sz w:val="22"/>
                <w:szCs w:val="22"/>
                <w:highlight w:val="none"/>
              </w:rPr>
            </w:pPr>
          </w:p>
        </w:tc>
        <w:tc>
          <w:tcPr>
            <w:tcW w:w="315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全自动综合验光仪</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p>
        </w:tc>
        <w:tc>
          <w:tcPr>
            <w:tcW w:w="174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bCs/>
                <w:color w:val="auto"/>
                <w:sz w:val="22"/>
                <w:szCs w:val="22"/>
                <w:highlight w:val="none"/>
              </w:rPr>
            </w:pPr>
          </w:p>
        </w:tc>
        <w:tc>
          <w:tcPr>
            <w:tcW w:w="318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Style w:val="335"/>
                <w:rFonts w:hint="eastAsia" w:ascii="新宋体" w:hAnsi="新宋体" w:eastAsia="新宋体" w:cs="新宋体"/>
                <w:color w:val="auto"/>
                <w:sz w:val="22"/>
                <w:szCs w:val="22"/>
                <w:highlight w:val="none"/>
              </w:rPr>
            </w:pPr>
          </w:p>
        </w:tc>
        <w:tc>
          <w:tcPr>
            <w:tcW w:w="315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裂隙灯显微镜</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p>
        </w:tc>
        <w:tc>
          <w:tcPr>
            <w:tcW w:w="174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bCs/>
                <w:color w:val="auto"/>
                <w:sz w:val="22"/>
                <w:szCs w:val="22"/>
                <w:highlight w:val="none"/>
              </w:rPr>
            </w:pPr>
          </w:p>
        </w:tc>
        <w:tc>
          <w:tcPr>
            <w:tcW w:w="318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Style w:val="335"/>
                <w:rFonts w:hint="eastAsia" w:ascii="新宋体" w:hAnsi="新宋体" w:eastAsia="新宋体" w:cs="新宋体"/>
                <w:color w:val="auto"/>
                <w:sz w:val="22"/>
                <w:szCs w:val="22"/>
                <w:highlight w:val="none"/>
              </w:rPr>
            </w:pPr>
          </w:p>
        </w:tc>
        <w:tc>
          <w:tcPr>
            <w:tcW w:w="315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角膜曲率计</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0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p>
        </w:tc>
        <w:tc>
          <w:tcPr>
            <w:tcW w:w="174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bCs/>
                <w:color w:val="auto"/>
                <w:sz w:val="22"/>
                <w:szCs w:val="22"/>
                <w:highlight w:val="none"/>
              </w:rPr>
            </w:pPr>
          </w:p>
        </w:tc>
        <w:tc>
          <w:tcPr>
            <w:tcW w:w="318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Style w:val="335"/>
                <w:rFonts w:hint="eastAsia" w:ascii="新宋体" w:hAnsi="新宋体" w:eastAsia="新宋体" w:cs="新宋体"/>
                <w:color w:val="auto"/>
                <w:sz w:val="22"/>
                <w:szCs w:val="22"/>
                <w:highlight w:val="none"/>
              </w:rPr>
            </w:pPr>
          </w:p>
        </w:tc>
        <w:tc>
          <w:tcPr>
            <w:tcW w:w="315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弱视斜视矫治系统（3D多媒体视觉健康训练系统</w:t>
            </w:r>
            <w:r>
              <w:rPr>
                <w:rFonts w:hint="eastAsia" w:ascii="新宋体" w:hAnsi="新宋体" w:eastAsia="新宋体" w:cs="新宋体"/>
                <w:color w:val="auto"/>
                <w:sz w:val="22"/>
                <w:szCs w:val="22"/>
                <w:highlight w:val="none"/>
                <w:lang w:eastAsia="zh-CN"/>
              </w:rPr>
              <w:t>）</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p>
        </w:tc>
        <w:tc>
          <w:tcPr>
            <w:tcW w:w="174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bCs/>
                <w:color w:val="auto"/>
                <w:sz w:val="22"/>
                <w:szCs w:val="22"/>
                <w:highlight w:val="none"/>
              </w:rPr>
            </w:pPr>
          </w:p>
        </w:tc>
        <w:tc>
          <w:tcPr>
            <w:tcW w:w="318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Style w:val="335"/>
                <w:rFonts w:hint="eastAsia" w:ascii="新宋体" w:hAnsi="新宋体" w:eastAsia="新宋体" w:cs="新宋体"/>
                <w:color w:val="auto"/>
                <w:sz w:val="22"/>
                <w:szCs w:val="22"/>
                <w:highlight w:val="none"/>
              </w:rPr>
            </w:pPr>
          </w:p>
        </w:tc>
        <w:tc>
          <w:tcPr>
            <w:tcW w:w="315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视觉功能训练治疗软件</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p>
        </w:tc>
        <w:tc>
          <w:tcPr>
            <w:tcW w:w="174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bCs/>
                <w:color w:val="auto"/>
                <w:sz w:val="22"/>
                <w:szCs w:val="22"/>
                <w:highlight w:val="none"/>
              </w:rPr>
            </w:pPr>
          </w:p>
        </w:tc>
        <w:tc>
          <w:tcPr>
            <w:tcW w:w="318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Style w:val="335"/>
                <w:rFonts w:hint="eastAsia" w:ascii="新宋体" w:hAnsi="新宋体" w:eastAsia="新宋体" w:cs="新宋体"/>
                <w:color w:val="auto"/>
                <w:sz w:val="22"/>
                <w:szCs w:val="22"/>
                <w:highlight w:val="none"/>
              </w:rPr>
            </w:pPr>
          </w:p>
        </w:tc>
        <w:tc>
          <w:tcPr>
            <w:tcW w:w="315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弱视斜视矫治系统（4D数字化斜弱视视功能矫治系统)</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p>
        </w:tc>
        <w:tc>
          <w:tcPr>
            <w:tcW w:w="174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bCs/>
                <w:color w:val="auto"/>
                <w:sz w:val="22"/>
                <w:szCs w:val="22"/>
                <w:highlight w:val="none"/>
              </w:rPr>
            </w:pPr>
          </w:p>
        </w:tc>
        <w:tc>
          <w:tcPr>
            <w:tcW w:w="318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Style w:val="335"/>
                <w:rFonts w:hint="eastAsia" w:ascii="新宋体" w:hAnsi="新宋体" w:eastAsia="新宋体" w:cs="新宋体"/>
                <w:color w:val="auto"/>
                <w:sz w:val="22"/>
                <w:szCs w:val="22"/>
                <w:highlight w:val="none"/>
              </w:rPr>
            </w:pPr>
          </w:p>
        </w:tc>
        <w:tc>
          <w:tcPr>
            <w:tcW w:w="315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眼控</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741"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产品优势性</w:t>
            </w:r>
          </w:p>
        </w:tc>
        <w:tc>
          <w:tcPr>
            <w:tcW w:w="633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供应商对所投产品</w:t>
            </w:r>
            <w:r>
              <w:rPr>
                <w:rFonts w:hint="eastAsia" w:ascii="新宋体" w:hAnsi="新宋体" w:eastAsia="新宋体" w:cs="新宋体"/>
                <w:color w:val="auto"/>
                <w:sz w:val="22"/>
                <w:szCs w:val="22"/>
                <w:highlight w:val="none"/>
              </w:rPr>
              <w:t>特点、</w:t>
            </w:r>
            <w:r>
              <w:rPr>
                <w:rFonts w:hint="eastAsia" w:ascii="新宋体" w:hAnsi="新宋体" w:eastAsia="新宋体" w:cs="新宋体"/>
                <w:color w:val="auto"/>
                <w:sz w:val="22"/>
                <w:szCs w:val="22"/>
                <w:highlight w:val="none"/>
                <w:lang w:val="zh-CN"/>
              </w:rPr>
              <w:t>优势方面进行描述</w:t>
            </w:r>
          </w:p>
          <w:p>
            <w:pPr>
              <w:keepNext w:val="0"/>
              <w:keepLines w:val="0"/>
              <w:pageBreakBefore w:val="0"/>
              <w:widowControl/>
              <w:kinsoku/>
              <w:wordWrap/>
              <w:overflowPunct/>
              <w:topLinePunct w:val="0"/>
              <w:autoSpaceDE/>
              <w:autoSpaceDN/>
              <w:bidi w:val="0"/>
              <w:adjustRightInd w:val="0"/>
              <w:snapToGrid w:val="0"/>
              <w:spacing w:line="460" w:lineRule="exac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所投</w:t>
            </w:r>
            <w:r>
              <w:rPr>
                <w:rFonts w:hint="eastAsia" w:ascii="新宋体" w:hAnsi="新宋体" w:eastAsia="新宋体" w:cs="新宋体"/>
                <w:color w:val="auto"/>
                <w:sz w:val="22"/>
                <w:szCs w:val="22"/>
                <w:highlight w:val="none"/>
                <w:lang w:val="zh-CN"/>
              </w:rPr>
              <w:t>产品</w:t>
            </w:r>
            <w:r>
              <w:rPr>
                <w:rFonts w:hint="eastAsia" w:ascii="新宋体" w:hAnsi="新宋体" w:eastAsia="新宋体" w:cs="新宋体"/>
                <w:color w:val="auto"/>
                <w:sz w:val="22"/>
                <w:szCs w:val="22"/>
                <w:highlight w:val="none"/>
              </w:rPr>
              <w:t>特点鲜明</w:t>
            </w:r>
            <w:r>
              <w:rPr>
                <w:rFonts w:hint="eastAsia" w:ascii="新宋体" w:hAnsi="新宋体" w:eastAsia="新宋体" w:cs="新宋体"/>
                <w:color w:val="auto"/>
                <w:sz w:val="22"/>
                <w:szCs w:val="22"/>
                <w:highlight w:val="none"/>
                <w:lang w:val="zh-CN"/>
              </w:rPr>
              <w:t>、优势明显，能充分满足采购人需求得</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分；</w:t>
            </w:r>
          </w:p>
          <w:p>
            <w:pPr>
              <w:keepNext w:val="0"/>
              <w:keepLines w:val="0"/>
              <w:pageBreakBefore w:val="0"/>
              <w:widowControl/>
              <w:kinsoku/>
              <w:wordWrap/>
              <w:overflowPunct/>
              <w:topLinePunct w:val="0"/>
              <w:autoSpaceDE/>
              <w:autoSpaceDN/>
              <w:bidi w:val="0"/>
              <w:adjustRightInd w:val="0"/>
              <w:snapToGrid w:val="0"/>
              <w:spacing w:line="460" w:lineRule="exac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所投</w:t>
            </w:r>
            <w:r>
              <w:rPr>
                <w:rFonts w:hint="eastAsia" w:ascii="新宋体" w:hAnsi="新宋体" w:eastAsia="新宋体" w:cs="新宋体"/>
                <w:color w:val="auto"/>
                <w:sz w:val="22"/>
                <w:szCs w:val="22"/>
                <w:highlight w:val="none"/>
                <w:lang w:val="zh-CN"/>
              </w:rPr>
              <w:t>产品</w:t>
            </w:r>
            <w:r>
              <w:rPr>
                <w:rFonts w:hint="eastAsia" w:ascii="新宋体" w:hAnsi="新宋体" w:eastAsia="新宋体" w:cs="新宋体"/>
                <w:color w:val="auto"/>
                <w:sz w:val="22"/>
                <w:szCs w:val="22"/>
                <w:highlight w:val="none"/>
              </w:rPr>
              <w:t>特点较好</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有一定优势，能较好</w:t>
            </w:r>
            <w:r>
              <w:rPr>
                <w:rFonts w:hint="eastAsia" w:ascii="新宋体" w:hAnsi="新宋体" w:eastAsia="新宋体" w:cs="新宋体"/>
                <w:color w:val="auto"/>
                <w:sz w:val="22"/>
                <w:szCs w:val="22"/>
                <w:highlight w:val="none"/>
                <w:lang w:val="zh-CN"/>
              </w:rPr>
              <w:t>适应采购人需求的得</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分；</w:t>
            </w:r>
          </w:p>
          <w:p>
            <w:pPr>
              <w:keepNext w:val="0"/>
              <w:keepLines w:val="0"/>
              <w:pageBreakBefore w:val="0"/>
              <w:widowControl/>
              <w:kinsoku/>
              <w:wordWrap/>
              <w:overflowPunct/>
              <w:topLinePunct w:val="0"/>
              <w:autoSpaceDE/>
              <w:autoSpaceDN/>
              <w:bidi w:val="0"/>
              <w:adjustRightInd w:val="0"/>
              <w:snapToGrid w:val="0"/>
              <w:spacing w:line="460" w:lineRule="exac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所投</w:t>
            </w:r>
            <w:r>
              <w:rPr>
                <w:rFonts w:hint="eastAsia" w:ascii="新宋体" w:hAnsi="新宋体" w:eastAsia="新宋体" w:cs="新宋体"/>
                <w:color w:val="auto"/>
                <w:sz w:val="22"/>
                <w:szCs w:val="22"/>
                <w:highlight w:val="none"/>
                <w:lang w:val="zh-CN"/>
              </w:rPr>
              <w:t>产品</w:t>
            </w:r>
            <w:r>
              <w:rPr>
                <w:rFonts w:hint="eastAsia" w:ascii="新宋体" w:hAnsi="新宋体" w:eastAsia="新宋体" w:cs="新宋体"/>
                <w:color w:val="auto"/>
                <w:sz w:val="22"/>
                <w:szCs w:val="22"/>
                <w:highlight w:val="none"/>
              </w:rPr>
              <w:t>特点普通，优势一般，只能满足</w:t>
            </w:r>
            <w:r>
              <w:rPr>
                <w:rFonts w:hint="eastAsia" w:ascii="新宋体" w:hAnsi="新宋体" w:eastAsia="新宋体" w:cs="新宋体"/>
                <w:color w:val="auto"/>
                <w:sz w:val="22"/>
                <w:szCs w:val="22"/>
                <w:highlight w:val="none"/>
                <w:lang w:val="zh-CN"/>
              </w:rPr>
              <w:t>采购人</w:t>
            </w:r>
            <w:r>
              <w:rPr>
                <w:rFonts w:hint="eastAsia" w:ascii="新宋体" w:hAnsi="新宋体" w:eastAsia="新宋体" w:cs="新宋体"/>
                <w:color w:val="auto"/>
                <w:sz w:val="22"/>
                <w:szCs w:val="22"/>
                <w:highlight w:val="none"/>
              </w:rPr>
              <w:t>基本</w:t>
            </w:r>
            <w:r>
              <w:rPr>
                <w:rFonts w:hint="eastAsia" w:ascii="新宋体" w:hAnsi="新宋体" w:eastAsia="新宋体" w:cs="新宋体"/>
                <w:color w:val="auto"/>
                <w:sz w:val="22"/>
                <w:szCs w:val="22"/>
                <w:highlight w:val="none"/>
                <w:lang w:val="zh-CN"/>
              </w:rPr>
              <w:t>需求的得</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zh-CN"/>
              </w:rPr>
              <w:t>分。</w:t>
            </w:r>
          </w:p>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w:t>
            </w:r>
            <w:r>
              <w:rPr>
                <w:rFonts w:hint="eastAsia" w:ascii="新宋体" w:hAnsi="新宋体" w:eastAsia="新宋体" w:cs="新宋体"/>
                <w:color w:val="auto"/>
                <w:sz w:val="22"/>
                <w:szCs w:val="22"/>
                <w:highlight w:val="none"/>
                <w:lang w:val="zh-CN"/>
              </w:rPr>
              <w:t>产品</w:t>
            </w:r>
            <w:r>
              <w:rPr>
                <w:rFonts w:hint="eastAsia" w:ascii="新宋体" w:hAnsi="新宋体" w:eastAsia="新宋体" w:cs="新宋体"/>
                <w:color w:val="auto"/>
                <w:sz w:val="22"/>
                <w:szCs w:val="22"/>
                <w:highlight w:val="none"/>
              </w:rPr>
              <w:t>无法满足采购人基本需求的不得分。</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70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3</w:t>
            </w:r>
          </w:p>
        </w:tc>
        <w:tc>
          <w:tcPr>
            <w:tcW w:w="174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所投产品技术先进性、配置适用性</w:t>
            </w:r>
          </w:p>
        </w:tc>
        <w:tc>
          <w:tcPr>
            <w:tcW w:w="633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所投产品的功能的先进性、可靠性及可扩展性。</w:t>
            </w:r>
          </w:p>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（1）产品功能先进、可靠性强，扩展性满足采购人今后需求的得</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val="zh-CN"/>
              </w:rPr>
              <w:t>分；</w:t>
            </w:r>
          </w:p>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zh-CN"/>
              </w:rPr>
              <w:t>产品功能先进、可靠性强，扩展性仅满足采购人当前需求的得</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分；</w:t>
            </w:r>
          </w:p>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（3）产品功能一般、可靠性一般，不具备扩展性的得</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zh-CN"/>
              </w:rPr>
              <w:t>分。</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color w:val="auto"/>
                <w:sz w:val="22"/>
                <w:szCs w:val="22"/>
                <w:highlight w:val="none"/>
              </w:rPr>
            </w:pPr>
            <w:r>
              <w:rPr>
                <w:rStyle w:val="335"/>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0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color w:val="auto"/>
                <w:sz w:val="22"/>
                <w:szCs w:val="22"/>
                <w:highlight w:val="none"/>
              </w:rPr>
            </w:pPr>
          </w:p>
        </w:tc>
        <w:tc>
          <w:tcPr>
            <w:tcW w:w="174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sz w:val="22"/>
                <w:szCs w:val="22"/>
                <w:highlight w:val="none"/>
              </w:rPr>
            </w:pPr>
          </w:p>
        </w:tc>
        <w:tc>
          <w:tcPr>
            <w:tcW w:w="633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所投产品的配置的合理性及适用性。</w:t>
            </w:r>
          </w:p>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（1）产品配置合理强、充分适应采购人需求的得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val="zh-CN"/>
              </w:rPr>
              <w:t>分；</w:t>
            </w:r>
          </w:p>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zh-CN"/>
              </w:rPr>
              <w:t>产品配置合理性一般、勉强适应采购人需求的得</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val="zh-CN"/>
              </w:rPr>
              <w:t>分；</w:t>
            </w:r>
          </w:p>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（3）产品配置合理性一般、无法适应采购人需求的得</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lang w:val="zh-CN"/>
              </w:rPr>
              <w:t>分。</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color w:val="auto"/>
                <w:sz w:val="22"/>
                <w:szCs w:val="22"/>
                <w:highlight w:val="none"/>
              </w:rPr>
            </w:pPr>
            <w:r>
              <w:rPr>
                <w:rStyle w:val="335"/>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741"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TW" w:eastAsia="zh-TW"/>
              </w:rPr>
              <w:t>安装、调试、集成</w:t>
            </w:r>
            <w:r>
              <w:rPr>
                <w:rFonts w:hint="eastAsia" w:ascii="新宋体" w:hAnsi="新宋体" w:eastAsia="新宋体" w:cs="新宋体"/>
                <w:color w:val="auto"/>
                <w:sz w:val="22"/>
                <w:szCs w:val="22"/>
                <w:highlight w:val="none"/>
                <w:lang w:val="zh-TW"/>
              </w:rPr>
              <w:t>、</w:t>
            </w:r>
            <w:r>
              <w:rPr>
                <w:rFonts w:hint="eastAsia" w:ascii="新宋体" w:hAnsi="新宋体" w:eastAsia="新宋体" w:cs="新宋体"/>
                <w:color w:val="auto"/>
                <w:sz w:val="22"/>
                <w:szCs w:val="22"/>
                <w:highlight w:val="none"/>
              </w:rPr>
              <w:t>培训方案</w:t>
            </w:r>
          </w:p>
        </w:tc>
        <w:tc>
          <w:tcPr>
            <w:tcW w:w="6330" w:type="dxa"/>
            <w:gridSpan w:val="2"/>
            <w:noWrap w:val="0"/>
            <w:vAlign w:val="center"/>
          </w:tcPr>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根据投标文件中安装、调试、集成、专业技术人员和措施情况的合理性、可行性是否满足采购进度要求，设备安装后是否给予充分的使用培训等方面进行评价打分。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（1）方案能贴合采购人需求，合理可行、针对性强，并给予充分培训的得5分；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（2）方案能比较贴合采购人需求，较合理可行、针对性较强，并给予充分培训的得的得3分；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（3）方案能基本贴合采购人需求，合理性、可行性、针对性一般的，并给予充分培训的得得1分；</w:t>
            </w:r>
          </w:p>
          <w:p>
            <w:pPr>
              <w:pStyle w:val="25"/>
              <w:keepNext w:val="0"/>
              <w:keepLines w:val="0"/>
              <w:pageBreakBefore w:val="0"/>
              <w:kinsoku/>
              <w:wordWrap/>
              <w:overflowPunct/>
              <w:topLinePunct w:val="0"/>
              <w:autoSpaceDE/>
              <w:autoSpaceDN/>
              <w:bidi w:val="0"/>
              <w:spacing w:line="460" w:lineRule="exact"/>
              <w:ind w:left="0" w:leftChars="0"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（4）方案完全偏离本项目需求，无针对性的，无使用培训的不得分。</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w:t>
            </w:r>
          </w:p>
        </w:tc>
        <w:tc>
          <w:tcPr>
            <w:tcW w:w="1741"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lang w:val="zh-TW" w:eastAsia="zh-TW"/>
              </w:rPr>
            </w:pPr>
            <w:r>
              <w:rPr>
                <w:rFonts w:hint="eastAsia" w:ascii="新宋体" w:hAnsi="新宋体" w:eastAsia="新宋体" w:cs="新宋体"/>
                <w:color w:val="auto"/>
                <w:sz w:val="22"/>
                <w:szCs w:val="22"/>
                <w:highlight w:val="none"/>
                <w:lang w:val="zh-TW" w:eastAsia="zh-TW"/>
              </w:rPr>
              <w:t>验收方案</w:t>
            </w:r>
          </w:p>
        </w:tc>
        <w:tc>
          <w:tcPr>
            <w:tcW w:w="6330" w:type="dxa"/>
            <w:gridSpan w:val="2"/>
            <w:noWrap w:val="0"/>
            <w:vAlign w:val="center"/>
          </w:tcPr>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根据投标文件中的产品验收方案的验收方式、验收标准、验收时间等的合理性、可行性等方面进行评价打分。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（1）方案能贴合采购人需求，合理可行、针对性强的得3分；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（2）方案能比较贴合采购人需求，较合理可行、针对性较强的得2分；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（3）方案能基本贴合采购人需求，合理性、可行性、针对性一般的得1分；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（4）方案与采购人需求偏离大，针对性不强得0分；</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w:t>
            </w:r>
          </w:p>
        </w:tc>
        <w:tc>
          <w:tcPr>
            <w:tcW w:w="1741"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维修成本</w:t>
            </w:r>
          </w:p>
        </w:tc>
        <w:tc>
          <w:tcPr>
            <w:tcW w:w="633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根据设备零配件价格、</w:t>
            </w:r>
            <w:r>
              <w:rPr>
                <w:rFonts w:hint="eastAsia" w:ascii="新宋体" w:hAnsi="新宋体" w:eastAsia="新宋体" w:cs="新宋体"/>
                <w:color w:val="auto"/>
                <w:sz w:val="22"/>
                <w:szCs w:val="22"/>
                <w:highlight w:val="none"/>
              </w:rPr>
              <w:t>质保期满后的</w:t>
            </w:r>
            <w:r>
              <w:rPr>
                <w:rFonts w:hint="eastAsia" w:ascii="新宋体" w:hAnsi="新宋体" w:eastAsia="新宋体" w:cs="新宋体"/>
                <w:color w:val="auto"/>
                <w:sz w:val="22"/>
                <w:szCs w:val="22"/>
                <w:highlight w:val="none"/>
                <w:lang w:val="zh-CN"/>
              </w:rPr>
              <w:t>维修服务费用等维修成本进行评价。</w:t>
            </w:r>
          </w:p>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维修成本较低的得</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val="zh-CN"/>
              </w:rPr>
              <w:t>分；</w:t>
            </w:r>
          </w:p>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维修成本一般的得</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zh-CN"/>
              </w:rPr>
              <w:t>分；</w:t>
            </w:r>
          </w:p>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维修成本较高的得1分。</w:t>
            </w:r>
          </w:p>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bCs/>
                <w:color w:val="auto"/>
                <w:sz w:val="22"/>
                <w:szCs w:val="22"/>
                <w:highlight w:val="none"/>
              </w:rPr>
              <w:t>未提供不得分。</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color w:val="auto"/>
                <w:sz w:val="22"/>
                <w:szCs w:val="22"/>
                <w:highlight w:val="none"/>
              </w:rPr>
            </w:pPr>
            <w:r>
              <w:rPr>
                <w:rStyle w:val="335"/>
                <w:rFonts w:hint="eastAsia" w:ascii="新宋体" w:hAnsi="新宋体" w:eastAsia="新宋体" w:cs="新宋体"/>
                <w:color w:val="auto"/>
                <w:sz w:val="22"/>
                <w:szCs w:val="22"/>
                <w:highlight w:val="none"/>
                <w:lang w:val="en-US" w:eastAsia="zh-CN"/>
              </w:rPr>
              <w:t>4</w:t>
            </w:r>
            <w:r>
              <w:rPr>
                <w:rStyle w:val="335"/>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w:t>
            </w:r>
          </w:p>
        </w:tc>
        <w:tc>
          <w:tcPr>
            <w:tcW w:w="1741"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售后服务</w:t>
            </w:r>
          </w:p>
        </w:tc>
        <w:tc>
          <w:tcPr>
            <w:tcW w:w="6330" w:type="dxa"/>
            <w:gridSpan w:val="2"/>
            <w:noWrap w:val="0"/>
            <w:vAlign w:val="center"/>
          </w:tcPr>
          <w:p>
            <w:pPr>
              <w:pStyle w:val="307"/>
              <w:keepNext w:val="0"/>
              <w:keepLines w:val="0"/>
              <w:pageBreakBefore w:val="0"/>
              <w:widowControl/>
              <w:kinsoku/>
              <w:wordWrap/>
              <w:overflowPunct/>
              <w:topLinePunct w:val="0"/>
              <w:autoSpaceDE/>
              <w:autoSpaceDN/>
              <w:bidi w:val="0"/>
              <w:spacing w:line="460" w:lineRule="exact"/>
              <w:ind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w:t>
            </w:r>
            <w:r>
              <w:rPr>
                <w:rFonts w:hint="eastAsia" w:ascii="新宋体" w:hAnsi="新宋体" w:eastAsia="新宋体" w:cs="新宋体"/>
                <w:color w:val="auto"/>
                <w:kern w:val="0"/>
                <w:sz w:val="22"/>
                <w:szCs w:val="22"/>
                <w:highlight w:val="none"/>
                <w:lang w:eastAsia="zh-CN"/>
              </w:rPr>
              <w:t>供应商</w:t>
            </w:r>
            <w:r>
              <w:rPr>
                <w:rFonts w:hint="eastAsia" w:ascii="新宋体" w:hAnsi="新宋体" w:eastAsia="新宋体" w:cs="新宋体"/>
                <w:color w:val="auto"/>
                <w:kern w:val="0"/>
                <w:sz w:val="22"/>
                <w:szCs w:val="22"/>
                <w:highlight w:val="none"/>
              </w:rPr>
              <w:t>售后服务承诺的范围和完善程度综合打分：</w:t>
            </w:r>
          </w:p>
          <w:p>
            <w:pPr>
              <w:pStyle w:val="307"/>
              <w:keepNext w:val="0"/>
              <w:keepLines w:val="0"/>
              <w:pageBreakBefore w:val="0"/>
              <w:widowControl/>
              <w:kinsoku/>
              <w:wordWrap/>
              <w:overflowPunct/>
              <w:topLinePunct w:val="0"/>
              <w:autoSpaceDE/>
              <w:autoSpaceDN/>
              <w:bidi w:val="0"/>
              <w:spacing w:line="460" w:lineRule="exact"/>
              <w:ind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售后服务</w:t>
            </w:r>
            <w:r>
              <w:rPr>
                <w:rFonts w:hint="eastAsia" w:ascii="新宋体" w:hAnsi="新宋体" w:eastAsia="新宋体" w:cs="新宋体"/>
                <w:color w:val="auto"/>
                <w:sz w:val="22"/>
                <w:szCs w:val="22"/>
                <w:highlight w:val="none"/>
              </w:rPr>
              <w:t>和维修能力强，服务响应速度快、到达时间短、备品备件配置丰富得</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p>
            <w:pPr>
              <w:pStyle w:val="307"/>
              <w:keepNext w:val="0"/>
              <w:keepLines w:val="0"/>
              <w:pageBreakBefore w:val="0"/>
              <w:widowControl/>
              <w:kinsoku/>
              <w:wordWrap/>
              <w:overflowPunct/>
              <w:topLinePunct w:val="0"/>
              <w:autoSpaceDE/>
              <w:autoSpaceDN/>
              <w:bidi w:val="0"/>
              <w:spacing w:line="460" w:lineRule="exact"/>
              <w:ind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售后服务承诺的范围和完善程度一般的得</w:t>
            </w: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color w:val="auto"/>
                <w:kern w:val="0"/>
                <w:sz w:val="22"/>
                <w:szCs w:val="22"/>
                <w:highlight w:val="none"/>
              </w:rPr>
              <w:t>分</w:t>
            </w:r>
          </w:p>
          <w:p>
            <w:pPr>
              <w:pStyle w:val="307"/>
              <w:keepNext w:val="0"/>
              <w:keepLines w:val="0"/>
              <w:pageBreakBefore w:val="0"/>
              <w:widowControl/>
              <w:kinsoku/>
              <w:wordWrap/>
              <w:overflowPunct/>
              <w:topLinePunct w:val="0"/>
              <w:autoSpaceDE/>
              <w:autoSpaceDN/>
              <w:bidi w:val="0"/>
              <w:spacing w:line="460" w:lineRule="exact"/>
              <w:ind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售后服务承诺的范围和完善程度较差的得1分</w:t>
            </w:r>
          </w:p>
          <w:p>
            <w:pPr>
              <w:pStyle w:val="307"/>
              <w:keepNext w:val="0"/>
              <w:keepLines w:val="0"/>
              <w:pageBreakBefore w:val="0"/>
              <w:widowControl/>
              <w:kinsoku/>
              <w:wordWrap/>
              <w:overflowPunct/>
              <w:topLinePunct w:val="0"/>
              <w:autoSpaceDE/>
              <w:autoSpaceDN/>
              <w:bidi w:val="0"/>
              <w:spacing w:line="460" w:lineRule="exact"/>
              <w:ind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未提供不得分。</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w:t>
            </w:r>
          </w:p>
        </w:tc>
        <w:tc>
          <w:tcPr>
            <w:tcW w:w="1741"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业绩</w:t>
            </w:r>
          </w:p>
        </w:tc>
        <w:tc>
          <w:tcPr>
            <w:tcW w:w="633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提供2020年1月1日（以签订时间为准）以来，投标设备同类</w:t>
            </w:r>
            <w:r>
              <w:rPr>
                <w:rFonts w:hint="eastAsia" w:ascii="新宋体" w:hAnsi="新宋体" w:eastAsia="新宋体" w:cs="新宋体"/>
                <w:color w:val="auto"/>
                <w:sz w:val="22"/>
                <w:szCs w:val="22"/>
                <w:highlight w:val="none"/>
              </w:rPr>
              <w:t>核心</w:t>
            </w:r>
            <w:r>
              <w:rPr>
                <w:rFonts w:hint="eastAsia" w:ascii="新宋体" w:hAnsi="新宋体" w:eastAsia="新宋体" w:cs="新宋体"/>
                <w:color w:val="auto"/>
                <w:sz w:val="22"/>
                <w:szCs w:val="22"/>
                <w:highlight w:val="none"/>
                <w:lang w:val="zh-CN"/>
              </w:rPr>
              <w:t>产品与不同用户签订的采购合同业绩，每提供1个得1分，最高得3分（提供合同复印件加盖供应商公章，不提供或资料提供不全的不得分）。</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w:t>
            </w:r>
          </w:p>
        </w:tc>
        <w:tc>
          <w:tcPr>
            <w:tcW w:w="1741"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节能环保产品</w:t>
            </w:r>
          </w:p>
        </w:tc>
        <w:tc>
          <w:tcPr>
            <w:tcW w:w="6330"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lang w:val="zh-CN"/>
              </w:rPr>
              <w:t>产品属于品目清单范围且提供国家确定的认证机构出具的处于有效期之内的环境标志产品认证证书（复印件加盖供应商公章），得0.5分；</w:t>
            </w: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lang w:val="zh-CN"/>
              </w:rPr>
              <w:t>产品属于品目清单范围且提供国家确定的认证机构出具的处于有效期之内的节能标志产品认证证书的（复印件加盖供应商公章），得0.5分。</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10</w:t>
            </w:r>
          </w:p>
        </w:tc>
        <w:tc>
          <w:tcPr>
            <w:tcW w:w="1741"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质保期</w:t>
            </w:r>
          </w:p>
        </w:tc>
        <w:tc>
          <w:tcPr>
            <w:tcW w:w="6330"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sz w:val="22"/>
                <w:szCs w:val="22"/>
                <w:highlight w:val="none"/>
                <w:lang w:val="en-US" w:eastAsia="zh-CN"/>
              </w:rPr>
              <w:t>免费质保期在原基础上，每增加1年得1分，最高得2分。（</w:t>
            </w:r>
            <w:r>
              <w:rPr>
                <w:rFonts w:hint="eastAsia" w:ascii="新宋体" w:hAnsi="新宋体" w:eastAsia="新宋体" w:cs="新宋体"/>
                <w:color w:val="auto"/>
                <w:sz w:val="22"/>
                <w:szCs w:val="22"/>
                <w:highlight w:val="none"/>
              </w:rPr>
              <w:t>增加部分不足1年的不计分</w:t>
            </w:r>
            <w:r>
              <w:rPr>
                <w:rFonts w:hint="eastAsia" w:ascii="新宋体" w:hAnsi="新宋体" w:eastAsia="新宋体" w:cs="新宋体"/>
                <w:color w:val="auto"/>
                <w:sz w:val="22"/>
                <w:szCs w:val="22"/>
                <w:highlight w:val="none"/>
                <w:lang w:val="en-US" w:eastAsia="zh-CN"/>
              </w:rPr>
              <w:t>）</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color w:val="auto"/>
                <w:sz w:val="22"/>
                <w:szCs w:val="22"/>
                <w:highlight w:val="none"/>
              </w:rPr>
              <w:t>分</w:t>
            </w:r>
          </w:p>
        </w:tc>
      </w:tr>
    </w:tbl>
    <w:p>
      <w:pPr>
        <w:pStyle w:val="24"/>
        <w:spacing w:line="460" w:lineRule="exact"/>
        <w:ind w:left="0"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2、报价评分（30分）（权值30%）：</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1）有效投标人的投标报价等于评标基准价时其报价分为满分（30分）；</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投标报价得分=（评分基准价/投标人投标报价）× 价格权值 ×100（保留小数2位）</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3、有效投标人的综合得分为技术分和商务（报价）分的总和。</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442" w:firstLineChars="200"/>
        <w:outlineLvl w:val="1"/>
        <w:rPr>
          <w:rFonts w:ascii="宋体" w:hAnsi="宋体" w:cs="宋体"/>
          <w:b/>
          <w:bCs/>
          <w:color w:val="auto"/>
          <w:sz w:val="22"/>
          <w:szCs w:val="22"/>
          <w:highlight w:val="none"/>
        </w:rPr>
      </w:pPr>
      <w:bookmarkStart w:id="306" w:name="_Toc20351"/>
      <w:bookmarkStart w:id="307" w:name="_Toc31532"/>
      <w:bookmarkStart w:id="308" w:name="_Toc3647"/>
      <w:bookmarkStart w:id="309" w:name="_Toc2482"/>
      <w:bookmarkStart w:id="310" w:name="_Toc4727"/>
      <w:bookmarkStart w:id="311" w:name="_Toc19345"/>
      <w:bookmarkStart w:id="312" w:name="_Toc18694"/>
      <w:bookmarkStart w:id="313" w:name="_Toc13268"/>
      <w:bookmarkStart w:id="314" w:name="_Toc29919"/>
      <w:r>
        <w:rPr>
          <w:rFonts w:hint="eastAsia" w:ascii="宋体" w:hAnsi="宋体" w:cs="宋体"/>
          <w:b/>
          <w:bCs/>
          <w:color w:val="auto"/>
          <w:sz w:val="22"/>
          <w:szCs w:val="22"/>
          <w:highlight w:val="none"/>
        </w:rPr>
        <w:t>六、定标办法</w:t>
      </w:r>
      <w:bookmarkEnd w:id="306"/>
      <w:bookmarkEnd w:id="307"/>
      <w:bookmarkEnd w:id="308"/>
      <w:bookmarkEnd w:id="309"/>
      <w:bookmarkEnd w:id="310"/>
      <w:bookmarkEnd w:id="311"/>
      <w:bookmarkEnd w:id="312"/>
      <w:bookmarkEnd w:id="313"/>
      <w:bookmarkEnd w:id="314"/>
    </w:p>
    <w:p>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1.1由评标委员会确定中标候选人。</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采购人推荐。</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2、确定中标人</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采购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如中标人放弃中标；或未能在规定时间内与采购人签订合同的；或者经质疑，采购人审查后，确因排名第一的候选人在本次采购活动中存在违法违规行为或其他原因使质疑成立的，采购人可以视情况直接确定排名第二的候选人为中标人或重新组织招标。</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中标人确定后，采购人将在指定媒体公告中标结果，采购人向中标人发出中标通知书。</w:t>
      </w:r>
    </w:p>
    <w:p>
      <w:pPr>
        <w:spacing w:line="460" w:lineRule="exact"/>
        <w:ind w:firstLine="442" w:firstLineChars="200"/>
        <w:outlineLvl w:val="1"/>
        <w:rPr>
          <w:rFonts w:ascii="宋体" w:hAnsi="宋体" w:cs="宋体"/>
          <w:b/>
          <w:color w:val="auto"/>
          <w:sz w:val="22"/>
          <w:szCs w:val="22"/>
          <w:highlight w:val="none"/>
        </w:rPr>
      </w:pPr>
      <w:bookmarkStart w:id="315" w:name="_Toc3629"/>
      <w:bookmarkStart w:id="316" w:name="_Toc2652"/>
      <w:bookmarkStart w:id="317" w:name="_Toc17587"/>
      <w:bookmarkStart w:id="318" w:name="_Toc25361"/>
      <w:bookmarkStart w:id="319" w:name="_Toc19656"/>
      <w:bookmarkStart w:id="320" w:name="_Toc24136"/>
      <w:bookmarkStart w:id="321" w:name="_Toc13992"/>
      <w:bookmarkStart w:id="322" w:name="_Toc12186"/>
      <w:bookmarkStart w:id="323" w:name="_Toc15115"/>
      <w:r>
        <w:rPr>
          <w:rFonts w:hint="eastAsia" w:ascii="宋体" w:hAnsi="宋体" w:cs="宋体"/>
          <w:b/>
          <w:color w:val="auto"/>
          <w:sz w:val="22"/>
          <w:szCs w:val="22"/>
          <w:highlight w:val="none"/>
        </w:rPr>
        <w:t>七、投标人义务</w:t>
      </w:r>
      <w:bookmarkEnd w:id="315"/>
      <w:bookmarkEnd w:id="316"/>
      <w:bookmarkEnd w:id="317"/>
      <w:bookmarkEnd w:id="318"/>
      <w:bookmarkEnd w:id="319"/>
      <w:bookmarkEnd w:id="320"/>
      <w:bookmarkEnd w:id="321"/>
      <w:bookmarkEnd w:id="322"/>
      <w:bookmarkEnd w:id="323"/>
    </w:p>
    <w:p>
      <w:pPr>
        <w:spacing w:line="460" w:lineRule="exact"/>
        <w:ind w:firstLine="440" w:firstLineChars="200"/>
        <w:rPr>
          <w:rFonts w:ascii="宋体" w:hAnsi="宋体" w:cs="宋体"/>
          <w:color w:val="auto"/>
          <w:highlight w:val="none"/>
        </w:rPr>
      </w:pPr>
      <w:r>
        <w:rPr>
          <w:rFonts w:hint="eastAsia" w:ascii="宋体" w:hAnsi="宋体" w:cs="宋体"/>
          <w:color w:val="auto"/>
          <w:sz w:val="22"/>
          <w:szCs w:val="22"/>
          <w:highlight w:val="none"/>
        </w:rPr>
        <w:t>投标人应随时接受评标委员会的询标，解答包括有关的商务、技术问题等。评标结束，所有评标资料存招标机构备查。</w:t>
      </w:r>
    </w:p>
    <w:p>
      <w:pPr>
        <w:spacing w:line="460" w:lineRule="exact"/>
        <w:ind w:firstLine="539" w:firstLineChars="245"/>
        <w:rPr>
          <w:rFonts w:ascii="宋体" w:hAnsi="宋体" w:cs="宋体"/>
          <w:color w:val="auto"/>
          <w:sz w:val="22"/>
          <w:szCs w:val="22"/>
          <w:highlight w:val="none"/>
        </w:rPr>
      </w:pPr>
    </w:p>
    <w:sectPr>
      <w:headerReference r:id="rId9" w:type="default"/>
      <w:pgSz w:w="11907" w:h="16840"/>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rPr>
        <w:rFonts w:hint="eastAsia" w:ascii="新宋体" w:hAnsi="新宋体" w:eastAsia="新宋体" w:cs="新宋体"/>
      </w:rPr>
    </w:pPr>
    <w:r>
      <w:rPr>
        <w:rFonts w:hint="eastAsia" w:ascii="新宋体" w:hAnsi="新宋体" w:eastAsia="新宋体" w:cs="新宋体"/>
        <w:lang w:eastAsia="zh-CN"/>
      </w:rPr>
      <w:t>浙江工贸职业技术学院</w:t>
    </w:r>
    <w:r>
      <w:rPr>
        <w:rFonts w:hint="eastAsia" w:ascii="新宋体" w:hAnsi="新宋体" w:eastAsia="新宋体" w:cs="新宋体"/>
      </w:rPr>
      <w:t xml:space="preserve">招标文件                            </w:t>
    </w:r>
    <w:r>
      <w:rPr>
        <w:rFonts w:hint="eastAsia" w:ascii="新宋体" w:hAnsi="新宋体" w:eastAsia="新宋体" w:cs="新宋体"/>
        <w:lang w:val="en-US" w:eastAsia="zh-CN"/>
      </w:rPr>
      <w:t xml:space="preserve">         </w:t>
    </w:r>
    <w:r>
      <w:rPr>
        <w:rFonts w:hint="eastAsia" w:ascii="新宋体" w:hAnsi="新宋体" w:eastAsia="新宋体" w:cs="新宋体"/>
      </w:rPr>
      <w:t xml:space="preserve"> 项目编号：</w:t>
    </w:r>
    <w:r>
      <w:rPr>
        <w:rFonts w:hint="eastAsia" w:ascii="新宋体" w:hAnsi="新宋体" w:eastAsia="新宋体" w:cs="新宋体"/>
        <w:lang w:eastAsia="zh-CN"/>
      </w:rPr>
      <w:t>Z-WZLCZB（L）-2024-05154</w:t>
    </w:r>
    <w:r>
      <w:rPr>
        <w:rFonts w:hint="eastAsia" w:ascii="新宋体" w:hAnsi="新宋体" w:eastAsia="新宋体" w:cs="新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ascii="新宋体" w:hAnsi="新宋体" w:eastAsia="新宋体" w:cs="新宋体"/>
        <w:lang w:eastAsia="zh-CN"/>
      </w:rPr>
      <w:t>浙江工贸职业技术学院</w:t>
    </w:r>
    <w:r>
      <w:rPr>
        <w:rFonts w:hint="eastAsia" w:ascii="新宋体" w:hAnsi="新宋体" w:eastAsia="新宋体" w:cs="新宋体"/>
      </w:rPr>
      <w:t xml:space="preserve">招标文件                            </w:t>
    </w:r>
    <w:r>
      <w:rPr>
        <w:rFonts w:hint="eastAsia" w:ascii="新宋体" w:hAnsi="新宋体" w:eastAsia="新宋体" w:cs="新宋体"/>
        <w:lang w:val="en-US" w:eastAsia="zh-CN"/>
      </w:rPr>
      <w:t xml:space="preserve">         </w:t>
    </w:r>
    <w:r>
      <w:rPr>
        <w:rFonts w:hint="eastAsia" w:ascii="新宋体" w:hAnsi="新宋体" w:eastAsia="新宋体" w:cs="新宋体"/>
      </w:rPr>
      <w:t xml:space="preserve"> 项目编号：</w:t>
    </w:r>
    <w:r>
      <w:rPr>
        <w:rFonts w:hint="eastAsia" w:ascii="新宋体" w:hAnsi="新宋体" w:eastAsia="新宋体" w:cs="新宋体"/>
        <w:lang w:eastAsia="zh-CN"/>
      </w:rPr>
      <w:t>Z-WZLCZB（L）-2024-05154</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jc w:val="both"/>
    </w:pPr>
    <w:r>
      <w:rPr>
        <w:rFonts w:hint="eastAsia" w:ascii="新宋体" w:hAnsi="新宋体" w:eastAsia="新宋体" w:cs="新宋体"/>
        <w:lang w:eastAsia="zh-CN"/>
      </w:rPr>
      <w:t>浙江工贸职业技术学院</w:t>
    </w:r>
    <w:r>
      <w:rPr>
        <w:rFonts w:hint="eastAsia" w:ascii="新宋体" w:hAnsi="新宋体" w:eastAsia="新宋体" w:cs="新宋体"/>
      </w:rPr>
      <w:t xml:space="preserve">招标文件                            </w:t>
    </w:r>
    <w:r>
      <w:rPr>
        <w:rFonts w:hint="eastAsia" w:ascii="新宋体" w:hAnsi="新宋体" w:eastAsia="新宋体" w:cs="新宋体"/>
        <w:lang w:val="en-US" w:eastAsia="zh-CN"/>
      </w:rPr>
      <w:t xml:space="preserve">         </w:t>
    </w:r>
    <w:r>
      <w:rPr>
        <w:rFonts w:hint="eastAsia" w:ascii="新宋体" w:hAnsi="新宋体" w:eastAsia="新宋体" w:cs="新宋体"/>
      </w:rPr>
      <w:t xml:space="preserve"> 项目编号：</w:t>
    </w:r>
    <w:r>
      <w:rPr>
        <w:rFonts w:hint="eastAsia" w:ascii="新宋体" w:hAnsi="新宋体" w:eastAsia="新宋体" w:cs="新宋体"/>
        <w:lang w:eastAsia="zh-CN"/>
      </w:rPr>
      <w:t>Z-WZLCZB（L）-2024-05154</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1F181"/>
    <w:multiLevelType w:val="singleLevel"/>
    <w:tmpl w:val="CD31F181"/>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630"/>
        </w:tabs>
        <w:ind w:left="630" w:hanging="360"/>
      </w:pPr>
      <w:rPr>
        <w:rFonts w:hint="default"/>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iODFlYjE5OTExZGFjMDU4MzMwY2I4NzJlM2I5NzUifQ=="/>
  </w:docVars>
  <w:rsids>
    <w:rsidRoot w:val="00172A27"/>
    <w:rsid w:val="0002229F"/>
    <w:rsid w:val="00025DC7"/>
    <w:rsid w:val="001330A2"/>
    <w:rsid w:val="00172A27"/>
    <w:rsid w:val="0019455F"/>
    <w:rsid w:val="001D7D7C"/>
    <w:rsid w:val="003033AF"/>
    <w:rsid w:val="00347998"/>
    <w:rsid w:val="003A2A47"/>
    <w:rsid w:val="003B1E8D"/>
    <w:rsid w:val="003E6FB1"/>
    <w:rsid w:val="003F4FCE"/>
    <w:rsid w:val="0042525F"/>
    <w:rsid w:val="00467882"/>
    <w:rsid w:val="00475AAE"/>
    <w:rsid w:val="00484008"/>
    <w:rsid w:val="005736BA"/>
    <w:rsid w:val="0057485A"/>
    <w:rsid w:val="005978B8"/>
    <w:rsid w:val="005F0A4C"/>
    <w:rsid w:val="00605459"/>
    <w:rsid w:val="006712ED"/>
    <w:rsid w:val="006F0BE0"/>
    <w:rsid w:val="00706719"/>
    <w:rsid w:val="0074694C"/>
    <w:rsid w:val="0075479D"/>
    <w:rsid w:val="00767F98"/>
    <w:rsid w:val="0077607E"/>
    <w:rsid w:val="007953A3"/>
    <w:rsid w:val="007A5A00"/>
    <w:rsid w:val="008011C5"/>
    <w:rsid w:val="00806014"/>
    <w:rsid w:val="00824181"/>
    <w:rsid w:val="00872009"/>
    <w:rsid w:val="008C715B"/>
    <w:rsid w:val="008E3815"/>
    <w:rsid w:val="00917A6A"/>
    <w:rsid w:val="00944BC5"/>
    <w:rsid w:val="009D6EF6"/>
    <w:rsid w:val="009E4FBA"/>
    <w:rsid w:val="009F445E"/>
    <w:rsid w:val="00B21D4B"/>
    <w:rsid w:val="00B27F8D"/>
    <w:rsid w:val="00B61CE5"/>
    <w:rsid w:val="00B72974"/>
    <w:rsid w:val="00B75F10"/>
    <w:rsid w:val="00B87CCF"/>
    <w:rsid w:val="00B90220"/>
    <w:rsid w:val="00BE7C5D"/>
    <w:rsid w:val="00C85187"/>
    <w:rsid w:val="00CA35F5"/>
    <w:rsid w:val="00CE261F"/>
    <w:rsid w:val="00D14C34"/>
    <w:rsid w:val="00D202C2"/>
    <w:rsid w:val="00D31581"/>
    <w:rsid w:val="00D95FAF"/>
    <w:rsid w:val="00DA24F1"/>
    <w:rsid w:val="00DB6D78"/>
    <w:rsid w:val="00DD141F"/>
    <w:rsid w:val="00DF49CA"/>
    <w:rsid w:val="00E230B2"/>
    <w:rsid w:val="00E348BC"/>
    <w:rsid w:val="00EC2597"/>
    <w:rsid w:val="00ED1E2A"/>
    <w:rsid w:val="00F42E54"/>
    <w:rsid w:val="00F505AC"/>
    <w:rsid w:val="00FA24F1"/>
    <w:rsid w:val="00FB7D84"/>
    <w:rsid w:val="00FC4656"/>
    <w:rsid w:val="011F6B26"/>
    <w:rsid w:val="012810B4"/>
    <w:rsid w:val="01372171"/>
    <w:rsid w:val="013F27ED"/>
    <w:rsid w:val="01416FEB"/>
    <w:rsid w:val="01444FC2"/>
    <w:rsid w:val="015277DC"/>
    <w:rsid w:val="015C42F3"/>
    <w:rsid w:val="017973E5"/>
    <w:rsid w:val="019F31F3"/>
    <w:rsid w:val="01BB610E"/>
    <w:rsid w:val="01F15D70"/>
    <w:rsid w:val="02057871"/>
    <w:rsid w:val="020E0E62"/>
    <w:rsid w:val="02241550"/>
    <w:rsid w:val="02437BF2"/>
    <w:rsid w:val="024A13AC"/>
    <w:rsid w:val="02614B1A"/>
    <w:rsid w:val="02755A09"/>
    <w:rsid w:val="028F54FF"/>
    <w:rsid w:val="02953272"/>
    <w:rsid w:val="02974AC8"/>
    <w:rsid w:val="029A7AFD"/>
    <w:rsid w:val="02ED1C6E"/>
    <w:rsid w:val="02F42003"/>
    <w:rsid w:val="03002925"/>
    <w:rsid w:val="030F34B6"/>
    <w:rsid w:val="03104FB0"/>
    <w:rsid w:val="034A3564"/>
    <w:rsid w:val="034C70E3"/>
    <w:rsid w:val="03541CD8"/>
    <w:rsid w:val="035449CF"/>
    <w:rsid w:val="035E0DBD"/>
    <w:rsid w:val="035E4655"/>
    <w:rsid w:val="03601F25"/>
    <w:rsid w:val="03756184"/>
    <w:rsid w:val="03973EA6"/>
    <w:rsid w:val="03B44E81"/>
    <w:rsid w:val="03E3512A"/>
    <w:rsid w:val="04113D07"/>
    <w:rsid w:val="04212E87"/>
    <w:rsid w:val="043053DA"/>
    <w:rsid w:val="044C0C16"/>
    <w:rsid w:val="044F4C88"/>
    <w:rsid w:val="04531FA4"/>
    <w:rsid w:val="0466103B"/>
    <w:rsid w:val="04A51BAC"/>
    <w:rsid w:val="04B539BC"/>
    <w:rsid w:val="04CB22A6"/>
    <w:rsid w:val="05011E4D"/>
    <w:rsid w:val="050D4A5F"/>
    <w:rsid w:val="05241C5C"/>
    <w:rsid w:val="057C6E97"/>
    <w:rsid w:val="059B02C8"/>
    <w:rsid w:val="05A23DFD"/>
    <w:rsid w:val="05B54827"/>
    <w:rsid w:val="05E2749C"/>
    <w:rsid w:val="05E9329B"/>
    <w:rsid w:val="062A2873"/>
    <w:rsid w:val="06402525"/>
    <w:rsid w:val="070545E2"/>
    <w:rsid w:val="0705724E"/>
    <w:rsid w:val="073564AA"/>
    <w:rsid w:val="07453BEF"/>
    <w:rsid w:val="0747552D"/>
    <w:rsid w:val="07477178"/>
    <w:rsid w:val="07544F67"/>
    <w:rsid w:val="076E786E"/>
    <w:rsid w:val="077F0754"/>
    <w:rsid w:val="07995C3D"/>
    <w:rsid w:val="07B16BEF"/>
    <w:rsid w:val="07C30E4D"/>
    <w:rsid w:val="07E24498"/>
    <w:rsid w:val="07EF6B7E"/>
    <w:rsid w:val="07F43B72"/>
    <w:rsid w:val="07FF20A7"/>
    <w:rsid w:val="08186C61"/>
    <w:rsid w:val="082E6AED"/>
    <w:rsid w:val="08301451"/>
    <w:rsid w:val="0870649C"/>
    <w:rsid w:val="087972CF"/>
    <w:rsid w:val="08805ACF"/>
    <w:rsid w:val="089A0148"/>
    <w:rsid w:val="08A072E6"/>
    <w:rsid w:val="0908668B"/>
    <w:rsid w:val="09387F7D"/>
    <w:rsid w:val="093F28DD"/>
    <w:rsid w:val="09405F6A"/>
    <w:rsid w:val="096B25B6"/>
    <w:rsid w:val="096D3384"/>
    <w:rsid w:val="098C12EA"/>
    <w:rsid w:val="09C073F6"/>
    <w:rsid w:val="09DF00A6"/>
    <w:rsid w:val="0A2A628A"/>
    <w:rsid w:val="0A496C6B"/>
    <w:rsid w:val="0A4A4820"/>
    <w:rsid w:val="0A7022A3"/>
    <w:rsid w:val="0A97481C"/>
    <w:rsid w:val="0AA85CD1"/>
    <w:rsid w:val="0AD96629"/>
    <w:rsid w:val="0AE3391E"/>
    <w:rsid w:val="0AEB534A"/>
    <w:rsid w:val="0AEC0A73"/>
    <w:rsid w:val="0B08561C"/>
    <w:rsid w:val="0B0F3B3C"/>
    <w:rsid w:val="0B1A73CC"/>
    <w:rsid w:val="0B793B03"/>
    <w:rsid w:val="0B7D2716"/>
    <w:rsid w:val="0B7D6DAE"/>
    <w:rsid w:val="0BCB14A3"/>
    <w:rsid w:val="0BD66F7F"/>
    <w:rsid w:val="0C015C4E"/>
    <w:rsid w:val="0C262886"/>
    <w:rsid w:val="0C272E0B"/>
    <w:rsid w:val="0C331F58"/>
    <w:rsid w:val="0C3A18FA"/>
    <w:rsid w:val="0C3D2E11"/>
    <w:rsid w:val="0C3F1CD5"/>
    <w:rsid w:val="0C4D45E9"/>
    <w:rsid w:val="0C537F18"/>
    <w:rsid w:val="0C5965C0"/>
    <w:rsid w:val="0C710F12"/>
    <w:rsid w:val="0C7F74B5"/>
    <w:rsid w:val="0C8D5356"/>
    <w:rsid w:val="0C935463"/>
    <w:rsid w:val="0CBB2740"/>
    <w:rsid w:val="0CDD0FA5"/>
    <w:rsid w:val="0CF74AB8"/>
    <w:rsid w:val="0CFD7670"/>
    <w:rsid w:val="0CFF7854"/>
    <w:rsid w:val="0D131EEF"/>
    <w:rsid w:val="0D1E6764"/>
    <w:rsid w:val="0D217569"/>
    <w:rsid w:val="0D3F34E2"/>
    <w:rsid w:val="0D452BE9"/>
    <w:rsid w:val="0D545189"/>
    <w:rsid w:val="0D677729"/>
    <w:rsid w:val="0D6B6185"/>
    <w:rsid w:val="0D7553C0"/>
    <w:rsid w:val="0D9715BA"/>
    <w:rsid w:val="0DB84DC7"/>
    <w:rsid w:val="0DE934ED"/>
    <w:rsid w:val="0DFC74A1"/>
    <w:rsid w:val="0E053600"/>
    <w:rsid w:val="0E48055A"/>
    <w:rsid w:val="0E892B37"/>
    <w:rsid w:val="0EB95367"/>
    <w:rsid w:val="0ECA1221"/>
    <w:rsid w:val="0ED10E9D"/>
    <w:rsid w:val="0EDE7AD9"/>
    <w:rsid w:val="0EDF69EB"/>
    <w:rsid w:val="0F2261B2"/>
    <w:rsid w:val="0F3754EB"/>
    <w:rsid w:val="0F5D2358"/>
    <w:rsid w:val="0F762C4A"/>
    <w:rsid w:val="0F79019B"/>
    <w:rsid w:val="0F7D171D"/>
    <w:rsid w:val="0FBE1ECE"/>
    <w:rsid w:val="0FD36534"/>
    <w:rsid w:val="0FDF2AA2"/>
    <w:rsid w:val="0FE20A73"/>
    <w:rsid w:val="0FF42924"/>
    <w:rsid w:val="10003DE9"/>
    <w:rsid w:val="100376D9"/>
    <w:rsid w:val="1006133A"/>
    <w:rsid w:val="104211F7"/>
    <w:rsid w:val="106B1AC3"/>
    <w:rsid w:val="106F71AB"/>
    <w:rsid w:val="1092654A"/>
    <w:rsid w:val="10B31D1B"/>
    <w:rsid w:val="10B3676B"/>
    <w:rsid w:val="10C12337"/>
    <w:rsid w:val="10C47A4A"/>
    <w:rsid w:val="10C928E0"/>
    <w:rsid w:val="10D90315"/>
    <w:rsid w:val="10E536D5"/>
    <w:rsid w:val="1126516A"/>
    <w:rsid w:val="11B36134"/>
    <w:rsid w:val="11BF4CAB"/>
    <w:rsid w:val="11C43551"/>
    <w:rsid w:val="11DF71C9"/>
    <w:rsid w:val="120D4517"/>
    <w:rsid w:val="122311E2"/>
    <w:rsid w:val="125257CA"/>
    <w:rsid w:val="1286509F"/>
    <w:rsid w:val="12AF7CF6"/>
    <w:rsid w:val="12B60843"/>
    <w:rsid w:val="12D637BE"/>
    <w:rsid w:val="12DA4BE2"/>
    <w:rsid w:val="12F01674"/>
    <w:rsid w:val="12FA6151"/>
    <w:rsid w:val="131266F0"/>
    <w:rsid w:val="1326254C"/>
    <w:rsid w:val="133178BA"/>
    <w:rsid w:val="13580201"/>
    <w:rsid w:val="13635613"/>
    <w:rsid w:val="13A90F03"/>
    <w:rsid w:val="13BE6268"/>
    <w:rsid w:val="13C93111"/>
    <w:rsid w:val="13D34030"/>
    <w:rsid w:val="13FF7A53"/>
    <w:rsid w:val="1407509A"/>
    <w:rsid w:val="143652C2"/>
    <w:rsid w:val="144012B7"/>
    <w:rsid w:val="14842E95"/>
    <w:rsid w:val="14B3547D"/>
    <w:rsid w:val="14F95557"/>
    <w:rsid w:val="150B2E49"/>
    <w:rsid w:val="15150E31"/>
    <w:rsid w:val="152F1721"/>
    <w:rsid w:val="1573652E"/>
    <w:rsid w:val="159E4E04"/>
    <w:rsid w:val="15C216B2"/>
    <w:rsid w:val="15D53A02"/>
    <w:rsid w:val="15E94B40"/>
    <w:rsid w:val="15E96100"/>
    <w:rsid w:val="15F3003D"/>
    <w:rsid w:val="16075434"/>
    <w:rsid w:val="161A56A4"/>
    <w:rsid w:val="163004AD"/>
    <w:rsid w:val="16630751"/>
    <w:rsid w:val="16677B31"/>
    <w:rsid w:val="166E0962"/>
    <w:rsid w:val="167F5567"/>
    <w:rsid w:val="1693619A"/>
    <w:rsid w:val="16AA3642"/>
    <w:rsid w:val="16F94DEE"/>
    <w:rsid w:val="170A2C33"/>
    <w:rsid w:val="171B618B"/>
    <w:rsid w:val="173739A8"/>
    <w:rsid w:val="173F3F1C"/>
    <w:rsid w:val="174709EC"/>
    <w:rsid w:val="175F4275"/>
    <w:rsid w:val="176C3651"/>
    <w:rsid w:val="177752F2"/>
    <w:rsid w:val="178779AC"/>
    <w:rsid w:val="17981ED7"/>
    <w:rsid w:val="17B9696A"/>
    <w:rsid w:val="17D66CEA"/>
    <w:rsid w:val="18053987"/>
    <w:rsid w:val="1826131F"/>
    <w:rsid w:val="18271D4B"/>
    <w:rsid w:val="184E2D57"/>
    <w:rsid w:val="18642035"/>
    <w:rsid w:val="186C3AF5"/>
    <w:rsid w:val="1877210B"/>
    <w:rsid w:val="18D04684"/>
    <w:rsid w:val="18D61A77"/>
    <w:rsid w:val="18DA5364"/>
    <w:rsid w:val="18E109AB"/>
    <w:rsid w:val="18E64FD6"/>
    <w:rsid w:val="19257F5C"/>
    <w:rsid w:val="194B0024"/>
    <w:rsid w:val="194D1E03"/>
    <w:rsid w:val="196210F5"/>
    <w:rsid w:val="19642DC0"/>
    <w:rsid w:val="196868F5"/>
    <w:rsid w:val="196E79CE"/>
    <w:rsid w:val="198E61C9"/>
    <w:rsid w:val="19C84D8B"/>
    <w:rsid w:val="19EC27FE"/>
    <w:rsid w:val="1A1071C9"/>
    <w:rsid w:val="1A340690"/>
    <w:rsid w:val="1A6774E6"/>
    <w:rsid w:val="1A845347"/>
    <w:rsid w:val="1A8861D5"/>
    <w:rsid w:val="1A8E4AD8"/>
    <w:rsid w:val="1A8F3779"/>
    <w:rsid w:val="1AF759DC"/>
    <w:rsid w:val="1B4643E1"/>
    <w:rsid w:val="1BBB665B"/>
    <w:rsid w:val="1BF57F17"/>
    <w:rsid w:val="1C1F574B"/>
    <w:rsid w:val="1C220782"/>
    <w:rsid w:val="1C237506"/>
    <w:rsid w:val="1C2568C9"/>
    <w:rsid w:val="1C32098C"/>
    <w:rsid w:val="1C3705CD"/>
    <w:rsid w:val="1C420BEA"/>
    <w:rsid w:val="1C6F7740"/>
    <w:rsid w:val="1C794E77"/>
    <w:rsid w:val="1C8D151D"/>
    <w:rsid w:val="1C9660BA"/>
    <w:rsid w:val="1CAA5871"/>
    <w:rsid w:val="1CB50CD3"/>
    <w:rsid w:val="1CB95A0D"/>
    <w:rsid w:val="1CBE4C52"/>
    <w:rsid w:val="1CC47299"/>
    <w:rsid w:val="1CD86210"/>
    <w:rsid w:val="1CD94F00"/>
    <w:rsid w:val="1CDA36AB"/>
    <w:rsid w:val="1CE16994"/>
    <w:rsid w:val="1D042D5C"/>
    <w:rsid w:val="1D07422E"/>
    <w:rsid w:val="1D2031B4"/>
    <w:rsid w:val="1D31465B"/>
    <w:rsid w:val="1D4D4E89"/>
    <w:rsid w:val="1D840887"/>
    <w:rsid w:val="1D984AA7"/>
    <w:rsid w:val="1DC96A5B"/>
    <w:rsid w:val="1DCC2305"/>
    <w:rsid w:val="1DE72054"/>
    <w:rsid w:val="1DE8273A"/>
    <w:rsid w:val="1E2817C0"/>
    <w:rsid w:val="1E4235E0"/>
    <w:rsid w:val="1E532BCB"/>
    <w:rsid w:val="1E694D77"/>
    <w:rsid w:val="1E87B8B2"/>
    <w:rsid w:val="1EA0401F"/>
    <w:rsid w:val="1EC1289C"/>
    <w:rsid w:val="1EC85D86"/>
    <w:rsid w:val="1ED406AD"/>
    <w:rsid w:val="1ED966EA"/>
    <w:rsid w:val="1EDF5DFF"/>
    <w:rsid w:val="1F0115E6"/>
    <w:rsid w:val="1F400D45"/>
    <w:rsid w:val="1F5B0E3C"/>
    <w:rsid w:val="1F69425B"/>
    <w:rsid w:val="1F812736"/>
    <w:rsid w:val="1F997D08"/>
    <w:rsid w:val="1F9A0B7D"/>
    <w:rsid w:val="1FAD00B8"/>
    <w:rsid w:val="1FC638E1"/>
    <w:rsid w:val="1FC740F3"/>
    <w:rsid w:val="1FCE5ADD"/>
    <w:rsid w:val="1FD32D30"/>
    <w:rsid w:val="1FE57748"/>
    <w:rsid w:val="20077099"/>
    <w:rsid w:val="200D6F47"/>
    <w:rsid w:val="20125A90"/>
    <w:rsid w:val="201C6E50"/>
    <w:rsid w:val="2028604D"/>
    <w:rsid w:val="203C74A5"/>
    <w:rsid w:val="2053359A"/>
    <w:rsid w:val="20DC5417"/>
    <w:rsid w:val="210407C2"/>
    <w:rsid w:val="2124401D"/>
    <w:rsid w:val="2125593E"/>
    <w:rsid w:val="21365423"/>
    <w:rsid w:val="213A4458"/>
    <w:rsid w:val="213D35C4"/>
    <w:rsid w:val="21835AC8"/>
    <w:rsid w:val="219465A8"/>
    <w:rsid w:val="21964BB8"/>
    <w:rsid w:val="21A572BA"/>
    <w:rsid w:val="22273C78"/>
    <w:rsid w:val="22611515"/>
    <w:rsid w:val="2266158B"/>
    <w:rsid w:val="227472EC"/>
    <w:rsid w:val="22953CD1"/>
    <w:rsid w:val="22BC2FE9"/>
    <w:rsid w:val="23093AA8"/>
    <w:rsid w:val="23812232"/>
    <w:rsid w:val="238610A7"/>
    <w:rsid w:val="2387736F"/>
    <w:rsid w:val="239BBA44"/>
    <w:rsid w:val="239D7513"/>
    <w:rsid w:val="23A07A94"/>
    <w:rsid w:val="24003A9F"/>
    <w:rsid w:val="24327716"/>
    <w:rsid w:val="244A4713"/>
    <w:rsid w:val="244E0E93"/>
    <w:rsid w:val="24991C97"/>
    <w:rsid w:val="24C10CA1"/>
    <w:rsid w:val="24D10F97"/>
    <w:rsid w:val="24E340E0"/>
    <w:rsid w:val="25001CA1"/>
    <w:rsid w:val="25133EC3"/>
    <w:rsid w:val="25203D1B"/>
    <w:rsid w:val="252E1F46"/>
    <w:rsid w:val="253F1B87"/>
    <w:rsid w:val="25831E3A"/>
    <w:rsid w:val="259F60FC"/>
    <w:rsid w:val="25B20DC9"/>
    <w:rsid w:val="25BC27B3"/>
    <w:rsid w:val="25C15516"/>
    <w:rsid w:val="25D961F9"/>
    <w:rsid w:val="25DC45DF"/>
    <w:rsid w:val="25DD3C7A"/>
    <w:rsid w:val="26067BCA"/>
    <w:rsid w:val="26245372"/>
    <w:rsid w:val="264B1EE2"/>
    <w:rsid w:val="264B6355"/>
    <w:rsid w:val="264C07F6"/>
    <w:rsid w:val="265B4A79"/>
    <w:rsid w:val="265C22FB"/>
    <w:rsid w:val="26627459"/>
    <w:rsid w:val="26BB5760"/>
    <w:rsid w:val="26C413CE"/>
    <w:rsid w:val="26D15A67"/>
    <w:rsid w:val="26DE4C51"/>
    <w:rsid w:val="26F84ED3"/>
    <w:rsid w:val="26FD49E5"/>
    <w:rsid w:val="27177B5F"/>
    <w:rsid w:val="27215E15"/>
    <w:rsid w:val="273374C3"/>
    <w:rsid w:val="27352E0C"/>
    <w:rsid w:val="27691FEB"/>
    <w:rsid w:val="276C2A47"/>
    <w:rsid w:val="27753BB8"/>
    <w:rsid w:val="27995126"/>
    <w:rsid w:val="27D822AE"/>
    <w:rsid w:val="27FB6EF7"/>
    <w:rsid w:val="280B7BBA"/>
    <w:rsid w:val="28271C94"/>
    <w:rsid w:val="286607D4"/>
    <w:rsid w:val="28AB52FD"/>
    <w:rsid w:val="28B700EB"/>
    <w:rsid w:val="28BB1CFA"/>
    <w:rsid w:val="28C93469"/>
    <w:rsid w:val="28F039B6"/>
    <w:rsid w:val="29007903"/>
    <w:rsid w:val="291C616F"/>
    <w:rsid w:val="291E3312"/>
    <w:rsid w:val="294C745E"/>
    <w:rsid w:val="299A46A2"/>
    <w:rsid w:val="29A2742D"/>
    <w:rsid w:val="29C05EFF"/>
    <w:rsid w:val="29C1387D"/>
    <w:rsid w:val="2A0540EB"/>
    <w:rsid w:val="2A450970"/>
    <w:rsid w:val="2A4B75E1"/>
    <w:rsid w:val="2A542FA4"/>
    <w:rsid w:val="2A8E2C92"/>
    <w:rsid w:val="2A8F75F4"/>
    <w:rsid w:val="2A9A167B"/>
    <w:rsid w:val="2AEC78EA"/>
    <w:rsid w:val="2AF00FDF"/>
    <w:rsid w:val="2B14772B"/>
    <w:rsid w:val="2B165412"/>
    <w:rsid w:val="2B536385"/>
    <w:rsid w:val="2B8E438A"/>
    <w:rsid w:val="2B955CE5"/>
    <w:rsid w:val="2BA43086"/>
    <w:rsid w:val="2BA44C1F"/>
    <w:rsid w:val="2BB63302"/>
    <w:rsid w:val="2BB86970"/>
    <w:rsid w:val="2BC479C2"/>
    <w:rsid w:val="2BE760A3"/>
    <w:rsid w:val="2BEC7E2C"/>
    <w:rsid w:val="2BF0173C"/>
    <w:rsid w:val="2C1D7843"/>
    <w:rsid w:val="2C1E49A3"/>
    <w:rsid w:val="2C242D48"/>
    <w:rsid w:val="2C294F8C"/>
    <w:rsid w:val="2C345177"/>
    <w:rsid w:val="2C4174A9"/>
    <w:rsid w:val="2C4C6FDD"/>
    <w:rsid w:val="2C5C384A"/>
    <w:rsid w:val="2C6B6A7F"/>
    <w:rsid w:val="2CAA6184"/>
    <w:rsid w:val="2CAE3665"/>
    <w:rsid w:val="2CE12422"/>
    <w:rsid w:val="2D067826"/>
    <w:rsid w:val="2D0C2EEA"/>
    <w:rsid w:val="2D2247F8"/>
    <w:rsid w:val="2D2507C8"/>
    <w:rsid w:val="2D3622E0"/>
    <w:rsid w:val="2D391DD0"/>
    <w:rsid w:val="2D4E6221"/>
    <w:rsid w:val="2D504D62"/>
    <w:rsid w:val="2D6B4B28"/>
    <w:rsid w:val="2DFF4A83"/>
    <w:rsid w:val="2E122008"/>
    <w:rsid w:val="2E180D7A"/>
    <w:rsid w:val="2E262354"/>
    <w:rsid w:val="2E2E2168"/>
    <w:rsid w:val="2E40448B"/>
    <w:rsid w:val="2E6F4D13"/>
    <w:rsid w:val="2EC861BD"/>
    <w:rsid w:val="2ED266D6"/>
    <w:rsid w:val="2EE263F6"/>
    <w:rsid w:val="2F025B51"/>
    <w:rsid w:val="2F032CD9"/>
    <w:rsid w:val="2F5479BA"/>
    <w:rsid w:val="2F652DBB"/>
    <w:rsid w:val="2F6C589B"/>
    <w:rsid w:val="2F8F6598"/>
    <w:rsid w:val="2FC87C04"/>
    <w:rsid w:val="30127895"/>
    <w:rsid w:val="30253D18"/>
    <w:rsid w:val="304618DE"/>
    <w:rsid w:val="304E56F7"/>
    <w:rsid w:val="30574CB3"/>
    <w:rsid w:val="306233EC"/>
    <w:rsid w:val="30D00A85"/>
    <w:rsid w:val="30D54010"/>
    <w:rsid w:val="311F6DD1"/>
    <w:rsid w:val="31280E5F"/>
    <w:rsid w:val="315B412E"/>
    <w:rsid w:val="315C0464"/>
    <w:rsid w:val="317E778D"/>
    <w:rsid w:val="31A46759"/>
    <w:rsid w:val="31A729C5"/>
    <w:rsid w:val="31AC33EA"/>
    <w:rsid w:val="31BC065C"/>
    <w:rsid w:val="31FD5F2E"/>
    <w:rsid w:val="32314873"/>
    <w:rsid w:val="32556035"/>
    <w:rsid w:val="32572E2A"/>
    <w:rsid w:val="32825C9D"/>
    <w:rsid w:val="32A06764"/>
    <w:rsid w:val="32A12700"/>
    <w:rsid w:val="32B42BC5"/>
    <w:rsid w:val="32B703C5"/>
    <w:rsid w:val="32D5578E"/>
    <w:rsid w:val="32FE2C80"/>
    <w:rsid w:val="331B051A"/>
    <w:rsid w:val="332A470C"/>
    <w:rsid w:val="333E0AA9"/>
    <w:rsid w:val="33492157"/>
    <w:rsid w:val="334D54A5"/>
    <w:rsid w:val="33594892"/>
    <w:rsid w:val="338C350C"/>
    <w:rsid w:val="33A725A4"/>
    <w:rsid w:val="33DF5176"/>
    <w:rsid w:val="33E96E13"/>
    <w:rsid w:val="34104E5F"/>
    <w:rsid w:val="341C76D3"/>
    <w:rsid w:val="342F1C9A"/>
    <w:rsid w:val="343A07D4"/>
    <w:rsid w:val="343F797A"/>
    <w:rsid w:val="34592F90"/>
    <w:rsid w:val="3472746F"/>
    <w:rsid w:val="34AB08B2"/>
    <w:rsid w:val="34CD2882"/>
    <w:rsid w:val="34F32C75"/>
    <w:rsid w:val="34F7608F"/>
    <w:rsid w:val="352441F3"/>
    <w:rsid w:val="352F238C"/>
    <w:rsid w:val="353A62AA"/>
    <w:rsid w:val="354E6AA6"/>
    <w:rsid w:val="3561697A"/>
    <w:rsid w:val="359027A9"/>
    <w:rsid w:val="359039E0"/>
    <w:rsid w:val="359C5E8A"/>
    <w:rsid w:val="360C55AE"/>
    <w:rsid w:val="361B6F0C"/>
    <w:rsid w:val="362D24BD"/>
    <w:rsid w:val="367F3CF4"/>
    <w:rsid w:val="368173F8"/>
    <w:rsid w:val="3693324F"/>
    <w:rsid w:val="369FE906"/>
    <w:rsid w:val="36B62CCA"/>
    <w:rsid w:val="36B81822"/>
    <w:rsid w:val="36CC5A63"/>
    <w:rsid w:val="36DD4630"/>
    <w:rsid w:val="36E21805"/>
    <w:rsid w:val="36EC2369"/>
    <w:rsid w:val="375F7D75"/>
    <w:rsid w:val="376EB343"/>
    <w:rsid w:val="3790271A"/>
    <w:rsid w:val="37A9022D"/>
    <w:rsid w:val="37AC2C61"/>
    <w:rsid w:val="37BF3380"/>
    <w:rsid w:val="37BF8F28"/>
    <w:rsid w:val="37EA6A6A"/>
    <w:rsid w:val="38091819"/>
    <w:rsid w:val="380E4F1F"/>
    <w:rsid w:val="3811327A"/>
    <w:rsid w:val="38262013"/>
    <w:rsid w:val="38432EAC"/>
    <w:rsid w:val="384A0536"/>
    <w:rsid w:val="38930D40"/>
    <w:rsid w:val="3906602A"/>
    <w:rsid w:val="39213268"/>
    <w:rsid w:val="39617AB4"/>
    <w:rsid w:val="39BD1208"/>
    <w:rsid w:val="39CD32B0"/>
    <w:rsid w:val="3A124335"/>
    <w:rsid w:val="3A253491"/>
    <w:rsid w:val="3A265859"/>
    <w:rsid w:val="3A9C4BBA"/>
    <w:rsid w:val="3A9F2513"/>
    <w:rsid w:val="3AAD5BAB"/>
    <w:rsid w:val="3AB07AF3"/>
    <w:rsid w:val="3AC72086"/>
    <w:rsid w:val="3AC751D2"/>
    <w:rsid w:val="3AF25758"/>
    <w:rsid w:val="3B2A10BF"/>
    <w:rsid w:val="3B3E6753"/>
    <w:rsid w:val="3B5C2617"/>
    <w:rsid w:val="3BBF1028"/>
    <w:rsid w:val="3BF93AB6"/>
    <w:rsid w:val="3C0C7345"/>
    <w:rsid w:val="3C1425E4"/>
    <w:rsid w:val="3C3E6F24"/>
    <w:rsid w:val="3C7D7C99"/>
    <w:rsid w:val="3C8E5B9D"/>
    <w:rsid w:val="3C9B1352"/>
    <w:rsid w:val="3CC5239C"/>
    <w:rsid w:val="3CFA03A0"/>
    <w:rsid w:val="3D380096"/>
    <w:rsid w:val="3D4C0BB6"/>
    <w:rsid w:val="3D507557"/>
    <w:rsid w:val="3D585B11"/>
    <w:rsid w:val="3D5E1585"/>
    <w:rsid w:val="3D6669E6"/>
    <w:rsid w:val="3D6E1322"/>
    <w:rsid w:val="3D7409E0"/>
    <w:rsid w:val="3D755F99"/>
    <w:rsid w:val="3D7A2502"/>
    <w:rsid w:val="3DB226DA"/>
    <w:rsid w:val="3DD705A5"/>
    <w:rsid w:val="3DF04AA9"/>
    <w:rsid w:val="3E0A6B94"/>
    <w:rsid w:val="3E3A38EF"/>
    <w:rsid w:val="3E4C63DD"/>
    <w:rsid w:val="3E59117D"/>
    <w:rsid w:val="3E7F47AB"/>
    <w:rsid w:val="3EA13331"/>
    <w:rsid w:val="3EC12A78"/>
    <w:rsid w:val="3EDD4A14"/>
    <w:rsid w:val="3EFC3198"/>
    <w:rsid w:val="3EFD35FC"/>
    <w:rsid w:val="3F1C67B3"/>
    <w:rsid w:val="3F1F161E"/>
    <w:rsid w:val="3F4C7741"/>
    <w:rsid w:val="3F4E0AF4"/>
    <w:rsid w:val="3F6131BF"/>
    <w:rsid w:val="3F631D44"/>
    <w:rsid w:val="3F87161D"/>
    <w:rsid w:val="3FC22A30"/>
    <w:rsid w:val="3FC245C5"/>
    <w:rsid w:val="3FCB1275"/>
    <w:rsid w:val="3FF43235"/>
    <w:rsid w:val="3FF45099"/>
    <w:rsid w:val="401D6D4D"/>
    <w:rsid w:val="40254781"/>
    <w:rsid w:val="403060F0"/>
    <w:rsid w:val="407361C5"/>
    <w:rsid w:val="40A065BD"/>
    <w:rsid w:val="40AB39E0"/>
    <w:rsid w:val="40B3401B"/>
    <w:rsid w:val="40BC5D48"/>
    <w:rsid w:val="40E67796"/>
    <w:rsid w:val="40E718C2"/>
    <w:rsid w:val="40F44108"/>
    <w:rsid w:val="40FF1F62"/>
    <w:rsid w:val="412D5350"/>
    <w:rsid w:val="4197782B"/>
    <w:rsid w:val="41A3018B"/>
    <w:rsid w:val="41A535AA"/>
    <w:rsid w:val="41AA34F2"/>
    <w:rsid w:val="41E16A27"/>
    <w:rsid w:val="41EC0D67"/>
    <w:rsid w:val="4237178D"/>
    <w:rsid w:val="4241137D"/>
    <w:rsid w:val="429C1435"/>
    <w:rsid w:val="42E16EB3"/>
    <w:rsid w:val="42E34762"/>
    <w:rsid w:val="42E94B51"/>
    <w:rsid w:val="431300AC"/>
    <w:rsid w:val="4314169A"/>
    <w:rsid w:val="432705CC"/>
    <w:rsid w:val="43282273"/>
    <w:rsid w:val="43352F9D"/>
    <w:rsid w:val="434004A6"/>
    <w:rsid w:val="43470FC4"/>
    <w:rsid w:val="435A06C4"/>
    <w:rsid w:val="4364538A"/>
    <w:rsid w:val="43665A5C"/>
    <w:rsid w:val="436A0E5F"/>
    <w:rsid w:val="436A5C58"/>
    <w:rsid w:val="439D783D"/>
    <w:rsid w:val="439F1B8F"/>
    <w:rsid w:val="43AF4742"/>
    <w:rsid w:val="43B8313D"/>
    <w:rsid w:val="43BF1342"/>
    <w:rsid w:val="43D16F61"/>
    <w:rsid w:val="44286237"/>
    <w:rsid w:val="4431337C"/>
    <w:rsid w:val="443644DA"/>
    <w:rsid w:val="444730A2"/>
    <w:rsid w:val="44473503"/>
    <w:rsid w:val="444A72BB"/>
    <w:rsid w:val="44587DBF"/>
    <w:rsid w:val="446D0F76"/>
    <w:rsid w:val="449F563D"/>
    <w:rsid w:val="44BB1973"/>
    <w:rsid w:val="44E57F64"/>
    <w:rsid w:val="44EB0D5C"/>
    <w:rsid w:val="44FE278B"/>
    <w:rsid w:val="45025959"/>
    <w:rsid w:val="4555322C"/>
    <w:rsid w:val="456C41D2"/>
    <w:rsid w:val="45714C61"/>
    <w:rsid w:val="457948A6"/>
    <w:rsid w:val="458F25B2"/>
    <w:rsid w:val="45926E86"/>
    <w:rsid w:val="45AE7BDE"/>
    <w:rsid w:val="45EE76B2"/>
    <w:rsid w:val="46544D63"/>
    <w:rsid w:val="46840369"/>
    <w:rsid w:val="469461AE"/>
    <w:rsid w:val="46990B0B"/>
    <w:rsid w:val="46C96D69"/>
    <w:rsid w:val="46CD7FE0"/>
    <w:rsid w:val="46DF3663"/>
    <w:rsid w:val="470671AC"/>
    <w:rsid w:val="47166DC7"/>
    <w:rsid w:val="47782AC4"/>
    <w:rsid w:val="479242F1"/>
    <w:rsid w:val="47AB6627"/>
    <w:rsid w:val="47C05CA9"/>
    <w:rsid w:val="47F354E7"/>
    <w:rsid w:val="48392FEA"/>
    <w:rsid w:val="48396CD0"/>
    <w:rsid w:val="48531B40"/>
    <w:rsid w:val="485E1B03"/>
    <w:rsid w:val="48690867"/>
    <w:rsid w:val="488C61D2"/>
    <w:rsid w:val="48965ED0"/>
    <w:rsid w:val="48991014"/>
    <w:rsid w:val="489C2525"/>
    <w:rsid w:val="48DF1DC3"/>
    <w:rsid w:val="48EF319B"/>
    <w:rsid w:val="48EF714D"/>
    <w:rsid w:val="4924281B"/>
    <w:rsid w:val="49321AAF"/>
    <w:rsid w:val="494B4C4F"/>
    <w:rsid w:val="494F75D6"/>
    <w:rsid w:val="495D5814"/>
    <w:rsid w:val="495F69C1"/>
    <w:rsid w:val="496559B2"/>
    <w:rsid w:val="496770E4"/>
    <w:rsid w:val="49942410"/>
    <w:rsid w:val="49AC2396"/>
    <w:rsid w:val="49AD3D5C"/>
    <w:rsid w:val="49C56596"/>
    <w:rsid w:val="49F82934"/>
    <w:rsid w:val="4A2138A6"/>
    <w:rsid w:val="4A2867C8"/>
    <w:rsid w:val="4A48022F"/>
    <w:rsid w:val="4A5E6550"/>
    <w:rsid w:val="4A7103C0"/>
    <w:rsid w:val="4A7D7970"/>
    <w:rsid w:val="4ABF2E3F"/>
    <w:rsid w:val="4AC8014A"/>
    <w:rsid w:val="4AE419A1"/>
    <w:rsid w:val="4AEC71C1"/>
    <w:rsid w:val="4AFF0413"/>
    <w:rsid w:val="4B066AD1"/>
    <w:rsid w:val="4B1112E1"/>
    <w:rsid w:val="4BBA1EA3"/>
    <w:rsid w:val="4BD20FCE"/>
    <w:rsid w:val="4C0F1EAD"/>
    <w:rsid w:val="4C227943"/>
    <w:rsid w:val="4C9778E8"/>
    <w:rsid w:val="4C9F2852"/>
    <w:rsid w:val="4CB27F58"/>
    <w:rsid w:val="4CB92ABE"/>
    <w:rsid w:val="4CCC6242"/>
    <w:rsid w:val="4CE612F9"/>
    <w:rsid w:val="4D0900C6"/>
    <w:rsid w:val="4D096E8F"/>
    <w:rsid w:val="4D2E48C1"/>
    <w:rsid w:val="4D3413B0"/>
    <w:rsid w:val="4D653CC4"/>
    <w:rsid w:val="4D6F4EDD"/>
    <w:rsid w:val="4D854E1E"/>
    <w:rsid w:val="4DA145FE"/>
    <w:rsid w:val="4DCF60C5"/>
    <w:rsid w:val="4DF03A95"/>
    <w:rsid w:val="4E103A51"/>
    <w:rsid w:val="4E1C751D"/>
    <w:rsid w:val="4E2A36E9"/>
    <w:rsid w:val="4E2C41C7"/>
    <w:rsid w:val="4E4671B8"/>
    <w:rsid w:val="4E522D0C"/>
    <w:rsid w:val="4EB44BE7"/>
    <w:rsid w:val="4EF5033F"/>
    <w:rsid w:val="4F105740"/>
    <w:rsid w:val="4F3717BD"/>
    <w:rsid w:val="4F5F021D"/>
    <w:rsid w:val="4F610FB8"/>
    <w:rsid w:val="4F645A5D"/>
    <w:rsid w:val="4FD84E79"/>
    <w:rsid w:val="4FDF2870"/>
    <w:rsid w:val="50132220"/>
    <w:rsid w:val="5026426A"/>
    <w:rsid w:val="502C38B9"/>
    <w:rsid w:val="50445F58"/>
    <w:rsid w:val="504A26F6"/>
    <w:rsid w:val="504F2B7C"/>
    <w:rsid w:val="50750D8C"/>
    <w:rsid w:val="50A456F9"/>
    <w:rsid w:val="50E50AC2"/>
    <w:rsid w:val="50F37CB3"/>
    <w:rsid w:val="51022393"/>
    <w:rsid w:val="510961FA"/>
    <w:rsid w:val="51256C9D"/>
    <w:rsid w:val="5134433D"/>
    <w:rsid w:val="514915AE"/>
    <w:rsid w:val="51622499"/>
    <w:rsid w:val="51703763"/>
    <w:rsid w:val="519A7D87"/>
    <w:rsid w:val="51A5075C"/>
    <w:rsid w:val="51AC33C5"/>
    <w:rsid w:val="51AF57C6"/>
    <w:rsid w:val="51D91B03"/>
    <w:rsid w:val="523562A6"/>
    <w:rsid w:val="52381C50"/>
    <w:rsid w:val="524A562E"/>
    <w:rsid w:val="52601278"/>
    <w:rsid w:val="5288376A"/>
    <w:rsid w:val="52C32C39"/>
    <w:rsid w:val="52D474B8"/>
    <w:rsid w:val="52DD1C78"/>
    <w:rsid w:val="52ED05BC"/>
    <w:rsid w:val="52F512FA"/>
    <w:rsid w:val="5319496F"/>
    <w:rsid w:val="531F2B83"/>
    <w:rsid w:val="532F30EC"/>
    <w:rsid w:val="533711EA"/>
    <w:rsid w:val="53567BEF"/>
    <w:rsid w:val="53576E60"/>
    <w:rsid w:val="53816B21"/>
    <w:rsid w:val="53976EC1"/>
    <w:rsid w:val="53987113"/>
    <w:rsid w:val="53B319B5"/>
    <w:rsid w:val="53C8376B"/>
    <w:rsid w:val="53ED0749"/>
    <w:rsid w:val="54421A1B"/>
    <w:rsid w:val="5449107B"/>
    <w:rsid w:val="544B29D0"/>
    <w:rsid w:val="544C52F5"/>
    <w:rsid w:val="54582F22"/>
    <w:rsid w:val="5477009A"/>
    <w:rsid w:val="54C2149A"/>
    <w:rsid w:val="54E95147"/>
    <w:rsid w:val="550D2648"/>
    <w:rsid w:val="55712821"/>
    <w:rsid w:val="559E2EBF"/>
    <w:rsid w:val="55A1413E"/>
    <w:rsid w:val="55CA23B4"/>
    <w:rsid w:val="55CA584F"/>
    <w:rsid w:val="55E97EAE"/>
    <w:rsid w:val="55EB6283"/>
    <w:rsid w:val="55FD7B2E"/>
    <w:rsid w:val="560517F8"/>
    <w:rsid w:val="561305EC"/>
    <w:rsid w:val="56241695"/>
    <w:rsid w:val="562B0B73"/>
    <w:rsid w:val="562B1343"/>
    <w:rsid w:val="5651208F"/>
    <w:rsid w:val="5689563B"/>
    <w:rsid w:val="56B8479E"/>
    <w:rsid w:val="56BB2D2F"/>
    <w:rsid w:val="56C3708C"/>
    <w:rsid w:val="56CA6853"/>
    <w:rsid w:val="56ED629A"/>
    <w:rsid w:val="57071F43"/>
    <w:rsid w:val="57225A2C"/>
    <w:rsid w:val="572B4892"/>
    <w:rsid w:val="575801D6"/>
    <w:rsid w:val="57616002"/>
    <w:rsid w:val="578B0492"/>
    <w:rsid w:val="578E25D7"/>
    <w:rsid w:val="57C26B2D"/>
    <w:rsid w:val="57E26A3C"/>
    <w:rsid w:val="57E66D1D"/>
    <w:rsid w:val="57F83669"/>
    <w:rsid w:val="57FF24BC"/>
    <w:rsid w:val="581801F4"/>
    <w:rsid w:val="5841719C"/>
    <w:rsid w:val="589D2963"/>
    <w:rsid w:val="58AE15EB"/>
    <w:rsid w:val="58C80256"/>
    <w:rsid w:val="58DE757B"/>
    <w:rsid w:val="58F01928"/>
    <w:rsid w:val="5921150F"/>
    <w:rsid w:val="597342F4"/>
    <w:rsid w:val="59943DE5"/>
    <w:rsid w:val="59B20F9F"/>
    <w:rsid w:val="59B35B4B"/>
    <w:rsid w:val="59B67BE2"/>
    <w:rsid w:val="59B819C2"/>
    <w:rsid w:val="59E94E4A"/>
    <w:rsid w:val="5A004493"/>
    <w:rsid w:val="5A4E1DB8"/>
    <w:rsid w:val="5A604F94"/>
    <w:rsid w:val="5A68520E"/>
    <w:rsid w:val="5A6E1159"/>
    <w:rsid w:val="5A706581"/>
    <w:rsid w:val="5A7066E6"/>
    <w:rsid w:val="5A7C0EA3"/>
    <w:rsid w:val="5A9F6BD3"/>
    <w:rsid w:val="5AA62937"/>
    <w:rsid w:val="5AB920FA"/>
    <w:rsid w:val="5AC87F20"/>
    <w:rsid w:val="5ADF613B"/>
    <w:rsid w:val="5AED215F"/>
    <w:rsid w:val="5AFD02AF"/>
    <w:rsid w:val="5B021445"/>
    <w:rsid w:val="5B076E4A"/>
    <w:rsid w:val="5B13747C"/>
    <w:rsid w:val="5B1B2537"/>
    <w:rsid w:val="5B204573"/>
    <w:rsid w:val="5B58368C"/>
    <w:rsid w:val="5B95104C"/>
    <w:rsid w:val="5B9BE19A"/>
    <w:rsid w:val="5BEE69DD"/>
    <w:rsid w:val="5C0230C0"/>
    <w:rsid w:val="5C0B09A8"/>
    <w:rsid w:val="5C0F17BB"/>
    <w:rsid w:val="5C3F1579"/>
    <w:rsid w:val="5C861647"/>
    <w:rsid w:val="5C942F44"/>
    <w:rsid w:val="5C964DBE"/>
    <w:rsid w:val="5C9B11E3"/>
    <w:rsid w:val="5CB42CBE"/>
    <w:rsid w:val="5CBB1864"/>
    <w:rsid w:val="5CBD3460"/>
    <w:rsid w:val="5CF94831"/>
    <w:rsid w:val="5D1C12A9"/>
    <w:rsid w:val="5D336818"/>
    <w:rsid w:val="5D5729F6"/>
    <w:rsid w:val="5D6A3D29"/>
    <w:rsid w:val="5D6B6EE8"/>
    <w:rsid w:val="5D9F77DE"/>
    <w:rsid w:val="5DA83D4F"/>
    <w:rsid w:val="5DB252C1"/>
    <w:rsid w:val="5DB67000"/>
    <w:rsid w:val="5DB93E54"/>
    <w:rsid w:val="5DC71985"/>
    <w:rsid w:val="5DE577D1"/>
    <w:rsid w:val="5DE70C7D"/>
    <w:rsid w:val="5DF92166"/>
    <w:rsid w:val="5E0C2497"/>
    <w:rsid w:val="5E1223FD"/>
    <w:rsid w:val="5E411A4B"/>
    <w:rsid w:val="5E473B1C"/>
    <w:rsid w:val="5E5F7D3B"/>
    <w:rsid w:val="5E886352"/>
    <w:rsid w:val="5E906F6D"/>
    <w:rsid w:val="5EC400A3"/>
    <w:rsid w:val="5ED410BE"/>
    <w:rsid w:val="5F042E24"/>
    <w:rsid w:val="5F2356CA"/>
    <w:rsid w:val="5F3E2B5F"/>
    <w:rsid w:val="5F522D7B"/>
    <w:rsid w:val="5F535EE5"/>
    <w:rsid w:val="5F644FE3"/>
    <w:rsid w:val="5F6D7769"/>
    <w:rsid w:val="5F6E7AEA"/>
    <w:rsid w:val="5FA410D6"/>
    <w:rsid w:val="5FAB282F"/>
    <w:rsid w:val="5FAF8A79"/>
    <w:rsid w:val="5FBA1FC5"/>
    <w:rsid w:val="5FC25F15"/>
    <w:rsid w:val="5FC43550"/>
    <w:rsid w:val="5FCB6A79"/>
    <w:rsid w:val="5FDA9553"/>
    <w:rsid w:val="5FE71F50"/>
    <w:rsid w:val="5FF511BE"/>
    <w:rsid w:val="5FFF2396"/>
    <w:rsid w:val="5FFFE563"/>
    <w:rsid w:val="6007755F"/>
    <w:rsid w:val="604A14EE"/>
    <w:rsid w:val="60664672"/>
    <w:rsid w:val="60817E51"/>
    <w:rsid w:val="60B542AD"/>
    <w:rsid w:val="61046687"/>
    <w:rsid w:val="61053D86"/>
    <w:rsid w:val="615B1AFB"/>
    <w:rsid w:val="61775424"/>
    <w:rsid w:val="61835C74"/>
    <w:rsid w:val="618918BE"/>
    <w:rsid w:val="61A345CF"/>
    <w:rsid w:val="61DE2370"/>
    <w:rsid w:val="61F71FD6"/>
    <w:rsid w:val="622F7629"/>
    <w:rsid w:val="623A7D7A"/>
    <w:rsid w:val="626A7D5A"/>
    <w:rsid w:val="626E4109"/>
    <w:rsid w:val="62741BFE"/>
    <w:rsid w:val="62804DB9"/>
    <w:rsid w:val="62980D9A"/>
    <w:rsid w:val="629F55E2"/>
    <w:rsid w:val="62CD53DB"/>
    <w:rsid w:val="62F616C7"/>
    <w:rsid w:val="63381068"/>
    <w:rsid w:val="63544BD1"/>
    <w:rsid w:val="635A423F"/>
    <w:rsid w:val="638527C3"/>
    <w:rsid w:val="63A50501"/>
    <w:rsid w:val="63A81889"/>
    <w:rsid w:val="63AE1EC8"/>
    <w:rsid w:val="63F8673F"/>
    <w:rsid w:val="63FF6967"/>
    <w:rsid w:val="6407452F"/>
    <w:rsid w:val="645F5DC9"/>
    <w:rsid w:val="646E3CB5"/>
    <w:rsid w:val="64AB075F"/>
    <w:rsid w:val="64BE611F"/>
    <w:rsid w:val="64E51842"/>
    <w:rsid w:val="65444882"/>
    <w:rsid w:val="6577BCA6"/>
    <w:rsid w:val="657C36B8"/>
    <w:rsid w:val="65D72728"/>
    <w:rsid w:val="65DB1059"/>
    <w:rsid w:val="65DC7438"/>
    <w:rsid w:val="65EB1A66"/>
    <w:rsid w:val="65F430E2"/>
    <w:rsid w:val="66117811"/>
    <w:rsid w:val="666E2046"/>
    <w:rsid w:val="669323DE"/>
    <w:rsid w:val="66A74A52"/>
    <w:rsid w:val="66AA37C4"/>
    <w:rsid w:val="66C04514"/>
    <w:rsid w:val="66D22371"/>
    <w:rsid w:val="66D734E4"/>
    <w:rsid w:val="66E11E63"/>
    <w:rsid w:val="67371992"/>
    <w:rsid w:val="673A3D9F"/>
    <w:rsid w:val="673A4648"/>
    <w:rsid w:val="6741323A"/>
    <w:rsid w:val="67580D25"/>
    <w:rsid w:val="675B6AFA"/>
    <w:rsid w:val="67701028"/>
    <w:rsid w:val="67795629"/>
    <w:rsid w:val="677F598A"/>
    <w:rsid w:val="678A05F9"/>
    <w:rsid w:val="678A0690"/>
    <w:rsid w:val="678B77A6"/>
    <w:rsid w:val="67A75387"/>
    <w:rsid w:val="68100B7A"/>
    <w:rsid w:val="6819737B"/>
    <w:rsid w:val="68201E16"/>
    <w:rsid w:val="68293455"/>
    <w:rsid w:val="689E69AF"/>
    <w:rsid w:val="68A443E5"/>
    <w:rsid w:val="68F240C7"/>
    <w:rsid w:val="692B759D"/>
    <w:rsid w:val="693518F9"/>
    <w:rsid w:val="69412846"/>
    <w:rsid w:val="695D0BE9"/>
    <w:rsid w:val="69694CF5"/>
    <w:rsid w:val="696B7731"/>
    <w:rsid w:val="69A06439"/>
    <w:rsid w:val="69B8614D"/>
    <w:rsid w:val="69D229D3"/>
    <w:rsid w:val="69D84081"/>
    <w:rsid w:val="69FD46DC"/>
    <w:rsid w:val="6A147F71"/>
    <w:rsid w:val="6A384C5A"/>
    <w:rsid w:val="6A726123"/>
    <w:rsid w:val="6A9B699A"/>
    <w:rsid w:val="6ABE60E9"/>
    <w:rsid w:val="6AE9755F"/>
    <w:rsid w:val="6AF763A4"/>
    <w:rsid w:val="6B0042DE"/>
    <w:rsid w:val="6B0B1847"/>
    <w:rsid w:val="6B0C0BEA"/>
    <w:rsid w:val="6B292FAB"/>
    <w:rsid w:val="6B696C8B"/>
    <w:rsid w:val="6B707134"/>
    <w:rsid w:val="6B7F5533"/>
    <w:rsid w:val="6B93280A"/>
    <w:rsid w:val="6BED7225"/>
    <w:rsid w:val="6C1B1900"/>
    <w:rsid w:val="6C391476"/>
    <w:rsid w:val="6C4D0633"/>
    <w:rsid w:val="6C6E4D2D"/>
    <w:rsid w:val="6C7569B2"/>
    <w:rsid w:val="6C88304D"/>
    <w:rsid w:val="6C954F10"/>
    <w:rsid w:val="6CA13AB4"/>
    <w:rsid w:val="6CB67C97"/>
    <w:rsid w:val="6CFF695D"/>
    <w:rsid w:val="6D032D5E"/>
    <w:rsid w:val="6D0675E3"/>
    <w:rsid w:val="6D284DE3"/>
    <w:rsid w:val="6D4C14BC"/>
    <w:rsid w:val="6D5E1397"/>
    <w:rsid w:val="6D6535F8"/>
    <w:rsid w:val="6D6A7A88"/>
    <w:rsid w:val="6DB10E69"/>
    <w:rsid w:val="6DDE7D58"/>
    <w:rsid w:val="6DE30B59"/>
    <w:rsid w:val="6E074888"/>
    <w:rsid w:val="6E0A419F"/>
    <w:rsid w:val="6E12150B"/>
    <w:rsid w:val="6E1B0232"/>
    <w:rsid w:val="6E4101E5"/>
    <w:rsid w:val="6E69246E"/>
    <w:rsid w:val="6E835256"/>
    <w:rsid w:val="6EB54AF3"/>
    <w:rsid w:val="6EB70495"/>
    <w:rsid w:val="6EB74809"/>
    <w:rsid w:val="6EB90F5C"/>
    <w:rsid w:val="6EDF1252"/>
    <w:rsid w:val="6EF963B0"/>
    <w:rsid w:val="6EFD3C1A"/>
    <w:rsid w:val="6EFF15E7"/>
    <w:rsid w:val="6F0A071A"/>
    <w:rsid w:val="6F194CCB"/>
    <w:rsid w:val="6F366286"/>
    <w:rsid w:val="6F49026C"/>
    <w:rsid w:val="6F50716D"/>
    <w:rsid w:val="6F644F21"/>
    <w:rsid w:val="6F7B2B4B"/>
    <w:rsid w:val="6F837F46"/>
    <w:rsid w:val="6F98233C"/>
    <w:rsid w:val="6FC4220F"/>
    <w:rsid w:val="6FDC6FF5"/>
    <w:rsid w:val="6FE74D84"/>
    <w:rsid w:val="70140259"/>
    <w:rsid w:val="70147557"/>
    <w:rsid w:val="701F5075"/>
    <w:rsid w:val="70402F20"/>
    <w:rsid w:val="70441C8E"/>
    <w:rsid w:val="70524D90"/>
    <w:rsid w:val="70812BD2"/>
    <w:rsid w:val="70BA2FA5"/>
    <w:rsid w:val="70BD378A"/>
    <w:rsid w:val="71062E6C"/>
    <w:rsid w:val="712E47F6"/>
    <w:rsid w:val="7134474E"/>
    <w:rsid w:val="71573B9F"/>
    <w:rsid w:val="715A415B"/>
    <w:rsid w:val="7161483B"/>
    <w:rsid w:val="717363AB"/>
    <w:rsid w:val="71870707"/>
    <w:rsid w:val="71D40552"/>
    <w:rsid w:val="71E1094E"/>
    <w:rsid w:val="71EA67C2"/>
    <w:rsid w:val="71FE7FD5"/>
    <w:rsid w:val="720D678D"/>
    <w:rsid w:val="7249538F"/>
    <w:rsid w:val="725612DC"/>
    <w:rsid w:val="725F6BE2"/>
    <w:rsid w:val="72762278"/>
    <w:rsid w:val="727B3A93"/>
    <w:rsid w:val="72FD2856"/>
    <w:rsid w:val="731C7EC5"/>
    <w:rsid w:val="73251E72"/>
    <w:rsid w:val="732F6CEE"/>
    <w:rsid w:val="73355126"/>
    <w:rsid w:val="733E62E4"/>
    <w:rsid w:val="738C4129"/>
    <w:rsid w:val="73915317"/>
    <w:rsid w:val="73BF8210"/>
    <w:rsid w:val="73CA79D7"/>
    <w:rsid w:val="73E350DB"/>
    <w:rsid w:val="741218FE"/>
    <w:rsid w:val="743E2DF5"/>
    <w:rsid w:val="743E5B76"/>
    <w:rsid w:val="745C3B28"/>
    <w:rsid w:val="745E4549"/>
    <w:rsid w:val="747221FB"/>
    <w:rsid w:val="748E7375"/>
    <w:rsid w:val="74D156FD"/>
    <w:rsid w:val="74E840FD"/>
    <w:rsid w:val="751F640F"/>
    <w:rsid w:val="75204EA7"/>
    <w:rsid w:val="752407A4"/>
    <w:rsid w:val="75526983"/>
    <w:rsid w:val="756B446A"/>
    <w:rsid w:val="75820499"/>
    <w:rsid w:val="75A33669"/>
    <w:rsid w:val="75A96327"/>
    <w:rsid w:val="75AD3CB7"/>
    <w:rsid w:val="75E874BC"/>
    <w:rsid w:val="75F68BDB"/>
    <w:rsid w:val="75F7534C"/>
    <w:rsid w:val="760926D0"/>
    <w:rsid w:val="76142AA0"/>
    <w:rsid w:val="7615746B"/>
    <w:rsid w:val="76191263"/>
    <w:rsid w:val="76240449"/>
    <w:rsid w:val="76414119"/>
    <w:rsid w:val="766D7A52"/>
    <w:rsid w:val="76702E1C"/>
    <w:rsid w:val="769A605D"/>
    <w:rsid w:val="769C0ADE"/>
    <w:rsid w:val="76BF7C12"/>
    <w:rsid w:val="76C030CD"/>
    <w:rsid w:val="76EA2099"/>
    <w:rsid w:val="77234FCF"/>
    <w:rsid w:val="77581BEA"/>
    <w:rsid w:val="7775610E"/>
    <w:rsid w:val="7795168F"/>
    <w:rsid w:val="77C5082F"/>
    <w:rsid w:val="78122985"/>
    <w:rsid w:val="78462278"/>
    <w:rsid w:val="784D2C4A"/>
    <w:rsid w:val="786B1CDE"/>
    <w:rsid w:val="78771E27"/>
    <w:rsid w:val="788D715F"/>
    <w:rsid w:val="78926E68"/>
    <w:rsid w:val="789B791D"/>
    <w:rsid w:val="789D5077"/>
    <w:rsid w:val="78B13B95"/>
    <w:rsid w:val="78B617B4"/>
    <w:rsid w:val="78C52B6C"/>
    <w:rsid w:val="78CD0527"/>
    <w:rsid w:val="78FE24A2"/>
    <w:rsid w:val="79045905"/>
    <w:rsid w:val="79152FEB"/>
    <w:rsid w:val="797A63CF"/>
    <w:rsid w:val="79817742"/>
    <w:rsid w:val="79842ABB"/>
    <w:rsid w:val="79D1132C"/>
    <w:rsid w:val="79D234B5"/>
    <w:rsid w:val="79D84C43"/>
    <w:rsid w:val="79DA2354"/>
    <w:rsid w:val="79E7F454"/>
    <w:rsid w:val="79EC63BA"/>
    <w:rsid w:val="7A1025E2"/>
    <w:rsid w:val="7A1D37FE"/>
    <w:rsid w:val="7A893971"/>
    <w:rsid w:val="7AA8721A"/>
    <w:rsid w:val="7AA96EB5"/>
    <w:rsid w:val="7ABC3697"/>
    <w:rsid w:val="7AD45005"/>
    <w:rsid w:val="7AD61FD9"/>
    <w:rsid w:val="7AE4462C"/>
    <w:rsid w:val="7AFB336D"/>
    <w:rsid w:val="7B244303"/>
    <w:rsid w:val="7B29701A"/>
    <w:rsid w:val="7B486A4D"/>
    <w:rsid w:val="7B751FD5"/>
    <w:rsid w:val="7B75534E"/>
    <w:rsid w:val="7B7E6EE8"/>
    <w:rsid w:val="7BAD6EB9"/>
    <w:rsid w:val="7BBC2008"/>
    <w:rsid w:val="7BC040B8"/>
    <w:rsid w:val="7BD75BE6"/>
    <w:rsid w:val="7BD96D1A"/>
    <w:rsid w:val="7BDF398F"/>
    <w:rsid w:val="7C116E57"/>
    <w:rsid w:val="7C3E5A74"/>
    <w:rsid w:val="7C43783F"/>
    <w:rsid w:val="7C592AD4"/>
    <w:rsid w:val="7C6341CC"/>
    <w:rsid w:val="7C9776BD"/>
    <w:rsid w:val="7CA14CBB"/>
    <w:rsid w:val="7CB7798D"/>
    <w:rsid w:val="7CCF79B4"/>
    <w:rsid w:val="7CD478E4"/>
    <w:rsid w:val="7CDE3370"/>
    <w:rsid w:val="7CDE524D"/>
    <w:rsid w:val="7CE439ED"/>
    <w:rsid w:val="7CF53A15"/>
    <w:rsid w:val="7CF85706"/>
    <w:rsid w:val="7D0B53EF"/>
    <w:rsid w:val="7D20578D"/>
    <w:rsid w:val="7D527D86"/>
    <w:rsid w:val="7D846E42"/>
    <w:rsid w:val="7DA01B79"/>
    <w:rsid w:val="7DAB4ED5"/>
    <w:rsid w:val="7DF613F7"/>
    <w:rsid w:val="7DF62DC9"/>
    <w:rsid w:val="7DFBB86F"/>
    <w:rsid w:val="7E3B3F4D"/>
    <w:rsid w:val="7EA426CC"/>
    <w:rsid w:val="7EBB1F39"/>
    <w:rsid w:val="7EBD4CC0"/>
    <w:rsid w:val="7EC035FD"/>
    <w:rsid w:val="7EC40A24"/>
    <w:rsid w:val="7ED34FE4"/>
    <w:rsid w:val="7EE2740E"/>
    <w:rsid w:val="7EFE276E"/>
    <w:rsid w:val="7F2733BE"/>
    <w:rsid w:val="7F283120"/>
    <w:rsid w:val="7F435AF9"/>
    <w:rsid w:val="7F525EB9"/>
    <w:rsid w:val="7F540119"/>
    <w:rsid w:val="7F6337BD"/>
    <w:rsid w:val="7F751AFD"/>
    <w:rsid w:val="7F7C472D"/>
    <w:rsid w:val="7F846908"/>
    <w:rsid w:val="7FAB4958"/>
    <w:rsid w:val="7FB551BC"/>
    <w:rsid w:val="7FD446E9"/>
    <w:rsid w:val="7FDFB310"/>
    <w:rsid w:val="7FF702D1"/>
    <w:rsid w:val="96DB4A44"/>
    <w:rsid w:val="B6BB9CC9"/>
    <w:rsid w:val="BB706624"/>
    <w:rsid w:val="BEDE097F"/>
    <w:rsid w:val="BEEFA0AE"/>
    <w:rsid w:val="BFB06F73"/>
    <w:rsid w:val="D73FDC58"/>
    <w:rsid w:val="DF7D25B7"/>
    <w:rsid w:val="DF7D31F0"/>
    <w:rsid w:val="E56A0BF8"/>
    <w:rsid w:val="EDF35115"/>
    <w:rsid w:val="F3DEF808"/>
    <w:rsid w:val="F97737E4"/>
    <w:rsid w:val="FBFC38B8"/>
    <w:rsid w:val="FFBB604F"/>
    <w:rsid w:val="FFFFF8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jc w:val="center"/>
      <w:outlineLvl w:val="0"/>
    </w:pPr>
    <w:rPr>
      <w:rFonts w:eastAsia="黑体"/>
      <w:b/>
      <w:sz w:val="32"/>
      <w:szCs w:val="20"/>
    </w:rPr>
  </w:style>
  <w:style w:type="paragraph" w:styleId="4">
    <w:name w:val="heading 2"/>
    <w:basedOn w:val="1"/>
    <w:next w:val="1"/>
    <w:link w:val="66"/>
    <w:qFormat/>
    <w:uiPriority w:val="0"/>
    <w:pPr>
      <w:keepNext/>
      <w:outlineLvl w:val="1"/>
    </w:pPr>
    <w:rPr>
      <w:rFonts w:ascii="仿宋_GB2312"/>
      <w:b/>
      <w:sz w:val="28"/>
      <w:szCs w:val="32"/>
    </w:rPr>
  </w:style>
  <w:style w:type="paragraph" w:styleId="5">
    <w:name w:val="heading 3"/>
    <w:basedOn w:val="1"/>
    <w:next w:val="1"/>
    <w:link w:val="67"/>
    <w:qFormat/>
    <w:uiPriority w:val="0"/>
    <w:pPr>
      <w:keepNext/>
      <w:keepLines/>
      <w:spacing w:line="540" w:lineRule="atLeast"/>
      <w:outlineLvl w:val="2"/>
    </w:pPr>
    <w:rPr>
      <w:rFonts w:eastAsia="黑体"/>
      <w:b/>
      <w:sz w:val="28"/>
      <w:szCs w:val="20"/>
    </w:rPr>
  </w:style>
  <w:style w:type="paragraph" w:styleId="6">
    <w:name w:val="heading 4"/>
    <w:basedOn w:val="1"/>
    <w:next w:val="1"/>
    <w:link w:val="68"/>
    <w:qFormat/>
    <w:uiPriority w:val="0"/>
    <w:pPr>
      <w:keepNext/>
      <w:keepLines/>
      <w:spacing w:line="540" w:lineRule="atLeast"/>
      <w:outlineLvl w:val="3"/>
    </w:pPr>
    <w:rPr>
      <w:sz w:val="28"/>
      <w:szCs w:val="28"/>
    </w:rPr>
  </w:style>
  <w:style w:type="paragraph" w:styleId="7">
    <w:name w:val="heading 5"/>
    <w:basedOn w:val="1"/>
    <w:next w:val="1"/>
    <w:link w:val="69"/>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70"/>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2"/>
    <w:qFormat/>
    <w:uiPriority w:val="0"/>
    <w:pPr>
      <w:keepNext/>
      <w:keepLines/>
      <w:spacing w:before="240" w:after="64" w:line="317" w:lineRule="auto"/>
      <w:outlineLvl w:val="6"/>
    </w:pPr>
    <w:rPr>
      <w:b/>
      <w:sz w:val="24"/>
      <w:szCs w:val="20"/>
    </w:rPr>
  </w:style>
  <w:style w:type="paragraph" w:styleId="11">
    <w:name w:val="heading 8"/>
    <w:basedOn w:val="1"/>
    <w:next w:val="9"/>
    <w:link w:val="73"/>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74"/>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2">
    <w:name w:val="macro"/>
    <w:link w:val="6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71"/>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75"/>
    <w:qFormat/>
    <w:uiPriority w:val="0"/>
    <w:pPr>
      <w:shd w:val="clear" w:color="auto" w:fill="000080"/>
    </w:pPr>
  </w:style>
  <w:style w:type="paragraph" w:styleId="18">
    <w:name w:val="annotation text"/>
    <w:basedOn w:val="1"/>
    <w:link w:val="76"/>
    <w:qFormat/>
    <w:uiPriority w:val="0"/>
    <w:pPr>
      <w:jc w:val="left"/>
    </w:pPr>
  </w:style>
  <w:style w:type="paragraph" w:styleId="19">
    <w:name w:val="Salutation"/>
    <w:basedOn w:val="1"/>
    <w:next w:val="1"/>
    <w:link w:val="77"/>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78"/>
    <w:qFormat/>
    <w:uiPriority w:val="0"/>
    <w:pPr>
      <w:autoSpaceDE w:val="0"/>
      <w:autoSpaceDN w:val="0"/>
      <w:adjustRightInd w:val="0"/>
      <w:jc w:val="center"/>
    </w:pPr>
  </w:style>
  <w:style w:type="paragraph" w:styleId="21">
    <w:name w:val="Body Text"/>
    <w:basedOn w:val="1"/>
    <w:next w:val="22"/>
    <w:link w:val="79"/>
    <w:qFormat/>
    <w:uiPriority w:val="0"/>
    <w:pPr>
      <w:spacing w:after="120"/>
    </w:pPr>
    <w:rPr>
      <w:rFonts w:ascii="仿宋_GB2312"/>
      <w:b/>
    </w:rPr>
  </w:style>
  <w:style w:type="paragraph" w:styleId="22">
    <w:name w:val="Body Text First Indent"/>
    <w:basedOn w:val="21"/>
    <w:next w:val="23"/>
    <w:link w:val="80"/>
    <w:qFormat/>
    <w:uiPriority w:val="0"/>
    <w:pPr>
      <w:autoSpaceDE w:val="0"/>
      <w:autoSpaceDN w:val="0"/>
      <w:adjustRightInd w:val="0"/>
      <w:ind w:firstLine="420" w:firstLineChars="100"/>
      <w:jc w:val="left"/>
    </w:pPr>
    <w:rPr>
      <w:rFonts w:ascii="Calibri"/>
      <w:b w:val="0"/>
      <w:kern w:val="0"/>
      <w:sz w:val="20"/>
      <w:szCs w:val="20"/>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95"/>
    <w:qFormat/>
    <w:uiPriority w:val="0"/>
    <w:pPr>
      <w:ind w:left="480" w:hanging="480" w:hangingChars="200"/>
    </w:pPr>
    <w:rPr>
      <w:sz w:val="24"/>
    </w:rPr>
  </w:style>
  <w:style w:type="paragraph" w:styleId="25">
    <w:name w:val="Body Text First Indent 2"/>
    <w:basedOn w:val="24"/>
    <w:link w:val="94"/>
    <w:qFormat/>
    <w:uiPriority w:val="0"/>
    <w:pPr>
      <w:spacing w:after="120"/>
      <w:ind w:left="420" w:leftChars="200" w:firstLine="420"/>
    </w:pPr>
    <w:rPr>
      <w:rFonts w:cs="宋体"/>
      <w:sz w:val="21"/>
      <w:szCs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8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83"/>
    <w:qFormat/>
    <w:uiPriority w:val="0"/>
    <w:pPr>
      <w:ind w:left="100" w:leftChars="2500"/>
    </w:pPr>
  </w:style>
  <w:style w:type="paragraph" w:styleId="35">
    <w:name w:val="Body Text Indent 2"/>
    <w:basedOn w:val="1"/>
    <w:link w:val="84"/>
    <w:qFormat/>
    <w:uiPriority w:val="0"/>
    <w:pPr>
      <w:spacing w:line="500" w:lineRule="exact"/>
      <w:ind w:firstLine="511" w:firstLineChars="213"/>
    </w:pPr>
    <w:rPr>
      <w:sz w:val="24"/>
    </w:rPr>
  </w:style>
  <w:style w:type="paragraph" w:styleId="36">
    <w:name w:val="Balloon Text"/>
    <w:basedOn w:val="1"/>
    <w:link w:val="85"/>
    <w:qFormat/>
    <w:uiPriority w:val="0"/>
    <w:rPr>
      <w:sz w:val="18"/>
      <w:szCs w:val="18"/>
    </w:rPr>
  </w:style>
  <w:style w:type="paragraph" w:styleId="37">
    <w:name w:val="footer"/>
    <w:basedOn w:val="1"/>
    <w:next w:val="1"/>
    <w:link w:val="86"/>
    <w:qFormat/>
    <w:uiPriority w:val="0"/>
    <w:pPr>
      <w:tabs>
        <w:tab w:val="center" w:pos="4153"/>
        <w:tab w:val="right" w:pos="8306"/>
      </w:tabs>
      <w:snapToGrid w:val="0"/>
      <w:jc w:val="left"/>
    </w:pPr>
    <w:rPr>
      <w:sz w:val="18"/>
      <w:szCs w:val="18"/>
    </w:rPr>
  </w:style>
  <w:style w:type="paragraph" w:styleId="38">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88"/>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footnote text"/>
    <w:basedOn w:val="1"/>
    <w:qFormat/>
    <w:uiPriority w:val="0"/>
    <w:pPr>
      <w:snapToGrid w:val="0"/>
      <w:jc w:val="left"/>
    </w:pPr>
    <w:rPr>
      <w:sz w:val="18"/>
    </w:rPr>
  </w:style>
  <w:style w:type="paragraph" w:styleId="46">
    <w:name w:val="Body Text Indent 3"/>
    <w:basedOn w:val="1"/>
    <w:link w:val="90"/>
    <w:qFormat/>
    <w:uiPriority w:val="0"/>
    <w:pPr>
      <w:spacing w:line="500" w:lineRule="exact"/>
      <w:ind w:left="511" w:hanging="511" w:hangingChars="213"/>
    </w:pPr>
    <w:rPr>
      <w:sz w:val="24"/>
    </w:rPr>
  </w:style>
  <w:style w:type="paragraph" w:styleId="47">
    <w:name w:val="toc 2"/>
    <w:basedOn w:val="1"/>
    <w:next w:val="1"/>
    <w:qFormat/>
    <w:uiPriority w:val="0"/>
    <w:pPr>
      <w:ind w:left="420" w:leftChars="200"/>
    </w:pPr>
  </w:style>
  <w:style w:type="paragraph" w:styleId="48">
    <w:name w:val="toc 9"/>
    <w:basedOn w:val="1"/>
    <w:next w:val="1"/>
    <w:qFormat/>
    <w:uiPriority w:val="0"/>
    <w:pPr>
      <w:autoSpaceDE w:val="0"/>
      <w:autoSpaceDN w:val="0"/>
      <w:adjustRightInd w:val="0"/>
      <w:ind w:left="3360" w:leftChars="1600"/>
      <w:jc w:val="left"/>
    </w:pPr>
    <w:rPr>
      <w:kern w:val="0"/>
      <w:sz w:val="20"/>
      <w:szCs w:val="20"/>
    </w:rPr>
  </w:style>
  <w:style w:type="paragraph" w:styleId="49">
    <w:name w:val="Body Text 2"/>
    <w:basedOn w:val="1"/>
    <w:link w:val="91"/>
    <w:qFormat/>
    <w:uiPriority w:val="0"/>
    <w:pPr>
      <w:autoSpaceDE w:val="0"/>
      <w:autoSpaceDN w:val="0"/>
      <w:adjustRightInd w:val="0"/>
      <w:spacing w:after="120" w:line="480" w:lineRule="auto"/>
      <w:jc w:val="left"/>
    </w:p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92"/>
    <w:qFormat/>
    <w:uiPriority w:val="0"/>
    <w:pPr>
      <w:spacing w:before="240" w:after="60"/>
      <w:jc w:val="center"/>
      <w:outlineLvl w:val="0"/>
    </w:pPr>
    <w:rPr>
      <w:rFonts w:ascii="Cambria" w:hAnsi="Cambria"/>
      <w:b/>
      <w:bCs/>
      <w:sz w:val="32"/>
      <w:szCs w:val="32"/>
    </w:rPr>
  </w:style>
  <w:style w:type="paragraph" w:styleId="52">
    <w:name w:val="annotation subject"/>
    <w:basedOn w:val="18"/>
    <w:next w:val="18"/>
    <w:link w:val="93"/>
    <w:qFormat/>
    <w:uiPriority w:val="0"/>
    <w:rPr>
      <w:b/>
      <w:bCs/>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rFonts w:ascii="仿宋_GB2312" w:eastAsia="仿宋_GB2312"/>
      <w:bCs/>
      <w:sz w:val="32"/>
      <w:szCs w:val="32"/>
    </w:rPr>
  </w:style>
  <w:style w:type="character" w:styleId="57">
    <w:name w:val="page number"/>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character" w:customStyle="1" w:styleId="64">
    <w:name w:val="宏文本 字符"/>
    <w:link w:val="2"/>
    <w:qFormat/>
    <w:uiPriority w:val="0"/>
    <w:rPr>
      <w:rFonts w:ascii="Courier New" w:hAnsi="Courier New" w:eastAsia="Times New Roman"/>
      <w:kern w:val="2"/>
      <w:sz w:val="24"/>
      <w:szCs w:val="24"/>
      <w:lang w:val="en-US" w:eastAsia="zh-CN" w:bidi="ar-SA"/>
    </w:rPr>
  </w:style>
  <w:style w:type="character" w:customStyle="1" w:styleId="65">
    <w:name w:val="标题 1 字符"/>
    <w:link w:val="3"/>
    <w:qFormat/>
    <w:uiPriority w:val="0"/>
    <w:rPr>
      <w:rFonts w:eastAsia="黑体"/>
      <w:b/>
      <w:kern w:val="2"/>
      <w:sz w:val="32"/>
      <w:lang w:val="en-US" w:eastAsia="zh-CN" w:bidi="ar-SA"/>
    </w:rPr>
  </w:style>
  <w:style w:type="character" w:customStyle="1" w:styleId="66">
    <w:name w:val="标题 2 字符"/>
    <w:link w:val="4"/>
    <w:qFormat/>
    <w:uiPriority w:val="0"/>
    <w:rPr>
      <w:rFonts w:ascii="仿宋_GB2312" w:eastAsia="宋体"/>
      <w:b/>
      <w:kern w:val="2"/>
      <w:sz w:val="28"/>
      <w:szCs w:val="32"/>
      <w:lang w:val="en-US" w:eastAsia="zh-CN" w:bidi="ar-SA"/>
    </w:rPr>
  </w:style>
  <w:style w:type="character" w:customStyle="1" w:styleId="67">
    <w:name w:val="标题 3 字符"/>
    <w:link w:val="5"/>
    <w:qFormat/>
    <w:uiPriority w:val="0"/>
    <w:rPr>
      <w:rFonts w:eastAsia="黑体"/>
      <w:b/>
      <w:kern w:val="2"/>
      <w:sz w:val="28"/>
      <w:lang w:val="en-US" w:eastAsia="zh-CN" w:bidi="ar-SA"/>
    </w:rPr>
  </w:style>
  <w:style w:type="character" w:customStyle="1" w:styleId="68">
    <w:name w:val="标题 4 字符"/>
    <w:link w:val="6"/>
    <w:qFormat/>
    <w:uiPriority w:val="0"/>
    <w:rPr>
      <w:rFonts w:eastAsia="宋体"/>
      <w:kern w:val="2"/>
      <w:sz w:val="28"/>
      <w:szCs w:val="28"/>
      <w:lang w:val="en-US" w:eastAsia="zh-CN" w:bidi="ar-SA"/>
    </w:rPr>
  </w:style>
  <w:style w:type="character" w:customStyle="1" w:styleId="69">
    <w:name w:val="标题 5 字符"/>
    <w:link w:val="7"/>
    <w:qFormat/>
    <w:uiPriority w:val="0"/>
    <w:rPr>
      <w:rFonts w:eastAsia="宋体"/>
      <w:b/>
      <w:bCs/>
      <w:sz w:val="28"/>
      <w:szCs w:val="28"/>
      <w:lang w:bidi="ar-SA"/>
    </w:rPr>
  </w:style>
  <w:style w:type="character" w:customStyle="1" w:styleId="70">
    <w:name w:val="标题 6 字符"/>
    <w:link w:val="8"/>
    <w:qFormat/>
    <w:uiPriority w:val="0"/>
    <w:rPr>
      <w:rFonts w:ascii="Arial" w:hAnsi="Arial" w:eastAsia="黑体"/>
      <w:b/>
      <w:kern w:val="2"/>
      <w:sz w:val="24"/>
      <w:lang w:val="en-US" w:eastAsia="zh-CN" w:bidi="ar-SA"/>
    </w:rPr>
  </w:style>
  <w:style w:type="character" w:customStyle="1" w:styleId="71">
    <w:name w:val="正文缩进 字符"/>
    <w:link w:val="9"/>
    <w:qFormat/>
    <w:uiPriority w:val="0"/>
    <w:rPr>
      <w:rFonts w:ascii="仿宋_GB2312" w:eastAsia="宋体"/>
      <w:b/>
      <w:sz w:val="21"/>
      <w:szCs w:val="32"/>
      <w:lang w:val="en-US" w:eastAsia="zh-CN" w:bidi="ar-SA"/>
    </w:rPr>
  </w:style>
  <w:style w:type="character" w:customStyle="1" w:styleId="72">
    <w:name w:val="标题 7 字符"/>
    <w:link w:val="10"/>
    <w:qFormat/>
    <w:uiPriority w:val="0"/>
    <w:rPr>
      <w:rFonts w:eastAsia="宋体"/>
      <w:b/>
      <w:kern w:val="2"/>
      <w:sz w:val="24"/>
      <w:lang w:val="en-US" w:eastAsia="zh-CN" w:bidi="ar-SA"/>
    </w:rPr>
  </w:style>
  <w:style w:type="character" w:customStyle="1" w:styleId="73">
    <w:name w:val="标题 8 字符"/>
    <w:link w:val="11"/>
    <w:qFormat/>
    <w:uiPriority w:val="0"/>
    <w:rPr>
      <w:rFonts w:ascii="Arial" w:hAnsi="Arial" w:eastAsia="黑体"/>
      <w:kern w:val="2"/>
      <w:sz w:val="24"/>
      <w:lang w:val="en-US" w:eastAsia="zh-CN" w:bidi="ar-SA"/>
    </w:rPr>
  </w:style>
  <w:style w:type="character" w:customStyle="1" w:styleId="74">
    <w:name w:val="标题 9 字符"/>
    <w:link w:val="12"/>
    <w:qFormat/>
    <w:uiPriority w:val="0"/>
    <w:rPr>
      <w:rFonts w:ascii="Arial" w:hAnsi="Arial" w:eastAsia="黑体"/>
      <w:kern w:val="2"/>
      <w:sz w:val="21"/>
      <w:lang w:val="en-US" w:eastAsia="zh-CN" w:bidi="ar-SA"/>
    </w:rPr>
  </w:style>
  <w:style w:type="character" w:customStyle="1" w:styleId="75">
    <w:name w:val="文档结构图 字符"/>
    <w:link w:val="17"/>
    <w:qFormat/>
    <w:uiPriority w:val="0"/>
    <w:rPr>
      <w:rFonts w:eastAsia="宋体"/>
      <w:kern w:val="2"/>
      <w:sz w:val="21"/>
      <w:szCs w:val="24"/>
      <w:lang w:val="en-US" w:eastAsia="zh-CN" w:bidi="ar-SA"/>
    </w:rPr>
  </w:style>
  <w:style w:type="character" w:customStyle="1" w:styleId="76">
    <w:name w:val="批注文字 字符"/>
    <w:link w:val="18"/>
    <w:qFormat/>
    <w:uiPriority w:val="0"/>
    <w:rPr>
      <w:rFonts w:eastAsia="宋体"/>
      <w:kern w:val="2"/>
      <w:sz w:val="21"/>
      <w:szCs w:val="24"/>
      <w:lang w:val="en-US" w:eastAsia="zh-CN" w:bidi="ar-SA"/>
    </w:rPr>
  </w:style>
  <w:style w:type="character" w:customStyle="1" w:styleId="77">
    <w:name w:val="称呼 字符"/>
    <w:link w:val="19"/>
    <w:qFormat/>
    <w:uiPriority w:val="0"/>
    <w:rPr>
      <w:rFonts w:ascii="仿宋_GB2312" w:eastAsia="仿宋_GB2312"/>
      <w:b/>
      <w:sz w:val="24"/>
      <w:szCs w:val="32"/>
    </w:rPr>
  </w:style>
  <w:style w:type="character" w:customStyle="1" w:styleId="78">
    <w:name w:val="正文文本 3 字符"/>
    <w:link w:val="20"/>
    <w:qFormat/>
    <w:uiPriority w:val="0"/>
  </w:style>
  <w:style w:type="character" w:customStyle="1" w:styleId="79">
    <w:name w:val="正文文本 字符"/>
    <w:link w:val="21"/>
    <w:qFormat/>
    <w:uiPriority w:val="0"/>
    <w:rPr>
      <w:rFonts w:ascii="仿宋_GB2312" w:eastAsia="宋体"/>
      <w:b/>
      <w:kern w:val="2"/>
      <w:sz w:val="21"/>
      <w:szCs w:val="24"/>
      <w:lang w:val="en-US" w:eastAsia="zh-CN" w:bidi="ar-SA"/>
    </w:rPr>
  </w:style>
  <w:style w:type="character" w:customStyle="1" w:styleId="80">
    <w:name w:val="正文文本首行缩进 字符"/>
    <w:link w:val="22"/>
    <w:qFormat/>
    <w:uiPriority w:val="0"/>
    <w:rPr>
      <w:rFonts w:eastAsia="宋体"/>
      <w:lang w:val="en-US" w:eastAsia="zh-CN" w:bidi="ar-SA"/>
    </w:rPr>
  </w:style>
  <w:style w:type="character" w:customStyle="1" w:styleId="81">
    <w:name w:val="正文文本缩进 字符"/>
    <w:qFormat/>
    <w:uiPriority w:val="0"/>
    <w:rPr>
      <w:rFonts w:eastAsia="宋体"/>
      <w:kern w:val="2"/>
      <w:sz w:val="24"/>
      <w:szCs w:val="24"/>
      <w:lang w:val="en-US" w:eastAsia="zh-CN" w:bidi="ar-SA"/>
    </w:rPr>
  </w:style>
  <w:style w:type="character" w:customStyle="1" w:styleId="82">
    <w:name w:val="纯文本 字符"/>
    <w:link w:val="31"/>
    <w:qFormat/>
    <w:uiPriority w:val="0"/>
    <w:rPr>
      <w:rFonts w:ascii="宋体" w:hAnsi="Courier New" w:eastAsia="宋体"/>
      <w:b/>
      <w:sz w:val="21"/>
      <w:szCs w:val="21"/>
      <w:lang w:val="en-US" w:eastAsia="zh-CN" w:bidi="ar-SA"/>
    </w:rPr>
  </w:style>
  <w:style w:type="character" w:customStyle="1" w:styleId="83">
    <w:name w:val="日期 字符"/>
    <w:link w:val="34"/>
    <w:qFormat/>
    <w:uiPriority w:val="0"/>
    <w:rPr>
      <w:rFonts w:eastAsia="宋体"/>
      <w:kern w:val="2"/>
      <w:sz w:val="21"/>
      <w:szCs w:val="24"/>
      <w:lang w:val="en-US" w:eastAsia="zh-CN" w:bidi="ar-SA"/>
    </w:rPr>
  </w:style>
  <w:style w:type="character" w:customStyle="1" w:styleId="84">
    <w:name w:val="正文文本缩进 2 字符"/>
    <w:link w:val="35"/>
    <w:qFormat/>
    <w:uiPriority w:val="0"/>
    <w:rPr>
      <w:rFonts w:eastAsia="宋体"/>
      <w:kern w:val="2"/>
      <w:sz w:val="24"/>
      <w:szCs w:val="24"/>
      <w:lang w:val="en-US" w:eastAsia="zh-CN" w:bidi="ar-SA"/>
    </w:rPr>
  </w:style>
  <w:style w:type="character" w:customStyle="1" w:styleId="85">
    <w:name w:val="批注框文本 字符"/>
    <w:link w:val="36"/>
    <w:qFormat/>
    <w:uiPriority w:val="0"/>
    <w:rPr>
      <w:rFonts w:eastAsia="宋体"/>
      <w:kern w:val="2"/>
      <w:sz w:val="18"/>
      <w:szCs w:val="18"/>
      <w:lang w:val="en-US" w:eastAsia="zh-CN" w:bidi="ar-SA"/>
    </w:rPr>
  </w:style>
  <w:style w:type="character" w:customStyle="1" w:styleId="86">
    <w:name w:val="页脚 字符"/>
    <w:link w:val="37"/>
    <w:qFormat/>
    <w:uiPriority w:val="0"/>
    <w:rPr>
      <w:rFonts w:eastAsia="宋体"/>
      <w:kern w:val="2"/>
      <w:sz w:val="18"/>
      <w:szCs w:val="18"/>
      <w:lang w:val="en-US" w:eastAsia="zh-CN" w:bidi="ar-SA"/>
    </w:rPr>
  </w:style>
  <w:style w:type="character" w:customStyle="1" w:styleId="87">
    <w:name w:val="页眉 字符"/>
    <w:link w:val="38"/>
    <w:qFormat/>
    <w:uiPriority w:val="0"/>
    <w:rPr>
      <w:rFonts w:eastAsia="宋体"/>
      <w:kern w:val="2"/>
      <w:sz w:val="18"/>
      <w:szCs w:val="18"/>
      <w:lang w:val="en-US" w:eastAsia="zh-CN" w:bidi="ar-SA"/>
    </w:rPr>
  </w:style>
  <w:style w:type="character" w:customStyle="1" w:styleId="88">
    <w:name w:val="签名 字符"/>
    <w:link w:val="39"/>
    <w:qFormat/>
    <w:uiPriority w:val="0"/>
    <w:rPr>
      <w:rFonts w:ascii="仿宋_GB2312" w:eastAsia="仿宋_GB2312"/>
      <w:b/>
      <w:sz w:val="24"/>
      <w:szCs w:val="32"/>
    </w:rPr>
  </w:style>
  <w:style w:type="character" w:customStyle="1" w:styleId="89">
    <w:name w:val="副标题 字符"/>
    <w:link w:val="42"/>
    <w:qFormat/>
    <w:uiPriority w:val="0"/>
    <w:rPr>
      <w:rFonts w:ascii="Cambria" w:hAnsi="Cambria" w:eastAsia="宋体"/>
      <w:b/>
      <w:bCs/>
      <w:kern w:val="28"/>
      <w:sz w:val="32"/>
      <w:szCs w:val="32"/>
      <w:lang w:val="en-US" w:eastAsia="zh-CN" w:bidi="ar-SA"/>
    </w:rPr>
  </w:style>
  <w:style w:type="character" w:customStyle="1" w:styleId="90">
    <w:name w:val="正文文本缩进 3 字符"/>
    <w:link w:val="46"/>
    <w:qFormat/>
    <w:uiPriority w:val="0"/>
    <w:rPr>
      <w:rFonts w:eastAsia="宋体"/>
      <w:kern w:val="2"/>
      <w:sz w:val="24"/>
      <w:szCs w:val="24"/>
      <w:lang w:val="en-US" w:eastAsia="zh-CN" w:bidi="ar-SA"/>
    </w:rPr>
  </w:style>
  <w:style w:type="character" w:customStyle="1" w:styleId="91">
    <w:name w:val="正文文本 2 字符"/>
    <w:link w:val="49"/>
    <w:qFormat/>
    <w:uiPriority w:val="0"/>
  </w:style>
  <w:style w:type="character" w:customStyle="1" w:styleId="92">
    <w:name w:val="标题 字符"/>
    <w:link w:val="51"/>
    <w:qFormat/>
    <w:uiPriority w:val="0"/>
    <w:rPr>
      <w:rFonts w:ascii="Cambria" w:hAnsi="Cambria" w:eastAsia="宋体"/>
      <w:b/>
      <w:bCs/>
      <w:kern w:val="2"/>
      <w:sz w:val="32"/>
      <w:szCs w:val="32"/>
      <w:lang w:val="en-US" w:eastAsia="zh-CN" w:bidi="ar-SA"/>
    </w:rPr>
  </w:style>
  <w:style w:type="character" w:customStyle="1" w:styleId="93">
    <w:name w:val="批注主题 字符"/>
    <w:link w:val="52"/>
    <w:qFormat/>
    <w:uiPriority w:val="0"/>
    <w:rPr>
      <w:rFonts w:eastAsia="宋体"/>
      <w:b/>
      <w:bCs/>
      <w:kern w:val="2"/>
      <w:sz w:val="21"/>
      <w:szCs w:val="24"/>
      <w:lang w:val="en-US" w:eastAsia="zh-CN" w:bidi="ar-SA"/>
    </w:rPr>
  </w:style>
  <w:style w:type="character" w:customStyle="1" w:styleId="94">
    <w:name w:val="正文文本首行缩进 2 字符"/>
    <w:link w:val="25"/>
    <w:qFormat/>
    <w:uiPriority w:val="0"/>
    <w:rPr>
      <w:rFonts w:hint="default" w:ascii="Calibri" w:hAnsi="Calibri" w:cs="Calibri"/>
      <w:kern w:val="2"/>
      <w:sz w:val="21"/>
      <w:szCs w:val="22"/>
    </w:rPr>
  </w:style>
  <w:style w:type="character" w:customStyle="1" w:styleId="95">
    <w:name w:val="正文文本缩进 字符1"/>
    <w:link w:val="24"/>
    <w:qFormat/>
    <w:uiPriority w:val="0"/>
    <w:rPr>
      <w:rFonts w:hint="default" w:ascii="Calibri" w:hAnsi="Calibri" w:cs="Calibri"/>
      <w:kern w:val="2"/>
      <w:sz w:val="21"/>
      <w:szCs w:val="22"/>
    </w:rPr>
  </w:style>
  <w:style w:type="character" w:customStyle="1" w:styleId="96">
    <w:name w:val="font21"/>
    <w:qFormat/>
    <w:uiPriority w:val="0"/>
    <w:rPr>
      <w:rFonts w:ascii="Wingdings 2" w:hAnsi="Wingdings 2" w:eastAsia="Wingdings 2" w:cs="Wingdings 2"/>
      <w:b/>
      <w:color w:val="000000"/>
      <w:sz w:val="20"/>
      <w:szCs w:val="20"/>
      <w:u w:val="none"/>
    </w:rPr>
  </w:style>
  <w:style w:type="character" w:customStyle="1" w:styleId="97">
    <w:name w:val="Footer-Even Char2"/>
    <w:qFormat/>
    <w:uiPriority w:val="0"/>
    <w:rPr>
      <w:kern w:val="2"/>
      <w:sz w:val="18"/>
      <w:szCs w:val="18"/>
    </w:rPr>
  </w:style>
  <w:style w:type="character" w:customStyle="1" w:styleId="98">
    <w:name w:val="Style5"/>
    <w:qFormat/>
    <w:uiPriority w:val="0"/>
    <w:rPr>
      <w:rFonts w:ascii="Calibri" w:hAnsi="宋体" w:eastAsia="宋体" w:cs="Times New Roman"/>
      <w:sz w:val="22"/>
      <w:szCs w:val="22"/>
      <w:lang w:eastAsia="zh-CN"/>
    </w:rPr>
  </w:style>
  <w:style w:type="character" w:customStyle="1" w:styleId="99">
    <w:name w:val="正文1 Char Char"/>
    <w:link w:val="100"/>
    <w:qFormat/>
    <w:uiPriority w:val="0"/>
    <w:rPr>
      <w:rFonts w:ascii="宋体" w:hAnsi="宋体" w:eastAsia="宋体" w:cs="宋体"/>
      <w:sz w:val="21"/>
      <w:lang w:val="en-US" w:eastAsia="zh-CN" w:bidi="ar-SA"/>
    </w:rPr>
  </w:style>
  <w:style w:type="paragraph" w:customStyle="1" w:styleId="100">
    <w:name w:val="正文1"/>
    <w:basedOn w:val="1"/>
    <w:link w:val="99"/>
    <w:qFormat/>
    <w:uiPriority w:val="0"/>
    <w:pPr>
      <w:widowControl/>
      <w:spacing w:line="360" w:lineRule="auto"/>
      <w:ind w:left="360" w:firstLine="420"/>
      <w:jc w:val="left"/>
    </w:pPr>
    <w:rPr>
      <w:rFonts w:ascii="宋体" w:hAnsi="宋体" w:cs="宋体"/>
      <w:kern w:val="0"/>
      <w:szCs w:val="20"/>
    </w:rPr>
  </w:style>
  <w:style w:type="character" w:customStyle="1" w:styleId="101">
    <w:name w:val="heading 3 Char1"/>
    <w:qFormat/>
    <w:uiPriority w:val="0"/>
    <w:rPr>
      <w:rFonts w:eastAsia="宋体"/>
      <w:b/>
      <w:bCs/>
      <w:kern w:val="2"/>
      <w:sz w:val="32"/>
      <w:szCs w:val="32"/>
      <w:lang w:val="en-US" w:eastAsia="zh-CN" w:bidi="ar-SA"/>
    </w:rPr>
  </w:style>
  <w:style w:type="character" w:customStyle="1" w:styleId="102">
    <w:name w:val="style13"/>
    <w:qFormat/>
    <w:uiPriority w:val="0"/>
  </w:style>
  <w:style w:type="character" w:customStyle="1" w:styleId="103">
    <w:name w:val="heading 1 Char2"/>
    <w:qFormat/>
    <w:uiPriority w:val="0"/>
    <w:rPr>
      <w:b/>
      <w:bCs/>
      <w:kern w:val="44"/>
      <w:sz w:val="44"/>
      <w:szCs w:val="44"/>
    </w:rPr>
  </w:style>
  <w:style w:type="character" w:customStyle="1" w:styleId="104">
    <w:name w:val="heading 1 Char"/>
    <w:qFormat/>
    <w:uiPriority w:val="0"/>
    <w:rPr>
      <w:rFonts w:ascii="Arial" w:hAnsi="Arial" w:eastAsia="黑体"/>
      <w:b/>
      <w:sz w:val="36"/>
      <w:szCs w:val="36"/>
    </w:rPr>
  </w:style>
  <w:style w:type="character" w:customStyle="1" w:styleId="105">
    <w:name w:val="heading 2 Char2"/>
    <w:qFormat/>
    <w:uiPriority w:val="0"/>
    <w:rPr>
      <w:rFonts w:ascii="Cambria" w:hAnsi="Cambria"/>
      <w:b/>
      <w:bCs/>
      <w:kern w:val="2"/>
      <w:sz w:val="32"/>
      <w:szCs w:val="32"/>
    </w:rPr>
  </w:style>
  <w:style w:type="character" w:customStyle="1" w:styleId="106">
    <w:name w:val="heading 7 Char1"/>
    <w:qFormat/>
    <w:uiPriority w:val="0"/>
    <w:rPr>
      <w:rFonts w:ascii="Arial" w:hAnsi="Arial" w:eastAsia="黑体"/>
      <w:sz w:val="21"/>
      <w:szCs w:val="21"/>
      <w:lang w:val="en-US" w:eastAsia="zh-CN" w:bidi="ar-SA"/>
    </w:rPr>
  </w:style>
  <w:style w:type="character" w:customStyle="1" w:styleId="107">
    <w:name w:val="Plain Text Char"/>
    <w:qFormat/>
    <w:uiPriority w:val="0"/>
    <w:rPr>
      <w:rFonts w:ascii="宋体" w:hAnsi="Courier New" w:eastAsia="宋体" w:cs="Times New Roman"/>
      <w:sz w:val="21"/>
      <w:szCs w:val="21"/>
    </w:rPr>
  </w:style>
  <w:style w:type="character" w:customStyle="1" w:styleId="108">
    <w:name w:val="表格 Char Char"/>
    <w:link w:val="109"/>
    <w:qFormat/>
    <w:uiPriority w:val="0"/>
    <w:rPr>
      <w:rFonts w:ascii="宋体" w:hAnsi="宋体" w:eastAsia="宋体"/>
      <w:lang w:val="en-US" w:eastAsia="zh-CN" w:bidi="ar-SA"/>
    </w:rPr>
  </w:style>
  <w:style w:type="paragraph" w:customStyle="1" w:styleId="109">
    <w:name w:val="表格"/>
    <w:basedOn w:val="1"/>
    <w:link w:val="10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10">
    <w:name w:val="Char Char17"/>
    <w:qFormat/>
    <w:uiPriority w:val="0"/>
    <w:rPr>
      <w:rFonts w:ascii="Cambria" w:hAnsi="Cambria"/>
      <w:b/>
      <w:bCs/>
      <w:kern w:val="2"/>
      <w:sz w:val="28"/>
      <w:szCs w:val="28"/>
    </w:rPr>
  </w:style>
  <w:style w:type="character" w:customStyle="1" w:styleId="111">
    <w:name w:val="明显参考1"/>
    <w:qFormat/>
    <w:uiPriority w:val="0"/>
    <w:rPr>
      <w:b/>
      <w:bCs/>
      <w:smallCaps/>
      <w:color w:val="C0504D"/>
      <w:spacing w:val="5"/>
      <w:u w:val="single"/>
    </w:rPr>
  </w:style>
  <w:style w:type="character" w:customStyle="1" w:styleId="112">
    <w:name w:val="Char Char27"/>
    <w:qFormat/>
    <w:uiPriority w:val="0"/>
    <w:rPr>
      <w:rFonts w:eastAsia="宋体"/>
      <w:kern w:val="2"/>
      <w:sz w:val="28"/>
      <w:lang w:val="en-US" w:eastAsia="zh-CN" w:bidi="ar-SA"/>
    </w:rPr>
  </w:style>
  <w:style w:type="character" w:customStyle="1" w:styleId="113">
    <w:name w:val="heading 8 Char1"/>
    <w:qFormat/>
    <w:uiPriority w:val="0"/>
    <w:rPr>
      <w:rFonts w:ascii="Arial" w:hAnsi="Arial" w:eastAsia="黑体"/>
      <w:sz w:val="24"/>
      <w:lang w:val="en-US" w:eastAsia="zh-CN" w:bidi="ar-SA"/>
    </w:rPr>
  </w:style>
  <w:style w:type="character" w:customStyle="1" w:styleId="114">
    <w:name w:val="Footer-Even Char1"/>
    <w:qFormat/>
    <w:uiPriority w:val="0"/>
    <w:rPr>
      <w:rFonts w:eastAsia="宋体"/>
      <w:kern w:val="2"/>
      <w:sz w:val="18"/>
      <w:szCs w:val="18"/>
      <w:lang w:val="en-US" w:eastAsia="zh-CN" w:bidi="ar-SA"/>
    </w:rPr>
  </w:style>
  <w:style w:type="character" w:customStyle="1" w:styleId="115">
    <w:name w:val="Style3"/>
    <w:qFormat/>
    <w:uiPriority w:val="0"/>
    <w:rPr>
      <w:rFonts w:ascii="Calibri" w:hAnsi="宋体" w:eastAsia="宋体" w:cs="Times New Roman"/>
      <w:szCs w:val="22"/>
      <w:lang w:eastAsia="zh-CN"/>
    </w:rPr>
  </w:style>
  <w:style w:type="character" w:customStyle="1" w:styleId="116">
    <w:name w:val="heading 4 Char1"/>
    <w:qFormat/>
    <w:uiPriority w:val="0"/>
    <w:rPr>
      <w:rFonts w:ascii="Cambria" w:hAnsi="Cambria" w:eastAsia="宋体"/>
      <w:b/>
      <w:bCs/>
      <w:kern w:val="2"/>
      <w:sz w:val="28"/>
      <w:szCs w:val="28"/>
      <w:lang w:val="en-US" w:eastAsia="zh-CN" w:bidi="ar-SA"/>
    </w:rPr>
  </w:style>
  <w:style w:type="character" w:customStyle="1" w:styleId="117">
    <w:name w:val="表正文 Char2"/>
    <w:qFormat/>
    <w:uiPriority w:val="0"/>
    <w:rPr>
      <w:rFonts w:ascii="Times New Roman" w:hAnsi="Times New Roman" w:eastAsia="宋体" w:cs="Times New Roman"/>
      <w:szCs w:val="24"/>
    </w:rPr>
  </w:style>
  <w:style w:type="character" w:customStyle="1" w:styleId="118">
    <w:name w:val="heading 3 Char2"/>
    <w:qFormat/>
    <w:uiPriority w:val="0"/>
    <w:rPr>
      <w:b/>
      <w:bCs/>
      <w:kern w:val="2"/>
      <w:sz w:val="32"/>
      <w:szCs w:val="32"/>
    </w:rPr>
  </w:style>
  <w:style w:type="character" w:customStyle="1" w:styleId="119">
    <w:name w:val="Char Char201"/>
    <w:qFormat/>
    <w:uiPriority w:val="0"/>
    <w:rPr>
      <w:rFonts w:ascii="Cambria" w:hAnsi="Cambria" w:eastAsia="宋体" w:cs="Times New Roman"/>
      <w:b/>
      <w:bCs/>
      <w:sz w:val="32"/>
      <w:szCs w:val="32"/>
    </w:rPr>
  </w:style>
  <w:style w:type="character" w:customStyle="1" w:styleId="120">
    <w:name w:val="Char Char4"/>
    <w:qFormat/>
    <w:uiPriority w:val="0"/>
    <w:rPr>
      <w:rFonts w:ascii="Cambria" w:hAnsi="Cambria" w:eastAsia="宋体"/>
      <w:b/>
      <w:bCs/>
      <w:sz w:val="32"/>
      <w:szCs w:val="32"/>
      <w:lang w:bidi="ar-SA"/>
    </w:rPr>
  </w:style>
  <w:style w:type="character" w:customStyle="1" w:styleId="121">
    <w:name w:val="Char Char12"/>
    <w:qFormat/>
    <w:uiPriority w:val="0"/>
    <w:rPr>
      <w:rFonts w:eastAsia="宋体"/>
      <w:kern w:val="2"/>
      <w:sz w:val="21"/>
      <w:szCs w:val="24"/>
      <w:lang w:val="en-US" w:eastAsia="zh-CN" w:bidi="ar-SA"/>
    </w:rPr>
  </w:style>
  <w:style w:type="character" w:customStyle="1" w:styleId="122">
    <w:name w:val="font31"/>
    <w:basedOn w:val="55"/>
    <w:qFormat/>
    <w:uiPriority w:val="0"/>
    <w:rPr>
      <w:rFonts w:hint="eastAsia" w:ascii="宋体" w:hAnsi="宋体" w:eastAsia="宋体" w:cs="宋体"/>
      <w:color w:val="000000"/>
      <w:sz w:val="24"/>
      <w:szCs w:val="24"/>
      <w:u w:val="single"/>
    </w:rPr>
  </w:style>
  <w:style w:type="character" w:customStyle="1" w:styleId="123">
    <w:name w:val="不明显参考1"/>
    <w:qFormat/>
    <w:uiPriority w:val="0"/>
    <w:rPr>
      <w:smallCaps/>
      <w:color w:val="C0504D"/>
      <w:u w:val="single"/>
    </w:rPr>
  </w:style>
  <w:style w:type="character" w:customStyle="1" w:styleId="124">
    <w:name w:val="heading 2 Char"/>
    <w:qFormat/>
    <w:uiPriority w:val="0"/>
    <w:rPr>
      <w:rFonts w:ascii="Arial" w:hAnsi="Arial" w:eastAsia="黑体" w:cs="Times New Roman"/>
      <w:sz w:val="30"/>
      <w:szCs w:val="24"/>
    </w:rPr>
  </w:style>
  <w:style w:type="character" w:customStyle="1" w:styleId="125">
    <w:name w:val="Style1"/>
    <w:qFormat/>
    <w:uiPriority w:val="0"/>
    <w:rPr>
      <w:rFonts w:ascii="Calibri" w:hAnsi="宋体" w:eastAsia="宋体" w:cs="Times New Roman"/>
      <w:sz w:val="22"/>
      <w:szCs w:val="22"/>
      <w:lang w:eastAsia="zh-CN"/>
    </w:rPr>
  </w:style>
  <w:style w:type="character" w:customStyle="1" w:styleId="126">
    <w:name w:val="Char Char18"/>
    <w:qFormat/>
    <w:uiPriority w:val="0"/>
    <w:rPr>
      <w:b/>
      <w:bCs/>
      <w:kern w:val="2"/>
      <w:sz w:val="32"/>
      <w:szCs w:val="32"/>
    </w:rPr>
  </w:style>
  <w:style w:type="character" w:customStyle="1" w:styleId="127">
    <w:name w:val="书籍标题1"/>
    <w:qFormat/>
    <w:uiPriority w:val="0"/>
    <w:rPr>
      <w:b/>
      <w:bCs/>
      <w:smallCaps/>
      <w:spacing w:val="5"/>
    </w:rPr>
  </w:style>
  <w:style w:type="character" w:customStyle="1" w:styleId="128">
    <w:name w:val="_Style 127"/>
    <w:qFormat/>
    <w:uiPriority w:val="0"/>
    <w:rPr>
      <w:b/>
      <w:bCs/>
      <w:smallCaps/>
      <w:color w:val="C0504D"/>
      <w:spacing w:val="5"/>
      <w:u w:val="single"/>
    </w:rPr>
  </w:style>
  <w:style w:type="character" w:customStyle="1" w:styleId="129">
    <w:name w:val="Table Text Char Char"/>
    <w:link w:val="130"/>
    <w:qFormat/>
    <w:uiPriority w:val="0"/>
    <w:rPr>
      <w:sz w:val="21"/>
      <w:lang w:val="en-US" w:eastAsia="en-US" w:bidi="ar-SA"/>
    </w:rPr>
  </w:style>
  <w:style w:type="paragraph" w:customStyle="1" w:styleId="130">
    <w:name w:val="Table Text"/>
    <w:basedOn w:val="1"/>
    <w:link w:val="129"/>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1">
    <w:name w:val="Char Char211"/>
    <w:qFormat/>
    <w:uiPriority w:val="0"/>
    <w:rPr>
      <w:rFonts w:ascii="Times New Roman" w:hAnsi="Times New Roman" w:eastAsia="宋体" w:cs="Times New Roman"/>
      <w:b/>
      <w:bCs/>
      <w:kern w:val="44"/>
      <w:sz w:val="44"/>
      <w:szCs w:val="44"/>
    </w:rPr>
  </w:style>
  <w:style w:type="character" w:customStyle="1" w:styleId="132">
    <w:name w:val="heading 4 Char"/>
    <w:qFormat/>
    <w:uiPriority w:val="0"/>
    <w:rPr>
      <w:rFonts w:ascii="Arial" w:hAnsi="Arial" w:eastAsia="黑体" w:cs="Times New Roman"/>
      <w:sz w:val="21"/>
      <w:szCs w:val="21"/>
    </w:rPr>
  </w:style>
  <w:style w:type="character" w:customStyle="1" w:styleId="133">
    <w:name w:val="Char Char22"/>
    <w:qFormat/>
    <w:uiPriority w:val="0"/>
    <w:rPr>
      <w:rFonts w:ascii="Arial" w:hAnsi="Arial" w:eastAsia="黑体"/>
      <w:b/>
      <w:bCs/>
      <w:kern w:val="44"/>
      <w:sz w:val="30"/>
      <w:szCs w:val="44"/>
      <w:lang w:val="en-US" w:eastAsia="zh-CN" w:bidi="ar-SA"/>
    </w:rPr>
  </w:style>
  <w:style w:type="character" w:customStyle="1" w:styleId="134">
    <w:name w:val="Char Char20"/>
    <w:qFormat/>
    <w:uiPriority w:val="0"/>
    <w:rPr>
      <w:b/>
      <w:bCs/>
      <w:kern w:val="44"/>
      <w:sz w:val="44"/>
      <w:szCs w:val="44"/>
    </w:rPr>
  </w:style>
  <w:style w:type="character" w:customStyle="1" w:styleId="135">
    <w:name w:val="heading 6 Char1"/>
    <w:qFormat/>
    <w:uiPriority w:val="0"/>
    <w:rPr>
      <w:rFonts w:ascii="Arial" w:hAnsi="Arial" w:eastAsia="黑体"/>
      <w:kern w:val="2"/>
      <w:sz w:val="24"/>
      <w:szCs w:val="24"/>
      <w:lang w:val="en-US" w:eastAsia="zh-CN" w:bidi="ar-SA"/>
    </w:rPr>
  </w:style>
  <w:style w:type="character" w:customStyle="1" w:styleId="136">
    <w:name w:val="Char Char21"/>
    <w:qFormat/>
    <w:uiPriority w:val="0"/>
    <w:rPr>
      <w:rFonts w:ascii="Times New Roman" w:hAnsi="Times New Roman" w:eastAsia="宋体" w:cs="Times New Roman"/>
      <w:b/>
      <w:bCs/>
      <w:kern w:val="44"/>
      <w:sz w:val="44"/>
      <w:szCs w:val="44"/>
    </w:rPr>
  </w:style>
  <w:style w:type="character" w:customStyle="1" w:styleId="137">
    <w:name w:val="Char Char15"/>
    <w:qFormat/>
    <w:uiPriority w:val="0"/>
    <w:rPr>
      <w:rFonts w:ascii="Arial" w:hAnsi="Arial" w:eastAsia="黑体"/>
      <w:sz w:val="24"/>
      <w:szCs w:val="24"/>
    </w:rPr>
  </w:style>
  <w:style w:type="character" w:customStyle="1" w:styleId="138">
    <w:name w:val="ändrad Char1"/>
    <w:qFormat/>
    <w:uiPriority w:val="0"/>
    <w:rPr>
      <w:rFonts w:ascii="仿宋_GB2312" w:eastAsia="宋体"/>
      <w:b/>
      <w:kern w:val="2"/>
      <w:sz w:val="21"/>
      <w:szCs w:val="24"/>
      <w:lang w:val="en-US" w:eastAsia="zh-CN" w:bidi="ar-SA"/>
    </w:rPr>
  </w:style>
  <w:style w:type="character" w:customStyle="1" w:styleId="139">
    <w:name w:val="heading 1 Char1"/>
    <w:qFormat/>
    <w:uiPriority w:val="0"/>
    <w:rPr>
      <w:rFonts w:eastAsia="宋体"/>
      <w:b/>
      <w:bCs/>
      <w:kern w:val="44"/>
      <w:sz w:val="44"/>
      <w:szCs w:val="44"/>
      <w:lang w:val="en-US" w:eastAsia="zh-CN" w:bidi="ar-SA"/>
    </w:rPr>
  </w:style>
  <w:style w:type="character" w:customStyle="1" w:styleId="140">
    <w:name w:val="PI Char"/>
    <w:qFormat/>
    <w:uiPriority w:val="0"/>
    <w:rPr>
      <w:rFonts w:ascii="宋体" w:hAnsi="宋体"/>
      <w:sz w:val="24"/>
    </w:rPr>
  </w:style>
  <w:style w:type="character" w:customStyle="1" w:styleId="141">
    <w:name w:val="heading 5 Char"/>
    <w:qFormat/>
    <w:uiPriority w:val="0"/>
    <w:rPr>
      <w:rFonts w:ascii="Arial" w:hAnsi="Arial" w:eastAsia="黑体"/>
      <w:sz w:val="21"/>
      <w:szCs w:val="21"/>
    </w:rPr>
  </w:style>
  <w:style w:type="character" w:customStyle="1" w:styleId="142">
    <w:name w:val="blue1"/>
    <w:qFormat/>
    <w:uiPriority w:val="0"/>
  </w:style>
  <w:style w:type="character" w:customStyle="1" w:styleId="143">
    <w:name w:val="Char Char2"/>
    <w:qFormat/>
    <w:uiPriority w:val="0"/>
    <w:rPr>
      <w:rFonts w:ascii="Arial" w:hAnsi="Arial" w:eastAsia="黑体"/>
      <w:b/>
      <w:bCs/>
      <w:kern w:val="44"/>
      <w:sz w:val="30"/>
      <w:szCs w:val="44"/>
      <w:lang w:val="en-US" w:eastAsia="zh-CN" w:bidi="ar-SA"/>
    </w:rPr>
  </w:style>
  <w:style w:type="character" w:customStyle="1" w:styleId="144">
    <w:name w:val="Char Char Char1"/>
    <w:qFormat/>
    <w:uiPriority w:val="0"/>
    <w:rPr>
      <w:rFonts w:ascii="宋体" w:hAnsi="Courier New"/>
      <w:sz w:val="21"/>
      <w:szCs w:val="21"/>
    </w:rPr>
  </w:style>
  <w:style w:type="character" w:customStyle="1" w:styleId="145">
    <w:name w:val="Style2"/>
    <w:qFormat/>
    <w:uiPriority w:val="0"/>
    <w:rPr>
      <w:rFonts w:ascii="Calibri" w:hAnsi="宋体" w:eastAsia="宋体" w:cs="Times New Roman"/>
      <w:sz w:val="22"/>
      <w:szCs w:val="22"/>
      <w:lang w:eastAsia="zh-CN"/>
    </w:rPr>
  </w:style>
  <w:style w:type="character" w:customStyle="1" w:styleId="146">
    <w:name w:val="Char Char41"/>
    <w:qFormat/>
    <w:uiPriority w:val="0"/>
    <w:rPr>
      <w:rFonts w:ascii="Cambria" w:hAnsi="Cambria" w:eastAsia="宋体"/>
      <w:b/>
      <w:bCs/>
      <w:sz w:val="32"/>
      <w:szCs w:val="32"/>
      <w:lang w:bidi="ar-SA"/>
    </w:rPr>
  </w:style>
  <w:style w:type="character" w:customStyle="1" w:styleId="147">
    <w:name w:val="样式 标题 3 + 黑体 小四 Char Char"/>
    <w:link w:val="148"/>
    <w:qFormat/>
    <w:uiPriority w:val="0"/>
    <w:rPr>
      <w:rFonts w:ascii="黑体" w:hAnsi="Arial" w:eastAsia="黑体"/>
      <w:bCs/>
      <w:sz w:val="24"/>
      <w:szCs w:val="24"/>
      <w:lang w:bidi="ar-SA"/>
    </w:rPr>
  </w:style>
  <w:style w:type="paragraph" w:customStyle="1" w:styleId="148">
    <w:name w:val="样式 标题 3 + 黑体 小四"/>
    <w:basedOn w:val="5"/>
    <w:link w:val="147"/>
    <w:qFormat/>
    <w:uiPriority w:val="0"/>
    <w:pPr>
      <w:spacing w:before="260" w:after="260" w:line="413" w:lineRule="auto"/>
    </w:pPr>
    <w:rPr>
      <w:rFonts w:ascii="黑体" w:hAnsi="Arial"/>
      <w:b w:val="0"/>
      <w:bCs/>
      <w:kern w:val="0"/>
      <w:sz w:val="24"/>
      <w:szCs w:val="24"/>
    </w:rPr>
  </w:style>
  <w:style w:type="character" w:customStyle="1" w:styleId="149">
    <w:name w:val="Char Char121"/>
    <w:qFormat/>
    <w:uiPriority w:val="0"/>
    <w:rPr>
      <w:rFonts w:eastAsia="宋体"/>
      <w:kern w:val="2"/>
      <w:sz w:val="21"/>
      <w:szCs w:val="24"/>
      <w:lang w:val="en-US" w:eastAsia="zh-CN" w:bidi="ar-SA"/>
    </w:rPr>
  </w:style>
  <w:style w:type="character" w:customStyle="1" w:styleId="150">
    <w:name w:val="Char Char111"/>
    <w:qFormat/>
    <w:uiPriority w:val="0"/>
    <w:rPr>
      <w:rFonts w:ascii="Times New Roman" w:hAnsi="Times New Roman" w:eastAsia="宋体" w:cs="Times New Roman"/>
      <w:sz w:val="18"/>
      <w:szCs w:val="18"/>
    </w:rPr>
  </w:style>
  <w:style w:type="character" w:customStyle="1" w:styleId="151">
    <w:name w:val="heading 5 Char1"/>
    <w:qFormat/>
    <w:uiPriority w:val="0"/>
    <w:rPr>
      <w:rFonts w:eastAsia="宋体"/>
      <w:b/>
      <w:bCs/>
      <w:kern w:val="2"/>
      <w:sz w:val="28"/>
      <w:szCs w:val="28"/>
      <w:lang w:val="en-US" w:eastAsia="zh-CN" w:bidi="ar-SA"/>
    </w:rPr>
  </w:style>
  <w:style w:type="character" w:customStyle="1" w:styleId="152">
    <w:name w:val="Char Char24"/>
    <w:qFormat/>
    <w:uiPriority w:val="0"/>
    <w:rPr>
      <w:rFonts w:eastAsia="宋体"/>
      <w:b/>
      <w:kern w:val="2"/>
      <w:sz w:val="28"/>
      <w:lang w:val="en-US" w:eastAsia="zh-CN" w:bidi="ar-SA"/>
    </w:rPr>
  </w:style>
  <w:style w:type="character" w:customStyle="1" w:styleId="153">
    <w:name w:val="明显强调1"/>
    <w:qFormat/>
    <w:uiPriority w:val="0"/>
    <w:rPr>
      <w:b/>
      <w:bCs/>
      <w:i/>
      <w:iCs/>
      <w:color w:val="4F81BD"/>
    </w:rPr>
  </w:style>
  <w:style w:type="character" w:customStyle="1" w:styleId="154">
    <w:name w:val="heading 4 Char2"/>
    <w:qFormat/>
    <w:uiPriority w:val="0"/>
    <w:rPr>
      <w:rFonts w:ascii="Cambria" w:hAnsi="Cambria"/>
      <w:b/>
      <w:bCs/>
      <w:kern w:val="2"/>
      <w:sz w:val="28"/>
      <w:szCs w:val="28"/>
    </w:rPr>
  </w:style>
  <w:style w:type="character" w:customStyle="1" w:styleId="155">
    <w:name w:val="Ò³Ã¼ Char Char1"/>
    <w:qFormat/>
    <w:uiPriority w:val="0"/>
    <w:rPr>
      <w:rFonts w:eastAsia="宋体"/>
      <w:kern w:val="2"/>
      <w:sz w:val="18"/>
      <w:szCs w:val="18"/>
      <w:lang w:val="en-US" w:eastAsia="zh-CN" w:bidi="ar-SA"/>
    </w:rPr>
  </w:style>
  <w:style w:type="character" w:customStyle="1" w:styleId="156">
    <w:name w:val="Char Char1"/>
    <w:qFormat/>
    <w:uiPriority w:val="0"/>
    <w:rPr>
      <w:rFonts w:eastAsia="宋体"/>
      <w:sz w:val="21"/>
      <w:lang w:val="en-US" w:eastAsia="zh-CN" w:bidi="ar-SA"/>
    </w:rPr>
  </w:style>
  <w:style w:type="character" w:customStyle="1" w:styleId="157">
    <w:name w:val="ListLabel 1"/>
    <w:qFormat/>
    <w:uiPriority w:val="7"/>
    <w:rPr>
      <w:rFonts w:ascii="宋体" w:hAnsi="宋体" w:cs="宋体"/>
      <w:color w:val="FF0000"/>
      <w:sz w:val="24"/>
    </w:rPr>
  </w:style>
  <w:style w:type="character" w:customStyle="1" w:styleId="158">
    <w:name w:val="不明显强调1"/>
    <w:qFormat/>
    <w:uiPriority w:val="0"/>
    <w:rPr>
      <w:i/>
      <w:iCs/>
      <w:color w:val="808080"/>
    </w:rPr>
  </w:style>
  <w:style w:type="character" w:customStyle="1" w:styleId="159">
    <w:name w:val="PI Char2"/>
    <w:qFormat/>
    <w:uiPriority w:val="0"/>
    <w:rPr>
      <w:kern w:val="2"/>
      <w:sz w:val="24"/>
      <w:szCs w:val="24"/>
    </w:rPr>
  </w:style>
  <w:style w:type="character" w:customStyle="1" w:styleId="160">
    <w:name w:val="Footer-Even Char"/>
    <w:qFormat/>
    <w:uiPriority w:val="0"/>
    <w:rPr>
      <w:sz w:val="18"/>
      <w:szCs w:val="18"/>
    </w:rPr>
  </w:style>
  <w:style w:type="character" w:customStyle="1" w:styleId="161">
    <w:name w:val="Char Char Char"/>
    <w:qFormat/>
    <w:uiPriority w:val="0"/>
    <w:rPr>
      <w:rFonts w:ascii="宋体" w:hAnsi="Courier New" w:eastAsia="宋体"/>
      <w:b/>
      <w:sz w:val="21"/>
      <w:szCs w:val="21"/>
      <w:lang w:val="en-US" w:eastAsia="zh-CN" w:bidi="ar-SA"/>
    </w:rPr>
  </w:style>
  <w:style w:type="character" w:customStyle="1" w:styleId="162">
    <w:name w:val="Char Char19"/>
    <w:qFormat/>
    <w:uiPriority w:val="0"/>
    <w:rPr>
      <w:rFonts w:ascii="Cambria" w:hAnsi="Cambria"/>
      <w:b/>
      <w:bCs/>
      <w:kern w:val="2"/>
      <w:sz w:val="32"/>
      <w:szCs w:val="32"/>
    </w:rPr>
  </w:style>
  <w:style w:type="character" w:customStyle="1" w:styleId="163">
    <w:name w:val="引用 字符"/>
    <w:link w:val="164"/>
    <w:qFormat/>
    <w:uiPriority w:val="0"/>
    <w:rPr>
      <w:rFonts w:ascii="Calibri" w:hAnsi="Calibri" w:eastAsia="宋体"/>
      <w:i/>
      <w:iCs/>
      <w:color w:val="000000"/>
      <w:lang w:val="en-US" w:eastAsia="zh-CN" w:bidi="ar-SA"/>
    </w:rPr>
  </w:style>
  <w:style w:type="paragraph" w:styleId="164">
    <w:name w:val="Quote"/>
    <w:basedOn w:val="1"/>
    <w:next w:val="1"/>
    <w:link w:val="163"/>
    <w:qFormat/>
    <w:uiPriority w:val="0"/>
    <w:rPr>
      <w:i/>
      <w:iCs/>
      <w:color w:val="000000"/>
      <w:kern w:val="0"/>
      <w:sz w:val="20"/>
      <w:szCs w:val="20"/>
    </w:rPr>
  </w:style>
  <w:style w:type="character" w:customStyle="1" w:styleId="165">
    <w:name w:val="样式 宋体"/>
    <w:qFormat/>
    <w:uiPriority w:val="0"/>
    <w:rPr>
      <w:rFonts w:ascii="宋体" w:hAnsi="宋体" w:eastAsia="宋体"/>
      <w:sz w:val="24"/>
      <w:szCs w:val="24"/>
    </w:rPr>
  </w:style>
  <w:style w:type="character" w:customStyle="1" w:styleId="166">
    <w:name w:val="Char Char61"/>
    <w:qFormat/>
    <w:uiPriority w:val="0"/>
    <w:rPr>
      <w:rFonts w:ascii="Times New Roman" w:hAnsi="Times New Roman" w:eastAsia="宋体" w:cs="Times New Roman"/>
      <w:szCs w:val="24"/>
    </w:rPr>
  </w:style>
  <w:style w:type="character" w:customStyle="1" w:styleId="167">
    <w:name w:val="Char Char6"/>
    <w:qFormat/>
    <w:uiPriority w:val="0"/>
    <w:rPr>
      <w:rFonts w:ascii="Times New Roman" w:hAnsi="Times New Roman" w:eastAsia="宋体" w:cs="Times New Roman"/>
      <w:szCs w:val="24"/>
    </w:rPr>
  </w:style>
  <w:style w:type="character" w:customStyle="1" w:styleId="168">
    <w:name w:val="无间隔 字符"/>
    <w:link w:val="169"/>
    <w:qFormat/>
    <w:uiPriority w:val="0"/>
    <w:rPr>
      <w:rFonts w:eastAsia="Times New Roman"/>
      <w:sz w:val="22"/>
      <w:szCs w:val="22"/>
      <w:lang w:val="en-US" w:eastAsia="zh-CN" w:bidi="ar-SA"/>
    </w:rPr>
  </w:style>
  <w:style w:type="paragraph" w:styleId="169">
    <w:name w:val="No Spacing"/>
    <w:link w:val="168"/>
    <w:qFormat/>
    <w:uiPriority w:val="0"/>
    <w:rPr>
      <w:rFonts w:ascii="Times New Roman" w:hAnsi="Times New Roman" w:eastAsia="Times New Roman" w:cs="Times New Roman"/>
      <w:sz w:val="22"/>
      <w:szCs w:val="22"/>
      <w:lang w:val="en-US" w:eastAsia="zh-CN" w:bidi="ar-SA"/>
    </w:rPr>
  </w:style>
  <w:style w:type="character" w:customStyle="1" w:styleId="170">
    <w:name w:val="Char Char271"/>
    <w:qFormat/>
    <w:uiPriority w:val="0"/>
    <w:rPr>
      <w:rFonts w:eastAsia="宋体"/>
      <w:kern w:val="2"/>
      <w:sz w:val="28"/>
      <w:lang w:val="en-US" w:eastAsia="zh-CN" w:bidi="ar-SA"/>
    </w:rPr>
  </w:style>
  <w:style w:type="character" w:customStyle="1" w:styleId="171">
    <w:name w:val="Ò³Ã¼ Char Char"/>
    <w:qFormat/>
    <w:uiPriority w:val="0"/>
    <w:rPr>
      <w:sz w:val="18"/>
      <w:szCs w:val="18"/>
    </w:rPr>
  </w:style>
  <w:style w:type="character" w:customStyle="1" w:styleId="172">
    <w:name w:val="_Style 171"/>
    <w:qFormat/>
    <w:uiPriority w:val="0"/>
    <w:rPr>
      <w:b/>
      <w:bCs/>
      <w:smallCaps/>
      <w:spacing w:val="5"/>
    </w:rPr>
  </w:style>
  <w:style w:type="character" w:customStyle="1" w:styleId="173">
    <w:name w:val="Ò³Ã¼ Char Char2"/>
    <w:qFormat/>
    <w:uiPriority w:val="0"/>
    <w:rPr>
      <w:kern w:val="2"/>
      <w:sz w:val="18"/>
      <w:szCs w:val="18"/>
    </w:rPr>
  </w:style>
  <w:style w:type="character" w:customStyle="1" w:styleId="174">
    <w:name w:val="明显引用 字符"/>
    <w:link w:val="175"/>
    <w:qFormat/>
    <w:uiPriority w:val="0"/>
    <w:rPr>
      <w:rFonts w:ascii="Calibri" w:hAnsi="Calibri" w:eastAsia="宋体"/>
      <w:b/>
      <w:bCs/>
      <w:i/>
      <w:iCs/>
      <w:color w:val="4F81BD"/>
      <w:lang w:val="en-US" w:eastAsia="zh-CN" w:bidi="ar-SA"/>
    </w:rPr>
  </w:style>
  <w:style w:type="paragraph" w:styleId="175">
    <w:name w:val="Intense Quote"/>
    <w:basedOn w:val="1"/>
    <w:next w:val="1"/>
    <w:link w:val="174"/>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76">
    <w:name w:val="heading 3 Char"/>
    <w:qFormat/>
    <w:uiPriority w:val="0"/>
    <w:rPr>
      <w:rFonts w:ascii="Arial" w:hAnsi="Arial" w:eastAsia="黑体"/>
      <w:sz w:val="28"/>
      <w:szCs w:val="24"/>
    </w:rPr>
  </w:style>
  <w:style w:type="character" w:customStyle="1" w:styleId="177">
    <w:name w:val="Char Char241"/>
    <w:qFormat/>
    <w:uiPriority w:val="0"/>
    <w:rPr>
      <w:rFonts w:eastAsia="宋体"/>
      <w:b/>
      <w:kern w:val="2"/>
      <w:sz w:val="28"/>
      <w:lang w:val="en-US" w:eastAsia="zh-CN" w:bidi="ar-SA"/>
    </w:rPr>
  </w:style>
  <w:style w:type="character" w:customStyle="1" w:styleId="178">
    <w:name w:val="PI Char1"/>
    <w:qFormat/>
    <w:uiPriority w:val="0"/>
    <w:rPr>
      <w:rFonts w:eastAsia="宋体"/>
      <w:kern w:val="2"/>
      <w:sz w:val="24"/>
      <w:szCs w:val="24"/>
      <w:lang w:val="en-US" w:eastAsia="zh-CN" w:bidi="ar-SA"/>
    </w:rPr>
  </w:style>
  <w:style w:type="character" w:customStyle="1" w:styleId="179">
    <w:name w:val="_Style 178"/>
    <w:qFormat/>
    <w:uiPriority w:val="0"/>
    <w:rPr>
      <w:smallCaps/>
      <w:color w:val="C0504D"/>
      <w:u w:val="single"/>
    </w:rPr>
  </w:style>
  <w:style w:type="character" w:customStyle="1" w:styleId="180">
    <w:name w:val="style41"/>
    <w:qFormat/>
    <w:uiPriority w:val="0"/>
    <w:rPr>
      <w:color w:val="auto"/>
    </w:rPr>
  </w:style>
  <w:style w:type="character" w:customStyle="1" w:styleId="181">
    <w:name w:val="Char Char16"/>
    <w:qFormat/>
    <w:uiPriority w:val="0"/>
    <w:rPr>
      <w:b/>
      <w:bCs/>
      <w:kern w:val="2"/>
      <w:sz w:val="28"/>
      <w:szCs w:val="28"/>
    </w:rPr>
  </w:style>
  <w:style w:type="character" w:customStyle="1" w:styleId="182">
    <w:name w:val="_Style 181"/>
    <w:qFormat/>
    <w:uiPriority w:val="0"/>
    <w:rPr>
      <w:i/>
      <w:iCs/>
      <w:color w:val="808080"/>
    </w:rPr>
  </w:style>
  <w:style w:type="character" w:customStyle="1" w:styleId="183">
    <w:name w:val="dandyren_title1"/>
    <w:qFormat/>
    <w:uiPriority w:val="0"/>
    <w:rPr>
      <w:b/>
      <w:bCs/>
      <w:color w:val="FF6633"/>
      <w:sz w:val="18"/>
      <w:szCs w:val="18"/>
    </w:rPr>
  </w:style>
  <w:style w:type="character" w:customStyle="1" w:styleId="184">
    <w:name w:val="style21"/>
    <w:qFormat/>
    <w:uiPriority w:val="0"/>
    <w:rPr>
      <w:sz w:val="15"/>
      <w:szCs w:val="15"/>
    </w:rPr>
  </w:style>
  <w:style w:type="character" w:customStyle="1" w:styleId="185">
    <w:name w:val="style111"/>
    <w:qFormat/>
    <w:uiPriority w:val="0"/>
    <w:rPr>
      <w:sz w:val="27"/>
      <w:szCs w:val="27"/>
    </w:rPr>
  </w:style>
  <w:style w:type="character" w:customStyle="1" w:styleId="186">
    <w:name w:val="smalltxt1"/>
    <w:qFormat/>
    <w:uiPriority w:val="0"/>
    <w:rPr>
      <w:rFonts w:hint="default" w:ascii="ˎ̥" w:hAnsi="ˎ̥"/>
      <w:sz w:val="24"/>
      <w:szCs w:val="24"/>
    </w:rPr>
  </w:style>
  <w:style w:type="character" w:customStyle="1" w:styleId="187">
    <w:name w:val="heading 5 Char2"/>
    <w:qFormat/>
    <w:uiPriority w:val="0"/>
    <w:rPr>
      <w:b/>
      <w:bCs/>
      <w:kern w:val="2"/>
      <w:sz w:val="28"/>
      <w:szCs w:val="28"/>
    </w:rPr>
  </w:style>
  <w:style w:type="character" w:customStyle="1" w:styleId="188">
    <w:name w:val="Char Char11"/>
    <w:qFormat/>
    <w:uiPriority w:val="0"/>
    <w:rPr>
      <w:rFonts w:ascii="Times New Roman" w:hAnsi="Times New Roman" w:eastAsia="宋体" w:cs="Times New Roman"/>
      <w:sz w:val="18"/>
      <w:szCs w:val="18"/>
    </w:rPr>
  </w:style>
  <w:style w:type="character" w:customStyle="1" w:styleId="189">
    <w:name w:val="样式2 Char Char"/>
    <w:link w:val="190"/>
    <w:qFormat/>
    <w:uiPriority w:val="0"/>
    <w:rPr>
      <w:rFonts w:ascii="宋体" w:hAnsi="宋体" w:eastAsia="宋体"/>
      <w:bCs/>
      <w:kern w:val="2"/>
      <w:sz w:val="28"/>
      <w:szCs w:val="28"/>
      <w:lang w:val="en-US" w:eastAsia="zh-CN" w:bidi="ar-SA"/>
    </w:rPr>
  </w:style>
  <w:style w:type="paragraph" w:customStyle="1" w:styleId="190">
    <w:name w:val="样式2"/>
    <w:basedOn w:val="4"/>
    <w:link w:val="189"/>
    <w:qFormat/>
    <w:uiPriority w:val="0"/>
    <w:pPr>
      <w:keepLines/>
      <w:snapToGrid w:val="0"/>
      <w:spacing w:before="260" w:after="156" w:afterLines="50" w:line="480" w:lineRule="exact"/>
      <w:ind w:firstLine="556"/>
    </w:pPr>
    <w:rPr>
      <w:rFonts w:ascii="宋体" w:hAnsi="宋体"/>
      <w:b w:val="0"/>
      <w:bCs/>
      <w:szCs w:val="28"/>
    </w:rPr>
  </w:style>
  <w:style w:type="character" w:customStyle="1" w:styleId="191">
    <w:name w:val="gray6"/>
    <w:qFormat/>
    <w:uiPriority w:val="0"/>
  </w:style>
  <w:style w:type="character" w:customStyle="1" w:styleId="192">
    <w:name w:val="Style4"/>
    <w:qFormat/>
    <w:uiPriority w:val="0"/>
    <w:rPr>
      <w:rFonts w:ascii="Calibri" w:hAnsi="宋体" w:eastAsia="宋体" w:cs="Times New Roman"/>
      <w:szCs w:val="22"/>
      <w:lang w:eastAsia="zh-CN"/>
    </w:rPr>
  </w:style>
  <w:style w:type="character" w:customStyle="1" w:styleId="193">
    <w:name w:val="Char Char Char Char Char Char Char Char Char"/>
    <w:qFormat/>
    <w:uiPriority w:val="0"/>
    <w:rPr>
      <w:rFonts w:ascii="宋体" w:hAnsi="Courier New" w:eastAsia="宋体"/>
      <w:sz w:val="21"/>
      <w:szCs w:val="21"/>
      <w:lang w:val="en-US" w:eastAsia="zh-CN" w:bidi="ar-SA"/>
    </w:rPr>
  </w:style>
  <w:style w:type="character" w:customStyle="1" w:styleId="194">
    <w:name w:val="pt141"/>
    <w:qFormat/>
    <w:uiPriority w:val="0"/>
    <w:rPr>
      <w:color w:val="330066"/>
      <w:spacing w:val="450"/>
      <w:sz w:val="22"/>
      <w:szCs w:val="22"/>
    </w:rPr>
  </w:style>
  <w:style w:type="character" w:customStyle="1" w:styleId="195">
    <w:name w:val="heading 2 Char1"/>
    <w:qFormat/>
    <w:uiPriority w:val="0"/>
    <w:rPr>
      <w:rFonts w:ascii="Cambria" w:hAnsi="Cambria" w:eastAsia="宋体"/>
      <w:b/>
      <w:bCs/>
      <w:kern w:val="2"/>
      <w:sz w:val="32"/>
      <w:szCs w:val="32"/>
      <w:lang w:val="en-US" w:eastAsia="zh-CN" w:bidi="ar-SA"/>
    </w:rPr>
  </w:style>
  <w:style w:type="character" w:customStyle="1" w:styleId="196">
    <w:name w:val="textcolor1"/>
    <w:qFormat/>
    <w:uiPriority w:val="0"/>
    <w:rPr>
      <w:rFonts w:ascii="仿宋_GB2312" w:eastAsia="仿宋_GB2312"/>
      <w:b/>
      <w:color w:val="FF6600"/>
      <w:sz w:val="32"/>
      <w:szCs w:val="32"/>
    </w:rPr>
  </w:style>
  <w:style w:type="character" w:customStyle="1" w:styleId="197">
    <w:name w:val="_Style 196"/>
    <w:qFormat/>
    <w:uiPriority w:val="0"/>
    <w:rPr>
      <w:b/>
      <w:bCs/>
      <w:i/>
      <w:iCs/>
      <w:color w:val="4F81BD"/>
    </w:rPr>
  </w:style>
  <w:style w:type="character" w:customStyle="1" w:styleId="198">
    <w:name w:val="heading 9 Char1"/>
    <w:qFormat/>
    <w:uiPriority w:val="0"/>
    <w:rPr>
      <w:rFonts w:ascii="Arial" w:hAnsi="Arial" w:eastAsia="黑体"/>
      <w:sz w:val="21"/>
      <w:lang w:val="en-US" w:eastAsia="zh-CN" w:bidi="ar-SA"/>
    </w:rPr>
  </w:style>
  <w:style w:type="character" w:customStyle="1" w:styleId="199">
    <w:name w:val="Texte Char Char"/>
    <w:qFormat/>
    <w:uiPriority w:val="0"/>
    <w:rPr>
      <w:rFonts w:ascii="宋体" w:hAnsi="Courier New" w:eastAsia="宋体"/>
      <w:sz w:val="21"/>
      <w:szCs w:val="21"/>
      <w:lang w:val="en-US" w:eastAsia="zh-CN" w:bidi="ar-SA"/>
    </w:rPr>
  </w:style>
  <w:style w:type="character" w:customStyle="1" w:styleId="200">
    <w:name w:val="ändrad Char"/>
    <w:qFormat/>
    <w:uiPriority w:val="0"/>
    <w:rPr>
      <w:rFonts w:eastAsia="宋体"/>
      <w:kern w:val="2"/>
      <w:sz w:val="21"/>
      <w:szCs w:val="24"/>
      <w:lang w:val="en-US" w:eastAsia="zh-CN" w:bidi="ar-SA"/>
    </w:rPr>
  </w:style>
  <w:style w:type="paragraph" w:customStyle="1" w:styleId="201">
    <w:name w:val="Fließtext"/>
    <w:basedOn w:val="1"/>
    <w:qFormat/>
    <w:uiPriority w:val="0"/>
    <w:pPr>
      <w:overflowPunct w:val="0"/>
      <w:autoSpaceDE w:val="0"/>
      <w:autoSpaceDN w:val="0"/>
      <w:adjustRightInd w:val="0"/>
      <w:textAlignment w:val="baseline"/>
    </w:pPr>
    <w:rPr>
      <w:kern w:val="28"/>
      <w:szCs w:val="20"/>
    </w:rPr>
  </w:style>
  <w:style w:type="paragraph" w:customStyle="1" w:styleId="20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204">
    <w:name w:val="_Style 203"/>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05">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0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7">
    <w:name w:val="保留正文"/>
    <w:basedOn w:val="21"/>
    <w:qFormat/>
    <w:uiPriority w:val="0"/>
    <w:pPr>
      <w:keepNext/>
      <w:spacing w:after="160"/>
    </w:pPr>
    <w:rPr>
      <w:szCs w:val="20"/>
    </w:rPr>
  </w:style>
  <w:style w:type="paragraph" w:customStyle="1" w:styleId="20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09">
    <w:name w:val="Char Char Char Char Char Char Char Char Char Char Char Char Char"/>
    <w:basedOn w:val="1"/>
    <w:qFormat/>
    <w:uiPriority w:val="0"/>
  </w:style>
  <w:style w:type="paragraph" w:customStyle="1" w:styleId="210">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11">
    <w:name w:val="章标题"/>
    <w:next w:val="1"/>
    <w:qFormat/>
    <w:uiPriority w:val="0"/>
    <w:pPr>
      <w:tabs>
        <w:tab w:val="left" w:pos="3469"/>
      </w:tabs>
      <w:spacing w:before="156" w:beforeLines="50" w:after="156" w:afterLines="50"/>
      <w:ind w:left="3469" w:hanging="420"/>
      <w:jc w:val="both"/>
      <w:outlineLvl w:val="1"/>
    </w:pPr>
    <w:rPr>
      <w:rFonts w:ascii="黑体" w:hAnsi="Times New Roman" w:eastAsia="黑体" w:cs="Times New Roman"/>
      <w:sz w:val="21"/>
      <w:lang w:val="en-US" w:eastAsia="zh-CN" w:bidi="ar-SA"/>
    </w:rPr>
  </w:style>
  <w:style w:type="paragraph" w:customStyle="1" w:styleId="212">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13">
    <w:name w:val="p0"/>
    <w:basedOn w:val="1"/>
    <w:qFormat/>
    <w:uiPriority w:val="0"/>
    <w:pPr>
      <w:widowControl/>
    </w:pPr>
    <w:rPr>
      <w:kern w:val="0"/>
      <w:szCs w:val="21"/>
    </w:rPr>
  </w:style>
  <w:style w:type="paragraph" w:customStyle="1" w:styleId="214">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215">
    <w:name w:val="正文-宋体四号"/>
    <w:basedOn w:val="1"/>
    <w:qFormat/>
    <w:uiPriority w:val="0"/>
    <w:pPr>
      <w:spacing w:line="360" w:lineRule="auto"/>
      <w:ind w:firstLine="560" w:firstLineChars="200"/>
    </w:pPr>
    <w:rPr>
      <w:rFonts w:cs="宋体"/>
      <w:sz w:val="28"/>
      <w:szCs w:val="20"/>
    </w:rPr>
  </w:style>
  <w:style w:type="paragraph" w:customStyle="1" w:styleId="216">
    <w:name w:val="Char1 Char Char Char Char Char Char"/>
    <w:basedOn w:val="1"/>
    <w:qFormat/>
    <w:uiPriority w:val="0"/>
    <w:rPr>
      <w:rFonts w:ascii="宋体" w:hAnsi="宋体"/>
      <w:color w:val="000000"/>
      <w:sz w:val="24"/>
    </w:rPr>
  </w:style>
  <w:style w:type="paragraph" w:customStyle="1" w:styleId="217">
    <w:name w:val="Char1"/>
    <w:basedOn w:val="1"/>
    <w:qFormat/>
    <w:uiPriority w:val="0"/>
    <w:rPr>
      <w:rFonts w:ascii="仿宋_GB2312" w:eastAsia="仿宋_GB2312"/>
      <w:b/>
      <w:sz w:val="32"/>
      <w:szCs w:val="32"/>
    </w:rPr>
  </w:style>
  <w:style w:type="paragraph" w:customStyle="1" w:styleId="21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9">
    <w:name w:val="正文格式"/>
    <w:basedOn w:val="1"/>
    <w:qFormat/>
    <w:uiPriority w:val="0"/>
    <w:pPr>
      <w:widowControl/>
      <w:adjustRightInd w:val="0"/>
      <w:snapToGrid w:val="0"/>
      <w:ind w:firstLine="482"/>
      <w:textAlignment w:val="baseline"/>
    </w:pPr>
    <w:rPr>
      <w:rFonts w:ascii="仿宋" w:hAnsi="仿宋" w:eastAsia="仿宋"/>
      <w:sz w:val="24"/>
    </w:rPr>
  </w:style>
  <w:style w:type="paragraph" w:customStyle="1" w:styleId="2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1">
    <w:name w:val="三级条标题"/>
    <w:basedOn w:val="222"/>
    <w:next w:val="1"/>
    <w:qFormat/>
    <w:uiPriority w:val="0"/>
    <w:pPr>
      <w:tabs>
        <w:tab w:val="left" w:pos="3889"/>
        <w:tab w:val="left" w:pos="4309"/>
        <w:tab w:val="left" w:pos="4729"/>
      </w:tabs>
      <w:ind w:left="4729"/>
      <w:outlineLvl w:val="4"/>
    </w:pPr>
  </w:style>
  <w:style w:type="paragraph" w:customStyle="1" w:styleId="222">
    <w:name w:val="二级条标题"/>
    <w:basedOn w:val="223"/>
    <w:next w:val="1"/>
    <w:qFormat/>
    <w:uiPriority w:val="0"/>
    <w:pPr>
      <w:tabs>
        <w:tab w:val="left" w:pos="3889"/>
        <w:tab w:val="left" w:pos="4309"/>
      </w:tabs>
      <w:ind w:left="4309"/>
      <w:outlineLvl w:val="3"/>
    </w:pPr>
  </w:style>
  <w:style w:type="paragraph" w:customStyle="1" w:styleId="223">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24">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25">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26">
    <w:name w:val="xl9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27">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2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3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33">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4">
    <w:name w:val="ÕýÎÄÊ×ÐÐËõ½ø"/>
    <w:basedOn w:val="1"/>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3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40">
    <w:name w:val="tabletext"/>
    <w:basedOn w:val="1"/>
    <w:qFormat/>
    <w:uiPriority w:val="0"/>
    <w:pPr>
      <w:widowControl/>
      <w:spacing w:line="300" w:lineRule="atLeast"/>
      <w:jc w:val="left"/>
    </w:pPr>
    <w:rPr>
      <w:rFonts w:ascii="宋体" w:hAnsi="宋体" w:cs="宋体"/>
      <w:kern w:val="0"/>
      <w:sz w:val="18"/>
      <w:szCs w:val="18"/>
    </w:rPr>
  </w:style>
  <w:style w:type="paragraph" w:customStyle="1" w:styleId="24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2">
    <w:name w:val="Char Char Char Char Char Char Char"/>
    <w:basedOn w:val="1"/>
    <w:uiPriority w:val="0"/>
    <w:rPr>
      <w:rFonts w:ascii="仿宋_GB2312" w:eastAsia="仿宋_GB2312"/>
      <w:b/>
      <w:sz w:val="32"/>
      <w:szCs w:val="32"/>
    </w:rPr>
  </w:style>
  <w:style w:type="paragraph" w:customStyle="1" w:styleId="24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4">
    <w:name w:val="l正文"/>
    <w:basedOn w:val="1"/>
    <w:qFormat/>
    <w:uiPriority w:val="0"/>
    <w:pPr>
      <w:spacing w:line="360" w:lineRule="auto"/>
      <w:ind w:firstLine="200" w:firstLineChars="200"/>
    </w:pPr>
    <w:rPr>
      <w:rFonts w:ascii="宋体" w:hAnsi="宋体"/>
      <w:sz w:val="24"/>
    </w:rPr>
  </w:style>
  <w:style w:type="paragraph" w:customStyle="1" w:styleId="245">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46">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47">
    <w:name w:val="简单回函地址"/>
    <w:basedOn w:val="1"/>
    <w:qFormat/>
    <w:uiPriority w:val="0"/>
  </w:style>
  <w:style w:type="paragraph" w:customStyle="1" w:styleId="248">
    <w:name w:val="1 Char"/>
    <w:basedOn w:val="9"/>
    <w:qFormat/>
    <w:uiPriority w:val="0"/>
    <w:pPr>
      <w:adjustRightInd/>
      <w:spacing w:line="360" w:lineRule="auto"/>
      <w:ind w:firstLine="200" w:firstLineChars="200"/>
      <w:textAlignment w:val="auto"/>
    </w:pPr>
    <w:rPr>
      <w:kern w:val="2"/>
    </w:rPr>
  </w:style>
  <w:style w:type="paragraph" w:customStyle="1" w:styleId="249">
    <w:name w:val="彩色列表 - 强调文字颜色 11"/>
    <w:basedOn w:val="1"/>
    <w:qFormat/>
    <w:uiPriority w:val="0"/>
    <w:pPr>
      <w:ind w:firstLine="420" w:firstLineChars="200"/>
    </w:pPr>
    <w:rPr>
      <w:rFonts w:ascii="Calibri" w:hAnsi="Calibri"/>
      <w:szCs w:val="22"/>
    </w:rPr>
  </w:style>
  <w:style w:type="paragraph" w:customStyle="1" w:styleId="250">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5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54">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55">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5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58">
    <w:name w:val="Char Char Char Char Char Char Char Char Char Char Char Char Char1"/>
    <w:basedOn w:val="1"/>
    <w:qFormat/>
    <w:uiPriority w:val="0"/>
    <w:rPr>
      <w:rFonts w:ascii="Tahoma" w:hAnsi="Tahoma"/>
      <w:sz w:val="24"/>
      <w:szCs w:val="20"/>
    </w:rPr>
  </w:style>
  <w:style w:type="paragraph" w:customStyle="1" w:styleId="259">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60">
    <w:name w:val="纯文本1"/>
    <w:basedOn w:val="1"/>
    <w:uiPriority w:val="0"/>
    <w:pPr>
      <w:adjustRightInd w:val="0"/>
      <w:textAlignment w:val="baseline"/>
    </w:pPr>
    <w:rPr>
      <w:rFonts w:ascii="宋体" w:hAnsi="Courier New" w:eastAsia="楷体_GB2312"/>
      <w:sz w:val="28"/>
      <w:szCs w:val="20"/>
    </w:rPr>
  </w:style>
  <w:style w:type="paragraph" w:customStyle="1" w:styleId="261">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262">
    <w:name w:val="默认段落字体 Para Char Char Char Char Char Char Char"/>
    <w:basedOn w:val="1"/>
    <w:qFormat/>
    <w:uiPriority w:val="0"/>
  </w:style>
  <w:style w:type="paragraph" w:customStyle="1" w:styleId="263">
    <w:name w:val="Char Char"/>
    <w:basedOn w:val="1"/>
    <w:qFormat/>
    <w:uiPriority w:val="0"/>
    <w:rPr>
      <w:rFonts w:ascii="仿宋_GB2312" w:eastAsia="仿宋_GB2312"/>
      <w:b/>
      <w:sz w:val="32"/>
      <w:szCs w:val="32"/>
    </w:rPr>
  </w:style>
  <w:style w:type="paragraph" w:customStyle="1" w:styleId="264">
    <w:name w:val="xl8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5">
    <w:name w:val="文字"/>
    <w:basedOn w:val="1"/>
    <w:qFormat/>
    <w:uiPriority w:val="0"/>
    <w:pPr>
      <w:tabs>
        <w:tab w:val="left" w:pos="8520"/>
      </w:tabs>
      <w:spacing w:line="312" w:lineRule="auto"/>
      <w:ind w:right="-210" w:firstLine="556"/>
    </w:pPr>
    <w:rPr>
      <w:rFonts w:ascii="宋体"/>
      <w:sz w:val="28"/>
      <w:szCs w:val="20"/>
    </w:rPr>
  </w:style>
  <w:style w:type="paragraph" w:customStyle="1" w:styleId="266">
    <w:name w:val="正文字缩2字"/>
    <w:basedOn w:val="1"/>
    <w:qFormat/>
    <w:uiPriority w:val="0"/>
    <w:pPr>
      <w:spacing w:before="60" w:after="60" w:line="360" w:lineRule="auto"/>
      <w:ind w:left="200" w:leftChars="200" w:firstLine="200" w:firstLineChars="200"/>
    </w:pPr>
    <w:rPr>
      <w:sz w:val="24"/>
    </w:rPr>
  </w:style>
  <w:style w:type="paragraph" w:customStyle="1" w:styleId="2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8">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269">
    <w:name w:val="五级条标题"/>
    <w:basedOn w:val="270"/>
    <w:next w:val="1"/>
    <w:qFormat/>
    <w:uiPriority w:val="0"/>
    <w:pPr>
      <w:tabs>
        <w:tab w:val="left" w:pos="3889"/>
        <w:tab w:val="left" w:pos="4309"/>
        <w:tab w:val="left" w:pos="5149"/>
        <w:tab w:val="left" w:pos="5569"/>
      </w:tabs>
      <w:ind w:left="5569"/>
      <w:outlineLvl w:val="6"/>
    </w:pPr>
  </w:style>
  <w:style w:type="paragraph" w:customStyle="1" w:styleId="270">
    <w:name w:val="四级条标题"/>
    <w:basedOn w:val="221"/>
    <w:next w:val="1"/>
    <w:qFormat/>
    <w:uiPriority w:val="0"/>
    <w:pPr>
      <w:tabs>
        <w:tab w:val="left" w:pos="5149"/>
        <w:tab w:val="clear" w:pos="4729"/>
      </w:tabs>
      <w:ind w:left="5149"/>
      <w:outlineLvl w:val="5"/>
    </w:pPr>
  </w:style>
  <w:style w:type="paragraph" w:customStyle="1" w:styleId="271">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72">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73">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74">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276">
    <w:name w:val="WW-正文文字缩进 2"/>
    <w:basedOn w:val="1"/>
    <w:uiPriority w:val="0"/>
    <w:pPr>
      <w:suppressAutoHyphens/>
      <w:autoSpaceDE w:val="0"/>
      <w:autoSpaceDN w:val="0"/>
      <w:adjustRightInd w:val="0"/>
      <w:ind w:firstLine="420"/>
      <w:jc w:val="left"/>
    </w:pPr>
    <w:rPr>
      <w:kern w:val="1"/>
      <w:sz w:val="20"/>
      <w:szCs w:val="20"/>
    </w:rPr>
  </w:style>
  <w:style w:type="paragraph" w:customStyle="1" w:styleId="277">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78">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79">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8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81">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2">
    <w:name w:val="表内文字"/>
    <w:basedOn w:val="1"/>
    <w:qFormat/>
    <w:uiPriority w:val="0"/>
    <w:pPr>
      <w:spacing w:line="240" w:lineRule="atLeast"/>
      <w:jc w:val="center"/>
    </w:pPr>
    <w:rPr>
      <w:rFonts w:ascii="Arial" w:hAnsi="Arial" w:cs="Arial"/>
      <w:b/>
      <w:bCs/>
    </w:rPr>
  </w:style>
  <w:style w:type="paragraph" w:customStyle="1" w:styleId="283">
    <w:name w:val="Char13"/>
    <w:basedOn w:val="1"/>
    <w:uiPriority w:val="0"/>
    <w:pPr>
      <w:widowControl/>
      <w:spacing w:after="160" w:line="240" w:lineRule="exact"/>
      <w:jc w:val="left"/>
    </w:pPr>
    <w:rPr>
      <w:rFonts w:ascii="Verdana" w:hAnsi="Verdana"/>
      <w:kern w:val="0"/>
      <w:sz w:val="20"/>
      <w:szCs w:val="20"/>
      <w:lang w:eastAsia="en-US"/>
    </w:rPr>
  </w:style>
  <w:style w:type="paragraph" w:customStyle="1" w:styleId="28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8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7">
    <w:name w:val="正文（首行缩进）"/>
    <w:basedOn w:val="24"/>
    <w:qFormat/>
    <w:uiPriority w:val="0"/>
    <w:pPr>
      <w:widowControl/>
      <w:overflowPunct w:val="0"/>
      <w:autoSpaceDE w:val="0"/>
      <w:autoSpaceDN w:val="0"/>
      <w:adjustRightInd w:val="0"/>
      <w:spacing w:before="156" w:beforeLines="50" w:after="120" w:line="400" w:lineRule="exact"/>
      <w:ind w:left="200" w:leftChars="200" w:firstLine="200" w:firstLineChars="200"/>
      <w:jc w:val="left"/>
      <w:textAlignment w:val="baseline"/>
    </w:pPr>
    <w:rPr>
      <w:spacing w:val="10"/>
      <w:kern w:val="0"/>
      <w:szCs w:val="20"/>
    </w:rPr>
  </w:style>
  <w:style w:type="paragraph" w:customStyle="1" w:styleId="28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8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0">
    <w:name w:val="14"/>
    <w:basedOn w:val="1"/>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291">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9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93">
    <w:name w:val="列出段落2"/>
    <w:basedOn w:val="1"/>
    <w:qFormat/>
    <w:uiPriority w:val="34"/>
    <w:pPr>
      <w:ind w:firstLine="420" w:firstLineChars="200"/>
    </w:pPr>
  </w:style>
  <w:style w:type="paragraph" w:customStyle="1" w:styleId="29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9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7">
    <w:name w:val="Char Char Char Char1"/>
    <w:basedOn w:val="17"/>
    <w:qFormat/>
    <w:uiPriority w:val="0"/>
    <w:rPr>
      <w:rFonts w:ascii="Tahoma" w:hAnsi="Tahoma"/>
      <w:sz w:val="24"/>
    </w:rPr>
  </w:style>
  <w:style w:type="paragraph" w:customStyle="1" w:styleId="298">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299">
    <w:name w:val="_Style 3"/>
    <w:basedOn w:val="1"/>
    <w:next w:val="1"/>
    <w:qFormat/>
    <w:uiPriority w:val="34"/>
    <w:pPr>
      <w:spacing w:line="360" w:lineRule="auto"/>
      <w:ind w:firstLine="420" w:firstLineChars="200"/>
    </w:pPr>
  </w:style>
  <w:style w:type="paragraph" w:customStyle="1" w:styleId="30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01">
    <w:name w:val="正文文本缩进 31"/>
    <w:basedOn w:val="1"/>
    <w:qFormat/>
    <w:uiPriority w:val="99"/>
    <w:pPr>
      <w:spacing w:line="300" w:lineRule="auto"/>
      <w:ind w:firstLine="480" w:firstLineChars="200"/>
      <w:jc w:val="left"/>
    </w:pPr>
    <w:rPr>
      <w:kern w:val="0"/>
      <w:sz w:val="24"/>
    </w:rPr>
  </w:style>
  <w:style w:type="paragraph" w:customStyle="1" w:styleId="30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0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6">
    <w:name w:val="Char Char Char Char Char Char Char1"/>
    <w:basedOn w:val="1"/>
    <w:qFormat/>
    <w:uiPriority w:val="0"/>
    <w:rPr>
      <w:rFonts w:ascii="仿宋_GB2312" w:eastAsia="仿宋_GB2312"/>
      <w:b/>
      <w:sz w:val="32"/>
      <w:szCs w:val="32"/>
    </w:rPr>
  </w:style>
  <w:style w:type="paragraph" w:styleId="307">
    <w:name w:val="List Paragraph"/>
    <w:basedOn w:val="1"/>
    <w:qFormat/>
    <w:uiPriority w:val="0"/>
    <w:pPr>
      <w:ind w:firstLine="420" w:firstLineChars="200"/>
    </w:pPr>
    <w:rPr>
      <w:rFonts w:ascii="Calibri" w:hAnsi="Calibri"/>
      <w:szCs w:val="22"/>
    </w:rPr>
  </w:style>
  <w:style w:type="paragraph" w:customStyle="1" w:styleId="308">
    <w:name w:val="列表内容"/>
    <w:basedOn w:val="1"/>
    <w:next w:val="1"/>
    <w:uiPriority w:val="0"/>
    <w:pPr>
      <w:widowControl/>
      <w:autoSpaceDE w:val="0"/>
      <w:autoSpaceDN w:val="0"/>
      <w:adjustRightInd w:val="0"/>
      <w:ind w:firstLine="200"/>
      <w:jc w:val="left"/>
    </w:pPr>
    <w:rPr>
      <w:kern w:val="0"/>
      <w:sz w:val="18"/>
      <w:szCs w:val="20"/>
    </w:rPr>
  </w:style>
  <w:style w:type="paragraph" w:customStyle="1" w:styleId="309">
    <w:name w:val="Char"/>
    <w:basedOn w:val="1"/>
    <w:uiPriority w:val="0"/>
    <w:rPr>
      <w:rFonts w:ascii="仿宋_GB2312" w:eastAsia="仿宋_GB2312"/>
      <w:b/>
      <w:sz w:val="32"/>
      <w:szCs w:val="32"/>
    </w:rPr>
  </w:style>
  <w:style w:type="paragraph" w:customStyle="1" w:styleId="310">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1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文档正文"/>
    <w:basedOn w:val="1"/>
    <w:qFormat/>
    <w:uiPriority w:val="0"/>
    <w:pPr>
      <w:adjustRightInd w:val="0"/>
      <w:spacing w:line="300" w:lineRule="auto"/>
      <w:ind w:firstLine="567"/>
      <w:textAlignment w:val="baseline"/>
    </w:pPr>
    <w:rPr>
      <w:kern w:val="0"/>
      <w:sz w:val="24"/>
      <w:szCs w:val="20"/>
    </w:rPr>
  </w:style>
  <w:style w:type="paragraph" w:customStyle="1" w:styleId="313">
    <w:name w:val="正文 首行缩进:  2 字符 Char"/>
    <w:basedOn w:val="1"/>
    <w:uiPriority w:val="0"/>
    <w:pPr>
      <w:spacing w:line="360" w:lineRule="auto"/>
      <w:ind w:firstLine="480"/>
    </w:pPr>
    <w:rPr>
      <w:rFonts w:cs="宋体"/>
      <w:sz w:val="24"/>
      <w:szCs w:val="20"/>
    </w:rPr>
  </w:style>
  <w:style w:type="paragraph" w:customStyle="1" w:styleId="31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15">
    <w:name w:val="列出段落1"/>
    <w:basedOn w:val="1"/>
    <w:qFormat/>
    <w:uiPriority w:val="0"/>
    <w:pPr>
      <w:ind w:firstLine="420" w:firstLineChars="200"/>
    </w:pPr>
    <w:rPr>
      <w:szCs w:val="20"/>
    </w:rPr>
  </w:style>
  <w:style w:type="paragraph" w:customStyle="1" w:styleId="316">
    <w:name w:val="样式5"/>
    <w:basedOn w:val="9"/>
    <w:qFormat/>
    <w:uiPriority w:val="0"/>
    <w:pPr>
      <w:adjustRightInd/>
      <w:spacing w:line="360" w:lineRule="auto"/>
      <w:ind w:firstLine="200" w:firstLineChars="200"/>
      <w:textAlignment w:val="auto"/>
    </w:pPr>
    <w:rPr>
      <w:sz w:val="28"/>
      <w:szCs w:val="21"/>
    </w:rPr>
  </w:style>
  <w:style w:type="paragraph" w:customStyle="1" w:styleId="317">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318">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9">
    <w:name w:val="Char3 Char Char Char"/>
    <w:basedOn w:val="1"/>
    <w:qFormat/>
    <w:uiPriority w:val="0"/>
  </w:style>
  <w:style w:type="paragraph" w:customStyle="1" w:styleId="320">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2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22">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24">
    <w:name w:val="样式1"/>
    <w:basedOn w:val="1"/>
    <w:qFormat/>
    <w:uiPriority w:val="0"/>
    <w:pPr>
      <w:autoSpaceDE w:val="0"/>
      <w:autoSpaceDN w:val="0"/>
      <w:adjustRightInd w:val="0"/>
      <w:spacing w:line="400" w:lineRule="exact"/>
    </w:pPr>
    <w:rPr>
      <w:rFonts w:ascii="宋体" w:cs="宋体"/>
      <w:kern w:val="0"/>
    </w:rPr>
  </w:style>
  <w:style w:type="paragraph" w:customStyle="1" w:styleId="32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7">
    <w:name w:val="List Paragraph1"/>
    <w:basedOn w:val="1"/>
    <w:qFormat/>
    <w:uiPriority w:val="0"/>
    <w:pPr>
      <w:ind w:firstLine="420" w:firstLineChars="200"/>
    </w:pPr>
    <w:rPr>
      <w:rFonts w:ascii="Calibri" w:hAnsi="Calibri"/>
      <w:szCs w:val="22"/>
    </w:rPr>
  </w:style>
  <w:style w:type="paragraph" w:customStyle="1" w:styleId="32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0">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31">
    <w:name w:val="List Paragraph2"/>
    <w:basedOn w:val="1"/>
    <w:qFormat/>
    <w:uiPriority w:val="0"/>
    <w:pPr>
      <w:ind w:firstLine="420" w:firstLineChars="200"/>
    </w:pPr>
  </w:style>
  <w:style w:type="paragraph" w:customStyle="1" w:styleId="332">
    <w:name w:val="样式 标题 1Level 1Level 11h1II+IHeading1H1-Heading 1Header 1..."/>
    <w:basedOn w:val="3"/>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333">
    <w:name w:val="xl83"/>
    <w:basedOn w:val="1"/>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34">
    <w:name w:val="_Style 333"/>
    <w:unhideWhenUsed/>
    <w:qFormat/>
    <w:uiPriority w:val="99"/>
    <w:rPr>
      <w:rFonts w:ascii="Times New Roman" w:hAnsi="Times New Roman" w:eastAsia="宋体" w:cs="Times New Roman"/>
      <w:kern w:val="2"/>
      <w:sz w:val="21"/>
      <w:szCs w:val="24"/>
      <w:lang w:val="en-US" w:eastAsia="zh-CN" w:bidi="ar-SA"/>
    </w:rPr>
  </w:style>
  <w:style w:type="character" w:customStyle="1" w:styleId="335">
    <w:name w:val="NormalCharacter"/>
    <w:qFormat/>
    <w:uiPriority w:val="0"/>
  </w:style>
  <w:style w:type="paragraph" w:customStyle="1" w:styleId="336">
    <w:name w:val="表格文字"/>
    <w:basedOn w:val="1"/>
    <w:next w:val="21"/>
    <w:qFormat/>
    <w:uiPriority w:val="0"/>
    <w:pPr>
      <w:adjustRightInd w:val="0"/>
      <w:spacing w:line="420" w:lineRule="atLeast"/>
      <w:jc w:val="left"/>
      <w:textAlignment w:val="baseline"/>
    </w:pPr>
  </w:style>
  <w:style w:type="character" w:customStyle="1" w:styleId="337">
    <w:name w:val="font61"/>
    <w:qFormat/>
    <w:uiPriority w:val="0"/>
    <w:rPr>
      <w:rFonts w:hint="default" w:ascii="仿宋_GB2312" w:eastAsia="仿宋_GB2312" w:cs="仿宋_GB2312"/>
      <w:color w:val="000000"/>
      <w:sz w:val="22"/>
      <w:szCs w:val="22"/>
      <w:u w:val="none"/>
    </w:rPr>
  </w:style>
  <w:style w:type="character" w:customStyle="1" w:styleId="338">
    <w:name w:val="font71"/>
    <w:uiPriority w:val="0"/>
    <w:rPr>
      <w:rFonts w:hint="default" w:ascii="仿宋_GB2312" w:eastAsia="仿宋_GB2312" w:cs="仿宋_GB2312"/>
      <w:b/>
      <w:bCs/>
      <w:color w:val="000000"/>
      <w:sz w:val="22"/>
      <w:szCs w:val="22"/>
      <w:u w:val="none"/>
    </w:rPr>
  </w:style>
  <w:style w:type="character" w:customStyle="1" w:styleId="339">
    <w:name w:val="font13"/>
    <w:qFormat/>
    <w:uiPriority w:val="0"/>
    <w:rPr>
      <w:rFonts w:hint="eastAsia" w:ascii="宋体" w:hAnsi="宋体" w:eastAsia="宋体" w:cs="宋体"/>
      <w:color w:val="000000"/>
      <w:sz w:val="22"/>
      <w:szCs w:val="22"/>
      <w:u w:val="none"/>
    </w:rPr>
  </w:style>
  <w:style w:type="character" w:customStyle="1" w:styleId="340">
    <w:name w:val="font81"/>
    <w:qFormat/>
    <w:uiPriority w:val="0"/>
    <w:rPr>
      <w:rFonts w:hint="default" w:ascii="Times New Roman" w:hAnsi="Times New Roman" w:cs="Times New Roman"/>
      <w:color w:val="000000"/>
      <w:sz w:val="22"/>
      <w:szCs w:val="22"/>
      <w:u w:val="none"/>
    </w:rPr>
  </w:style>
  <w:style w:type="character" w:customStyle="1" w:styleId="341">
    <w:name w:val="font91"/>
    <w:qFormat/>
    <w:uiPriority w:val="0"/>
    <w:rPr>
      <w:rFonts w:hint="default" w:ascii="Times New Roman" w:hAnsi="Times New Roman" w:cs="Times New Roman"/>
      <w:color w:val="000000"/>
      <w:sz w:val="22"/>
      <w:szCs w:val="22"/>
      <w:u w:val="none"/>
    </w:rPr>
  </w:style>
  <w:style w:type="character" w:customStyle="1" w:styleId="342">
    <w:name w:val="font41"/>
    <w:qFormat/>
    <w:uiPriority w:val="0"/>
    <w:rPr>
      <w:rFonts w:hint="default" w:ascii="Times New Roman" w:hAnsi="Times New Roman" w:cs="Times New Roman"/>
      <w:color w:val="000000"/>
      <w:sz w:val="22"/>
      <w:szCs w:val="22"/>
      <w:u w:val="none"/>
    </w:rPr>
  </w:style>
  <w:style w:type="paragraph" w:customStyle="1" w:styleId="343">
    <w:name w:val="_Style 1"/>
    <w:basedOn w:val="1"/>
    <w:qFormat/>
    <w:uiPriority w:val="34"/>
    <w:pPr>
      <w:widowControl/>
      <w:spacing w:before="100" w:beforeAutospacing="1" w:after="100" w:afterAutospacing="1" w:line="360" w:lineRule="auto"/>
      <w:ind w:left="57" w:firstLine="420" w:firstLineChars="200"/>
      <w:jc w:val="left"/>
    </w:pPr>
    <w:rPr>
      <w:rFonts w:ascii="Arial" w:hAnsi="Arial" w:cs="Arial"/>
      <w:bCs/>
      <w:iCs/>
      <w:kern w:val="0"/>
      <w:sz w:val="18"/>
      <w:szCs w:val="28"/>
    </w:rPr>
  </w:style>
  <w:style w:type="paragraph" w:customStyle="1" w:styleId="344">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中国远东国际贸易总公司</Company>
  <Pages>70</Pages>
  <Words>35072</Words>
  <Characters>37391</Characters>
  <Lines>89</Lines>
  <Paragraphs>112</Paragraphs>
  <TotalTime>35</TotalTime>
  <ScaleCrop>false</ScaleCrop>
  <LinksUpToDate>false</LinksUpToDate>
  <CharactersWithSpaces>39273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2024-07-07T06:55:00Z</dcterms:created>
  <dc:creator>zyq</dc:creator>
  <cp:lastModifiedBy>乐圣天</cp:lastModifiedBy>
  <cp:lastPrinted>2024-07-05T18:11:00Z</cp:lastPrinted>
  <dcterms:modified xsi:type="dcterms:W3CDTF">2024-08-01T01:42:31Z</dcterms:modified>
  <dc:title>招标文件目录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1177EB344A024623B10E5267A1994479_13</vt:lpwstr>
  </property>
</Properties>
</file>