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36A929D">
      <w:pPr>
        <w:jc w:val="both"/>
        <w:rPr>
          <w:rFonts w:hint="eastAsia" w:ascii="新宋体" w:hAnsi="新宋体" w:eastAsia="新宋体" w:cs="新宋体"/>
          <w:color w:val="auto"/>
          <w:spacing w:val="20"/>
          <w:sz w:val="84"/>
          <w:highlight w:val="none"/>
        </w:rPr>
      </w:pPr>
    </w:p>
    <w:p w14:paraId="55FD8682">
      <w:pPr>
        <w:jc w:val="both"/>
        <w:rPr>
          <w:rFonts w:hint="eastAsia" w:ascii="新宋体" w:hAnsi="新宋体" w:eastAsia="新宋体" w:cs="新宋体"/>
          <w:b/>
          <w:bCs/>
          <w:color w:val="auto"/>
          <w:sz w:val="52"/>
          <w:szCs w:val="52"/>
          <w:highlight w:val="none"/>
        </w:rPr>
      </w:pPr>
      <w:r>
        <w:rPr>
          <w:rFonts w:hint="eastAsia" w:ascii="新宋体" w:hAnsi="新宋体" w:eastAsia="新宋体" w:cs="新宋体"/>
          <w:color w:val="auto"/>
          <w:spacing w:val="20"/>
          <w:sz w:val="84"/>
          <w:highlight w:val="none"/>
        </w:rPr>
        <w:t>温州市政府（分散）采购</w:t>
      </w:r>
    </w:p>
    <w:p w14:paraId="664B42CD">
      <w:pPr>
        <w:jc w:val="center"/>
        <w:rPr>
          <w:rFonts w:hint="eastAsia" w:ascii="新宋体" w:hAnsi="新宋体" w:eastAsia="新宋体" w:cs="新宋体"/>
          <w:b/>
          <w:bCs/>
          <w:color w:val="auto"/>
          <w:spacing w:val="26"/>
          <w:sz w:val="52"/>
          <w:highlight w:val="none"/>
        </w:rPr>
      </w:pPr>
    </w:p>
    <w:p w14:paraId="67DD009E">
      <w:pPr>
        <w:ind w:firstLine="2357" w:firstLineChars="235"/>
        <w:rPr>
          <w:rFonts w:hint="eastAsia" w:ascii="新宋体" w:hAnsi="新宋体" w:eastAsia="新宋体" w:cs="新宋体"/>
          <w:b/>
          <w:bCs/>
          <w:color w:val="auto"/>
          <w:spacing w:val="140"/>
          <w:sz w:val="72"/>
          <w:highlight w:val="none"/>
        </w:rPr>
      </w:pPr>
    </w:p>
    <w:p w14:paraId="65B0B600">
      <w:pPr>
        <w:adjustRightInd w:val="0"/>
        <w:snapToGrid w:val="0"/>
        <w:spacing w:line="480" w:lineRule="auto"/>
        <w:ind w:right="361"/>
        <w:jc w:val="center"/>
        <w:rPr>
          <w:rFonts w:hint="eastAsia" w:ascii="新宋体" w:hAnsi="新宋体" w:eastAsia="新宋体" w:cs="新宋体"/>
          <w:b w:val="0"/>
          <w:bCs w:val="0"/>
          <w:color w:val="auto"/>
          <w:sz w:val="72"/>
          <w:szCs w:val="72"/>
          <w:highlight w:val="none"/>
        </w:rPr>
      </w:pPr>
      <w:r>
        <w:rPr>
          <w:rFonts w:hint="eastAsia" w:ascii="新宋体" w:hAnsi="新宋体" w:eastAsia="新宋体" w:cs="新宋体"/>
          <w:b w:val="0"/>
          <w:bCs w:val="0"/>
          <w:color w:val="auto"/>
          <w:sz w:val="72"/>
          <w:szCs w:val="72"/>
          <w:highlight w:val="none"/>
        </w:rPr>
        <w:t>招 标 文 件</w:t>
      </w:r>
    </w:p>
    <w:tbl>
      <w:tblPr>
        <w:tblStyle w:val="53"/>
        <w:tblW w:w="0" w:type="auto"/>
        <w:tblInd w:w="11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5"/>
        <w:gridCol w:w="6205"/>
      </w:tblGrid>
      <w:tr w14:paraId="26FDC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5" w:type="dxa"/>
            <w:vAlign w:val="center"/>
          </w:tcPr>
          <w:p w14:paraId="29D09A1F">
            <w:pPr>
              <w:spacing w:line="700" w:lineRule="exact"/>
              <w:jc w:val="both"/>
              <w:rPr>
                <w:rFonts w:hint="eastAsia" w:ascii="新宋体" w:hAnsi="新宋体" w:eastAsia="新宋体" w:cs="新宋体"/>
                <w:b w:val="0"/>
                <w:bCs w:val="0"/>
                <w:color w:val="auto"/>
                <w:sz w:val="30"/>
                <w:szCs w:val="30"/>
                <w:highlight w:val="none"/>
                <w:lang w:eastAsia="zh-CN"/>
              </w:rPr>
            </w:pPr>
            <w:r>
              <w:rPr>
                <w:rFonts w:hint="eastAsia" w:ascii="新宋体" w:hAnsi="新宋体" w:eastAsia="新宋体" w:cs="新宋体"/>
                <w:b w:val="0"/>
                <w:bCs w:val="0"/>
                <w:color w:val="auto"/>
                <w:sz w:val="30"/>
                <w:szCs w:val="30"/>
                <w:highlight w:val="none"/>
                <w:lang w:eastAsia="zh-CN"/>
              </w:rPr>
              <w:t>项目编号：</w:t>
            </w:r>
          </w:p>
        </w:tc>
        <w:tc>
          <w:tcPr>
            <w:tcW w:w="6205" w:type="dxa"/>
            <w:vAlign w:val="center"/>
          </w:tcPr>
          <w:p w14:paraId="6A3DFEF1">
            <w:pPr>
              <w:spacing w:line="700" w:lineRule="exact"/>
              <w:jc w:val="both"/>
              <w:rPr>
                <w:rFonts w:hint="eastAsia" w:ascii="新宋体" w:hAnsi="新宋体" w:eastAsia="新宋体" w:cs="新宋体"/>
                <w:b w:val="0"/>
                <w:bCs w:val="0"/>
                <w:color w:val="auto"/>
                <w:sz w:val="30"/>
                <w:szCs w:val="30"/>
                <w:highlight w:val="none"/>
                <w:lang w:eastAsia="zh-CN"/>
              </w:rPr>
            </w:pPr>
            <w:r>
              <w:rPr>
                <w:rFonts w:hint="eastAsia" w:ascii="新宋体" w:hAnsi="新宋体" w:eastAsia="新宋体" w:cs="新宋体"/>
                <w:b w:val="0"/>
                <w:bCs w:val="0"/>
                <w:color w:val="auto"/>
                <w:sz w:val="30"/>
                <w:szCs w:val="30"/>
                <w:highlight w:val="none"/>
                <w:lang w:eastAsia="zh-CN"/>
              </w:rPr>
              <w:t>WZLCZB（L）-2024-07264</w:t>
            </w:r>
          </w:p>
        </w:tc>
      </w:tr>
      <w:tr w14:paraId="38251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5" w:type="dxa"/>
            <w:vAlign w:val="center"/>
          </w:tcPr>
          <w:p w14:paraId="7AF944B3">
            <w:pPr>
              <w:spacing w:line="700" w:lineRule="exact"/>
              <w:jc w:val="both"/>
              <w:rPr>
                <w:rFonts w:hint="eastAsia" w:ascii="新宋体" w:hAnsi="新宋体" w:eastAsia="新宋体" w:cs="新宋体"/>
                <w:b w:val="0"/>
                <w:bCs w:val="0"/>
                <w:color w:val="auto"/>
                <w:sz w:val="30"/>
                <w:szCs w:val="30"/>
                <w:highlight w:val="none"/>
                <w:lang w:eastAsia="zh-CN"/>
              </w:rPr>
            </w:pPr>
            <w:r>
              <w:rPr>
                <w:rFonts w:hint="eastAsia" w:ascii="新宋体" w:hAnsi="新宋体" w:eastAsia="新宋体" w:cs="新宋体"/>
                <w:b w:val="0"/>
                <w:bCs w:val="0"/>
                <w:color w:val="auto"/>
                <w:sz w:val="30"/>
                <w:szCs w:val="30"/>
                <w:highlight w:val="none"/>
                <w:lang w:eastAsia="zh-CN"/>
              </w:rPr>
              <w:t>项目名称：</w:t>
            </w:r>
          </w:p>
        </w:tc>
        <w:tc>
          <w:tcPr>
            <w:tcW w:w="6205" w:type="dxa"/>
            <w:vAlign w:val="center"/>
          </w:tcPr>
          <w:p w14:paraId="781A98C8">
            <w:pPr>
              <w:spacing w:line="700" w:lineRule="exact"/>
              <w:jc w:val="both"/>
              <w:rPr>
                <w:rFonts w:hint="eastAsia" w:ascii="新宋体" w:hAnsi="新宋体" w:eastAsia="新宋体" w:cs="新宋体"/>
                <w:b w:val="0"/>
                <w:bCs w:val="0"/>
                <w:color w:val="auto"/>
                <w:sz w:val="30"/>
                <w:szCs w:val="30"/>
                <w:highlight w:val="none"/>
                <w:lang w:eastAsia="zh-CN"/>
              </w:rPr>
            </w:pPr>
            <w:r>
              <w:rPr>
                <w:rFonts w:hint="eastAsia" w:ascii="新宋体" w:hAnsi="新宋体" w:eastAsia="新宋体" w:cs="新宋体"/>
                <w:b w:val="0"/>
                <w:bCs w:val="0"/>
                <w:color w:val="auto"/>
                <w:sz w:val="30"/>
                <w:szCs w:val="30"/>
                <w:highlight w:val="none"/>
                <w:lang w:eastAsia="zh-CN"/>
              </w:rPr>
              <w:t>儿童康复器材</w:t>
            </w:r>
          </w:p>
        </w:tc>
      </w:tr>
      <w:tr w14:paraId="3452F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5" w:type="dxa"/>
            <w:vAlign w:val="center"/>
          </w:tcPr>
          <w:p w14:paraId="7AEECB07">
            <w:pPr>
              <w:spacing w:line="700" w:lineRule="exact"/>
              <w:jc w:val="both"/>
              <w:rPr>
                <w:rFonts w:hint="eastAsia" w:ascii="新宋体" w:hAnsi="新宋体" w:eastAsia="新宋体" w:cs="新宋体"/>
                <w:b w:val="0"/>
                <w:bCs w:val="0"/>
                <w:color w:val="auto"/>
                <w:sz w:val="30"/>
                <w:szCs w:val="30"/>
                <w:highlight w:val="none"/>
                <w:lang w:eastAsia="zh-CN"/>
              </w:rPr>
            </w:pPr>
            <w:r>
              <w:rPr>
                <w:rFonts w:hint="eastAsia" w:ascii="新宋体" w:hAnsi="新宋体" w:eastAsia="新宋体" w:cs="新宋体"/>
                <w:b w:val="0"/>
                <w:bCs w:val="0"/>
                <w:color w:val="auto"/>
                <w:sz w:val="30"/>
                <w:szCs w:val="30"/>
                <w:highlight w:val="none"/>
                <w:lang w:eastAsia="zh-CN"/>
              </w:rPr>
              <w:t>采购方式：</w:t>
            </w:r>
          </w:p>
        </w:tc>
        <w:tc>
          <w:tcPr>
            <w:tcW w:w="6205" w:type="dxa"/>
            <w:vAlign w:val="center"/>
          </w:tcPr>
          <w:p w14:paraId="02CA4285">
            <w:pPr>
              <w:spacing w:line="700" w:lineRule="exact"/>
              <w:jc w:val="both"/>
              <w:rPr>
                <w:rFonts w:hint="eastAsia" w:ascii="新宋体" w:hAnsi="新宋体" w:eastAsia="新宋体" w:cs="新宋体"/>
                <w:b w:val="0"/>
                <w:bCs w:val="0"/>
                <w:color w:val="auto"/>
                <w:sz w:val="30"/>
                <w:szCs w:val="30"/>
                <w:highlight w:val="none"/>
                <w:lang w:eastAsia="zh-CN"/>
              </w:rPr>
            </w:pPr>
            <w:r>
              <w:rPr>
                <w:rFonts w:hint="eastAsia" w:ascii="新宋体" w:hAnsi="新宋体" w:eastAsia="新宋体" w:cs="新宋体"/>
                <w:b w:val="0"/>
                <w:bCs w:val="0"/>
                <w:color w:val="auto"/>
                <w:sz w:val="30"/>
                <w:szCs w:val="30"/>
                <w:highlight w:val="none"/>
                <w:lang w:eastAsia="zh-CN"/>
              </w:rPr>
              <w:t>公开招标</w:t>
            </w:r>
          </w:p>
        </w:tc>
      </w:tr>
      <w:tr w14:paraId="42339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5" w:type="dxa"/>
            <w:vAlign w:val="center"/>
          </w:tcPr>
          <w:p w14:paraId="2F4AE17C">
            <w:pPr>
              <w:spacing w:line="700" w:lineRule="exact"/>
              <w:jc w:val="both"/>
              <w:rPr>
                <w:rFonts w:hint="eastAsia" w:ascii="新宋体" w:hAnsi="新宋体" w:eastAsia="新宋体" w:cs="新宋体"/>
                <w:b w:val="0"/>
                <w:bCs w:val="0"/>
                <w:color w:val="auto"/>
                <w:sz w:val="30"/>
                <w:szCs w:val="30"/>
                <w:highlight w:val="none"/>
                <w:lang w:eastAsia="zh-CN"/>
              </w:rPr>
            </w:pPr>
            <w:r>
              <w:rPr>
                <w:rFonts w:hint="eastAsia" w:ascii="新宋体" w:hAnsi="新宋体" w:eastAsia="新宋体" w:cs="新宋体"/>
                <w:b w:val="0"/>
                <w:bCs w:val="0"/>
                <w:color w:val="auto"/>
                <w:sz w:val="30"/>
                <w:szCs w:val="30"/>
                <w:highlight w:val="none"/>
                <w:lang w:eastAsia="zh-CN"/>
              </w:rPr>
              <w:t>评审方式：</w:t>
            </w:r>
          </w:p>
        </w:tc>
        <w:tc>
          <w:tcPr>
            <w:tcW w:w="6205" w:type="dxa"/>
            <w:vAlign w:val="center"/>
          </w:tcPr>
          <w:p w14:paraId="1D97DD21">
            <w:pPr>
              <w:spacing w:line="700" w:lineRule="exact"/>
              <w:jc w:val="both"/>
              <w:rPr>
                <w:rFonts w:hint="eastAsia" w:ascii="新宋体" w:hAnsi="新宋体" w:eastAsia="新宋体" w:cs="新宋体"/>
                <w:b w:val="0"/>
                <w:bCs w:val="0"/>
                <w:color w:val="auto"/>
                <w:sz w:val="30"/>
                <w:szCs w:val="30"/>
                <w:highlight w:val="none"/>
                <w:lang w:eastAsia="zh-CN"/>
              </w:rPr>
            </w:pPr>
            <w:r>
              <w:rPr>
                <w:rFonts w:hint="eastAsia" w:ascii="新宋体" w:hAnsi="新宋体" w:eastAsia="新宋体" w:cs="新宋体"/>
                <w:b w:val="0"/>
                <w:bCs w:val="0"/>
                <w:color w:val="auto"/>
                <w:sz w:val="30"/>
                <w:szCs w:val="30"/>
                <w:highlight w:val="none"/>
                <w:lang w:eastAsia="zh-CN"/>
              </w:rPr>
              <w:t>线上电子招投标</w:t>
            </w:r>
          </w:p>
        </w:tc>
      </w:tr>
    </w:tbl>
    <w:p w14:paraId="08AC4236">
      <w:pPr>
        <w:spacing w:line="700" w:lineRule="exact"/>
        <w:rPr>
          <w:rFonts w:hint="eastAsia" w:ascii="新宋体" w:hAnsi="新宋体" w:eastAsia="新宋体" w:cs="新宋体"/>
          <w:b/>
          <w:color w:val="auto"/>
          <w:spacing w:val="40"/>
          <w:sz w:val="30"/>
          <w:szCs w:val="30"/>
          <w:highlight w:val="none"/>
        </w:rPr>
      </w:pPr>
    </w:p>
    <w:p w14:paraId="666F903E">
      <w:pPr>
        <w:bidi w:val="0"/>
        <w:rPr>
          <w:rFonts w:hint="eastAsia"/>
          <w:color w:val="auto"/>
          <w:highlight w:val="none"/>
        </w:rPr>
      </w:pPr>
    </w:p>
    <w:p w14:paraId="5C101145">
      <w:pPr>
        <w:bidi w:val="0"/>
        <w:rPr>
          <w:rFonts w:hint="eastAsia"/>
          <w:color w:val="auto"/>
          <w:highlight w:val="none"/>
        </w:rPr>
      </w:pPr>
    </w:p>
    <w:p w14:paraId="18E702AE">
      <w:pPr>
        <w:bidi w:val="0"/>
        <w:rPr>
          <w:rFonts w:hint="eastAsia"/>
          <w:color w:val="auto"/>
          <w:highlight w:val="none"/>
        </w:rPr>
      </w:pPr>
    </w:p>
    <w:p w14:paraId="689964F5">
      <w:pPr>
        <w:bidi w:val="0"/>
        <w:rPr>
          <w:rFonts w:hint="eastAsia"/>
          <w:color w:val="auto"/>
          <w:highlight w:val="none"/>
        </w:rPr>
      </w:pPr>
    </w:p>
    <w:p w14:paraId="5BD291FD">
      <w:pPr>
        <w:bidi w:val="0"/>
        <w:rPr>
          <w:rFonts w:hint="eastAsia"/>
          <w:color w:val="auto"/>
          <w:highlight w:val="none"/>
        </w:rPr>
      </w:pPr>
    </w:p>
    <w:p w14:paraId="6E0A61B4">
      <w:pPr>
        <w:spacing w:line="600" w:lineRule="exact"/>
        <w:jc w:val="center"/>
        <w:rPr>
          <w:rFonts w:hint="eastAsia" w:ascii="新宋体" w:hAnsi="新宋体" w:eastAsia="新宋体" w:cs="新宋体"/>
          <w:color w:val="auto"/>
          <w:spacing w:val="30"/>
          <w:sz w:val="30"/>
          <w:highlight w:val="none"/>
          <w:lang w:eastAsia="zh-CN"/>
        </w:rPr>
      </w:pPr>
      <w:r>
        <w:rPr>
          <w:rFonts w:hint="eastAsia" w:ascii="新宋体" w:hAnsi="新宋体" w:eastAsia="新宋体" w:cs="新宋体"/>
          <w:color w:val="auto"/>
          <w:spacing w:val="30"/>
          <w:sz w:val="30"/>
          <w:highlight w:val="none"/>
        </w:rPr>
        <w:t>招 标 人</w:t>
      </w:r>
      <w:r>
        <w:rPr>
          <w:rFonts w:hint="eastAsia" w:ascii="新宋体" w:hAnsi="新宋体" w:eastAsia="新宋体" w:cs="新宋体"/>
          <w:color w:val="auto"/>
          <w:spacing w:val="30"/>
          <w:sz w:val="30"/>
          <w:highlight w:val="none"/>
          <w:lang w:eastAsia="zh-CN"/>
        </w:rPr>
        <w:t>：温州市儿童福利院（温州市未成年人救助保护中心）</w:t>
      </w:r>
    </w:p>
    <w:p w14:paraId="73E5F153">
      <w:pPr>
        <w:spacing w:line="600" w:lineRule="exact"/>
        <w:jc w:val="center"/>
        <w:rPr>
          <w:rFonts w:hint="eastAsia" w:ascii="新宋体" w:hAnsi="新宋体" w:eastAsia="新宋体" w:cs="新宋体"/>
          <w:color w:val="auto"/>
          <w:spacing w:val="30"/>
          <w:sz w:val="30"/>
          <w:highlight w:val="none"/>
        </w:rPr>
      </w:pPr>
      <w:r>
        <w:rPr>
          <w:rFonts w:hint="eastAsia" w:ascii="新宋体" w:hAnsi="新宋体" w:eastAsia="新宋体" w:cs="新宋体"/>
          <w:color w:val="auto"/>
          <w:spacing w:val="30"/>
          <w:sz w:val="30"/>
          <w:highlight w:val="none"/>
        </w:rPr>
        <w:t>招标代理机构：温州历程招标有限公司</w:t>
      </w:r>
    </w:p>
    <w:p w14:paraId="5AF50551">
      <w:pPr>
        <w:spacing w:line="600" w:lineRule="exact"/>
        <w:jc w:val="center"/>
        <w:rPr>
          <w:rFonts w:hint="default" w:ascii="新宋体" w:hAnsi="新宋体" w:eastAsia="新宋体" w:cs="新宋体"/>
          <w:color w:val="auto"/>
          <w:spacing w:val="30"/>
          <w:sz w:val="30"/>
          <w:highlight w:val="none"/>
          <w:lang w:val="en-US" w:eastAsia="zh-CN"/>
        </w:rPr>
      </w:pPr>
      <w:r>
        <w:rPr>
          <w:rFonts w:hint="eastAsia" w:ascii="新宋体" w:hAnsi="新宋体" w:eastAsia="新宋体" w:cs="新宋体"/>
          <w:color w:val="auto"/>
          <w:spacing w:val="30"/>
          <w:sz w:val="30"/>
          <w:highlight w:val="none"/>
          <w:lang w:val="en-US" w:eastAsia="zh-CN"/>
        </w:rPr>
        <w:t>二〇二四</w:t>
      </w:r>
      <w:r>
        <w:rPr>
          <w:rFonts w:hint="eastAsia" w:ascii="新宋体" w:hAnsi="新宋体" w:eastAsia="新宋体" w:cs="新宋体"/>
          <w:color w:val="auto"/>
          <w:spacing w:val="30"/>
          <w:sz w:val="30"/>
          <w:highlight w:val="none"/>
        </w:rPr>
        <w:t>年</w:t>
      </w:r>
      <w:r>
        <w:rPr>
          <w:rFonts w:hint="eastAsia" w:ascii="新宋体" w:hAnsi="新宋体" w:eastAsia="新宋体" w:cs="新宋体"/>
          <w:color w:val="auto"/>
          <w:spacing w:val="30"/>
          <w:sz w:val="30"/>
          <w:highlight w:val="none"/>
          <w:lang w:val="en-US" w:eastAsia="zh-CN"/>
        </w:rPr>
        <w:t>七月</w:t>
      </w:r>
    </w:p>
    <w:p w14:paraId="5C61A56E">
      <w:pPr>
        <w:spacing w:before="0" w:beforeLines="0" w:after="0" w:afterLines="0" w:line="240" w:lineRule="auto"/>
        <w:ind w:left="0" w:leftChars="0" w:right="0" w:rightChars="0" w:firstLine="0" w:firstLineChars="0"/>
        <w:jc w:val="center"/>
        <w:rPr>
          <w:rFonts w:hint="eastAsia" w:ascii="新宋体" w:hAnsi="新宋体" w:eastAsia="新宋体" w:cs="新宋体"/>
          <w:color w:val="auto"/>
          <w:kern w:val="2"/>
          <w:sz w:val="21"/>
          <w:szCs w:val="24"/>
          <w:highlight w:val="none"/>
          <w:lang w:val="en-US" w:eastAsia="zh-CN" w:bidi="ar-SA"/>
        </w:rPr>
        <w:sectPr>
          <w:headerReference r:id="rId3" w:type="default"/>
          <w:footerReference r:id="rId4" w:type="default"/>
          <w:pgSz w:w="11906" w:h="16838"/>
          <w:pgMar w:top="1134" w:right="1134" w:bottom="1134" w:left="1134" w:header="850" w:footer="992" w:gutter="0"/>
          <w:pgNumType w:fmt="decimal"/>
          <w:cols w:space="720" w:num="1"/>
          <w:titlePg/>
          <w:docGrid w:type="lines" w:linePitch="312" w:charSpace="0"/>
        </w:sectPr>
      </w:pPr>
    </w:p>
    <w:sdt>
      <w:sdtPr>
        <w:rPr>
          <w:rFonts w:hint="eastAsia" w:ascii="新宋体" w:hAnsi="新宋体" w:eastAsia="新宋体" w:cs="新宋体"/>
          <w:color w:val="auto"/>
          <w:kern w:val="2"/>
          <w:sz w:val="21"/>
          <w:szCs w:val="24"/>
          <w:highlight w:val="none"/>
          <w:lang w:val="en-US" w:eastAsia="zh-CN" w:bidi="ar-SA"/>
        </w:rPr>
        <w:id w:val="147459729"/>
        <w15:color w:val="DBDBDB"/>
        <w:docPartObj>
          <w:docPartGallery w:val="Table of Contents"/>
          <w:docPartUnique/>
        </w:docPartObj>
      </w:sdtPr>
      <w:sdtEndPr>
        <w:rPr>
          <w:rFonts w:hint="eastAsia" w:ascii="新宋体" w:hAnsi="新宋体" w:eastAsia="新宋体" w:cs="新宋体"/>
          <w:color w:val="auto"/>
          <w:kern w:val="2"/>
          <w:sz w:val="22"/>
          <w:szCs w:val="22"/>
          <w:highlight w:val="none"/>
          <w:lang w:val="en-US" w:eastAsia="zh-CN" w:bidi="ar-SA"/>
        </w:rPr>
      </w:sdtEndPr>
      <w:sdtContent>
        <w:p w14:paraId="0D657ECA">
          <w:pPr>
            <w:spacing w:before="0" w:beforeLines="0" w:after="0" w:afterLines="0" w:line="240" w:lineRule="auto"/>
            <w:ind w:left="0" w:leftChars="0" w:right="0" w:rightChars="0" w:firstLine="0" w:firstLineChars="0"/>
            <w:jc w:val="center"/>
            <w:rPr>
              <w:rFonts w:hint="eastAsia" w:ascii="新宋体" w:hAnsi="新宋体" w:eastAsia="新宋体" w:cs="新宋体"/>
              <w:color w:val="auto"/>
              <w:highlight w:val="none"/>
            </w:rPr>
          </w:pPr>
        </w:p>
        <w:p w14:paraId="1891FF0F">
          <w:pPr>
            <w:pStyle w:val="40"/>
            <w:tabs>
              <w:tab w:val="right" w:leader="dot" w:pos="9638"/>
            </w:tabs>
            <w:spacing w:line="360" w:lineRule="auto"/>
            <w:jc w:val="center"/>
            <w:rPr>
              <w:rFonts w:hint="eastAsia" w:ascii="新宋体" w:hAnsi="新宋体" w:eastAsia="新宋体" w:cs="新宋体"/>
              <w:b/>
              <w:color w:val="auto"/>
              <w:sz w:val="36"/>
              <w:szCs w:val="36"/>
              <w:highlight w:val="none"/>
              <w:lang w:val="en-US" w:eastAsia="zh-CN"/>
            </w:rPr>
          </w:pPr>
          <w:r>
            <w:rPr>
              <w:rFonts w:hint="eastAsia" w:ascii="新宋体" w:hAnsi="新宋体" w:eastAsia="新宋体" w:cs="新宋体"/>
              <w:b/>
              <w:color w:val="auto"/>
              <w:sz w:val="36"/>
              <w:szCs w:val="36"/>
              <w:highlight w:val="none"/>
              <w:lang w:val="en-US" w:eastAsia="zh-CN"/>
            </w:rPr>
            <w:t>目  录</w:t>
          </w:r>
        </w:p>
        <w:p w14:paraId="16F5119D">
          <w:pPr>
            <w:pStyle w:val="40"/>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fldChar w:fldCharType="begin"/>
          </w:r>
          <w:r>
            <w:rPr>
              <w:rFonts w:hint="eastAsia" w:ascii="新宋体" w:hAnsi="新宋体" w:eastAsia="新宋体" w:cs="新宋体"/>
              <w:b/>
              <w:color w:val="auto"/>
              <w:sz w:val="22"/>
              <w:szCs w:val="22"/>
              <w:highlight w:val="none"/>
            </w:rPr>
            <w:instrText xml:space="preserve">TOC \o "1-3" \h \u </w:instrText>
          </w:r>
          <w:r>
            <w:rPr>
              <w:rFonts w:hint="eastAsia" w:ascii="新宋体" w:hAnsi="新宋体" w:eastAsia="新宋体" w:cs="新宋体"/>
              <w:b/>
              <w:color w:val="auto"/>
              <w:sz w:val="22"/>
              <w:szCs w:val="22"/>
              <w:highlight w:val="none"/>
            </w:rPr>
            <w:fldChar w:fldCharType="separate"/>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_Toc16726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招</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标</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公</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告</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_Toc16726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3A66EFE">
          <w:pPr>
            <w:pStyle w:val="40"/>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_Toc3414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第一部分</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投标人须知</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_Toc3414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48AAF88">
          <w:pPr>
            <w:pStyle w:val="46"/>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_Toc13884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前 附 表</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_Toc13884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6DE66DE">
          <w:pPr>
            <w:pStyle w:val="46"/>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_Toc12810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一、 说   明</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_Toc12810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10</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25EAC9C">
          <w:pPr>
            <w:pStyle w:val="46"/>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_Toc17296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二、 招标文件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_Toc17296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10</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39D7113">
          <w:pPr>
            <w:pStyle w:val="46"/>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_Toc1754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三、 投标文件的编制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_Toc1754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63A3EC8">
          <w:pPr>
            <w:pStyle w:val="46"/>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_Toc349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四、 投标文件的递交</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_Toc349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14</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8B2FDD3">
          <w:pPr>
            <w:pStyle w:val="46"/>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_Toc225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五、 开标和评标</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_Toc225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1496AD9">
          <w:pPr>
            <w:pStyle w:val="46"/>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_Toc16545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六、 授予合同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_Toc16545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104B15F">
          <w:pPr>
            <w:pStyle w:val="40"/>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_Toc25646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第二部分</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合同主要条款</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_Toc25646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20</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E9F9140">
          <w:pPr>
            <w:pStyle w:val="40"/>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_Toc14351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第三部分</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附件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_Toc14351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050BDB3">
          <w:pPr>
            <w:pStyle w:val="46"/>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_Toc3071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附件一</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_Toc3071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8B9D65D">
          <w:pPr>
            <w:pStyle w:val="30"/>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_Toc16354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报价文件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_Toc16354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A638981">
          <w:pPr>
            <w:pStyle w:val="46"/>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_Toc31189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附件二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_Toc31189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1A9D4BB">
          <w:pPr>
            <w:pStyle w:val="30"/>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_Toc23832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资格证明文件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_Toc23832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8F95771">
          <w:pPr>
            <w:pStyle w:val="46"/>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_Toc2600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附件三</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_Toc2600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34</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1471D40">
          <w:pPr>
            <w:pStyle w:val="30"/>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_Toc8156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lang w:val="zh-CN"/>
            </w:rPr>
            <w:t>商务技术文件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_Toc8156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34</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9CD44C1">
          <w:pPr>
            <w:pStyle w:val="40"/>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_Toc25542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lang w:val="en-US" w:eastAsia="zh-CN"/>
            </w:rPr>
            <w:t xml:space="preserve">第四部分   </w:t>
          </w:r>
          <w:r>
            <w:rPr>
              <w:rFonts w:hint="eastAsia" w:ascii="新宋体" w:hAnsi="新宋体" w:eastAsia="新宋体" w:cs="新宋体"/>
              <w:color w:val="auto"/>
              <w:sz w:val="22"/>
              <w:szCs w:val="22"/>
              <w:highlight w:val="none"/>
            </w:rPr>
            <w:t>项目技术规范和服务要求</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_Toc25542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BD5DA89">
          <w:pPr>
            <w:pStyle w:val="40"/>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_Toc24035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第五部分</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评标原则及方法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_Toc24035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100</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BC695E7">
          <w:pPr>
            <w:pStyle w:val="46"/>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_Toc24593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一、总 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_Toc24593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100</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70C18A1">
          <w:pPr>
            <w:pStyle w:val="46"/>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_Toc17000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二、评标组织</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_Toc17000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100</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C50DF67">
          <w:pPr>
            <w:pStyle w:val="46"/>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_Toc2035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三、评标程序</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_Toc2035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100</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FCD57C3">
          <w:pPr>
            <w:pStyle w:val="46"/>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_Toc15377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四、评标办法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_Toc15377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100</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A515EDD">
          <w:pPr>
            <w:pStyle w:val="46"/>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_Toc29222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lang w:val="en-US" w:eastAsia="zh-CN"/>
            </w:rPr>
            <w:t>五、</w:t>
          </w:r>
          <w:r>
            <w:rPr>
              <w:rFonts w:hint="eastAsia" w:ascii="新宋体" w:hAnsi="新宋体" w:eastAsia="新宋体" w:cs="新宋体"/>
              <w:color w:val="auto"/>
              <w:sz w:val="22"/>
              <w:szCs w:val="22"/>
              <w:highlight w:val="none"/>
            </w:rPr>
            <w:t>评分细则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_Toc29222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100</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15070D8">
          <w:pPr>
            <w:pStyle w:val="46"/>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_Toc30347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六、定标办法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_Toc30347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103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2430F6F">
          <w:pPr>
            <w:pStyle w:val="46"/>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_Toc23456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七、投标人义务</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_Toc23456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103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9E1953E">
          <w:pPr>
            <w:keepNext w:val="0"/>
            <w:keepLines w:val="0"/>
            <w:pageBreakBefore w:val="0"/>
            <w:widowControl w:val="0"/>
            <w:kinsoku/>
            <w:wordWrap/>
            <w:overflowPunct/>
            <w:topLinePunct w:val="0"/>
            <w:autoSpaceDE/>
            <w:autoSpaceDN/>
            <w:bidi w:val="0"/>
            <w:adjustRightInd/>
            <w:snapToGrid/>
            <w:spacing w:line="460" w:lineRule="exact"/>
            <w:ind w:firstLine="1870" w:firstLineChars="85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fldChar w:fldCharType="end"/>
          </w:r>
        </w:p>
      </w:sdtContent>
    </w:sdt>
    <w:p w14:paraId="77604A3A">
      <w:pPr>
        <w:rPr>
          <w:rFonts w:hint="eastAsia" w:ascii="新宋体" w:hAnsi="新宋体" w:eastAsia="新宋体" w:cs="新宋体"/>
          <w:color w:val="auto"/>
          <w:highlight w:val="none"/>
        </w:rPr>
      </w:pPr>
      <w:bookmarkStart w:id="0" w:name="_Toc32649"/>
      <w:bookmarkStart w:id="1" w:name="_Toc16726"/>
      <w:r>
        <w:rPr>
          <w:rFonts w:hint="eastAsia" w:ascii="新宋体" w:hAnsi="新宋体" w:eastAsia="新宋体" w:cs="新宋体"/>
          <w:color w:val="auto"/>
          <w:highlight w:val="none"/>
        </w:rPr>
        <w:br w:type="page"/>
      </w:r>
    </w:p>
    <w:p w14:paraId="1DC28616">
      <w:pPr>
        <w:pStyle w:val="3"/>
        <w:bidi w:val="0"/>
        <w:rPr>
          <w:rFonts w:hint="eastAsia" w:ascii="新宋体" w:hAnsi="新宋体" w:eastAsia="新宋体" w:cs="新宋体"/>
          <w:b/>
          <w:color w:val="auto"/>
          <w:highlight w:val="none"/>
        </w:rPr>
      </w:pPr>
      <w:r>
        <w:rPr>
          <w:rFonts w:hint="eastAsia" w:ascii="新宋体" w:hAnsi="新宋体" w:eastAsia="新宋体" w:cs="新宋体"/>
          <w:color w:val="auto"/>
          <w:highlight w:val="none"/>
        </w:rPr>
        <w:t>招</w:t>
      </w:r>
      <w:r>
        <w:rPr>
          <w:rFonts w:hint="eastAsia" w:ascii="新宋体" w:hAnsi="新宋体" w:eastAsia="新宋体" w:cs="新宋体"/>
          <w:color w:val="auto"/>
          <w:highlight w:val="none"/>
          <w:lang w:val="en-US" w:eastAsia="zh-CN"/>
        </w:rPr>
        <w:t xml:space="preserve"> </w:t>
      </w:r>
      <w:r>
        <w:rPr>
          <w:rFonts w:hint="eastAsia" w:ascii="新宋体" w:hAnsi="新宋体" w:eastAsia="新宋体" w:cs="新宋体"/>
          <w:color w:val="auto"/>
          <w:highlight w:val="none"/>
        </w:rPr>
        <w:t>标</w:t>
      </w:r>
      <w:r>
        <w:rPr>
          <w:rFonts w:hint="eastAsia" w:ascii="新宋体" w:hAnsi="新宋体" w:eastAsia="新宋体" w:cs="新宋体"/>
          <w:color w:val="auto"/>
          <w:highlight w:val="none"/>
          <w:lang w:val="en-US" w:eastAsia="zh-CN"/>
        </w:rPr>
        <w:t xml:space="preserve"> </w:t>
      </w:r>
      <w:r>
        <w:rPr>
          <w:rFonts w:hint="eastAsia" w:ascii="新宋体" w:hAnsi="新宋体" w:eastAsia="新宋体" w:cs="新宋体"/>
          <w:color w:val="auto"/>
          <w:highlight w:val="none"/>
        </w:rPr>
        <w:t>公</w:t>
      </w:r>
      <w:r>
        <w:rPr>
          <w:rFonts w:hint="eastAsia" w:ascii="新宋体" w:hAnsi="新宋体" w:eastAsia="新宋体" w:cs="新宋体"/>
          <w:color w:val="auto"/>
          <w:highlight w:val="none"/>
          <w:lang w:val="en-US" w:eastAsia="zh-CN"/>
        </w:rPr>
        <w:t xml:space="preserve"> </w:t>
      </w:r>
      <w:r>
        <w:rPr>
          <w:rFonts w:hint="eastAsia" w:ascii="新宋体" w:hAnsi="新宋体" w:eastAsia="新宋体" w:cs="新宋体"/>
          <w:color w:val="auto"/>
          <w:highlight w:val="none"/>
        </w:rPr>
        <w:t>告</w:t>
      </w:r>
      <w:bookmarkEnd w:id="0"/>
      <w:bookmarkEnd w:id="1"/>
    </w:p>
    <w:p w14:paraId="1681EF74">
      <w:pPr>
        <w:tabs>
          <w:tab w:val="left" w:pos="360"/>
        </w:tabs>
        <w:spacing w:line="460" w:lineRule="exact"/>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mc:AlternateContent>
          <mc:Choice Requires="wps">
            <w:drawing>
              <wp:anchor distT="0" distB="0" distL="114300" distR="114300" simplePos="0" relativeHeight="251661312" behindDoc="0" locked="0" layoutInCell="1" allowOverlap="1">
                <wp:simplePos x="0" y="0"/>
                <wp:positionH relativeFrom="column">
                  <wp:posOffset>-23495</wp:posOffset>
                </wp:positionH>
                <wp:positionV relativeFrom="paragraph">
                  <wp:posOffset>3810</wp:posOffset>
                </wp:positionV>
                <wp:extent cx="6179185" cy="913765"/>
                <wp:effectExtent l="6350" t="6350" r="24765" b="13335"/>
                <wp:wrapNone/>
                <wp:docPr id="1" name="矩形 1"/>
                <wp:cNvGraphicFramePr/>
                <a:graphic xmlns:a="http://schemas.openxmlformats.org/drawingml/2006/main">
                  <a:graphicData uri="http://schemas.microsoft.com/office/word/2010/wordprocessingShape">
                    <wps:wsp>
                      <wps:cNvSpPr/>
                      <wps:spPr>
                        <a:xfrm>
                          <a:off x="0" y="0"/>
                          <a:ext cx="6179185" cy="913765"/>
                        </a:xfrm>
                        <a:prstGeom prst="rect">
                          <a:avLst/>
                        </a:prstGeom>
                        <a:noFill/>
                        <a:ln w="12700" cap="flat" cmpd="sng">
                          <a:solidFill>
                            <a:srgbClr val="000000"/>
                          </a:solidFill>
                          <a:prstDash val="solid"/>
                          <a:round/>
                          <a:headEnd type="none" w="med" len="med"/>
                          <a:tailEnd type="none" w="med" len="med"/>
                        </a:ln>
                      </wps:spPr>
                      <wps:bodyPr anchor="ctr" anchorCtr="0" upright="1"/>
                    </wps:wsp>
                  </a:graphicData>
                </a:graphic>
              </wp:anchor>
            </w:drawing>
          </mc:Choice>
          <mc:Fallback>
            <w:pict>
              <v:rect id="_x0000_s1026" o:spid="_x0000_s1026" o:spt="1" style="position:absolute;left:0pt;margin-left:-1.85pt;margin-top:0.3pt;height:71.95pt;width:486.55pt;z-index:251661312;v-text-anchor:middle;mso-width-relative:page;mso-height-relative:page;" filled="f" stroked="t" coordsize="21600,21600" o:gfxdata="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F3wjfWAAAABwEAAA8AAAAAAAAAAQAgAAAAIgAAAGRycy9k&#10;b3ducmV2LnhtbFBLAQIUABQAAAAIAIdO4kBveDsaBAIAABEEAAAOAAAAAAAAAAEAIAAAACUBAABk&#10;cnMvZTJvRG9jLnhtbFBLBQYAAAAABgAGAFkBAACbBQAAAAA=&#10;">
                <v:fill on="f" focussize="0,0"/>
                <v:stroke weight="1pt" color="#000000" joinstyle="round"/>
                <v:imagedata o:title=""/>
                <o:lock v:ext="edit" aspectratio="f"/>
              </v:rect>
            </w:pict>
          </mc:Fallback>
        </mc:AlternateContent>
      </w:r>
      <w:r>
        <w:rPr>
          <w:rFonts w:hint="eastAsia" w:ascii="新宋体" w:hAnsi="新宋体" w:eastAsia="新宋体" w:cs="新宋体"/>
          <w:b/>
          <w:bCs/>
          <w:color w:val="auto"/>
          <w:sz w:val="22"/>
          <w:highlight w:val="none"/>
        </w:rPr>
        <w:t>项目概况</w:t>
      </w:r>
    </w:p>
    <w:p w14:paraId="1D13FD84">
      <w:pPr>
        <w:tabs>
          <w:tab w:val="left" w:pos="360"/>
        </w:tabs>
        <w:spacing w:line="460" w:lineRule="exact"/>
        <w:ind w:left="218" w:leftChars="104" w:firstLine="330" w:firstLineChars="1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儿童康复器材</w:t>
      </w:r>
      <w:r>
        <w:rPr>
          <w:rFonts w:hint="eastAsia" w:ascii="新宋体" w:hAnsi="新宋体" w:eastAsia="新宋体" w:cs="新宋体"/>
          <w:color w:val="auto"/>
          <w:sz w:val="22"/>
          <w:highlight w:val="none"/>
        </w:rPr>
        <w:t>招标项目的潜在投标人应在浙江政府采购网获取（下载）招标文件，并于</w:t>
      </w:r>
      <w:r>
        <w:rPr>
          <w:rFonts w:hint="eastAsia" w:ascii="新宋体" w:hAnsi="新宋体" w:eastAsia="新宋体" w:cs="新宋体"/>
          <w:color w:val="auto"/>
          <w:sz w:val="22"/>
          <w:highlight w:val="none"/>
          <w:lang w:eastAsia="zh-CN"/>
        </w:rPr>
        <w:t>202</w:t>
      </w:r>
      <w:r>
        <w:rPr>
          <w:rFonts w:hint="eastAsia" w:ascii="新宋体" w:hAnsi="新宋体" w:eastAsia="新宋体" w:cs="新宋体"/>
          <w:color w:val="auto"/>
          <w:sz w:val="22"/>
          <w:highlight w:val="none"/>
          <w:lang w:val="en-US" w:eastAsia="zh-CN"/>
        </w:rPr>
        <w:t>4</w:t>
      </w:r>
      <w:r>
        <w:rPr>
          <w:rFonts w:hint="eastAsia" w:ascii="新宋体" w:hAnsi="新宋体" w:eastAsia="新宋体" w:cs="新宋体"/>
          <w:color w:val="auto"/>
          <w:sz w:val="22"/>
          <w:highlight w:val="none"/>
          <w:lang w:eastAsia="zh-CN"/>
        </w:rPr>
        <w:t>年</w:t>
      </w:r>
      <w:r>
        <w:rPr>
          <w:rFonts w:hint="eastAsia" w:ascii="新宋体" w:hAnsi="新宋体" w:eastAsia="新宋体" w:cs="新宋体"/>
          <w:color w:val="auto"/>
          <w:sz w:val="22"/>
          <w:highlight w:val="none"/>
          <w:lang w:val="en-US" w:eastAsia="zh-CN"/>
        </w:rPr>
        <w:t xml:space="preserve"> 08</w:t>
      </w:r>
      <w:r>
        <w:rPr>
          <w:rFonts w:hint="eastAsia" w:ascii="新宋体" w:hAnsi="新宋体" w:eastAsia="新宋体" w:cs="新宋体"/>
          <w:color w:val="auto"/>
          <w:sz w:val="22"/>
          <w:highlight w:val="none"/>
        </w:rPr>
        <w:t>月</w:t>
      </w:r>
      <w:r>
        <w:rPr>
          <w:rFonts w:hint="eastAsia" w:ascii="新宋体" w:hAnsi="新宋体" w:eastAsia="新宋体" w:cs="新宋体"/>
          <w:color w:val="auto"/>
          <w:sz w:val="22"/>
          <w:highlight w:val="none"/>
          <w:lang w:val="en-US" w:eastAsia="zh-CN"/>
        </w:rPr>
        <w:t>07</w:t>
      </w:r>
      <w:r>
        <w:rPr>
          <w:rFonts w:hint="eastAsia" w:ascii="新宋体" w:hAnsi="新宋体" w:eastAsia="新宋体" w:cs="新宋体"/>
          <w:color w:val="auto"/>
          <w:sz w:val="22"/>
          <w:highlight w:val="none"/>
        </w:rPr>
        <w:t>日</w:t>
      </w:r>
      <w:r>
        <w:rPr>
          <w:rFonts w:hint="eastAsia" w:ascii="新宋体" w:hAnsi="新宋体" w:eastAsia="新宋体" w:cs="新宋体"/>
          <w:color w:val="auto"/>
          <w:sz w:val="22"/>
          <w:highlight w:val="none"/>
          <w:lang w:val="en-US" w:eastAsia="zh-CN"/>
        </w:rPr>
        <w:t>09点30分</w:t>
      </w:r>
      <w:r>
        <w:rPr>
          <w:rFonts w:hint="eastAsia" w:ascii="新宋体" w:hAnsi="新宋体" w:eastAsia="新宋体" w:cs="新宋体"/>
          <w:color w:val="auto"/>
          <w:sz w:val="22"/>
          <w:highlight w:val="none"/>
        </w:rPr>
        <w:t>（北京时间）前递交（上传）投标文件。</w:t>
      </w:r>
    </w:p>
    <w:p w14:paraId="47269860">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ascii="新宋体" w:hAnsi="新宋体" w:eastAsia="新宋体" w:cs="新宋体"/>
          <w:color w:val="auto"/>
          <w:sz w:val="22"/>
          <w:szCs w:val="22"/>
          <w:highlight w:val="none"/>
          <w:u w:val="none"/>
          <w:lang w:val="en-US" w:eastAsia="zh-CN"/>
        </w:rPr>
      </w:pPr>
      <w:r>
        <w:rPr>
          <w:rFonts w:hint="eastAsia" w:ascii="新宋体" w:hAnsi="新宋体" w:eastAsia="新宋体" w:cs="新宋体"/>
          <w:b/>
          <w:bCs/>
          <w:color w:val="auto"/>
          <w:sz w:val="22"/>
          <w:szCs w:val="22"/>
          <w:highlight w:val="none"/>
          <w:u w:val="none"/>
        </w:rPr>
        <w:t>一、项目基本情况</w:t>
      </w:r>
      <w:r>
        <w:rPr>
          <w:rFonts w:hint="eastAsia" w:ascii="新宋体" w:hAnsi="新宋体" w:eastAsia="新宋体" w:cs="新宋体"/>
          <w:color w:val="auto"/>
          <w:sz w:val="22"/>
          <w:szCs w:val="22"/>
          <w:highlight w:val="none"/>
          <w:u w:val="none"/>
          <w:lang w:val="en-US" w:eastAsia="zh-CN"/>
        </w:rPr>
        <w:t>                                           </w:t>
      </w:r>
    </w:p>
    <w:p w14:paraId="1C9E5777">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u w:val="none"/>
          <w:lang w:val="en-US" w:eastAsia="zh-CN"/>
        </w:rPr>
      </w:pPr>
      <w:r>
        <w:rPr>
          <w:rFonts w:hint="eastAsia" w:ascii="新宋体" w:hAnsi="新宋体" w:eastAsia="新宋体" w:cs="新宋体"/>
          <w:color w:val="auto"/>
          <w:sz w:val="22"/>
          <w:szCs w:val="22"/>
          <w:highlight w:val="none"/>
          <w:u w:val="none"/>
          <w:lang w:val="en-US" w:eastAsia="zh-CN"/>
        </w:rPr>
        <w:t>项目编号：</w:t>
      </w:r>
      <w:r>
        <w:rPr>
          <w:rFonts w:hint="eastAsia" w:ascii="新宋体" w:hAnsi="新宋体" w:eastAsia="新宋体" w:cs="新宋体"/>
          <w:color w:val="auto"/>
          <w:sz w:val="22"/>
          <w:szCs w:val="22"/>
          <w:highlight w:val="none"/>
          <w:u w:val="none"/>
          <w:lang w:eastAsia="zh-CN"/>
        </w:rPr>
        <w:t>WZLCZB（L）-2024-07264</w:t>
      </w:r>
    </w:p>
    <w:p w14:paraId="3208E3F5">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u w:val="none"/>
          <w:lang w:val="en-US" w:eastAsia="zh-CN"/>
        </w:rPr>
      </w:pPr>
      <w:r>
        <w:rPr>
          <w:rFonts w:hint="eastAsia" w:ascii="新宋体" w:hAnsi="新宋体" w:eastAsia="新宋体" w:cs="新宋体"/>
          <w:color w:val="auto"/>
          <w:sz w:val="22"/>
          <w:szCs w:val="22"/>
          <w:highlight w:val="none"/>
          <w:u w:val="none"/>
          <w:lang w:val="en-US" w:eastAsia="zh-CN"/>
        </w:rPr>
        <w:t>项目名称：</w:t>
      </w:r>
      <w:r>
        <w:rPr>
          <w:rFonts w:hint="eastAsia" w:ascii="新宋体" w:hAnsi="新宋体" w:eastAsia="新宋体" w:cs="新宋体"/>
          <w:color w:val="auto"/>
          <w:sz w:val="22"/>
          <w:szCs w:val="22"/>
          <w:highlight w:val="none"/>
          <w:u w:val="none"/>
          <w:lang w:eastAsia="zh-CN"/>
        </w:rPr>
        <w:t>儿童康复器材</w:t>
      </w:r>
    </w:p>
    <w:p w14:paraId="6D3BD588">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u w:val="none"/>
          <w:lang w:val="en-US" w:eastAsia="zh-CN"/>
        </w:rPr>
      </w:pPr>
      <w:r>
        <w:rPr>
          <w:rFonts w:hint="eastAsia" w:ascii="新宋体" w:hAnsi="新宋体" w:eastAsia="新宋体" w:cs="新宋体"/>
          <w:color w:val="auto"/>
          <w:sz w:val="22"/>
          <w:szCs w:val="22"/>
          <w:highlight w:val="none"/>
          <w:u w:val="none"/>
          <w:lang w:val="en-US" w:eastAsia="zh-CN"/>
        </w:rPr>
        <w:t>预算金额（元）：960000.00</w:t>
      </w:r>
    </w:p>
    <w:p w14:paraId="742E8BF0">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u w:val="none"/>
          <w:lang w:val="en-US" w:eastAsia="zh-CN"/>
        </w:rPr>
      </w:pPr>
      <w:r>
        <w:rPr>
          <w:rFonts w:hint="eastAsia" w:ascii="新宋体" w:hAnsi="新宋体" w:eastAsia="新宋体" w:cs="新宋体"/>
          <w:color w:val="auto"/>
          <w:sz w:val="22"/>
          <w:szCs w:val="22"/>
          <w:highlight w:val="none"/>
          <w:u w:val="none"/>
          <w:lang w:val="en-US" w:eastAsia="zh-CN"/>
        </w:rPr>
        <w:t>最高限价（元）：</w:t>
      </w:r>
      <w:r>
        <w:rPr>
          <w:rFonts w:hint="eastAsia" w:ascii="新宋体" w:hAnsi="新宋体" w:eastAsia="新宋体" w:cs="新宋体"/>
          <w:i w:val="0"/>
          <w:iCs w:val="0"/>
          <w:color w:val="auto"/>
          <w:kern w:val="0"/>
          <w:sz w:val="22"/>
          <w:szCs w:val="22"/>
          <w:highlight w:val="none"/>
          <w:u w:val="none"/>
          <w:lang w:val="en-US" w:eastAsia="zh-CN" w:bidi="ar"/>
        </w:rPr>
        <w:t>960000.00</w:t>
      </w:r>
    </w:p>
    <w:p w14:paraId="41F9A07A">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u w:val="none"/>
          <w:lang w:val="en-US" w:eastAsia="zh-CN"/>
        </w:rPr>
      </w:pPr>
      <w:r>
        <w:rPr>
          <w:rFonts w:hint="eastAsia" w:ascii="新宋体" w:hAnsi="新宋体" w:eastAsia="新宋体" w:cs="新宋体"/>
          <w:color w:val="auto"/>
          <w:sz w:val="22"/>
          <w:szCs w:val="22"/>
          <w:highlight w:val="none"/>
          <w:u w:val="none"/>
          <w:lang w:val="en-US" w:eastAsia="zh-CN"/>
        </w:rPr>
        <w:t>采购需求：</w:t>
      </w:r>
    </w:p>
    <w:p w14:paraId="1DDE68CF">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u w:val="none"/>
          <w:lang w:val="en-US" w:eastAsia="zh-CN"/>
        </w:rPr>
      </w:pPr>
    </w:p>
    <w:p w14:paraId="0956D5BF">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u w:val="none"/>
          <w:lang w:val="en-US" w:eastAsia="zh-CN"/>
        </w:rPr>
      </w:pPr>
      <w:r>
        <w:rPr>
          <w:rFonts w:hint="eastAsia" w:ascii="新宋体" w:hAnsi="新宋体" w:eastAsia="新宋体" w:cs="新宋体"/>
          <w:color w:val="auto"/>
          <w:sz w:val="22"/>
          <w:szCs w:val="22"/>
          <w:highlight w:val="none"/>
          <w:u w:val="none"/>
          <w:lang w:val="en-US" w:eastAsia="zh-CN"/>
        </w:rPr>
        <w:t>标项名称：</w:t>
      </w:r>
      <w:r>
        <w:rPr>
          <w:rFonts w:hint="eastAsia" w:ascii="新宋体" w:hAnsi="新宋体" w:eastAsia="新宋体" w:cs="新宋体"/>
          <w:color w:val="auto"/>
          <w:sz w:val="22"/>
          <w:szCs w:val="22"/>
          <w:highlight w:val="none"/>
          <w:u w:val="none"/>
          <w:lang w:eastAsia="zh-CN"/>
        </w:rPr>
        <w:t>儿童康复器材</w:t>
      </w:r>
    </w:p>
    <w:p w14:paraId="2109C429">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u w:val="none"/>
          <w:lang w:val="en-US" w:eastAsia="zh-CN"/>
        </w:rPr>
      </w:pPr>
      <w:r>
        <w:rPr>
          <w:rFonts w:hint="eastAsia" w:ascii="新宋体" w:hAnsi="新宋体" w:eastAsia="新宋体" w:cs="新宋体"/>
          <w:color w:val="auto"/>
          <w:sz w:val="22"/>
          <w:szCs w:val="22"/>
          <w:highlight w:val="none"/>
          <w:u w:val="none"/>
          <w:lang w:val="en-US" w:eastAsia="zh-CN"/>
        </w:rPr>
        <w:t>数量：1批</w:t>
      </w:r>
    </w:p>
    <w:p w14:paraId="087B2C8D">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u w:val="none"/>
          <w:lang w:val="en-US" w:eastAsia="zh-CN"/>
        </w:rPr>
      </w:pPr>
      <w:r>
        <w:rPr>
          <w:rFonts w:hint="eastAsia" w:ascii="新宋体" w:hAnsi="新宋体" w:eastAsia="新宋体" w:cs="新宋体"/>
          <w:color w:val="auto"/>
          <w:sz w:val="22"/>
          <w:szCs w:val="22"/>
          <w:highlight w:val="none"/>
          <w:u w:val="none"/>
          <w:lang w:val="en-US" w:eastAsia="zh-CN"/>
        </w:rPr>
        <w:t>预算金额（元）：960000.00</w:t>
      </w:r>
    </w:p>
    <w:p w14:paraId="4E4CE43A">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u w:val="none"/>
          <w:lang w:val="en-US" w:eastAsia="zh-CN"/>
        </w:rPr>
      </w:pPr>
      <w:r>
        <w:rPr>
          <w:rFonts w:hint="eastAsia" w:ascii="新宋体" w:hAnsi="新宋体" w:eastAsia="新宋体" w:cs="新宋体"/>
          <w:color w:val="auto"/>
          <w:sz w:val="22"/>
          <w:szCs w:val="22"/>
          <w:highlight w:val="none"/>
          <w:u w:val="none"/>
          <w:lang w:val="en-US" w:eastAsia="zh-CN"/>
        </w:rPr>
        <w:t>简要规格描述或项目基本概况介绍、用途：具体详见招标文件</w:t>
      </w:r>
    </w:p>
    <w:p w14:paraId="6B5F5CF3">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ascii="新宋体" w:hAnsi="新宋体" w:eastAsia="新宋体" w:cs="新宋体"/>
          <w:color w:val="auto"/>
          <w:sz w:val="22"/>
          <w:szCs w:val="22"/>
          <w:highlight w:val="none"/>
          <w:u w:val="none"/>
          <w:lang w:val="en-US" w:eastAsia="zh-CN"/>
        </w:rPr>
      </w:pPr>
      <w:r>
        <w:rPr>
          <w:rFonts w:hint="eastAsia" w:ascii="新宋体" w:hAnsi="新宋体" w:eastAsia="新宋体" w:cs="新宋体"/>
          <w:color w:val="auto"/>
          <w:sz w:val="22"/>
          <w:szCs w:val="22"/>
          <w:highlight w:val="none"/>
          <w:u w:val="none"/>
          <w:lang w:val="en-US" w:eastAsia="zh-CN"/>
        </w:rPr>
        <w:t>备注：</w:t>
      </w:r>
    </w:p>
    <w:p w14:paraId="259F4B7D">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u w:val="none"/>
          <w:lang w:val="en-US" w:eastAsia="zh-CN"/>
        </w:rPr>
      </w:pPr>
      <w:r>
        <w:rPr>
          <w:rFonts w:hint="eastAsia" w:ascii="新宋体" w:hAnsi="新宋体" w:eastAsia="新宋体" w:cs="新宋体"/>
          <w:color w:val="auto"/>
          <w:sz w:val="22"/>
          <w:szCs w:val="22"/>
          <w:highlight w:val="none"/>
          <w:u w:val="none"/>
          <w:lang w:val="en-US" w:eastAsia="zh-CN"/>
        </w:rPr>
        <w:t>合同履约期限：标项1具体详见招标文件</w:t>
      </w:r>
    </w:p>
    <w:p w14:paraId="77F50C0C">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lang w:val="en-US" w:eastAsia="zh-CN"/>
        </w:rPr>
        <w:t>本项目（否）接受联合体投标。</w:t>
      </w:r>
    </w:p>
    <w:p w14:paraId="710C4031">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ascii="新宋体" w:hAnsi="新宋体" w:eastAsia="新宋体" w:cs="新宋体"/>
          <w:color w:val="auto"/>
          <w:sz w:val="22"/>
          <w:szCs w:val="22"/>
          <w:highlight w:val="none"/>
          <w:u w:val="none"/>
          <w:lang w:val="en-US" w:eastAsia="zh-CN"/>
        </w:rPr>
      </w:pPr>
      <w:r>
        <w:rPr>
          <w:rFonts w:hint="eastAsia" w:ascii="新宋体" w:hAnsi="新宋体" w:eastAsia="新宋体" w:cs="新宋体"/>
          <w:b/>
          <w:bCs/>
          <w:color w:val="auto"/>
          <w:sz w:val="22"/>
          <w:szCs w:val="22"/>
          <w:highlight w:val="none"/>
          <w:u w:val="none"/>
          <w:lang w:val="en-US" w:eastAsia="zh-CN"/>
        </w:rPr>
        <w:t>二、申请人的资格要求：</w:t>
      </w:r>
    </w:p>
    <w:p w14:paraId="5D16BF47">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u w:val="none"/>
          <w:lang w:val="en-US" w:eastAsia="zh-CN"/>
        </w:rPr>
      </w:pPr>
      <w:r>
        <w:rPr>
          <w:rFonts w:hint="eastAsia" w:ascii="新宋体" w:hAnsi="新宋体" w:eastAsia="新宋体" w:cs="新宋体"/>
          <w:color w:val="auto"/>
          <w:sz w:val="22"/>
          <w:szCs w:val="22"/>
          <w:highlight w:val="none"/>
          <w:u w:val="none"/>
          <w:lang w:val="en-US" w:eastAsia="zh-CN"/>
        </w:rPr>
        <w:t>1.满足《中华人民共和国政府采购法》第二十二条规定；未被“信用中国”（www.creditchina.gov.cn)、中国政府采购网（www.ccgp.gov.cn）列入失信被执行人、重大税收违法案件当事人名单、政府采购严重违法失信行为记录名单。</w:t>
      </w:r>
    </w:p>
    <w:p w14:paraId="38B3FD80">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ascii="新宋体" w:hAnsi="新宋体" w:eastAsia="新宋体" w:cs="新宋体"/>
          <w:color w:val="auto"/>
          <w:sz w:val="22"/>
          <w:szCs w:val="22"/>
          <w:highlight w:val="none"/>
          <w:u w:val="none"/>
          <w:lang w:val="en-US" w:eastAsia="zh-CN"/>
        </w:rPr>
      </w:pPr>
      <w:r>
        <w:rPr>
          <w:rFonts w:hint="eastAsia" w:ascii="新宋体" w:hAnsi="新宋体" w:eastAsia="新宋体" w:cs="新宋体"/>
          <w:color w:val="auto"/>
          <w:sz w:val="22"/>
          <w:szCs w:val="22"/>
          <w:highlight w:val="none"/>
          <w:u w:val="none"/>
          <w:lang w:val="en-US" w:eastAsia="zh-CN"/>
        </w:rPr>
        <w:t>2.落实政府采购政策需满足的资格要求：标项1：本项目专门面向中小企业，器械设备产品全部由符合政策要求的中小企业制造，提供中小企业声明函</w:t>
      </w:r>
    </w:p>
    <w:p w14:paraId="39687B65">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u w:val="none"/>
          <w:lang w:val="en-US" w:eastAsia="zh-CN"/>
        </w:rPr>
      </w:pPr>
      <w:r>
        <w:rPr>
          <w:rFonts w:hint="eastAsia" w:ascii="新宋体" w:hAnsi="新宋体" w:eastAsia="新宋体" w:cs="新宋体"/>
          <w:color w:val="auto"/>
          <w:sz w:val="22"/>
          <w:szCs w:val="22"/>
          <w:highlight w:val="none"/>
          <w:u w:val="none"/>
          <w:lang w:val="en-US" w:eastAsia="zh-CN"/>
        </w:rPr>
        <w:t>3.本项目的特定资格要求：无</w:t>
      </w:r>
    </w:p>
    <w:p w14:paraId="70FDF87C">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ascii="新宋体" w:hAnsi="新宋体" w:eastAsia="新宋体" w:cs="新宋体"/>
          <w:b/>
          <w:bCs/>
          <w:color w:val="auto"/>
          <w:sz w:val="22"/>
          <w:szCs w:val="22"/>
          <w:highlight w:val="none"/>
          <w:u w:val="none"/>
        </w:rPr>
      </w:pPr>
      <w:r>
        <w:rPr>
          <w:rFonts w:hint="eastAsia" w:ascii="新宋体" w:hAnsi="新宋体" w:eastAsia="新宋体" w:cs="新宋体"/>
          <w:b/>
          <w:bCs/>
          <w:color w:val="auto"/>
          <w:sz w:val="22"/>
          <w:szCs w:val="22"/>
          <w:highlight w:val="none"/>
          <w:u w:val="none"/>
        </w:rPr>
        <w:t>三、获取招标文件 </w:t>
      </w:r>
    </w:p>
    <w:p w14:paraId="66898200">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时间：</w:t>
      </w:r>
      <w:r>
        <w:rPr>
          <w:rFonts w:hint="eastAsia" w:ascii="新宋体" w:hAnsi="新宋体" w:eastAsia="新宋体" w:cs="新宋体"/>
          <w:color w:val="auto"/>
          <w:sz w:val="22"/>
          <w:szCs w:val="22"/>
          <w:highlight w:val="none"/>
          <w:u w:val="none"/>
          <w:lang w:eastAsia="zh-CN"/>
        </w:rPr>
        <w:t>202</w:t>
      </w:r>
      <w:r>
        <w:rPr>
          <w:rFonts w:hint="eastAsia" w:ascii="新宋体" w:hAnsi="新宋体" w:eastAsia="新宋体" w:cs="新宋体"/>
          <w:color w:val="auto"/>
          <w:sz w:val="22"/>
          <w:szCs w:val="22"/>
          <w:highlight w:val="none"/>
          <w:u w:val="none"/>
          <w:lang w:val="en-US" w:eastAsia="zh-CN"/>
        </w:rPr>
        <w:t>4</w:t>
      </w:r>
      <w:r>
        <w:rPr>
          <w:rFonts w:hint="eastAsia" w:ascii="新宋体" w:hAnsi="新宋体" w:eastAsia="新宋体" w:cs="新宋体"/>
          <w:color w:val="auto"/>
          <w:sz w:val="22"/>
          <w:szCs w:val="22"/>
          <w:highlight w:val="none"/>
          <w:u w:val="none"/>
          <w:lang w:eastAsia="zh-CN"/>
        </w:rPr>
        <w:t>年</w:t>
      </w:r>
      <w:r>
        <w:rPr>
          <w:rFonts w:hint="eastAsia" w:ascii="新宋体" w:hAnsi="新宋体" w:eastAsia="新宋体" w:cs="新宋体"/>
          <w:color w:val="auto"/>
          <w:sz w:val="22"/>
          <w:szCs w:val="22"/>
          <w:highlight w:val="none"/>
          <w:u w:val="none"/>
          <w:lang w:val="en-US" w:eastAsia="zh-CN"/>
        </w:rPr>
        <w:t>07</w:t>
      </w:r>
      <w:r>
        <w:rPr>
          <w:rFonts w:hint="eastAsia" w:ascii="新宋体" w:hAnsi="新宋体" w:eastAsia="新宋体" w:cs="新宋体"/>
          <w:color w:val="auto"/>
          <w:sz w:val="22"/>
          <w:szCs w:val="22"/>
          <w:highlight w:val="none"/>
          <w:u w:val="none"/>
        </w:rPr>
        <w:t>月</w:t>
      </w:r>
      <w:r>
        <w:rPr>
          <w:rFonts w:hint="eastAsia" w:ascii="新宋体" w:hAnsi="新宋体" w:eastAsia="新宋体" w:cs="新宋体"/>
          <w:color w:val="auto"/>
          <w:sz w:val="22"/>
          <w:szCs w:val="22"/>
          <w:highlight w:val="none"/>
          <w:u w:val="none"/>
          <w:lang w:val="en-US" w:eastAsia="zh-CN"/>
        </w:rPr>
        <w:t>17</w:t>
      </w:r>
      <w:r>
        <w:rPr>
          <w:rFonts w:hint="eastAsia" w:ascii="新宋体" w:hAnsi="新宋体" w:eastAsia="新宋体" w:cs="新宋体"/>
          <w:color w:val="auto"/>
          <w:sz w:val="22"/>
          <w:szCs w:val="22"/>
          <w:highlight w:val="none"/>
          <w:u w:val="none"/>
        </w:rPr>
        <w:t>日至</w:t>
      </w:r>
      <w:r>
        <w:rPr>
          <w:rFonts w:hint="eastAsia" w:ascii="新宋体" w:hAnsi="新宋体" w:eastAsia="新宋体" w:cs="新宋体"/>
          <w:color w:val="auto"/>
          <w:sz w:val="22"/>
          <w:szCs w:val="22"/>
          <w:highlight w:val="none"/>
          <w:u w:val="none"/>
          <w:lang w:eastAsia="zh-CN"/>
        </w:rPr>
        <w:t>202</w:t>
      </w:r>
      <w:r>
        <w:rPr>
          <w:rFonts w:hint="eastAsia" w:ascii="新宋体" w:hAnsi="新宋体" w:eastAsia="新宋体" w:cs="新宋体"/>
          <w:color w:val="auto"/>
          <w:sz w:val="22"/>
          <w:szCs w:val="22"/>
          <w:highlight w:val="none"/>
          <w:u w:val="none"/>
          <w:lang w:val="en-US" w:eastAsia="zh-CN"/>
        </w:rPr>
        <w:t>4</w:t>
      </w:r>
      <w:r>
        <w:rPr>
          <w:rFonts w:hint="eastAsia" w:ascii="新宋体" w:hAnsi="新宋体" w:eastAsia="新宋体" w:cs="新宋体"/>
          <w:color w:val="auto"/>
          <w:sz w:val="22"/>
          <w:szCs w:val="22"/>
          <w:highlight w:val="none"/>
          <w:u w:val="none"/>
          <w:lang w:eastAsia="zh-CN"/>
        </w:rPr>
        <w:t>年</w:t>
      </w:r>
      <w:r>
        <w:rPr>
          <w:rFonts w:hint="eastAsia" w:ascii="新宋体" w:hAnsi="新宋体" w:eastAsia="新宋体" w:cs="新宋体"/>
          <w:color w:val="auto"/>
          <w:sz w:val="22"/>
          <w:szCs w:val="22"/>
          <w:highlight w:val="none"/>
          <w:u w:val="none"/>
          <w:lang w:val="en-US" w:eastAsia="zh-CN"/>
        </w:rPr>
        <w:t>08</w:t>
      </w:r>
      <w:r>
        <w:rPr>
          <w:rFonts w:hint="eastAsia" w:ascii="新宋体" w:hAnsi="新宋体" w:eastAsia="新宋体" w:cs="新宋体"/>
          <w:color w:val="auto"/>
          <w:sz w:val="22"/>
          <w:szCs w:val="22"/>
          <w:highlight w:val="none"/>
          <w:u w:val="none"/>
        </w:rPr>
        <w:t>月</w:t>
      </w:r>
      <w:r>
        <w:rPr>
          <w:rFonts w:hint="eastAsia" w:ascii="新宋体" w:hAnsi="新宋体" w:eastAsia="新宋体" w:cs="新宋体"/>
          <w:color w:val="auto"/>
          <w:sz w:val="22"/>
          <w:szCs w:val="22"/>
          <w:highlight w:val="none"/>
          <w:u w:val="none"/>
          <w:lang w:val="en-US" w:eastAsia="zh-CN"/>
        </w:rPr>
        <w:t>07</w:t>
      </w:r>
      <w:r>
        <w:rPr>
          <w:rFonts w:hint="eastAsia" w:ascii="新宋体" w:hAnsi="新宋体" w:eastAsia="新宋体" w:cs="新宋体"/>
          <w:color w:val="auto"/>
          <w:sz w:val="22"/>
          <w:szCs w:val="22"/>
          <w:highlight w:val="none"/>
          <w:u w:val="none"/>
        </w:rPr>
        <w:t>日，每天上午00:00至12:00，下午12:00至23:59（北京时间，线上获取法定节假日均可，线下获取文件法定节假日除外）</w:t>
      </w:r>
    </w:p>
    <w:p w14:paraId="6D08D129">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地点（网址）：浙江政府采购网（https://zfcg.czt.zj.gov.cn/）</w:t>
      </w:r>
    </w:p>
    <w:p w14:paraId="70CE67AA">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方式：供应商登录政采云平台https://www.zcygov.cn/在线申请获取采购文件（进入“项目采购”应用，在获取采购文件菜单中选择项目，申请获取采购文件）</w:t>
      </w:r>
    </w:p>
    <w:p w14:paraId="15EB4315">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售价（元）：0</w:t>
      </w:r>
    </w:p>
    <w:p w14:paraId="3D90F9D1">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ascii="新宋体" w:hAnsi="新宋体" w:eastAsia="新宋体" w:cs="新宋体"/>
          <w:b/>
          <w:bCs/>
          <w:color w:val="auto"/>
          <w:sz w:val="22"/>
          <w:szCs w:val="22"/>
          <w:highlight w:val="none"/>
          <w:u w:val="none"/>
        </w:rPr>
      </w:pPr>
      <w:r>
        <w:rPr>
          <w:rFonts w:hint="eastAsia" w:ascii="新宋体" w:hAnsi="新宋体" w:eastAsia="新宋体" w:cs="新宋体"/>
          <w:b/>
          <w:bCs/>
          <w:color w:val="auto"/>
          <w:sz w:val="22"/>
          <w:szCs w:val="22"/>
          <w:highlight w:val="none"/>
          <w:u w:val="none"/>
        </w:rPr>
        <w:t>四、提交投标文件截止时间、开标时间和地点</w:t>
      </w:r>
    </w:p>
    <w:p w14:paraId="76EAD976">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提交投标文件截止时间：</w:t>
      </w:r>
      <w:r>
        <w:rPr>
          <w:rFonts w:hint="eastAsia" w:ascii="新宋体" w:hAnsi="新宋体" w:eastAsia="新宋体" w:cs="新宋体"/>
          <w:color w:val="auto"/>
          <w:sz w:val="22"/>
          <w:szCs w:val="22"/>
          <w:highlight w:val="none"/>
          <w:u w:val="none"/>
          <w:lang w:eastAsia="zh-CN"/>
        </w:rPr>
        <w:t>202</w:t>
      </w:r>
      <w:r>
        <w:rPr>
          <w:rFonts w:hint="eastAsia" w:ascii="新宋体" w:hAnsi="新宋体" w:eastAsia="新宋体" w:cs="新宋体"/>
          <w:color w:val="auto"/>
          <w:sz w:val="22"/>
          <w:szCs w:val="22"/>
          <w:highlight w:val="none"/>
          <w:u w:val="none"/>
          <w:lang w:val="en-US" w:eastAsia="zh-CN"/>
        </w:rPr>
        <w:t>4</w:t>
      </w:r>
      <w:r>
        <w:rPr>
          <w:rFonts w:hint="eastAsia" w:ascii="新宋体" w:hAnsi="新宋体" w:eastAsia="新宋体" w:cs="新宋体"/>
          <w:color w:val="auto"/>
          <w:sz w:val="22"/>
          <w:szCs w:val="22"/>
          <w:highlight w:val="none"/>
          <w:u w:val="none"/>
          <w:lang w:eastAsia="zh-CN"/>
        </w:rPr>
        <w:t>年</w:t>
      </w:r>
      <w:r>
        <w:rPr>
          <w:rFonts w:hint="eastAsia" w:ascii="新宋体" w:hAnsi="新宋体" w:eastAsia="新宋体" w:cs="新宋体"/>
          <w:color w:val="auto"/>
          <w:sz w:val="22"/>
          <w:szCs w:val="22"/>
          <w:highlight w:val="none"/>
          <w:u w:val="none"/>
          <w:lang w:val="en-US" w:eastAsia="zh-CN"/>
        </w:rPr>
        <w:t>08</w:t>
      </w:r>
      <w:r>
        <w:rPr>
          <w:rFonts w:hint="eastAsia" w:ascii="新宋体" w:hAnsi="新宋体" w:eastAsia="新宋体" w:cs="新宋体"/>
          <w:color w:val="auto"/>
          <w:sz w:val="22"/>
          <w:szCs w:val="22"/>
          <w:highlight w:val="none"/>
          <w:u w:val="none"/>
        </w:rPr>
        <w:t>月</w:t>
      </w:r>
      <w:r>
        <w:rPr>
          <w:rFonts w:hint="eastAsia" w:ascii="新宋体" w:hAnsi="新宋体" w:eastAsia="新宋体" w:cs="新宋体"/>
          <w:color w:val="auto"/>
          <w:sz w:val="22"/>
          <w:szCs w:val="22"/>
          <w:highlight w:val="none"/>
          <w:u w:val="none"/>
          <w:lang w:val="en-US" w:eastAsia="zh-CN"/>
        </w:rPr>
        <w:t>07</w:t>
      </w:r>
      <w:r>
        <w:rPr>
          <w:rFonts w:hint="eastAsia" w:ascii="新宋体" w:hAnsi="新宋体" w:eastAsia="新宋体" w:cs="新宋体"/>
          <w:color w:val="auto"/>
          <w:sz w:val="22"/>
          <w:szCs w:val="22"/>
          <w:highlight w:val="none"/>
          <w:u w:val="none"/>
        </w:rPr>
        <w:t>日</w:t>
      </w:r>
      <w:r>
        <w:rPr>
          <w:rFonts w:hint="eastAsia" w:ascii="新宋体" w:hAnsi="新宋体" w:eastAsia="新宋体" w:cs="新宋体"/>
          <w:color w:val="auto"/>
          <w:sz w:val="22"/>
          <w:szCs w:val="22"/>
          <w:highlight w:val="none"/>
          <w:u w:val="none"/>
          <w:lang w:val="en-US" w:eastAsia="zh-CN"/>
        </w:rPr>
        <w:t>09</w:t>
      </w:r>
      <w:r>
        <w:rPr>
          <w:rFonts w:hint="eastAsia" w:ascii="新宋体" w:hAnsi="新宋体" w:eastAsia="新宋体" w:cs="新宋体"/>
          <w:color w:val="auto"/>
          <w:sz w:val="22"/>
          <w:szCs w:val="22"/>
          <w:highlight w:val="none"/>
          <w:u w:val="none"/>
        </w:rPr>
        <w:t>点</w:t>
      </w:r>
      <w:r>
        <w:rPr>
          <w:rFonts w:hint="eastAsia" w:ascii="新宋体" w:hAnsi="新宋体" w:eastAsia="新宋体" w:cs="新宋体"/>
          <w:color w:val="auto"/>
          <w:sz w:val="22"/>
          <w:szCs w:val="22"/>
          <w:highlight w:val="none"/>
          <w:u w:val="none"/>
          <w:lang w:val="en-US" w:eastAsia="zh-CN"/>
        </w:rPr>
        <w:t>30</w:t>
      </w:r>
      <w:r>
        <w:rPr>
          <w:rFonts w:hint="eastAsia" w:ascii="新宋体" w:hAnsi="新宋体" w:eastAsia="新宋体" w:cs="新宋体"/>
          <w:color w:val="auto"/>
          <w:sz w:val="22"/>
          <w:szCs w:val="22"/>
          <w:highlight w:val="none"/>
          <w:u w:val="none"/>
        </w:rPr>
        <w:t>分（北京时间）</w:t>
      </w:r>
    </w:p>
    <w:p w14:paraId="63776006">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投标地点（网址）：请登录政采云投标客户端投标</w:t>
      </w:r>
      <w:r>
        <w:rPr>
          <w:rFonts w:hint="eastAsia" w:ascii="新宋体" w:hAnsi="新宋体" w:eastAsia="新宋体" w:cs="新宋体"/>
          <w:color w:val="auto"/>
          <w:sz w:val="22"/>
          <w:highlight w:val="none"/>
          <w:lang w:val="en-US" w:eastAsia="zh-CN"/>
        </w:rPr>
        <w:t>（政采云平台：http://zfcg.czt.zj.gov.cn）</w:t>
      </w:r>
      <w:r>
        <w:rPr>
          <w:rFonts w:hint="eastAsia" w:ascii="新宋体" w:hAnsi="新宋体" w:eastAsia="新宋体" w:cs="新宋体"/>
          <w:color w:val="auto"/>
          <w:sz w:val="22"/>
          <w:szCs w:val="22"/>
          <w:highlight w:val="none"/>
          <w:u w:val="none"/>
        </w:rPr>
        <w:t> </w:t>
      </w:r>
    </w:p>
    <w:p w14:paraId="6483B1DF">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开标时间：</w:t>
      </w:r>
      <w:r>
        <w:rPr>
          <w:rFonts w:hint="eastAsia" w:ascii="新宋体" w:hAnsi="新宋体" w:eastAsia="新宋体" w:cs="新宋体"/>
          <w:color w:val="auto"/>
          <w:sz w:val="22"/>
          <w:szCs w:val="22"/>
          <w:highlight w:val="none"/>
          <w:u w:val="none"/>
          <w:lang w:eastAsia="zh-CN"/>
        </w:rPr>
        <w:t>202</w:t>
      </w:r>
      <w:r>
        <w:rPr>
          <w:rFonts w:hint="eastAsia" w:ascii="新宋体" w:hAnsi="新宋体" w:eastAsia="新宋体" w:cs="新宋体"/>
          <w:color w:val="auto"/>
          <w:sz w:val="22"/>
          <w:szCs w:val="22"/>
          <w:highlight w:val="none"/>
          <w:u w:val="none"/>
          <w:lang w:val="en-US" w:eastAsia="zh-CN"/>
        </w:rPr>
        <w:t>4</w:t>
      </w:r>
      <w:r>
        <w:rPr>
          <w:rFonts w:hint="eastAsia" w:ascii="新宋体" w:hAnsi="新宋体" w:eastAsia="新宋体" w:cs="新宋体"/>
          <w:color w:val="auto"/>
          <w:sz w:val="22"/>
          <w:szCs w:val="22"/>
          <w:highlight w:val="none"/>
          <w:u w:val="none"/>
          <w:lang w:eastAsia="zh-CN"/>
        </w:rPr>
        <w:t>年</w:t>
      </w:r>
      <w:r>
        <w:rPr>
          <w:rFonts w:hint="eastAsia" w:ascii="新宋体" w:hAnsi="新宋体" w:eastAsia="新宋体" w:cs="新宋体"/>
          <w:color w:val="auto"/>
          <w:sz w:val="22"/>
          <w:szCs w:val="22"/>
          <w:highlight w:val="none"/>
          <w:u w:val="none"/>
          <w:lang w:val="en-US" w:eastAsia="zh-CN"/>
        </w:rPr>
        <w:t>08</w:t>
      </w:r>
      <w:r>
        <w:rPr>
          <w:rFonts w:hint="eastAsia" w:ascii="新宋体" w:hAnsi="新宋体" w:eastAsia="新宋体" w:cs="新宋体"/>
          <w:color w:val="auto"/>
          <w:sz w:val="22"/>
          <w:szCs w:val="22"/>
          <w:highlight w:val="none"/>
          <w:u w:val="none"/>
        </w:rPr>
        <w:t>月</w:t>
      </w:r>
      <w:r>
        <w:rPr>
          <w:rFonts w:hint="eastAsia" w:ascii="新宋体" w:hAnsi="新宋体" w:eastAsia="新宋体" w:cs="新宋体"/>
          <w:color w:val="auto"/>
          <w:sz w:val="22"/>
          <w:szCs w:val="22"/>
          <w:highlight w:val="none"/>
          <w:u w:val="none"/>
          <w:lang w:val="en-US" w:eastAsia="zh-CN"/>
        </w:rPr>
        <w:t>07</w:t>
      </w:r>
      <w:r>
        <w:rPr>
          <w:rFonts w:hint="eastAsia" w:ascii="新宋体" w:hAnsi="新宋体" w:eastAsia="新宋体" w:cs="新宋体"/>
          <w:color w:val="auto"/>
          <w:sz w:val="22"/>
          <w:szCs w:val="22"/>
          <w:highlight w:val="none"/>
          <w:u w:val="none"/>
        </w:rPr>
        <w:t>日</w:t>
      </w:r>
      <w:r>
        <w:rPr>
          <w:rFonts w:hint="eastAsia" w:ascii="新宋体" w:hAnsi="新宋体" w:eastAsia="新宋体" w:cs="新宋体"/>
          <w:color w:val="auto"/>
          <w:sz w:val="22"/>
          <w:szCs w:val="22"/>
          <w:highlight w:val="none"/>
          <w:u w:val="none"/>
          <w:lang w:val="en-US" w:eastAsia="zh-CN"/>
        </w:rPr>
        <w:t>09</w:t>
      </w:r>
      <w:r>
        <w:rPr>
          <w:rFonts w:hint="eastAsia" w:ascii="新宋体" w:hAnsi="新宋体" w:eastAsia="新宋体" w:cs="新宋体"/>
          <w:color w:val="auto"/>
          <w:sz w:val="22"/>
          <w:szCs w:val="22"/>
          <w:highlight w:val="none"/>
          <w:u w:val="none"/>
        </w:rPr>
        <w:t>点</w:t>
      </w:r>
      <w:r>
        <w:rPr>
          <w:rFonts w:hint="eastAsia" w:ascii="新宋体" w:hAnsi="新宋体" w:eastAsia="新宋体" w:cs="新宋体"/>
          <w:color w:val="auto"/>
          <w:sz w:val="22"/>
          <w:szCs w:val="22"/>
          <w:highlight w:val="none"/>
          <w:u w:val="none"/>
          <w:lang w:val="en-US" w:eastAsia="zh-CN"/>
        </w:rPr>
        <w:t>30</w:t>
      </w:r>
      <w:r>
        <w:rPr>
          <w:rFonts w:hint="eastAsia" w:ascii="新宋体" w:hAnsi="新宋体" w:eastAsia="新宋体" w:cs="新宋体"/>
          <w:color w:val="auto"/>
          <w:sz w:val="22"/>
          <w:szCs w:val="22"/>
          <w:highlight w:val="none"/>
          <w:u w:val="none"/>
        </w:rPr>
        <w:t>分</w:t>
      </w:r>
      <w:bookmarkStart w:id="68" w:name="_GoBack"/>
      <w:bookmarkEnd w:id="68"/>
    </w:p>
    <w:p w14:paraId="6A03EB79">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开标地点（网址）：</w:t>
      </w:r>
      <w:r>
        <w:rPr>
          <w:rFonts w:hint="eastAsia" w:ascii="新宋体" w:hAnsi="新宋体" w:eastAsia="新宋体" w:cs="新宋体"/>
          <w:color w:val="auto"/>
          <w:sz w:val="22"/>
          <w:szCs w:val="22"/>
          <w:highlight w:val="none"/>
          <w:lang w:eastAsia="zh-CN"/>
        </w:rPr>
        <w:t>温州市鹿城区南汇街道勤民路鹿城壹号18幢803室</w:t>
      </w:r>
      <w:r>
        <w:rPr>
          <w:rFonts w:hint="eastAsia" w:ascii="新宋体" w:hAnsi="新宋体" w:eastAsia="新宋体" w:cs="新宋体"/>
          <w:color w:val="auto"/>
          <w:sz w:val="22"/>
          <w:highlight w:val="none"/>
          <w:lang w:val="en-US" w:eastAsia="zh-CN"/>
        </w:rPr>
        <w:t>（政采云平台：http://zfcg.czt.zj.gov.cn）</w:t>
      </w:r>
    </w:p>
    <w:p w14:paraId="2F907530">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b/>
          <w:bCs/>
          <w:color w:val="auto"/>
          <w:sz w:val="22"/>
          <w:szCs w:val="22"/>
          <w:highlight w:val="none"/>
          <w:u w:val="none"/>
        </w:rPr>
        <w:t>五、公告期限</w:t>
      </w:r>
      <w:r>
        <w:rPr>
          <w:rFonts w:hint="eastAsia" w:ascii="新宋体" w:hAnsi="新宋体" w:eastAsia="新宋体" w:cs="新宋体"/>
          <w:color w:val="auto"/>
          <w:sz w:val="22"/>
          <w:szCs w:val="22"/>
          <w:highlight w:val="none"/>
          <w:u w:val="none"/>
        </w:rPr>
        <w:t> </w:t>
      </w:r>
    </w:p>
    <w:p w14:paraId="664DCEB3">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自本公告发布之日起5个工作日。</w:t>
      </w:r>
    </w:p>
    <w:p w14:paraId="40EB8856">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ascii="新宋体" w:hAnsi="新宋体" w:eastAsia="新宋体" w:cs="新宋体"/>
          <w:b/>
          <w:bCs/>
          <w:color w:val="auto"/>
          <w:sz w:val="22"/>
          <w:szCs w:val="22"/>
          <w:highlight w:val="none"/>
          <w:u w:val="none"/>
        </w:rPr>
      </w:pPr>
      <w:r>
        <w:rPr>
          <w:rFonts w:hint="eastAsia" w:ascii="新宋体" w:hAnsi="新宋体" w:eastAsia="新宋体" w:cs="新宋体"/>
          <w:b/>
          <w:bCs/>
          <w:color w:val="auto"/>
          <w:sz w:val="22"/>
          <w:szCs w:val="22"/>
          <w:highlight w:val="none"/>
          <w:u w:val="none"/>
        </w:rPr>
        <w:t>六、其他补充事宜</w:t>
      </w:r>
    </w:p>
    <w:p w14:paraId="5414D400">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D0BC0A6">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6D39BA82">
      <w:pPr>
        <w:pStyle w:val="49"/>
        <w:spacing w:before="75" w:beforeAutospacing="0" w:after="75" w:afterAutospacing="0" w:line="460" w:lineRule="exact"/>
        <w:ind w:firstLine="435"/>
        <w:rPr>
          <w:rFonts w:hint="eastAsia" w:ascii="新宋体" w:hAnsi="新宋体" w:eastAsia="新宋体" w:cs="新宋体"/>
          <w:color w:val="auto"/>
          <w:sz w:val="22"/>
          <w:szCs w:val="22"/>
          <w:highlight w:val="none"/>
          <w:u w:val="none"/>
          <w:lang w:val="en-US" w:eastAsia="zh-CN"/>
        </w:rPr>
      </w:pPr>
      <w:r>
        <w:rPr>
          <w:rFonts w:hint="eastAsia" w:ascii="新宋体" w:hAnsi="新宋体" w:eastAsia="新宋体" w:cs="新宋体"/>
          <w:color w:val="auto"/>
          <w:sz w:val="22"/>
          <w:highlight w:val="none"/>
          <w:lang w:val="en-US" w:eastAsia="zh-CN"/>
        </w:rPr>
        <w:t>3.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⑥投标文件的解密：投标人按照平台提示和招标文件的规定在半小时内完成在线解密；⑦具体操作指南：详见政采云平台“服务中心-帮助文档-项目采购-操作流程-电子招投标-政府采购项目电子交易管理操作指南-供应商”：浙江省政府采购项目政采云平台学习专题https://edu.zcygov.cn/luban/e-biding。（三）招标</w:t>
      </w:r>
      <w:r>
        <w:rPr>
          <w:rFonts w:hint="eastAsia" w:ascii="新宋体" w:hAnsi="新宋体" w:eastAsia="新宋体" w:cs="新宋体"/>
          <w:color w:val="auto"/>
          <w:sz w:val="22"/>
          <w:szCs w:val="22"/>
          <w:highlight w:val="none"/>
        </w:rPr>
        <w:t>公告附件的采购文件仅供阅览使用，未按照本公告规定的方式获取采购文件的潜在供应商提起的质疑采购组织机构将不予受理、答复。</w:t>
      </w:r>
    </w:p>
    <w:p w14:paraId="022EBC37">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七、对本次招标提出询问，请按以下方式联系</w:t>
      </w:r>
    </w:p>
    <w:p w14:paraId="20A44C7F">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1.采购人信息</w:t>
      </w:r>
    </w:p>
    <w:p w14:paraId="3F6288AC">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u w:val="none"/>
          <w:lang w:eastAsia="zh-CN"/>
        </w:rPr>
      </w:pPr>
      <w:r>
        <w:rPr>
          <w:rFonts w:hint="eastAsia" w:ascii="新宋体" w:hAnsi="新宋体" w:eastAsia="新宋体" w:cs="新宋体"/>
          <w:color w:val="auto"/>
          <w:sz w:val="22"/>
          <w:szCs w:val="22"/>
          <w:highlight w:val="none"/>
          <w:u w:val="none"/>
        </w:rPr>
        <w:t>名  称：</w:t>
      </w:r>
      <w:r>
        <w:rPr>
          <w:rFonts w:hint="eastAsia" w:ascii="新宋体" w:hAnsi="新宋体" w:eastAsia="新宋体" w:cs="新宋体"/>
          <w:color w:val="auto"/>
          <w:sz w:val="22"/>
          <w:szCs w:val="22"/>
          <w:highlight w:val="none"/>
          <w:u w:val="none"/>
          <w:lang w:eastAsia="zh-CN"/>
        </w:rPr>
        <w:t>温州市儿童福利院（温州市未成年人救助保护中心）</w:t>
      </w:r>
    </w:p>
    <w:p w14:paraId="11971F61">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地  址：温州市瓯海金竹路48号</w:t>
      </w:r>
    </w:p>
    <w:p w14:paraId="4D46DC60">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 xml:space="preserve">传  真：/ </w:t>
      </w:r>
    </w:p>
    <w:p w14:paraId="461FCF28">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项目联系人（询问）：陈海伟</w:t>
      </w:r>
    </w:p>
    <w:p w14:paraId="576A94DF">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项目联系方式（询问）：0577-88292413</w:t>
      </w:r>
    </w:p>
    <w:p w14:paraId="6BD0D4B8">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质疑联系人：吴宏琳</w:t>
      </w:r>
    </w:p>
    <w:p w14:paraId="5CFBC3DB">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质疑联系方式：0577-88291440</w:t>
      </w:r>
    </w:p>
    <w:p w14:paraId="3ACE9138">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2.采购代理机构信息</w:t>
      </w:r>
    </w:p>
    <w:p w14:paraId="41291D33">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名  称：</w:t>
      </w:r>
      <w:r>
        <w:rPr>
          <w:rFonts w:hint="eastAsia" w:ascii="新宋体" w:hAnsi="新宋体" w:eastAsia="新宋体" w:cs="新宋体"/>
          <w:color w:val="auto"/>
          <w:sz w:val="22"/>
          <w:szCs w:val="22"/>
          <w:highlight w:val="none"/>
          <w:u w:val="none"/>
          <w:lang w:val="en-US" w:eastAsia="zh-CN"/>
        </w:rPr>
        <w:t>温州历程招标有限公司</w:t>
      </w:r>
    </w:p>
    <w:p w14:paraId="6D03F015">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地  址：</w:t>
      </w:r>
      <w:r>
        <w:rPr>
          <w:rFonts w:hint="eastAsia" w:ascii="新宋体" w:hAnsi="新宋体" w:eastAsia="新宋体" w:cs="新宋体"/>
          <w:color w:val="auto"/>
          <w:sz w:val="22"/>
          <w:szCs w:val="22"/>
          <w:highlight w:val="none"/>
          <w:lang w:eastAsia="zh-CN"/>
        </w:rPr>
        <w:t>温州市鹿城区南汇街道勤民路鹿城壹号18幢803室</w:t>
      </w:r>
    </w:p>
    <w:p w14:paraId="76A50512">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传  真：0577-89887255</w:t>
      </w:r>
    </w:p>
    <w:p w14:paraId="3E92F62B">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项目联系人（询问）：郑永强</w:t>
      </w:r>
    </w:p>
    <w:p w14:paraId="61E2825D">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项目联系方式（询问）：0577-89887322、13757727199</w:t>
      </w:r>
    </w:p>
    <w:p w14:paraId="423D410F">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u w:val="none"/>
          <w:lang w:val="en-US" w:eastAsia="zh-CN"/>
        </w:rPr>
      </w:pPr>
      <w:r>
        <w:rPr>
          <w:rFonts w:hint="eastAsia" w:ascii="新宋体" w:hAnsi="新宋体" w:eastAsia="新宋体" w:cs="新宋体"/>
          <w:color w:val="auto"/>
          <w:sz w:val="22"/>
          <w:szCs w:val="22"/>
          <w:highlight w:val="none"/>
          <w:u w:val="none"/>
        </w:rPr>
        <w:t>质疑联系人：</w:t>
      </w:r>
      <w:r>
        <w:rPr>
          <w:rFonts w:hint="eastAsia" w:ascii="新宋体" w:hAnsi="新宋体" w:eastAsia="新宋体" w:cs="新宋体"/>
          <w:color w:val="auto"/>
          <w:sz w:val="22"/>
          <w:szCs w:val="22"/>
          <w:highlight w:val="none"/>
          <w:u w:val="none"/>
          <w:lang w:val="en-US" w:eastAsia="zh-CN"/>
        </w:rPr>
        <w:t>肖忠文</w:t>
      </w:r>
    </w:p>
    <w:p w14:paraId="392F16A2">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质疑联系方式：13757727199 </w:t>
      </w:r>
    </w:p>
    <w:p w14:paraId="77CED987">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lang w:val="en-US" w:eastAsia="zh-CN"/>
        </w:rPr>
        <w:t>3.同级政府采购监督管理部门</w:t>
      </w:r>
    </w:p>
    <w:p w14:paraId="277B3512">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lang w:val="en-US" w:eastAsia="zh-CN"/>
        </w:rPr>
        <w:t>名    称：温州市财政局政府采购监管处 </w:t>
      </w:r>
    </w:p>
    <w:p w14:paraId="2B53D65B">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lang w:val="en-US" w:eastAsia="zh-CN"/>
        </w:rPr>
        <w:t>地    址：温州市鹿城区绣山路299号 </w:t>
      </w:r>
    </w:p>
    <w:p w14:paraId="4C3E2A60">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lang w:val="en-US" w:eastAsia="zh-CN"/>
        </w:rPr>
        <w:t>传     真：/ </w:t>
      </w:r>
    </w:p>
    <w:p w14:paraId="2C832D5D">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lang w:val="en-US" w:eastAsia="zh-CN"/>
        </w:rPr>
        <w:t>联  系  人 ：项先生、蔡女士</w:t>
      </w:r>
    </w:p>
    <w:p w14:paraId="08975374">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highlight w:val="none"/>
          <w:lang w:val="en-US" w:eastAsia="zh-CN"/>
        </w:rPr>
        <w:t>监督投诉电话：0577-88532725、88521948</w:t>
      </w:r>
    </w:p>
    <w:p w14:paraId="56781CFA">
      <w:pPr>
        <w:rPr>
          <w:rFonts w:hint="eastAsia" w:ascii="新宋体" w:hAnsi="新宋体" w:eastAsia="新宋体" w:cs="新宋体"/>
          <w:color w:val="auto"/>
          <w:highlight w:val="none"/>
        </w:rPr>
      </w:pPr>
      <w:bookmarkStart w:id="2" w:name="_Toc5772"/>
      <w:r>
        <w:rPr>
          <w:rFonts w:hint="eastAsia" w:ascii="新宋体" w:hAnsi="新宋体" w:eastAsia="新宋体" w:cs="新宋体"/>
          <w:color w:val="auto"/>
          <w:highlight w:val="none"/>
        </w:rPr>
        <w:br w:type="page"/>
      </w:r>
    </w:p>
    <w:p w14:paraId="628741C9">
      <w:pPr>
        <w:pStyle w:val="3"/>
        <w:bidi w:val="0"/>
        <w:rPr>
          <w:rFonts w:hint="eastAsia" w:ascii="新宋体" w:hAnsi="新宋体" w:eastAsia="新宋体" w:cs="新宋体"/>
          <w:color w:val="auto"/>
          <w:highlight w:val="none"/>
        </w:rPr>
      </w:pPr>
      <w:bookmarkStart w:id="3" w:name="_Toc3414"/>
      <w:r>
        <w:rPr>
          <w:rFonts w:hint="eastAsia" w:ascii="新宋体" w:hAnsi="新宋体" w:eastAsia="新宋体" w:cs="新宋体"/>
          <w:color w:val="auto"/>
          <w:highlight w:val="none"/>
        </w:rPr>
        <w:t>第一部分</w:t>
      </w:r>
      <w:r>
        <w:rPr>
          <w:rFonts w:hint="eastAsia" w:ascii="新宋体" w:hAnsi="新宋体" w:eastAsia="新宋体" w:cs="新宋体"/>
          <w:color w:val="auto"/>
          <w:highlight w:val="none"/>
          <w:lang w:val="en-US" w:eastAsia="zh-CN"/>
        </w:rPr>
        <w:t xml:space="preserve">   </w:t>
      </w:r>
      <w:r>
        <w:rPr>
          <w:rFonts w:hint="eastAsia" w:ascii="新宋体" w:hAnsi="新宋体" w:eastAsia="新宋体" w:cs="新宋体"/>
          <w:color w:val="auto"/>
          <w:highlight w:val="none"/>
        </w:rPr>
        <w:t>投标人须知</w:t>
      </w:r>
      <w:bookmarkEnd w:id="2"/>
      <w:bookmarkEnd w:id="3"/>
    </w:p>
    <w:p w14:paraId="5648A894">
      <w:pPr>
        <w:keepNext/>
        <w:keepLines/>
        <w:shd w:val="clear" w:color="auto" w:fill="FFFFFF"/>
        <w:tabs>
          <w:tab w:val="left" w:pos="706"/>
        </w:tabs>
        <w:snapToGrid w:val="0"/>
        <w:spacing w:line="360" w:lineRule="auto"/>
        <w:jc w:val="center"/>
        <w:outlineLvl w:val="1"/>
        <w:rPr>
          <w:rFonts w:hint="eastAsia" w:ascii="新宋体" w:hAnsi="新宋体" w:eastAsia="新宋体" w:cs="新宋体"/>
          <w:b/>
          <w:bCs/>
          <w:color w:val="auto"/>
          <w:sz w:val="24"/>
          <w:highlight w:val="none"/>
        </w:rPr>
      </w:pPr>
      <w:bookmarkStart w:id="4" w:name="_Toc33194387"/>
      <w:bookmarkStart w:id="5" w:name="_Toc354996695"/>
      <w:bookmarkStart w:id="6" w:name="_Toc13884"/>
      <w:bookmarkStart w:id="7" w:name="_Toc233618971"/>
      <w:bookmarkStart w:id="8" w:name="_Toc1839"/>
      <w:r>
        <w:rPr>
          <w:rFonts w:hint="eastAsia" w:ascii="新宋体" w:hAnsi="新宋体" w:eastAsia="新宋体" w:cs="新宋体"/>
          <w:b/>
          <w:bCs/>
          <w:color w:val="auto"/>
          <w:sz w:val="24"/>
          <w:highlight w:val="none"/>
        </w:rPr>
        <w:t>前 附 表</w:t>
      </w:r>
      <w:bookmarkEnd w:id="4"/>
      <w:bookmarkEnd w:id="5"/>
      <w:bookmarkEnd w:id="6"/>
      <w:bookmarkEnd w:id="7"/>
      <w:bookmarkEnd w:id="8"/>
    </w:p>
    <w:tbl>
      <w:tblPr>
        <w:tblStyle w:val="52"/>
        <w:tblW w:w="98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27"/>
        <w:gridCol w:w="9348"/>
      </w:tblGrid>
      <w:tr w14:paraId="67DEC2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527" w:type="dxa"/>
            <w:tcBorders>
              <w:top w:val="single" w:color="000000" w:sz="8" w:space="0"/>
              <w:left w:val="single" w:color="000000" w:sz="8" w:space="0"/>
              <w:bottom w:val="single" w:color="000000" w:sz="2" w:space="0"/>
              <w:right w:val="single" w:color="000000" w:sz="2" w:space="0"/>
            </w:tcBorders>
            <w:vAlign w:val="center"/>
          </w:tcPr>
          <w:p w14:paraId="1E01AE07">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条款</w:t>
            </w:r>
          </w:p>
        </w:tc>
        <w:tc>
          <w:tcPr>
            <w:tcW w:w="9348" w:type="dxa"/>
            <w:tcBorders>
              <w:top w:val="single" w:color="000000" w:sz="8" w:space="0"/>
              <w:left w:val="single" w:color="000000" w:sz="2" w:space="0"/>
              <w:bottom w:val="single" w:color="000000" w:sz="2" w:space="0"/>
              <w:right w:val="single" w:color="000000" w:sz="8" w:space="0"/>
            </w:tcBorders>
            <w:vAlign w:val="center"/>
          </w:tcPr>
          <w:p w14:paraId="686B76F1">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内容规定</w:t>
            </w:r>
          </w:p>
        </w:tc>
      </w:tr>
      <w:tr w14:paraId="1BAEF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27" w:type="dxa"/>
            <w:tcBorders>
              <w:top w:val="single" w:color="000000" w:sz="2" w:space="0"/>
              <w:left w:val="single" w:color="000000" w:sz="8" w:space="0"/>
              <w:bottom w:val="single" w:color="000000" w:sz="2" w:space="0"/>
              <w:right w:val="single" w:color="000000" w:sz="2" w:space="0"/>
            </w:tcBorders>
            <w:vAlign w:val="center"/>
          </w:tcPr>
          <w:p w14:paraId="53448DD7">
            <w:pPr>
              <w:snapToGrid w:val="0"/>
              <w:spacing w:line="460" w:lineRule="exact"/>
              <w:jc w:val="center"/>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1</w:t>
            </w:r>
          </w:p>
        </w:tc>
        <w:tc>
          <w:tcPr>
            <w:tcW w:w="9348" w:type="dxa"/>
            <w:tcBorders>
              <w:top w:val="single" w:color="000000" w:sz="2" w:space="0"/>
              <w:left w:val="single" w:color="000000" w:sz="2" w:space="0"/>
              <w:bottom w:val="single" w:color="000000" w:sz="2" w:space="0"/>
              <w:right w:val="single" w:color="000000" w:sz="8" w:space="0"/>
            </w:tcBorders>
          </w:tcPr>
          <w:p w14:paraId="7B4F61F4">
            <w:pPr>
              <w:tabs>
                <w:tab w:val="left" w:pos="3780"/>
              </w:tabs>
              <w:snapToGrid w:val="0"/>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b/>
                <w:bCs/>
                <w:color w:val="auto"/>
                <w:sz w:val="22"/>
                <w:szCs w:val="22"/>
                <w:highlight w:val="none"/>
              </w:rPr>
              <w:t>一、项目名称</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儿童康复器材</w:t>
            </w:r>
          </w:p>
          <w:p w14:paraId="18A21E91">
            <w:pPr>
              <w:spacing w:line="460" w:lineRule="exact"/>
              <w:rPr>
                <w:rFonts w:hint="eastAsia" w:ascii="新宋体" w:hAnsi="新宋体" w:eastAsia="新宋体" w:cs="新宋体"/>
                <w:b/>
                <w:bCs/>
                <w:color w:val="auto"/>
                <w:sz w:val="22"/>
                <w:szCs w:val="22"/>
                <w:highlight w:val="none"/>
              </w:rPr>
            </w:pPr>
            <w:bookmarkStart w:id="9" w:name="_Hlt75139851"/>
            <w:bookmarkEnd w:id="9"/>
            <w:r>
              <w:rPr>
                <w:rFonts w:hint="eastAsia" w:ascii="新宋体" w:hAnsi="新宋体" w:eastAsia="新宋体" w:cs="新宋体"/>
                <w:b/>
                <w:bCs/>
                <w:color w:val="auto"/>
                <w:sz w:val="22"/>
                <w:szCs w:val="22"/>
                <w:highlight w:val="none"/>
              </w:rPr>
              <w:t>二、采购内容：</w:t>
            </w:r>
          </w:p>
          <w:tbl>
            <w:tblPr>
              <w:tblStyle w:val="52"/>
              <w:tblW w:w="92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5"/>
              <w:gridCol w:w="2141"/>
              <w:gridCol w:w="1271"/>
              <w:gridCol w:w="1990"/>
              <w:gridCol w:w="2972"/>
            </w:tblGrid>
            <w:tr w14:paraId="5338C8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50DE5334">
                  <w:pPr>
                    <w:tabs>
                      <w:tab w:val="left" w:pos="360"/>
                    </w:tabs>
                    <w:spacing w:line="460" w:lineRule="exact"/>
                    <w:jc w:val="center"/>
                    <w:rPr>
                      <w:rFonts w:hint="eastAsia" w:ascii="新宋体" w:hAnsi="新宋体" w:eastAsia="新宋体" w:cs="新宋体"/>
                      <w:b/>
                      <w:bCs/>
                      <w:color w:val="auto"/>
                      <w:sz w:val="22"/>
                      <w:szCs w:val="22"/>
                      <w:highlight w:val="none"/>
                      <w:shd w:val="clear" w:color="auto" w:fill="FFFFFF"/>
                      <w:lang w:val="en-US" w:eastAsia="zh-CN"/>
                    </w:rPr>
                  </w:pPr>
                  <w:r>
                    <w:rPr>
                      <w:rFonts w:hint="eastAsia" w:ascii="新宋体" w:hAnsi="新宋体" w:eastAsia="新宋体" w:cs="新宋体"/>
                      <w:b/>
                      <w:bCs/>
                      <w:color w:val="auto"/>
                      <w:sz w:val="22"/>
                      <w:szCs w:val="22"/>
                      <w:highlight w:val="none"/>
                      <w:shd w:val="clear" w:color="auto" w:fill="FFFFFF"/>
                      <w:lang w:val="en-US" w:eastAsia="zh-CN"/>
                    </w:rPr>
                    <w:t>序号</w:t>
                  </w:r>
                </w:p>
              </w:tc>
              <w:tc>
                <w:tcPr>
                  <w:tcW w:w="2141" w:type="dxa"/>
                  <w:tcBorders>
                    <w:top w:val="single" w:color="auto" w:sz="4" w:space="0"/>
                    <w:left w:val="single" w:color="auto" w:sz="4" w:space="0"/>
                    <w:bottom w:val="single" w:color="auto" w:sz="4" w:space="0"/>
                    <w:right w:val="single" w:color="auto" w:sz="4" w:space="0"/>
                  </w:tcBorders>
                  <w:vAlign w:val="center"/>
                </w:tcPr>
                <w:p w14:paraId="1B047780">
                  <w:pPr>
                    <w:tabs>
                      <w:tab w:val="left" w:pos="360"/>
                    </w:tabs>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项目名称</w:t>
                  </w:r>
                </w:p>
              </w:tc>
              <w:tc>
                <w:tcPr>
                  <w:tcW w:w="1271" w:type="dxa"/>
                  <w:tcBorders>
                    <w:top w:val="single" w:color="auto" w:sz="4" w:space="0"/>
                    <w:left w:val="single" w:color="auto" w:sz="4" w:space="0"/>
                    <w:bottom w:val="single" w:color="auto" w:sz="4" w:space="0"/>
                    <w:right w:val="single" w:color="auto" w:sz="4" w:space="0"/>
                  </w:tcBorders>
                  <w:vAlign w:val="center"/>
                </w:tcPr>
                <w:p w14:paraId="54269FAD">
                  <w:pPr>
                    <w:tabs>
                      <w:tab w:val="left" w:pos="360"/>
                    </w:tabs>
                    <w:spacing w:line="460" w:lineRule="exact"/>
                    <w:jc w:val="center"/>
                    <w:rPr>
                      <w:rFonts w:hint="eastAsia" w:ascii="新宋体" w:hAnsi="新宋体" w:eastAsia="新宋体" w:cs="新宋体"/>
                      <w:b/>
                      <w:bCs/>
                      <w:color w:val="auto"/>
                      <w:sz w:val="22"/>
                      <w:szCs w:val="22"/>
                      <w:highlight w:val="none"/>
                      <w:shd w:val="clear" w:color="auto" w:fill="FFFFFF"/>
                    </w:rPr>
                  </w:pPr>
                  <w:r>
                    <w:rPr>
                      <w:rFonts w:hint="eastAsia" w:ascii="新宋体" w:hAnsi="新宋体" w:eastAsia="新宋体" w:cs="新宋体"/>
                      <w:b/>
                      <w:bCs/>
                      <w:color w:val="auto"/>
                      <w:sz w:val="22"/>
                      <w:szCs w:val="22"/>
                      <w:highlight w:val="none"/>
                      <w:lang w:val="en-US" w:eastAsia="zh-CN"/>
                    </w:rPr>
                    <w:t>数量</w:t>
                  </w:r>
                </w:p>
              </w:tc>
              <w:tc>
                <w:tcPr>
                  <w:tcW w:w="1990" w:type="dxa"/>
                  <w:tcBorders>
                    <w:top w:val="single" w:color="auto" w:sz="4" w:space="0"/>
                    <w:left w:val="single" w:color="auto" w:sz="4" w:space="0"/>
                    <w:bottom w:val="single" w:color="auto" w:sz="4" w:space="0"/>
                    <w:right w:val="single" w:color="auto" w:sz="4" w:space="0"/>
                  </w:tcBorders>
                  <w:shd w:val="clear" w:color="auto" w:fill="auto"/>
                  <w:vAlign w:val="center"/>
                </w:tcPr>
                <w:p w14:paraId="369AA4AE">
                  <w:pPr>
                    <w:tabs>
                      <w:tab w:val="left" w:pos="360"/>
                    </w:tabs>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highlight w:val="none"/>
                    </w:rPr>
                    <w:t>预算金额</w:t>
                  </w:r>
                  <w:r>
                    <w:rPr>
                      <w:rFonts w:hint="eastAsia" w:ascii="新宋体" w:hAnsi="新宋体" w:eastAsia="新宋体" w:cs="新宋体"/>
                      <w:b/>
                      <w:bCs/>
                      <w:color w:val="auto"/>
                      <w:sz w:val="22"/>
                      <w:highlight w:val="none"/>
                      <w:lang w:eastAsia="zh-CN"/>
                    </w:rPr>
                    <w:t>（</w:t>
                  </w:r>
                  <w:r>
                    <w:rPr>
                      <w:rFonts w:hint="eastAsia" w:ascii="新宋体" w:hAnsi="新宋体" w:eastAsia="新宋体" w:cs="新宋体"/>
                      <w:b/>
                      <w:bCs/>
                      <w:color w:val="auto"/>
                      <w:sz w:val="22"/>
                      <w:highlight w:val="none"/>
                      <w:lang w:val="en-US" w:eastAsia="zh-CN"/>
                    </w:rPr>
                    <w:t>元</w:t>
                  </w:r>
                  <w:r>
                    <w:rPr>
                      <w:rFonts w:hint="eastAsia" w:ascii="新宋体" w:hAnsi="新宋体" w:eastAsia="新宋体" w:cs="新宋体"/>
                      <w:b/>
                      <w:bCs/>
                      <w:color w:val="auto"/>
                      <w:sz w:val="22"/>
                      <w:highlight w:val="none"/>
                      <w:lang w:eastAsia="zh-CN"/>
                    </w:rPr>
                    <w:t>）</w:t>
                  </w:r>
                </w:p>
              </w:tc>
              <w:tc>
                <w:tcPr>
                  <w:tcW w:w="2972" w:type="dxa"/>
                  <w:tcBorders>
                    <w:top w:val="single" w:color="auto" w:sz="4" w:space="0"/>
                    <w:left w:val="single" w:color="auto" w:sz="4" w:space="0"/>
                    <w:bottom w:val="single" w:color="auto" w:sz="4" w:space="0"/>
                    <w:right w:val="single" w:color="auto" w:sz="4" w:space="0"/>
                  </w:tcBorders>
                  <w:vAlign w:val="center"/>
                </w:tcPr>
                <w:p w14:paraId="3738E3AE">
                  <w:pPr>
                    <w:widowControl/>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简要技术要求、用途</w:t>
                  </w:r>
                </w:p>
              </w:tc>
            </w:tr>
            <w:tr w14:paraId="6DB7F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73FF2A6B">
                  <w:pPr>
                    <w:tabs>
                      <w:tab w:val="left" w:pos="360"/>
                    </w:tabs>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2141" w:type="dxa"/>
                  <w:tcBorders>
                    <w:top w:val="single" w:color="auto" w:sz="4" w:space="0"/>
                    <w:left w:val="single" w:color="auto" w:sz="4" w:space="0"/>
                    <w:bottom w:val="single" w:color="auto" w:sz="4" w:space="0"/>
                    <w:right w:val="single" w:color="auto" w:sz="4" w:space="0"/>
                  </w:tcBorders>
                  <w:vAlign w:val="center"/>
                </w:tcPr>
                <w:p w14:paraId="62385D3E">
                  <w:pPr>
                    <w:spacing w:line="460" w:lineRule="exact"/>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szCs w:val="22"/>
                      <w:highlight w:val="none"/>
                      <w:lang w:eastAsia="zh-CN"/>
                    </w:rPr>
                    <w:t>儿童康复器材</w:t>
                  </w:r>
                </w:p>
              </w:tc>
              <w:tc>
                <w:tcPr>
                  <w:tcW w:w="1271" w:type="dxa"/>
                  <w:tcBorders>
                    <w:top w:val="single" w:color="auto" w:sz="4" w:space="0"/>
                    <w:left w:val="single" w:color="auto" w:sz="4" w:space="0"/>
                    <w:bottom w:val="single" w:color="auto" w:sz="4" w:space="0"/>
                    <w:right w:val="single" w:color="auto" w:sz="4" w:space="0"/>
                  </w:tcBorders>
                  <w:vAlign w:val="center"/>
                </w:tcPr>
                <w:p w14:paraId="6913836B">
                  <w:pPr>
                    <w:tabs>
                      <w:tab w:val="left" w:pos="360"/>
                    </w:tabs>
                    <w:spacing w:line="460" w:lineRule="exact"/>
                    <w:jc w:val="center"/>
                    <w:rPr>
                      <w:rFonts w:hint="eastAsia" w:ascii="新宋体" w:hAnsi="新宋体" w:eastAsia="新宋体" w:cs="新宋体"/>
                      <w:color w:val="auto"/>
                      <w:sz w:val="22"/>
                      <w:szCs w:val="22"/>
                      <w:highlight w:val="none"/>
                      <w:shd w:val="clear" w:color="auto" w:fill="FFFFFF"/>
                      <w:lang w:val="en-US" w:eastAsia="zh-CN"/>
                    </w:rPr>
                  </w:pPr>
                  <w:r>
                    <w:rPr>
                      <w:rFonts w:hint="eastAsia" w:ascii="新宋体" w:hAnsi="新宋体" w:eastAsia="新宋体" w:cs="新宋体"/>
                      <w:color w:val="auto"/>
                      <w:sz w:val="22"/>
                      <w:szCs w:val="22"/>
                      <w:highlight w:val="none"/>
                      <w:shd w:val="clear" w:color="auto" w:fill="FFFFFF"/>
                      <w:lang w:val="en-US" w:eastAsia="zh-CN"/>
                    </w:rPr>
                    <w:t>1批</w:t>
                  </w:r>
                </w:p>
              </w:tc>
              <w:tc>
                <w:tcPr>
                  <w:tcW w:w="1990" w:type="dxa"/>
                  <w:tcBorders>
                    <w:top w:val="single" w:color="auto" w:sz="4" w:space="0"/>
                    <w:left w:val="single" w:color="auto" w:sz="4" w:space="0"/>
                    <w:bottom w:val="single" w:color="auto" w:sz="4" w:space="0"/>
                    <w:right w:val="single" w:color="auto" w:sz="4" w:space="0"/>
                  </w:tcBorders>
                  <w:shd w:val="clear" w:color="auto" w:fill="auto"/>
                  <w:vAlign w:val="center"/>
                </w:tcPr>
                <w:p w14:paraId="7DEE90EF">
                  <w:pPr>
                    <w:tabs>
                      <w:tab w:val="left" w:pos="360"/>
                    </w:tabs>
                    <w:spacing w:line="460" w:lineRule="exact"/>
                    <w:jc w:val="center"/>
                    <w:rPr>
                      <w:rFonts w:hint="eastAsia" w:ascii="新宋体" w:hAnsi="新宋体" w:eastAsia="新宋体" w:cs="新宋体"/>
                      <w:color w:val="auto"/>
                      <w:sz w:val="22"/>
                      <w:szCs w:val="22"/>
                      <w:highlight w:val="none"/>
                      <w:shd w:val="clear" w:color="auto" w:fill="FFFFFF"/>
                      <w:lang w:val="en-US" w:eastAsia="zh-CN"/>
                    </w:rPr>
                  </w:pPr>
                  <w:r>
                    <w:rPr>
                      <w:rFonts w:hint="eastAsia" w:ascii="新宋体" w:hAnsi="新宋体" w:eastAsia="新宋体" w:cs="新宋体"/>
                      <w:color w:val="auto"/>
                      <w:sz w:val="22"/>
                      <w:szCs w:val="22"/>
                      <w:highlight w:val="none"/>
                      <w:shd w:val="clear" w:color="auto" w:fill="FFFFFF"/>
                      <w:lang w:val="en-US" w:eastAsia="zh-CN"/>
                    </w:rPr>
                    <w:t>960000.00</w:t>
                  </w:r>
                </w:p>
              </w:tc>
              <w:tc>
                <w:tcPr>
                  <w:tcW w:w="2972" w:type="dxa"/>
                  <w:tcBorders>
                    <w:top w:val="single" w:color="auto" w:sz="4" w:space="0"/>
                    <w:left w:val="single" w:color="auto" w:sz="4" w:space="0"/>
                    <w:right w:val="single" w:color="auto" w:sz="4" w:space="0"/>
                  </w:tcBorders>
                  <w:vAlign w:val="center"/>
                </w:tcPr>
                <w:p w14:paraId="3A53416E">
                  <w:pPr>
                    <w:tabs>
                      <w:tab w:val="left" w:pos="360"/>
                    </w:tabs>
                    <w:spacing w:line="460" w:lineRule="exact"/>
                    <w:jc w:val="center"/>
                    <w:rPr>
                      <w:rFonts w:hint="eastAsia" w:ascii="新宋体" w:hAnsi="新宋体" w:eastAsia="新宋体" w:cs="新宋体"/>
                      <w:color w:val="auto"/>
                      <w:sz w:val="22"/>
                      <w:szCs w:val="22"/>
                      <w:highlight w:val="none"/>
                      <w:shd w:val="clear" w:color="auto" w:fill="FFFFFF"/>
                      <w:lang w:val="en-US" w:eastAsia="zh-CN"/>
                    </w:rPr>
                  </w:pPr>
                  <w:r>
                    <w:rPr>
                      <w:rFonts w:hint="eastAsia" w:ascii="新宋体" w:hAnsi="新宋体" w:eastAsia="新宋体" w:cs="新宋体"/>
                      <w:color w:val="auto"/>
                      <w:sz w:val="22"/>
                      <w:szCs w:val="22"/>
                      <w:highlight w:val="none"/>
                      <w:shd w:val="clear" w:color="auto" w:fill="FFFFFF"/>
                      <w:lang w:val="en-US" w:eastAsia="zh-CN"/>
                    </w:rPr>
                    <w:t>详见招标文件第四部分“项目技术规范和服务要求”</w:t>
                  </w:r>
                </w:p>
              </w:tc>
            </w:tr>
          </w:tbl>
          <w:p w14:paraId="036D6E2B">
            <w:pPr>
              <w:keepNext w:val="0"/>
              <w:keepLines w:val="0"/>
              <w:pageBreakBefore w:val="0"/>
              <w:tabs>
                <w:tab w:val="left" w:pos="360"/>
              </w:tabs>
              <w:kinsoku/>
              <w:wordWrap/>
              <w:overflowPunct/>
              <w:topLinePunct w:val="0"/>
              <w:autoSpaceDE/>
              <w:autoSpaceDN/>
              <w:bidi w:val="0"/>
              <w:spacing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▲如投标人报价超过预算金额按无效标处理。</w:t>
            </w:r>
          </w:p>
          <w:p w14:paraId="0E97EB69">
            <w:pPr>
              <w:keepNext w:val="0"/>
              <w:keepLines w:val="0"/>
              <w:pageBreakBefore w:val="0"/>
              <w:tabs>
                <w:tab w:val="left" w:pos="360"/>
              </w:tabs>
              <w:kinsoku/>
              <w:wordWrap/>
              <w:overflowPunct/>
              <w:topLinePunct w:val="0"/>
              <w:autoSpaceDE/>
              <w:autoSpaceDN/>
              <w:bidi w:val="0"/>
              <w:spacing w:line="460" w:lineRule="exact"/>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三、</w:t>
            </w:r>
            <w:r>
              <w:rPr>
                <w:rFonts w:hint="eastAsia" w:ascii="新宋体" w:hAnsi="新宋体" w:eastAsia="新宋体" w:cs="新宋体"/>
                <w:b/>
                <w:bCs/>
                <w:color w:val="auto"/>
                <w:sz w:val="22"/>
                <w:szCs w:val="22"/>
                <w:highlight w:val="none"/>
              </w:rPr>
              <w:t>本项目（</w:t>
            </w:r>
            <w:r>
              <w:rPr>
                <w:rFonts w:hint="eastAsia" w:ascii="新宋体" w:hAnsi="新宋体" w:eastAsia="新宋体" w:cs="新宋体"/>
                <w:b/>
                <w:bCs/>
                <w:color w:val="auto"/>
                <w:sz w:val="22"/>
                <w:szCs w:val="22"/>
                <w:highlight w:val="none"/>
                <w:lang w:val="en-US" w:eastAsia="zh-CN"/>
              </w:rPr>
              <w:t>否</w:t>
            </w:r>
            <w:r>
              <w:rPr>
                <w:rFonts w:hint="eastAsia" w:ascii="新宋体" w:hAnsi="新宋体" w:eastAsia="新宋体" w:cs="新宋体"/>
                <w:b/>
                <w:bCs/>
                <w:color w:val="auto"/>
                <w:sz w:val="22"/>
                <w:szCs w:val="22"/>
                <w:highlight w:val="none"/>
              </w:rPr>
              <w:t>）接受联合体投标</w:t>
            </w:r>
          </w:p>
        </w:tc>
      </w:tr>
      <w:tr w14:paraId="29CFE2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27" w:type="dxa"/>
            <w:tcBorders>
              <w:top w:val="single" w:color="000000" w:sz="2" w:space="0"/>
              <w:left w:val="single" w:color="000000" w:sz="8" w:space="0"/>
              <w:bottom w:val="single" w:color="000000" w:sz="2" w:space="0"/>
              <w:right w:val="single" w:color="000000" w:sz="2" w:space="0"/>
            </w:tcBorders>
            <w:vAlign w:val="center"/>
          </w:tcPr>
          <w:p w14:paraId="4300B01C">
            <w:pPr>
              <w:snapToGrid w:val="0"/>
              <w:spacing w:line="460" w:lineRule="exact"/>
              <w:jc w:val="center"/>
              <w:rPr>
                <w:rFonts w:hint="eastAsia" w:ascii="新宋体" w:hAnsi="新宋体" w:eastAsia="新宋体" w:cs="新宋体"/>
                <w:b w:val="0"/>
                <w:bCs w:val="0"/>
                <w:color w:val="auto"/>
                <w:kern w:val="2"/>
                <w:sz w:val="22"/>
                <w:szCs w:val="22"/>
                <w:highlight w:val="none"/>
                <w:lang w:val="en-US" w:eastAsia="zh-CN" w:bidi="ar-SA"/>
              </w:rPr>
            </w:pPr>
            <w:r>
              <w:rPr>
                <w:rFonts w:hint="eastAsia" w:ascii="新宋体" w:hAnsi="新宋体" w:eastAsia="新宋体" w:cs="新宋体"/>
                <w:b w:val="0"/>
                <w:bCs w:val="0"/>
                <w:color w:val="auto"/>
                <w:sz w:val="22"/>
                <w:szCs w:val="22"/>
                <w:highlight w:val="none"/>
                <w:lang w:val="en-US" w:eastAsia="zh-CN"/>
              </w:rPr>
              <w:t>2</w:t>
            </w:r>
          </w:p>
        </w:tc>
        <w:tc>
          <w:tcPr>
            <w:tcW w:w="9348" w:type="dxa"/>
            <w:tcBorders>
              <w:top w:val="single" w:color="000000" w:sz="2" w:space="0"/>
              <w:left w:val="single" w:color="000000" w:sz="2" w:space="0"/>
              <w:bottom w:val="single" w:color="000000" w:sz="2" w:space="0"/>
              <w:right w:val="single" w:color="000000" w:sz="8" w:space="0"/>
            </w:tcBorders>
            <w:vAlign w:val="center"/>
          </w:tcPr>
          <w:p w14:paraId="4A4FEBEB">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zh-CN"/>
              </w:rPr>
              <w:t>投标</w:t>
            </w:r>
            <w:r>
              <w:rPr>
                <w:rFonts w:hint="eastAsia" w:ascii="新宋体" w:hAnsi="新宋体" w:eastAsia="新宋体" w:cs="新宋体"/>
                <w:b/>
                <w:bCs/>
                <w:color w:val="auto"/>
                <w:sz w:val="22"/>
                <w:szCs w:val="22"/>
                <w:highlight w:val="none"/>
              </w:rPr>
              <w:t>有效期：</w:t>
            </w:r>
            <w:r>
              <w:rPr>
                <w:rFonts w:hint="eastAsia" w:ascii="新宋体" w:hAnsi="新宋体" w:eastAsia="新宋体" w:cs="新宋体"/>
                <w:color w:val="auto"/>
                <w:sz w:val="22"/>
                <w:szCs w:val="22"/>
                <w:highlight w:val="none"/>
              </w:rPr>
              <w:t>自投标截止日起</w:t>
            </w:r>
            <w:r>
              <w:rPr>
                <w:rFonts w:hint="eastAsia" w:ascii="新宋体" w:hAnsi="新宋体" w:eastAsia="新宋体" w:cs="新宋体"/>
                <w:color w:val="auto"/>
                <w:sz w:val="22"/>
                <w:szCs w:val="22"/>
                <w:highlight w:val="none"/>
                <w:lang w:val="en-US" w:eastAsia="zh-CN"/>
              </w:rPr>
              <w:t>90</w:t>
            </w:r>
            <w:r>
              <w:rPr>
                <w:rFonts w:hint="eastAsia" w:ascii="新宋体" w:hAnsi="新宋体" w:eastAsia="新宋体" w:cs="新宋体"/>
                <w:color w:val="auto"/>
                <w:sz w:val="22"/>
                <w:szCs w:val="22"/>
                <w:highlight w:val="none"/>
              </w:rPr>
              <w:t>天。</w:t>
            </w:r>
          </w:p>
        </w:tc>
      </w:tr>
      <w:tr w14:paraId="21D13D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27" w:type="dxa"/>
            <w:tcBorders>
              <w:top w:val="single" w:color="000000" w:sz="2" w:space="0"/>
              <w:left w:val="single" w:color="000000" w:sz="8" w:space="0"/>
              <w:bottom w:val="single" w:color="000000" w:sz="2" w:space="0"/>
              <w:right w:val="single" w:color="000000" w:sz="2" w:space="0"/>
            </w:tcBorders>
            <w:vAlign w:val="center"/>
          </w:tcPr>
          <w:p w14:paraId="2DF186A5">
            <w:pPr>
              <w:snapToGrid w:val="0"/>
              <w:spacing w:line="460" w:lineRule="exact"/>
              <w:jc w:val="center"/>
              <w:rPr>
                <w:rFonts w:hint="eastAsia" w:ascii="新宋体" w:hAnsi="新宋体" w:eastAsia="新宋体" w:cs="新宋体"/>
                <w:b w:val="0"/>
                <w:bCs w:val="0"/>
                <w:color w:val="auto"/>
                <w:kern w:val="2"/>
                <w:sz w:val="22"/>
                <w:szCs w:val="22"/>
                <w:highlight w:val="none"/>
                <w:lang w:val="en-US" w:eastAsia="zh-CN" w:bidi="ar-SA"/>
              </w:rPr>
            </w:pPr>
            <w:r>
              <w:rPr>
                <w:rFonts w:hint="eastAsia" w:ascii="新宋体" w:hAnsi="新宋体" w:eastAsia="新宋体" w:cs="新宋体"/>
                <w:b w:val="0"/>
                <w:bCs w:val="0"/>
                <w:color w:val="auto"/>
                <w:sz w:val="22"/>
                <w:szCs w:val="22"/>
                <w:highlight w:val="none"/>
                <w:lang w:val="en-US" w:eastAsia="zh-CN"/>
              </w:rPr>
              <w:t>3</w:t>
            </w:r>
          </w:p>
        </w:tc>
        <w:tc>
          <w:tcPr>
            <w:tcW w:w="9348" w:type="dxa"/>
            <w:tcBorders>
              <w:top w:val="single" w:color="000000" w:sz="2" w:space="0"/>
              <w:left w:val="single" w:color="000000" w:sz="2" w:space="0"/>
              <w:bottom w:val="single" w:color="000000" w:sz="2" w:space="0"/>
              <w:right w:val="single" w:color="000000" w:sz="8" w:space="0"/>
            </w:tcBorders>
            <w:vAlign w:val="center"/>
          </w:tcPr>
          <w:p w14:paraId="1EBA16F7">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投标保证金数额：无</w:t>
            </w:r>
            <w:r>
              <w:rPr>
                <w:rFonts w:hint="eastAsia" w:ascii="新宋体" w:hAnsi="新宋体" w:eastAsia="新宋体" w:cs="新宋体"/>
                <w:color w:val="auto"/>
                <w:sz w:val="22"/>
                <w:szCs w:val="22"/>
                <w:highlight w:val="none"/>
              </w:rPr>
              <w:t>。</w:t>
            </w:r>
          </w:p>
        </w:tc>
      </w:tr>
      <w:tr w14:paraId="616D7E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27" w:type="dxa"/>
            <w:tcBorders>
              <w:top w:val="single" w:color="000000" w:sz="2" w:space="0"/>
              <w:left w:val="single" w:color="000000" w:sz="8" w:space="0"/>
              <w:bottom w:val="single" w:color="000000" w:sz="2" w:space="0"/>
              <w:right w:val="single" w:color="000000" w:sz="2" w:space="0"/>
            </w:tcBorders>
            <w:vAlign w:val="center"/>
          </w:tcPr>
          <w:p w14:paraId="18989CAB">
            <w:pPr>
              <w:snapToGrid w:val="0"/>
              <w:spacing w:line="460" w:lineRule="exact"/>
              <w:jc w:val="center"/>
              <w:rPr>
                <w:rFonts w:hint="eastAsia" w:ascii="新宋体" w:hAnsi="新宋体" w:eastAsia="新宋体" w:cs="新宋体"/>
                <w:b w:val="0"/>
                <w:bCs w:val="0"/>
                <w:color w:val="auto"/>
                <w:kern w:val="2"/>
                <w:sz w:val="22"/>
                <w:szCs w:val="22"/>
                <w:highlight w:val="none"/>
                <w:lang w:val="en-US" w:eastAsia="zh-CN" w:bidi="ar-SA"/>
              </w:rPr>
            </w:pPr>
            <w:r>
              <w:rPr>
                <w:rFonts w:hint="eastAsia" w:ascii="新宋体" w:hAnsi="新宋体" w:eastAsia="新宋体" w:cs="新宋体"/>
                <w:b w:val="0"/>
                <w:bCs w:val="0"/>
                <w:color w:val="auto"/>
                <w:sz w:val="22"/>
                <w:szCs w:val="22"/>
                <w:highlight w:val="none"/>
                <w:lang w:val="en-US" w:eastAsia="zh-CN"/>
              </w:rPr>
              <w:t>4</w:t>
            </w:r>
          </w:p>
        </w:tc>
        <w:tc>
          <w:tcPr>
            <w:tcW w:w="9348" w:type="dxa"/>
            <w:tcBorders>
              <w:top w:val="single" w:color="000000" w:sz="2" w:space="0"/>
              <w:left w:val="single" w:color="000000" w:sz="2" w:space="0"/>
              <w:bottom w:val="single" w:color="000000" w:sz="2" w:space="0"/>
              <w:right w:val="single" w:color="000000" w:sz="8" w:space="0"/>
            </w:tcBorders>
            <w:vAlign w:val="center"/>
          </w:tcPr>
          <w:p w14:paraId="7293B94B">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招标服务费：</w:t>
            </w:r>
            <w:r>
              <w:rPr>
                <w:rFonts w:hint="eastAsia" w:ascii="新宋体" w:hAnsi="新宋体" w:eastAsia="新宋体" w:cs="新宋体"/>
                <w:b/>
                <w:bCs/>
                <w:color w:val="auto"/>
                <w:sz w:val="22"/>
                <w:szCs w:val="22"/>
                <w:highlight w:val="none"/>
                <w:lang w:val="en-US" w:eastAsia="zh-CN"/>
              </w:rPr>
              <w:t>人民币壹万肆仟伍佰元整（¥14500.00）</w:t>
            </w:r>
            <w:r>
              <w:rPr>
                <w:rFonts w:hint="eastAsia" w:ascii="新宋体" w:hAnsi="新宋体" w:eastAsia="新宋体" w:cs="新宋体"/>
                <w:b/>
                <w:bCs/>
                <w:color w:val="auto"/>
                <w:sz w:val="22"/>
                <w:szCs w:val="22"/>
                <w:highlight w:val="none"/>
              </w:rPr>
              <w:t>,由中标人在领取中标通知书时支付。</w:t>
            </w:r>
          </w:p>
          <w:p w14:paraId="36B7F15E">
            <w:pPr>
              <w:keepNext w:val="0"/>
              <w:keepLines w:val="0"/>
              <w:pageBreakBefore w:val="0"/>
              <w:kinsoku/>
              <w:wordWrap/>
              <w:overflowPunct/>
              <w:topLinePunct w:val="0"/>
              <w:autoSpaceDE/>
              <w:autoSpaceDN/>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户  名：温州历程招标有限公司</w:t>
            </w:r>
          </w:p>
          <w:p w14:paraId="63B93CB0">
            <w:pPr>
              <w:keepNext w:val="0"/>
              <w:keepLines w:val="0"/>
              <w:pageBreakBefore w:val="0"/>
              <w:kinsoku/>
              <w:wordWrap/>
              <w:overflowPunct/>
              <w:topLinePunct w:val="0"/>
              <w:autoSpaceDE/>
              <w:autoSpaceDN/>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账  号：33050162870409101001</w:t>
            </w:r>
          </w:p>
          <w:p w14:paraId="5EF9A724">
            <w:pPr>
              <w:keepNext w:val="0"/>
              <w:keepLines w:val="0"/>
              <w:pageBreakBefore w:val="0"/>
              <w:kinsoku/>
              <w:wordWrap/>
              <w:overflowPunct/>
              <w:topLinePunct w:val="0"/>
              <w:autoSpaceDE/>
              <w:autoSpaceDN/>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开户行：中国建设银行股份有限公司温州新城支行</w:t>
            </w:r>
          </w:p>
          <w:p w14:paraId="65E72B92">
            <w:pPr>
              <w:spacing w:line="460" w:lineRule="exact"/>
              <w:ind w:firstLine="539" w:firstLineChars="245"/>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行</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号：105333000038</w:t>
            </w:r>
          </w:p>
        </w:tc>
      </w:tr>
      <w:tr w14:paraId="5D2B40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27" w:type="dxa"/>
            <w:tcBorders>
              <w:top w:val="single" w:color="000000" w:sz="2" w:space="0"/>
              <w:left w:val="single" w:color="000000" w:sz="8" w:space="0"/>
              <w:bottom w:val="single" w:color="000000" w:sz="2" w:space="0"/>
              <w:right w:val="single" w:color="000000" w:sz="2" w:space="0"/>
            </w:tcBorders>
            <w:vAlign w:val="center"/>
          </w:tcPr>
          <w:p w14:paraId="221072DE">
            <w:pPr>
              <w:snapToGrid w:val="0"/>
              <w:spacing w:line="460" w:lineRule="exact"/>
              <w:jc w:val="center"/>
              <w:rPr>
                <w:rFonts w:hint="eastAsia" w:ascii="新宋体" w:hAnsi="新宋体" w:eastAsia="新宋体" w:cs="新宋体"/>
                <w:b w:val="0"/>
                <w:bCs w:val="0"/>
                <w:color w:val="auto"/>
                <w:kern w:val="2"/>
                <w:sz w:val="22"/>
                <w:szCs w:val="22"/>
                <w:highlight w:val="none"/>
                <w:lang w:val="en-US" w:eastAsia="zh-CN" w:bidi="ar-SA"/>
              </w:rPr>
            </w:pPr>
            <w:r>
              <w:rPr>
                <w:rFonts w:hint="eastAsia" w:ascii="新宋体" w:hAnsi="新宋体" w:eastAsia="新宋体" w:cs="新宋体"/>
                <w:b w:val="0"/>
                <w:bCs w:val="0"/>
                <w:color w:val="auto"/>
                <w:sz w:val="22"/>
                <w:szCs w:val="22"/>
                <w:highlight w:val="none"/>
                <w:lang w:val="en-US" w:eastAsia="zh-CN"/>
              </w:rPr>
              <w:t>5</w:t>
            </w:r>
          </w:p>
        </w:tc>
        <w:tc>
          <w:tcPr>
            <w:tcW w:w="9348" w:type="dxa"/>
            <w:tcBorders>
              <w:top w:val="single" w:color="000000" w:sz="2" w:space="0"/>
              <w:left w:val="single" w:color="000000" w:sz="2" w:space="0"/>
              <w:bottom w:val="single" w:color="000000" w:sz="2" w:space="0"/>
              <w:right w:val="single" w:color="000000" w:sz="8" w:space="0"/>
            </w:tcBorders>
            <w:vAlign w:val="center"/>
          </w:tcPr>
          <w:p w14:paraId="3A5F430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投标文件的组成：</w:t>
            </w:r>
            <w:r>
              <w:rPr>
                <w:rFonts w:hint="eastAsia" w:ascii="新宋体" w:hAnsi="新宋体" w:eastAsia="新宋体" w:cs="新宋体"/>
                <w:color w:val="auto"/>
                <w:sz w:val="22"/>
                <w:szCs w:val="22"/>
                <w:highlight w:val="none"/>
              </w:rPr>
              <w:t>完整的《投标文件》由“资格文件”、“报价文件”和“商务技术文件”三个部分组成。</w:t>
            </w:r>
          </w:p>
        </w:tc>
      </w:tr>
      <w:tr w14:paraId="33398C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27" w:type="dxa"/>
            <w:tcBorders>
              <w:top w:val="single" w:color="000000" w:sz="2" w:space="0"/>
              <w:left w:val="single" w:color="000000" w:sz="8" w:space="0"/>
              <w:bottom w:val="single" w:color="000000" w:sz="2" w:space="0"/>
              <w:right w:val="single" w:color="000000" w:sz="2" w:space="0"/>
            </w:tcBorders>
            <w:vAlign w:val="center"/>
          </w:tcPr>
          <w:p w14:paraId="11BD924B">
            <w:pPr>
              <w:snapToGrid w:val="0"/>
              <w:spacing w:line="460" w:lineRule="exact"/>
              <w:jc w:val="center"/>
              <w:rPr>
                <w:rFonts w:hint="eastAsia" w:ascii="新宋体" w:hAnsi="新宋体" w:eastAsia="新宋体" w:cs="新宋体"/>
                <w:b w:val="0"/>
                <w:bCs w:val="0"/>
                <w:color w:val="auto"/>
                <w:kern w:val="2"/>
                <w:sz w:val="22"/>
                <w:szCs w:val="22"/>
                <w:highlight w:val="none"/>
                <w:lang w:val="en-US" w:eastAsia="zh-CN" w:bidi="ar-SA"/>
              </w:rPr>
            </w:pPr>
            <w:r>
              <w:rPr>
                <w:rFonts w:hint="eastAsia" w:ascii="新宋体" w:hAnsi="新宋体" w:eastAsia="新宋体" w:cs="新宋体"/>
                <w:b w:val="0"/>
                <w:bCs w:val="0"/>
                <w:color w:val="auto"/>
                <w:sz w:val="22"/>
                <w:szCs w:val="22"/>
                <w:highlight w:val="none"/>
                <w:lang w:val="en-US" w:eastAsia="zh-CN"/>
              </w:rPr>
              <w:t>6</w:t>
            </w:r>
          </w:p>
        </w:tc>
        <w:tc>
          <w:tcPr>
            <w:tcW w:w="9348" w:type="dxa"/>
            <w:tcBorders>
              <w:top w:val="single" w:color="000000" w:sz="2" w:space="0"/>
              <w:left w:val="single" w:color="000000" w:sz="2" w:space="0"/>
              <w:bottom w:val="single" w:color="000000" w:sz="2" w:space="0"/>
              <w:right w:val="single" w:color="000000" w:sz="8" w:space="0"/>
            </w:tcBorders>
            <w:vAlign w:val="center"/>
          </w:tcPr>
          <w:p w14:paraId="1B143F48">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投标文件的编制：</w:t>
            </w:r>
            <w:r>
              <w:rPr>
                <w:rFonts w:hint="eastAsia" w:ascii="新宋体" w:hAnsi="新宋体" w:eastAsia="新宋体" w:cs="新宋体"/>
                <w:color w:val="auto"/>
                <w:sz w:val="22"/>
                <w:szCs w:val="22"/>
                <w:highlight w:val="none"/>
              </w:rPr>
              <w:t>供应商应先安装“政采云电子交易客户端”，并按照本招标文件和“政府采购云平台”的要求，通过“政采云电子交易客户端”编制并加密投标文件。</w:t>
            </w:r>
          </w:p>
        </w:tc>
      </w:tr>
      <w:tr w14:paraId="2ECEE2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27" w:type="dxa"/>
            <w:tcBorders>
              <w:top w:val="single" w:color="000000" w:sz="2" w:space="0"/>
              <w:left w:val="single" w:color="000000" w:sz="8" w:space="0"/>
              <w:bottom w:val="single" w:color="000000" w:sz="2" w:space="0"/>
              <w:right w:val="single" w:color="000000" w:sz="2" w:space="0"/>
            </w:tcBorders>
            <w:vAlign w:val="center"/>
          </w:tcPr>
          <w:p w14:paraId="01CA735B">
            <w:pPr>
              <w:snapToGrid w:val="0"/>
              <w:spacing w:line="460" w:lineRule="exact"/>
              <w:jc w:val="center"/>
              <w:rPr>
                <w:rFonts w:hint="eastAsia" w:ascii="新宋体" w:hAnsi="新宋体" w:eastAsia="新宋体" w:cs="新宋体"/>
                <w:b w:val="0"/>
                <w:bCs w:val="0"/>
                <w:color w:val="auto"/>
                <w:kern w:val="2"/>
                <w:sz w:val="22"/>
                <w:szCs w:val="22"/>
                <w:highlight w:val="none"/>
                <w:lang w:val="en-US" w:eastAsia="zh-CN" w:bidi="ar-SA"/>
              </w:rPr>
            </w:pPr>
            <w:r>
              <w:rPr>
                <w:rFonts w:hint="eastAsia" w:ascii="新宋体" w:hAnsi="新宋体" w:eastAsia="新宋体" w:cs="新宋体"/>
                <w:b w:val="0"/>
                <w:bCs w:val="0"/>
                <w:color w:val="auto"/>
                <w:sz w:val="22"/>
                <w:szCs w:val="22"/>
                <w:highlight w:val="none"/>
                <w:lang w:val="en-US" w:eastAsia="zh-CN"/>
              </w:rPr>
              <w:t>7</w:t>
            </w:r>
          </w:p>
        </w:tc>
        <w:tc>
          <w:tcPr>
            <w:tcW w:w="9348" w:type="dxa"/>
            <w:tcBorders>
              <w:top w:val="single" w:color="000000" w:sz="2" w:space="0"/>
              <w:left w:val="single" w:color="000000" w:sz="2" w:space="0"/>
              <w:bottom w:val="single" w:color="000000" w:sz="2" w:space="0"/>
              <w:right w:val="single" w:color="000000" w:sz="8" w:space="0"/>
            </w:tcBorders>
            <w:vAlign w:val="center"/>
          </w:tcPr>
          <w:p w14:paraId="57F6F1E4">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投标文件的签章：</w:t>
            </w:r>
            <w:r>
              <w:rPr>
                <w:rFonts w:hint="eastAsia" w:ascii="新宋体" w:hAnsi="新宋体" w:eastAsia="新宋体" w:cs="新宋体"/>
                <w:color w:val="auto"/>
                <w:sz w:val="22"/>
                <w:szCs w:val="22"/>
                <w:highlight w:val="none"/>
              </w:rPr>
              <w:t>电子签章。</w:t>
            </w:r>
          </w:p>
        </w:tc>
      </w:tr>
      <w:tr w14:paraId="1E33D7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27" w:type="dxa"/>
            <w:tcBorders>
              <w:top w:val="single" w:color="000000" w:sz="2" w:space="0"/>
              <w:left w:val="single" w:color="000000" w:sz="8" w:space="0"/>
              <w:bottom w:val="single" w:color="000000" w:sz="2" w:space="0"/>
              <w:right w:val="single" w:color="000000" w:sz="2" w:space="0"/>
            </w:tcBorders>
            <w:vAlign w:val="center"/>
          </w:tcPr>
          <w:p w14:paraId="4497C5A8">
            <w:pPr>
              <w:snapToGrid w:val="0"/>
              <w:spacing w:line="460" w:lineRule="exact"/>
              <w:jc w:val="center"/>
              <w:rPr>
                <w:rFonts w:hint="eastAsia" w:ascii="新宋体" w:hAnsi="新宋体" w:eastAsia="新宋体" w:cs="新宋体"/>
                <w:b w:val="0"/>
                <w:bCs w:val="0"/>
                <w:color w:val="auto"/>
                <w:kern w:val="2"/>
                <w:sz w:val="22"/>
                <w:szCs w:val="22"/>
                <w:highlight w:val="none"/>
                <w:lang w:val="en-US" w:eastAsia="zh-CN" w:bidi="ar-SA"/>
              </w:rPr>
            </w:pPr>
            <w:r>
              <w:rPr>
                <w:rFonts w:hint="eastAsia" w:ascii="新宋体" w:hAnsi="新宋体" w:eastAsia="新宋体" w:cs="新宋体"/>
                <w:b w:val="0"/>
                <w:bCs w:val="0"/>
                <w:color w:val="auto"/>
                <w:sz w:val="22"/>
                <w:szCs w:val="22"/>
                <w:highlight w:val="none"/>
                <w:lang w:val="en-US" w:eastAsia="zh-CN"/>
              </w:rPr>
              <w:t>8</w:t>
            </w:r>
          </w:p>
        </w:tc>
        <w:tc>
          <w:tcPr>
            <w:tcW w:w="9348" w:type="dxa"/>
            <w:tcBorders>
              <w:top w:val="single" w:color="000000" w:sz="2" w:space="0"/>
              <w:left w:val="single" w:color="000000" w:sz="2" w:space="0"/>
              <w:bottom w:val="single" w:color="000000" w:sz="2" w:space="0"/>
              <w:right w:val="single" w:color="000000" w:sz="8" w:space="0"/>
            </w:tcBorders>
            <w:vAlign w:val="center"/>
          </w:tcPr>
          <w:p w14:paraId="541B3EA6">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投标文件的形式：</w:t>
            </w:r>
            <w:r>
              <w:rPr>
                <w:rFonts w:hint="default" w:ascii="Times New Roman" w:hAnsi="Times New Roman" w:eastAsia="新宋体" w:cs="Times New Roman"/>
                <w:color w:val="auto"/>
                <w:sz w:val="22"/>
                <w:szCs w:val="22"/>
                <w:highlight w:val="none"/>
              </w:rPr>
              <w:t>☑</w:t>
            </w:r>
            <w:r>
              <w:rPr>
                <w:rFonts w:hint="eastAsia" w:ascii="新宋体" w:hAnsi="新宋体" w:eastAsia="新宋体" w:cs="新宋体"/>
                <w:color w:val="auto"/>
                <w:sz w:val="22"/>
                <w:szCs w:val="22"/>
                <w:highlight w:val="none"/>
              </w:rPr>
              <w:t>电子投标文件（包括“电子加密投标文件”和“备份投标文件”，在投标文件编制完成后同时生成）；</w:t>
            </w:r>
          </w:p>
          <w:p w14:paraId="7DCF17E4">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（1）“电子加密投标文件”是指通过“政采云电子交易客户端”完成投标文件编制后生成并加密的数据电文形式的投标文件。</w:t>
            </w:r>
          </w:p>
          <w:p w14:paraId="347DCFCD">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75113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27" w:type="dxa"/>
            <w:tcBorders>
              <w:top w:val="single" w:color="000000" w:sz="2" w:space="0"/>
              <w:left w:val="single" w:color="000000" w:sz="8" w:space="0"/>
              <w:bottom w:val="single" w:color="000000" w:sz="2" w:space="0"/>
              <w:right w:val="single" w:color="000000" w:sz="2" w:space="0"/>
            </w:tcBorders>
            <w:vAlign w:val="center"/>
          </w:tcPr>
          <w:p w14:paraId="134C7B8E">
            <w:pPr>
              <w:snapToGrid w:val="0"/>
              <w:spacing w:line="460" w:lineRule="exact"/>
              <w:jc w:val="center"/>
              <w:rPr>
                <w:rFonts w:hint="eastAsia" w:ascii="新宋体" w:hAnsi="新宋体" w:eastAsia="新宋体" w:cs="新宋体"/>
                <w:b w:val="0"/>
                <w:bCs w:val="0"/>
                <w:color w:val="auto"/>
                <w:kern w:val="2"/>
                <w:sz w:val="22"/>
                <w:szCs w:val="22"/>
                <w:highlight w:val="none"/>
                <w:lang w:val="en-US" w:eastAsia="zh-CN" w:bidi="ar-SA"/>
              </w:rPr>
            </w:pPr>
            <w:r>
              <w:rPr>
                <w:rFonts w:hint="eastAsia" w:ascii="新宋体" w:hAnsi="新宋体" w:eastAsia="新宋体" w:cs="新宋体"/>
                <w:b w:val="0"/>
                <w:bCs w:val="0"/>
                <w:color w:val="auto"/>
                <w:sz w:val="22"/>
                <w:szCs w:val="22"/>
                <w:highlight w:val="none"/>
                <w:lang w:val="en-US" w:eastAsia="zh-CN"/>
              </w:rPr>
              <w:t>9</w:t>
            </w:r>
          </w:p>
        </w:tc>
        <w:tc>
          <w:tcPr>
            <w:tcW w:w="9348" w:type="dxa"/>
            <w:tcBorders>
              <w:top w:val="single" w:color="000000" w:sz="2" w:space="0"/>
              <w:left w:val="single" w:color="000000" w:sz="2" w:space="0"/>
              <w:bottom w:val="single" w:color="000000" w:sz="2" w:space="0"/>
              <w:right w:val="single" w:color="000000" w:sz="8" w:space="0"/>
            </w:tcBorders>
            <w:vAlign w:val="center"/>
          </w:tcPr>
          <w:p w14:paraId="6856B609">
            <w:pPr>
              <w:spacing w:line="460" w:lineRule="exact"/>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投标文件份数：</w:t>
            </w:r>
          </w:p>
          <w:p w14:paraId="56E6D363">
            <w:pPr>
              <w:numPr>
                <w:ilvl w:val="0"/>
                <w:numId w:val="1"/>
              </w:numPr>
              <w:spacing w:line="460" w:lineRule="exact"/>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“电子加密投标文件”：在线上传递交、一份。</w:t>
            </w:r>
          </w:p>
          <w:p w14:paraId="7FB1F19A">
            <w:pPr>
              <w:numPr>
                <w:ilvl w:val="0"/>
                <w:numId w:val="1"/>
              </w:numPr>
              <w:spacing w:line="460" w:lineRule="exact"/>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“备份投标文件”：密封包装后投标截止时间前递交、一份</w:t>
            </w:r>
          </w:p>
          <w:p w14:paraId="3039361B">
            <w:pPr>
              <w:spacing w:line="460" w:lineRule="exact"/>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（若不提供备份投标文件，开标当天电子加密投标文件解密失败，投标人自行负责。）</w:t>
            </w:r>
          </w:p>
          <w:p w14:paraId="71CC5067">
            <w:pPr>
              <w:tabs>
                <w:tab w:val="left" w:pos="360"/>
              </w:tabs>
              <w:spacing w:line="460" w:lineRule="exact"/>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可以（邮寄形式，建议顺丰）在投标截止时间前递交，并需采购代理机构确认是否收到，</w:t>
            </w:r>
          </w:p>
          <w:p w14:paraId="6CFA10D7">
            <w:pPr>
              <w:spacing w:line="460" w:lineRule="exact"/>
              <w:rPr>
                <w:rFonts w:hint="eastAsia" w:ascii="新宋体" w:hAnsi="新宋体" w:eastAsia="新宋体" w:cs="新宋体"/>
                <w:color w:val="auto"/>
                <w:sz w:val="22"/>
                <w:szCs w:val="28"/>
                <w:highlight w:val="none"/>
                <w:lang w:eastAsia="zh-CN"/>
              </w:rPr>
            </w:pPr>
            <w:r>
              <w:rPr>
                <w:rFonts w:hint="eastAsia" w:ascii="新宋体" w:hAnsi="新宋体" w:eastAsia="新宋体" w:cs="新宋体"/>
                <w:color w:val="auto"/>
                <w:sz w:val="22"/>
                <w:szCs w:val="28"/>
                <w:highlight w:val="none"/>
              </w:rPr>
              <w:t>邮寄地址：</w:t>
            </w:r>
            <w:r>
              <w:rPr>
                <w:rFonts w:hint="eastAsia" w:ascii="新宋体" w:hAnsi="新宋体" w:eastAsia="新宋体" w:cs="新宋体"/>
                <w:color w:val="auto"/>
                <w:sz w:val="22"/>
                <w:szCs w:val="28"/>
                <w:highlight w:val="none"/>
                <w:lang w:eastAsia="zh-CN"/>
              </w:rPr>
              <w:t>温州市鹿城区南汇街道勤民路鹿城壹号18幢803室</w:t>
            </w:r>
          </w:p>
          <w:p w14:paraId="4FFACA35">
            <w:pPr>
              <w:spacing w:line="460" w:lineRule="exact"/>
              <w:rPr>
                <w:rFonts w:hint="eastAsia" w:ascii="新宋体" w:hAnsi="新宋体" w:eastAsia="新宋体" w:cs="新宋体"/>
                <w:color w:val="auto"/>
                <w:highlight w:val="none"/>
                <w:lang w:val="en-US" w:eastAsia="zh-CN"/>
              </w:rPr>
            </w:pPr>
            <w:r>
              <w:rPr>
                <w:rFonts w:hint="eastAsia" w:ascii="新宋体" w:hAnsi="新宋体" w:eastAsia="新宋体" w:cs="新宋体"/>
                <w:color w:val="auto"/>
                <w:sz w:val="22"/>
                <w:szCs w:val="28"/>
                <w:highlight w:val="none"/>
                <w:lang w:val="en-US" w:eastAsia="zh-CN"/>
              </w:rPr>
              <w:t>联系人：肖忠文    联系电话</w:t>
            </w:r>
            <w:r>
              <w:rPr>
                <w:rFonts w:hint="eastAsia" w:ascii="新宋体" w:hAnsi="新宋体" w:eastAsia="新宋体" w:cs="新宋体"/>
                <w:b w:val="0"/>
                <w:bCs w:val="0"/>
                <w:color w:val="auto"/>
                <w:sz w:val="22"/>
                <w:szCs w:val="28"/>
                <w:highlight w:val="none"/>
                <w:lang w:val="en-US" w:eastAsia="zh-CN"/>
              </w:rPr>
              <w:t>：13757727199</w:t>
            </w:r>
          </w:p>
        </w:tc>
      </w:tr>
      <w:tr w14:paraId="7F100E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27" w:type="dxa"/>
            <w:tcBorders>
              <w:top w:val="single" w:color="000000" w:sz="2" w:space="0"/>
              <w:left w:val="single" w:color="000000" w:sz="8" w:space="0"/>
              <w:bottom w:val="single" w:color="000000" w:sz="2" w:space="0"/>
              <w:right w:val="single" w:color="000000" w:sz="2" w:space="0"/>
            </w:tcBorders>
            <w:vAlign w:val="center"/>
          </w:tcPr>
          <w:p w14:paraId="150B1D97">
            <w:pPr>
              <w:snapToGrid w:val="0"/>
              <w:spacing w:line="460" w:lineRule="exact"/>
              <w:jc w:val="center"/>
              <w:rPr>
                <w:rFonts w:hint="default" w:ascii="新宋体" w:hAnsi="新宋体" w:eastAsia="新宋体" w:cs="新宋体"/>
                <w:b w:val="0"/>
                <w:bCs w:val="0"/>
                <w:color w:val="auto"/>
                <w:kern w:val="2"/>
                <w:sz w:val="22"/>
                <w:szCs w:val="22"/>
                <w:highlight w:val="none"/>
                <w:lang w:val="en-US" w:eastAsia="zh-CN" w:bidi="ar-SA"/>
              </w:rPr>
            </w:pPr>
            <w:r>
              <w:rPr>
                <w:rFonts w:hint="eastAsia" w:ascii="新宋体" w:hAnsi="新宋体" w:eastAsia="新宋体" w:cs="新宋体"/>
                <w:b w:val="0"/>
                <w:bCs w:val="0"/>
                <w:color w:val="auto"/>
                <w:sz w:val="22"/>
                <w:szCs w:val="22"/>
                <w:highlight w:val="none"/>
                <w:lang w:val="en-US" w:eastAsia="zh-CN"/>
              </w:rPr>
              <w:t>10</w:t>
            </w:r>
          </w:p>
        </w:tc>
        <w:tc>
          <w:tcPr>
            <w:tcW w:w="9348" w:type="dxa"/>
            <w:tcBorders>
              <w:top w:val="single" w:color="000000" w:sz="2" w:space="0"/>
              <w:left w:val="single" w:color="000000" w:sz="2" w:space="0"/>
              <w:bottom w:val="single" w:color="000000" w:sz="2" w:space="0"/>
              <w:right w:val="single" w:color="000000" w:sz="8" w:space="0"/>
            </w:tcBorders>
            <w:vAlign w:val="center"/>
          </w:tcPr>
          <w:p w14:paraId="1E21F77F">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投标文件的上传和递交：</w:t>
            </w:r>
          </w:p>
          <w:p w14:paraId="6A63545D">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（1）“电子加密投标文件”的上传、递交：</w:t>
            </w:r>
          </w:p>
          <w:p w14:paraId="4A906C7D">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a.投标人应在投标截止时间前将“电子加密投标文件”成功上传递交至“政府采购云平台”，否则投标无效。</w:t>
            </w:r>
          </w:p>
          <w:p w14:paraId="0019FCDB">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b.“电子加密投标文件”成功上传递交后，供应商可自行打印投标文件接收回执。</w:t>
            </w:r>
          </w:p>
          <w:p w14:paraId="6E6B59D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（2）“备份投标文件”的密封包装、递交：</w:t>
            </w:r>
          </w:p>
          <w:p w14:paraId="7AC08C27">
            <w:pPr>
              <w:tabs>
                <w:tab w:val="left" w:pos="360"/>
              </w:tabs>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a.投标人在“政府采购云平台”完成“电子加密投标文件”的上传递交后，</w:t>
            </w:r>
            <w:r>
              <w:rPr>
                <w:rFonts w:hint="eastAsia" w:ascii="新宋体" w:hAnsi="新宋体" w:eastAsia="新宋体" w:cs="新宋体"/>
                <w:b/>
                <w:bCs/>
                <w:color w:val="auto"/>
                <w:sz w:val="22"/>
                <w:szCs w:val="22"/>
                <w:highlight w:val="none"/>
              </w:rPr>
              <w:t>还可以在投标截止时间前递交以介质（U盘）存储的数据电文形式的“备份投标文件”，（可以</w:t>
            </w:r>
            <w:r>
              <w:rPr>
                <w:rFonts w:hint="eastAsia" w:ascii="新宋体" w:hAnsi="新宋体" w:eastAsia="新宋体" w:cs="新宋体"/>
                <w:b/>
                <w:color w:val="auto"/>
                <w:sz w:val="22"/>
                <w:szCs w:val="22"/>
                <w:highlight w:val="none"/>
                <w:u w:val="single"/>
              </w:rPr>
              <w:t>（邮寄形式，建议顺丰）在投标截止时间前递交，并需采购代理机构确认是否收到</w:t>
            </w:r>
            <w:r>
              <w:rPr>
                <w:rFonts w:hint="eastAsia" w:ascii="新宋体" w:hAnsi="新宋体" w:eastAsia="新宋体" w:cs="新宋体"/>
                <w:b/>
                <w:bCs/>
                <w:color w:val="auto"/>
                <w:sz w:val="22"/>
                <w:szCs w:val="22"/>
                <w:highlight w:val="none"/>
              </w:rPr>
              <w:t>）</w:t>
            </w:r>
          </w:p>
          <w:p w14:paraId="6FE55531">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14:paraId="3341702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14:paraId="67BB5D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27" w:type="dxa"/>
            <w:tcBorders>
              <w:top w:val="single" w:color="000000" w:sz="2" w:space="0"/>
              <w:left w:val="single" w:color="000000" w:sz="8" w:space="0"/>
              <w:bottom w:val="single" w:color="000000" w:sz="2" w:space="0"/>
              <w:right w:val="single" w:color="000000" w:sz="2" w:space="0"/>
            </w:tcBorders>
            <w:vAlign w:val="center"/>
          </w:tcPr>
          <w:p w14:paraId="4958CF2F">
            <w:pPr>
              <w:snapToGrid w:val="0"/>
              <w:spacing w:line="460" w:lineRule="exact"/>
              <w:jc w:val="center"/>
              <w:rPr>
                <w:rFonts w:hint="eastAsia" w:ascii="新宋体" w:hAnsi="新宋体" w:eastAsia="新宋体" w:cs="新宋体"/>
                <w:b w:val="0"/>
                <w:bCs w:val="0"/>
                <w:color w:val="auto"/>
                <w:kern w:val="2"/>
                <w:sz w:val="22"/>
                <w:szCs w:val="22"/>
                <w:highlight w:val="none"/>
                <w:lang w:val="en-US" w:eastAsia="zh-CN" w:bidi="ar-SA"/>
              </w:rPr>
            </w:pPr>
            <w:r>
              <w:rPr>
                <w:rFonts w:hint="eastAsia" w:ascii="新宋体" w:hAnsi="新宋体" w:eastAsia="新宋体" w:cs="新宋体"/>
                <w:b w:val="0"/>
                <w:bCs w:val="0"/>
                <w:color w:val="auto"/>
                <w:sz w:val="22"/>
                <w:szCs w:val="22"/>
                <w:highlight w:val="none"/>
              </w:rPr>
              <w:t>1</w:t>
            </w:r>
            <w:r>
              <w:rPr>
                <w:rFonts w:hint="eastAsia" w:ascii="新宋体" w:hAnsi="新宋体" w:eastAsia="新宋体" w:cs="新宋体"/>
                <w:b w:val="0"/>
                <w:bCs w:val="0"/>
                <w:color w:val="auto"/>
                <w:sz w:val="22"/>
                <w:szCs w:val="22"/>
                <w:highlight w:val="none"/>
                <w:lang w:val="en-US" w:eastAsia="zh-CN"/>
              </w:rPr>
              <w:t>1</w:t>
            </w:r>
          </w:p>
        </w:tc>
        <w:tc>
          <w:tcPr>
            <w:tcW w:w="9348" w:type="dxa"/>
            <w:tcBorders>
              <w:top w:val="single" w:color="000000" w:sz="2" w:space="0"/>
              <w:left w:val="single" w:color="000000" w:sz="2" w:space="0"/>
              <w:bottom w:val="single" w:color="000000" w:sz="2" w:space="0"/>
              <w:right w:val="single" w:color="000000" w:sz="8" w:space="0"/>
            </w:tcBorders>
            <w:vAlign w:val="center"/>
          </w:tcPr>
          <w:p w14:paraId="42DDE580">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电子加密投标文件的解密和异常情况处理：</w:t>
            </w:r>
          </w:p>
          <w:p w14:paraId="58C2C2A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（1）开标后，采购组织机构将向各投标人发出“电子加密投标文件”的解密通知，各投标人代表应当在接到解密通知后在系统规定的时间自行完成“电子加密投标文件”的在线解密。</w:t>
            </w:r>
          </w:p>
          <w:p w14:paraId="2AADA959">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56082A84">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（3）投标截止时间前，投标人仅递交了“备份投标文件”而未将电子加密投标文件上传至“政府采购云平台”的，投标无效。</w:t>
            </w:r>
          </w:p>
        </w:tc>
      </w:tr>
      <w:tr w14:paraId="3695A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27" w:type="dxa"/>
            <w:tcBorders>
              <w:top w:val="single" w:color="000000" w:sz="2" w:space="0"/>
              <w:left w:val="single" w:color="000000" w:sz="8" w:space="0"/>
              <w:bottom w:val="single" w:color="000000" w:sz="2" w:space="0"/>
              <w:right w:val="single" w:color="000000" w:sz="2" w:space="0"/>
            </w:tcBorders>
            <w:vAlign w:val="center"/>
          </w:tcPr>
          <w:p w14:paraId="4EDE5382">
            <w:pPr>
              <w:snapToGrid w:val="0"/>
              <w:spacing w:line="460" w:lineRule="exact"/>
              <w:jc w:val="center"/>
              <w:rPr>
                <w:rFonts w:hint="eastAsia" w:ascii="新宋体" w:hAnsi="新宋体" w:eastAsia="新宋体" w:cs="新宋体"/>
                <w:b w:val="0"/>
                <w:bCs w:val="0"/>
                <w:color w:val="auto"/>
                <w:kern w:val="2"/>
                <w:sz w:val="22"/>
                <w:szCs w:val="22"/>
                <w:highlight w:val="none"/>
                <w:lang w:val="en-US" w:eastAsia="zh-CN" w:bidi="ar-SA"/>
              </w:rPr>
            </w:pPr>
            <w:r>
              <w:rPr>
                <w:rFonts w:hint="eastAsia" w:ascii="新宋体" w:hAnsi="新宋体" w:eastAsia="新宋体" w:cs="新宋体"/>
                <w:b w:val="0"/>
                <w:bCs w:val="0"/>
                <w:color w:val="auto"/>
                <w:sz w:val="22"/>
                <w:szCs w:val="22"/>
                <w:highlight w:val="none"/>
              </w:rPr>
              <w:t>1</w:t>
            </w:r>
            <w:r>
              <w:rPr>
                <w:rFonts w:hint="eastAsia" w:ascii="新宋体" w:hAnsi="新宋体" w:eastAsia="新宋体" w:cs="新宋体"/>
                <w:b w:val="0"/>
                <w:bCs w:val="0"/>
                <w:color w:val="auto"/>
                <w:sz w:val="22"/>
                <w:szCs w:val="22"/>
                <w:highlight w:val="none"/>
                <w:lang w:val="en-US" w:eastAsia="zh-CN"/>
              </w:rPr>
              <w:t>2</w:t>
            </w:r>
          </w:p>
        </w:tc>
        <w:tc>
          <w:tcPr>
            <w:tcW w:w="9348" w:type="dxa"/>
            <w:tcBorders>
              <w:top w:val="single" w:color="000000" w:sz="2" w:space="0"/>
              <w:left w:val="single" w:color="000000" w:sz="2" w:space="0"/>
              <w:bottom w:val="single" w:color="000000" w:sz="2" w:space="0"/>
              <w:right w:val="single" w:color="000000" w:sz="8" w:space="0"/>
            </w:tcBorders>
            <w:vAlign w:val="center"/>
          </w:tcPr>
          <w:p w14:paraId="5BFAEF5C">
            <w:pPr>
              <w:widowControl/>
              <w:snapToGrid w:val="0"/>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提交投标文件截止时间：</w:t>
            </w:r>
            <w:r>
              <w:rPr>
                <w:rFonts w:hint="eastAsia" w:ascii="新宋体" w:hAnsi="新宋体" w:eastAsia="新宋体" w:cs="新宋体"/>
                <w:b w:val="0"/>
                <w:bCs w:val="0"/>
                <w:color w:val="auto"/>
                <w:sz w:val="22"/>
                <w:szCs w:val="22"/>
                <w:highlight w:val="none"/>
                <w:lang w:val="en-US" w:eastAsia="zh-CN"/>
              </w:rPr>
              <w:t>详见招标公告</w:t>
            </w:r>
            <w:r>
              <w:rPr>
                <w:rFonts w:hint="eastAsia" w:ascii="新宋体" w:hAnsi="新宋体" w:eastAsia="新宋体" w:cs="新宋体"/>
                <w:color w:val="auto"/>
                <w:sz w:val="22"/>
                <w:szCs w:val="22"/>
                <w:highlight w:val="none"/>
              </w:rPr>
              <w:t> </w:t>
            </w:r>
          </w:p>
          <w:p w14:paraId="306BF857">
            <w:pPr>
              <w:widowControl/>
              <w:snapToGrid w:val="0"/>
              <w:spacing w:line="460" w:lineRule="exact"/>
              <w:jc w:val="left"/>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投标地点（网址）：</w:t>
            </w:r>
            <w:r>
              <w:rPr>
                <w:rFonts w:hint="eastAsia" w:ascii="新宋体" w:hAnsi="新宋体" w:eastAsia="新宋体" w:cs="新宋体"/>
                <w:b w:val="0"/>
                <w:bCs w:val="0"/>
                <w:color w:val="auto"/>
                <w:sz w:val="22"/>
                <w:szCs w:val="22"/>
                <w:highlight w:val="none"/>
                <w:lang w:val="en-US" w:eastAsia="zh-CN"/>
              </w:rPr>
              <w:t>详见招标公告</w:t>
            </w:r>
            <w:r>
              <w:rPr>
                <w:rFonts w:hint="eastAsia" w:ascii="新宋体" w:hAnsi="新宋体" w:eastAsia="新宋体" w:cs="新宋体"/>
                <w:color w:val="auto"/>
                <w:sz w:val="22"/>
                <w:szCs w:val="22"/>
                <w:highlight w:val="none"/>
              </w:rPr>
              <w:t> </w:t>
            </w:r>
          </w:p>
        </w:tc>
      </w:tr>
      <w:tr w14:paraId="58AC3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27" w:type="dxa"/>
            <w:tcBorders>
              <w:top w:val="single" w:color="000000" w:sz="2" w:space="0"/>
              <w:left w:val="single" w:color="000000" w:sz="8" w:space="0"/>
              <w:bottom w:val="single" w:color="auto" w:sz="4" w:space="0"/>
              <w:right w:val="single" w:color="000000" w:sz="2" w:space="0"/>
            </w:tcBorders>
            <w:vAlign w:val="center"/>
          </w:tcPr>
          <w:p w14:paraId="2969DC0B">
            <w:pPr>
              <w:snapToGrid w:val="0"/>
              <w:spacing w:line="460" w:lineRule="exact"/>
              <w:jc w:val="center"/>
              <w:rPr>
                <w:rFonts w:hint="eastAsia" w:ascii="新宋体" w:hAnsi="新宋体" w:eastAsia="新宋体" w:cs="新宋体"/>
                <w:b w:val="0"/>
                <w:bCs w:val="0"/>
                <w:color w:val="auto"/>
                <w:kern w:val="2"/>
                <w:sz w:val="22"/>
                <w:szCs w:val="22"/>
                <w:highlight w:val="none"/>
                <w:lang w:val="en-US" w:eastAsia="zh-CN" w:bidi="ar-SA"/>
              </w:rPr>
            </w:pPr>
            <w:r>
              <w:rPr>
                <w:rFonts w:hint="eastAsia" w:ascii="新宋体" w:hAnsi="新宋体" w:eastAsia="新宋体" w:cs="新宋体"/>
                <w:b w:val="0"/>
                <w:bCs w:val="0"/>
                <w:color w:val="auto"/>
                <w:sz w:val="22"/>
                <w:szCs w:val="22"/>
                <w:highlight w:val="none"/>
              </w:rPr>
              <w:t>1</w:t>
            </w:r>
            <w:r>
              <w:rPr>
                <w:rFonts w:hint="eastAsia" w:ascii="新宋体" w:hAnsi="新宋体" w:eastAsia="新宋体" w:cs="新宋体"/>
                <w:b w:val="0"/>
                <w:bCs w:val="0"/>
                <w:color w:val="auto"/>
                <w:sz w:val="22"/>
                <w:szCs w:val="22"/>
                <w:highlight w:val="none"/>
                <w:lang w:val="en-US" w:eastAsia="zh-CN"/>
              </w:rPr>
              <w:t>3</w:t>
            </w:r>
          </w:p>
        </w:tc>
        <w:tc>
          <w:tcPr>
            <w:tcW w:w="9348" w:type="dxa"/>
            <w:tcBorders>
              <w:top w:val="single" w:color="000000" w:sz="2" w:space="0"/>
              <w:left w:val="single" w:color="000000" w:sz="2" w:space="0"/>
              <w:bottom w:val="single" w:color="auto" w:sz="4" w:space="0"/>
              <w:right w:val="single" w:color="000000" w:sz="8" w:space="0"/>
            </w:tcBorders>
            <w:vAlign w:val="center"/>
          </w:tcPr>
          <w:p w14:paraId="41559F32">
            <w:pPr>
              <w:widowControl/>
              <w:snapToGrid w:val="0"/>
              <w:spacing w:line="460" w:lineRule="exact"/>
              <w:jc w:val="left"/>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rPr>
              <w:t>开标时间</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lang w:val="en-US" w:eastAsia="zh-CN"/>
              </w:rPr>
              <w:t>详见招标公告</w:t>
            </w:r>
          </w:p>
          <w:p w14:paraId="26CE64D9">
            <w:pPr>
              <w:widowControl/>
              <w:snapToGrid w:val="0"/>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开标地点（网址）：详见招标公告</w:t>
            </w:r>
          </w:p>
        </w:tc>
      </w:tr>
      <w:tr w14:paraId="26E45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27" w:type="dxa"/>
            <w:tcBorders>
              <w:top w:val="single" w:color="auto" w:sz="4" w:space="0"/>
              <w:left w:val="single" w:color="000000" w:sz="8" w:space="0"/>
              <w:bottom w:val="single" w:color="auto" w:sz="4" w:space="0"/>
              <w:right w:val="single" w:color="000000" w:sz="2" w:space="0"/>
            </w:tcBorders>
            <w:vAlign w:val="center"/>
          </w:tcPr>
          <w:p w14:paraId="350CA8FE">
            <w:pPr>
              <w:widowControl/>
              <w:snapToGrid w:val="0"/>
              <w:spacing w:line="460" w:lineRule="exact"/>
              <w:jc w:val="center"/>
              <w:textAlignment w:val="center"/>
              <w:rPr>
                <w:rFonts w:hint="eastAsia" w:ascii="新宋体" w:hAnsi="新宋体" w:eastAsia="新宋体" w:cs="新宋体"/>
                <w:b w:val="0"/>
                <w:bCs w:val="0"/>
                <w:color w:val="auto"/>
                <w:kern w:val="2"/>
                <w:sz w:val="22"/>
                <w:szCs w:val="22"/>
                <w:highlight w:val="none"/>
                <w:lang w:val="en-US" w:eastAsia="zh-CN" w:bidi="ar-SA"/>
              </w:rPr>
            </w:pPr>
            <w:r>
              <w:rPr>
                <w:rFonts w:hint="eastAsia" w:ascii="新宋体" w:hAnsi="新宋体" w:eastAsia="新宋体" w:cs="新宋体"/>
                <w:b w:val="0"/>
                <w:bCs w:val="0"/>
                <w:color w:val="auto"/>
                <w:kern w:val="0"/>
                <w:sz w:val="22"/>
                <w:szCs w:val="22"/>
                <w:highlight w:val="none"/>
              </w:rPr>
              <w:t>1</w:t>
            </w:r>
            <w:r>
              <w:rPr>
                <w:rFonts w:hint="eastAsia" w:ascii="新宋体" w:hAnsi="新宋体" w:eastAsia="新宋体" w:cs="新宋体"/>
                <w:b w:val="0"/>
                <w:bCs w:val="0"/>
                <w:color w:val="auto"/>
                <w:kern w:val="0"/>
                <w:sz w:val="22"/>
                <w:szCs w:val="22"/>
                <w:highlight w:val="none"/>
                <w:lang w:val="en-US" w:eastAsia="zh-CN"/>
              </w:rPr>
              <w:t>4</w:t>
            </w:r>
          </w:p>
        </w:tc>
        <w:tc>
          <w:tcPr>
            <w:tcW w:w="9348" w:type="dxa"/>
            <w:tcBorders>
              <w:top w:val="single" w:color="auto" w:sz="4" w:space="0"/>
              <w:left w:val="single" w:color="000000" w:sz="2" w:space="0"/>
              <w:bottom w:val="single" w:color="auto" w:sz="4" w:space="0"/>
              <w:right w:val="single" w:color="000000" w:sz="8" w:space="0"/>
            </w:tcBorders>
            <w:vAlign w:val="center"/>
          </w:tcPr>
          <w:p w14:paraId="20CA712C">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带“▲”条款系指实质性要求条款。“★”是关键技术参数及要求。</w:t>
            </w:r>
          </w:p>
        </w:tc>
      </w:tr>
      <w:tr w14:paraId="48C9D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27" w:type="dxa"/>
            <w:tcBorders>
              <w:top w:val="single" w:color="auto" w:sz="4" w:space="0"/>
              <w:left w:val="single" w:color="000000" w:sz="8" w:space="0"/>
              <w:bottom w:val="single" w:color="auto" w:sz="4" w:space="0"/>
              <w:right w:val="single" w:color="000000" w:sz="2" w:space="0"/>
            </w:tcBorders>
            <w:vAlign w:val="center"/>
          </w:tcPr>
          <w:p w14:paraId="3CE80675">
            <w:pPr>
              <w:widowControl/>
              <w:snapToGrid w:val="0"/>
              <w:spacing w:line="460" w:lineRule="exact"/>
              <w:jc w:val="center"/>
              <w:textAlignment w:val="center"/>
              <w:rPr>
                <w:rFonts w:hint="eastAsia" w:ascii="新宋体" w:hAnsi="新宋体" w:eastAsia="新宋体" w:cs="新宋体"/>
                <w:b w:val="0"/>
                <w:bCs w:val="0"/>
                <w:color w:val="auto"/>
                <w:kern w:val="2"/>
                <w:sz w:val="22"/>
                <w:szCs w:val="22"/>
                <w:highlight w:val="none"/>
                <w:lang w:val="en-US" w:eastAsia="zh-CN" w:bidi="ar-SA"/>
              </w:rPr>
            </w:pPr>
            <w:r>
              <w:rPr>
                <w:rFonts w:hint="eastAsia" w:ascii="新宋体" w:hAnsi="新宋体" w:eastAsia="新宋体" w:cs="新宋体"/>
                <w:b w:val="0"/>
                <w:bCs w:val="0"/>
                <w:color w:val="auto"/>
                <w:kern w:val="0"/>
                <w:sz w:val="22"/>
                <w:szCs w:val="22"/>
                <w:highlight w:val="none"/>
              </w:rPr>
              <w:t>1</w:t>
            </w:r>
            <w:r>
              <w:rPr>
                <w:rFonts w:hint="eastAsia" w:ascii="新宋体" w:hAnsi="新宋体" w:eastAsia="新宋体" w:cs="新宋体"/>
                <w:b w:val="0"/>
                <w:bCs w:val="0"/>
                <w:color w:val="auto"/>
                <w:kern w:val="0"/>
                <w:sz w:val="22"/>
                <w:szCs w:val="22"/>
                <w:highlight w:val="none"/>
                <w:lang w:val="en-US" w:eastAsia="zh-CN"/>
              </w:rPr>
              <w:t>5</w:t>
            </w:r>
          </w:p>
        </w:tc>
        <w:tc>
          <w:tcPr>
            <w:tcW w:w="9348" w:type="dxa"/>
            <w:tcBorders>
              <w:top w:val="single" w:color="auto" w:sz="4" w:space="0"/>
              <w:left w:val="single" w:color="000000" w:sz="2" w:space="0"/>
              <w:bottom w:val="single" w:color="auto" w:sz="4" w:space="0"/>
              <w:right w:val="single" w:color="000000" w:sz="8" w:space="0"/>
            </w:tcBorders>
            <w:vAlign w:val="center"/>
          </w:tcPr>
          <w:p w14:paraId="18960104">
            <w:pPr>
              <w:widowControl/>
              <w:snapToGrid w:val="0"/>
              <w:spacing w:line="460" w:lineRule="exact"/>
              <w:jc w:val="lef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7325C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27" w:type="dxa"/>
            <w:tcBorders>
              <w:top w:val="single" w:color="000000" w:sz="2" w:space="0"/>
              <w:left w:val="single" w:color="000000" w:sz="8" w:space="0"/>
              <w:bottom w:val="single" w:color="000000" w:sz="2" w:space="0"/>
              <w:right w:val="single" w:color="000000" w:sz="2" w:space="0"/>
            </w:tcBorders>
            <w:vAlign w:val="center"/>
          </w:tcPr>
          <w:p w14:paraId="10A22DAC">
            <w:pPr>
              <w:widowControl/>
              <w:snapToGrid w:val="0"/>
              <w:spacing w:line="460" w:lineRule="exact"/>
              <w:jc w:val="center"/>
              <w:textAlignment w:val="center"/>
              <w:rPr>
                <w:rFonts w:hint="eastAsia" w:ascii="新宋体" w:hAnsi="新宋体" w:eastAsia="新宋体" w:cs="新宋体"/>
                <w:b w:val="0"/>
                <w:bCs w:val="0"/>
                <w:color w:val="auto"/>
                <w:kern w:val="2"/>
                <w:sz w:val="22"/>
                <w:szCs w:val="22"/>
                <w:highlight w:val="none"/>
                <w:lang w:val="en-US" w:eastAsia="zh-CN" w:bidi="ar-SA"/>
              </w:rPr>
            </w:pPr>
            <w:r>
              <w:rPr>
                <w:rFonts w:hint="eastAsia" w:ascii="新宋体" w:hAnsi="新宋体" w:eastAsia="新宋体" w:cs="新宋体"/>
                <w:b w:val="0"/>
                <w:bCs w:val="0"/>
                <w:color w:val="auto"/>
                <w:kern w:val="0"/>
                <w:sz w:val="22"/>
                <w:szCs w:val="22"/>
                <w:highlight w:val="none"/>
              </w:rPr>
              <w:t>1</w:t>
            </w:r>
            <w:r>
              <w:rPr>
                <w:rFonts w:hint="eastAsia" w:ascii="新宋体" w:hAnsi="新宋体" w:eastAsia="新宋体" w:cs="新宋体"/>
                <w:b w:val="0"/>
                <w:bCs w:val="0"/>
                <w:color w:val="auto"/>
                <w:kern w:val="0"/>
                <w:sz w:val="22"/>
                <w:szCs w:val="22"/>
                <w:highlight w:val="none"/>
                <w:lang w:val="en-US" w:eastAsia="zh-CN"/>
              </w:rPr>
              <w:t>6</w:t>
            </w:r>
          </w:p>
        </w:tc>
        <w:tc>
          <w:tcPr>
            <w:tcW w:w="9348" w:type="dxa"/>
            <w:tcBorders>
              <w:top w:val="single" w:color="000000" w:sz="2" w:space="0"/>
              <w:left w:val="single" w:color="000000" w:sz="2" w:space="0"/>
              <w:bottom w:val="single" w:color="000000" w:sz="2" w:space="0"/>
              <w:right w:val="single" w:color="000000" w:sz="8" w:space="0"/>
            </w:tcBorders>
            <w:vAlign w:val="center"/>
          </w:tcPr>
          <w:p w14:paraId="2A373038">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10"/>
                <w:sz w:val="22"/>
                <w:szCs w:val="22"/>
                <w:highlight w:val="none"/>
              </w:rPr>
              <w:t>潜在供应商需在浙江政府采购网http://zfcg.czt.zj.gov.cn/进行免费注册，具体详见浙江政府采购网供应商注册要求。</w:t>
            </w:r>
          </w:p>
        </w:tc>
      </w:tr>
      <w:tr w14:paraId="42E3F8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27" w:type="dxa"/>
            <w:tcBorders>
              <w:top w:val="single" w:color="000000" w:sz="2" w:space="0"/>
              <w:left w:val="single" w:color="000000" w:sz="8" w:space="0"/>
              <w:bottom w:val="single" w:color="000000" w:sz="2" w:space="0"/>
              <w:right w:val="single" w:color="000000" w:sz="2" w:space="0"/>
            </w:tcBorders>
            <w:vAlign w:val="center"/>
          </w:tcPr>
          <w:p w14:paraId="236EDB95">
            <w:pPr>
              <w:widowControl/>
              <w:snapToGrid w:val="0"/>
              <w:spacing w:line="460" w:lineRule="exact"/>
              <w:jc w:val="center"/>
              <w:textAlignment w:val="center"/>
              <w:rPr>
                <w:rFonts w:hint="eastAsia" w:ascii="新宋体" w:hAnsi="新宋体" w:eastAsia="新宋体" w:cs="新宋体"/>
                <w:b w:val="0"/>
                <w:bCs w:val="0"/>
                <w:color w:val="auto"/>
                <w:kern w:val="2"/>
                <w:sz w:val="22"/>
                <w:szCs w:val="22"/>
                <w:highlight w:val="none"/>
                <w:lang w:val="en-US" w:eastAsia="zh-CN" w:bidi="ar-SA"/>
              </w:rPr>
            </w:pPr>
            <w:r>
              <w:rPr>
                <w:rFonts w:hint="eastAsia" w:ascii="新宋体" w:hAnsi="新宋体" w:eastAsia="新宋体" w:cs="新宋体"/>
                <w:b w:val="0"/>
                <w:bCs w:val="0"/>
                <w:color w:val="auto"/>
                <w:kern w:val="0"/>
                <w:sz w:val="22"/>
                <w:szCs w:val="22"/>
                <w:highlight w:val="none"/>
              </w:rPr>
              <w:t>1</w:t>
            </w:r>
            <w:r>
              <w:rPr>
                <w:rFonts w:hint="eastAsia" w:ascii="新宋体" w:hAnsi="新宋体" w:eastAsia="新宋体" w:cs="新宋体"/>
                <w:b w:val="0"/>
                <w:bCs w:val="0"/>
                <w:color w:val="auto"/>
                <w:kern w:val="0"/>
                <w:sz w:val="22"/>
                <w:szCs w:val="22"/>
                <w:highlight w:val="none"/>
                <w:lang w:val="en-US" w:eastAsia="zh-CN"/>
              </w:rPr>
              <w:t>7</w:t>
            </w:r>
          </w:p>
        </w:tc>
        <w:tc>
          <w:tcPr>
            <w:tcW w:w="9348" w:type="dxa"/>
            <w:tcBorders>
              <w:top w:val="single" w:color="000000" w:sz="2" w:space="0"/>
              <w:left w:val="single" w:color="000000" w:sz="2" w:space="0"/>
              <w:bottom w:val="single" w:color="000000" w:sz="2" w:space="0"/>
              <w:right w:val="single" w:color="000000" w:sz="8" w:space="0"/>
            </w:tcBorders>
            <w:vAlign w:val="center"/>
          </w:tcPr>
          <w:p w14:paraId="38773F5D">
            <w:pPr>
              <w:shd w:val="clear"/>
              <w:adjustRightInd w:val="0"/>
              <w:snapToGrid w:val="0"/>
              <w:spacing w:line="460" w:lineRule="exact"/>
              <w:ind w:firstLine="442" w:firstLineChars="200"/>
              <w:rPr>
                <w:rFonts w:hint="eastAsia" w:ascii="新宋体" w:hAnsi="新宋体" w:eastAsia="新宋体" w:cs="新宋体"/>
                <w:b/>
                <w:bCs/>
                <w:color w:val="auto"/>
                <w:sz w:val="22"/>
                <w:szCs w:val="28"/>
                <w:highlight w:val="none"/>
              </w:rPr>
            </w:pPr>
            <w:r>
              <w:rPr>
                <w:rFonts w:hint="eastAsia" w:ascii="新宋体" w:hAnsi="新宋体" w:eastAsia="新宋体" w:cs="新宋体"/>
                <w:b/>
                <w:bCs/>
                <w:color w:val="auto"/>
                <w:sz w:val="22"/>
                <w:szCs w:val="28"/>
                <w:highlight w:val="none"/>
              </w:rPr>
              <w:t>1、扶持中小企业（监狱企业、残疾人福利性单位）：</w:t>
            </w:r>
          </w:p>
          <w:p w14:paraId="6B64C01E">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7E3B5267">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1</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项目预算：</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960000.00</w:t>
            </w:r>
            <w:r>
              <w:rPr>
                <w:rFonts w:hint="eastAsia" w:ascii="新宋体" w:hAnsi="新宋体" w:eastAsia="新宋体" w:cs="新宋体"/>
                <w:color w:val="auto"/>
                <w:sz w:val="22"/>
                <w:szCs w:val="28"/>
                <w:highlight w:val="none"/>
              </w:rPr>
              <w:t>元</w:t>
            </w:r>
          </w:p>
          <w:p w14:paraId="21EB6D27">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2</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项目属性：</w:t>
            </w:r>
            <w:r>
              <w:rPr>
                <w:rFonts w:hint="eastAsia" w:ascii="新宋体" w:hAnsi="新宋体" w:eastAsia="新宋体" w:cs="新宋体"/>
                <w:color w:val="auto"/>
                <w:sz w:val="22"/>
                <w:szCs w:val="28"/>
                <w:highlight w:val="none"/>
                <w:u w:val="single"/>
              </w:rPr>
              <w:t xml:space="preserve"> ①货物类 </w:t>
            </w:r>
            <w:r>
              <w:rPr>
                <w:rFonts w:hint="eastAsia" w:ascii="新宋体" w:hAnsi="新宋体" w:eastAsia="新宋体" w:cs="新宋体"/>
                <w:color w:val="auto"/>
                <w:sz w:val="22"/>
                <w:szCs w:val="28"/>
                <w:highlight w:val="none"/>
              </w:rPr>
              <w:t xml:space="preserve"> （①货物类/②服务类/③工程类）</w:t>
            </w:r>
          </w:p>
          <w:p w14:paraId="0611F046">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3</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项目对应的中小企业划分标准所属行业：</w:t>
            </w:r>
            <w:r>
              <w:rPr>
                <w:rFonts w:hint="eastAsia" w:ascii="新宋体" w:hAnsi="新宋体" w:eastAsia="新宋体" w:cs="新宋体"/>
                <w:color w:val="auto"/>
                <w:sz w:val="22"/>
                <w:szCs w:val="28"/>
                <w:highlight w:val="none"/>
                <w:u w:val="single"/>
              </w:rPr>
              <w:t xml:space="preserve"> 工业 </w:t>
            </w:r>
            <w:r>
              <w:rPr>
                <w:rFonts w:hint="eastAsia" w:ascii="新宋体" w:hAnsi="新宋体" w:eastAsia="新宋体" w:cs="新宋体"/>
                <w:color w:val="auto"/>
                <w:sz w:val="22"/>
                <w:szCs w:val="28"/>
                <w:highlight w:val="none"/>
              </w:rPr>
              <w:t>（具体根据《中小企业划型标准规定》执行）</w:t>
            </w:r>
          </w:p>
          <w:p w14:paraId="3665FF92">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5D38FA23">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4</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本项目</w:t>
            </w:r>
            <w:r>
              <w:rPr>
                <w:rFonts w:hint="eastAsia" w:ascii="新宋体" w:hAnsi="新宋体" w:eastAsia="新宋体" w:cs="新宋体"/>
                <w:color w:val="auto"/>
                <w:sz w:val="22"/>
                <w:szCs w:val="28"/>
                <w:highlight w:val="none"/>
                <w:u w:val="single"/>
                <w:lang w:val="en-US" w:eastAsia="zh-CN"/>
              </w:rPr>
              <w:t xml:space="preserve"> </w:t>
            </w:r>
            <w:r>
              <w:rPr>
                <w:rFonts w:hint="eastAsia" w:ascii="新宋体" w:hAnsi="新宋体" w:eastAsia="新宋体" w:cs="新宋体"/>
                <w:color w:val="auto"/>
                <w:sz w:val="22"/>
                <w:szCs w:val="28"/>
                <w:highlight w:val="none"/>
                <w:u w:val="single"/>
              </w:rPr>
              <w:t>（</w:t>
            </w:r>
            <w:r>
              <w:rPr>
                <w:rFonts w:hint="eastAsia" w:ascii="新宋体" w:hAnsi="新宋体" w:eastAsia="新宋体" w:cs="新宋体"/>
                <w:color w:val="auto"/>
                <w:sz w:val="22"/>
                <w:szCs w:val="28"/>
                <w:highlight w:val="none"/>
                <w:u w:val="single"/>
                <w:lang w:val="en-US" w:eastAsia="zh-CN"/>
              </w:rPr>
              <w:t>是</w:t>
            </w:r>
            <w:r>
              <w:rPr>
                <w:rFonts w:hint="eastAsia" w:ascii="新宋体" w:hAnsi="新宋体" w:eastAsia="新宋体" w:cs="新宋体"/>
                <w:color w:val="auto"/>
                <w:sz w:val="22"/>
                <w:szCs w:val="28"/>
                <w:highlight w:val="none"/>
                <w:u w:val="single"/>
              </w:rPr>
              <w:t>）</w:t>
            </w:r>
            <w:r>
              <w:rPr>
                <w:rFonts w:hint="eastAsia" w:ascii="新宋体" w:hAnsi="新宋体" w:eastAsia="新宋体" w:cs="新宋体"/>
                <w:color w:val="auto"/>
                <w:sz w:val="22"/>
                <w:szCs w:val="28"/>
                <w:highlight w:val="none"/>
                <w:u w:val="single"/>
                <w:lang w:val="en-US" w:eastAsia="zh-CN"/>
              </w:rPr>
              <w:t xml:space="preserve"> </w:t>
            </w:r>
            <w:r>
              <w:rPr>
                <w:rFonts w:hint="eastAsia" w:ascii="新宋体" w:hAnsi="新宋体" w:eastAsia="新宋体" w:cs="新宋体"/>
                <w:color w:val="auto"/>
                <w:sz w:val="22"/>
                <w:szCs w:val="28"/>
                <w:highlight w:val="none"/>
              </w:rPr>
              <w:t>属于预留份额专门面向中小企业采购的项目。</w:t>
            </w:r>
          </w:p>
          <w:p w14:paraId="7ACF18CB">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5</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上述第4项中确定为“是”的采购项目，预留份额通过（①）措施进行：</w:t>
            </w:r>
          </w:p>
          <w:p w14:paraId="2DC0FC9D">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①将采购项目整体或者设置采购包专门面向中小企业采购；</w:t>
            </w:r>
          </w:p>
          <w:p w14:paraId="1F3A95DB">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②要求供应商以联合体形式参加采购活动，且联合体中中小企业承担的部分达到</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比例</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w:t>
            </w:r>
          </w:p>
          <w:p w14:paraId="6EFF8874">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③要求获得采购合同的供应商将采购项目中的 </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比例</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分包给一家或者多家中小企业。</w:t>
            </w:r>
          </w:p>
          <w:p w14:paraId="79B251C5">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6</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对于经主管预算单位统筹后未预留份额专门面向中小企业采购的采购项目，以及预留份额项目中的非预留部分采购包，请贵单位明确对符合本办法规定的小微企业报价给予</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10%</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 xml:space="preserve">（工程项目为5%）的扣除，用扣除后的价格参加评审。 </w:t>
            </w:r>
          </w:p>
          <w:p w14:paraId="1420E32A">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4%</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（工程项目为 2%）的扣除，用扣除后的价格参加评审。</w:t>
            </w:r>
          </w:p>
          <w:p w14:paraId="7DCAEA0D">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专门面向中小企业采购的项目或者标项，不再执行价格评审优惠的扶持政策。</w:t>
            </w:r>
          </w:p>
          <w:p w14:paraId="5B4DF769">
            <w:pPr>
              <w:widowControl/>
              <w:snapToGrid w:val="0"/>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2</w:t>
            </w:r>
            <w:r>
              <w:rPr>
                <w:rFonts w:hint="eastAsia" w:ascii="新宋体" w:hAnsi="新宋体" w:eastAsia="新宋体" w:cs="新宋体"/>
                <w:color w:val="auto"/>
                <w:kern w:val="0"/>
                <w:sz w:val="22"/>
                <w:szCs w:val="22"/>
                <w:highlight w:val="none"/>
              </w:rPr>
              <w:t>、节能产品、环境标志产品的强制采购政策</w:t>
            </w:r>
          </w:p>
          <w:p w14:paraId="0EE3ED20">
            <w:pPr>
              <w:widowControl/>
              <w:snapToGrid w:val="0"/>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375253E5">
            <w:pPr>
              <w:widowControl/>
              <w:snapToGrid w:val="0"/>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3</w:t>
            </w:r>
            <w:r>
              <w:rPr>
                <w:rFonts w:hint="eastAsia" w:ascii="新宋体" w:hAnsi="新宋体" w:eastAsia="新宋体" w:cs="新宋体"/>
                <w:color w:val="auto"/>
                <w:kern w:val="0"/>
                <w:sz w:val="22"/>
                <w:szCs w:val="22"/>
                <w:highlight w:val="none"/>
              </w:rPr>
              <w:t>、节能产品、环境标志产品的优先采购政策</w:t>
            </w:r>
          </w:p>
          <w:p w14:paraId="41EDA3EC">
            <w:pPr>
              <w:widowControl/>
              <w:snapToGrid w:val="0"/>
              <w:spacing w:line="460" w:lineRule="exact"/>
              <w:ind w:firstLine="440" w:firstLineChars="200"/>
              <w:jc w:val="left"/>
              <w:rPr>
                <w:rFonts w:hint="eastAsia" w:ascii="新宋体" w:hAnsi="新宋体" w:eastAsia="新宋体" w:cs="新宋体"/>
                <w:b/>
                <w:color w:val="auto"/>
                <w:kern w:val="1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（注：本项目执行最新政府采购节能产品、环境标志产品品目清单。）</w:t>
            </w:r>
          </w:p>
        </w:tc>
      </w:tr>
      <w:tr w14:paraId="1854D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27" w:type="dxa"/>
            <w:tcBorders>
              <w:top w:val="single" w:color="000000" w:sz="2" w:space="0"/>
              <w:left w:val="single" w:color="000000" w:sz="8" w:space="0"/>
              <w:bottom w:val="single" w:color="000000" w:sz="2" w:space="0"/>
              <w:right w:val="single" w:color="000000" w:sz="2" w:space="0"/>
            </w:tcBorders>
            <w:vAlign w:val="center"/>
          </w:tcPr>
          <w:p w14:paraId="2259E820">
            <w:pPr>
              <w:widowControl/>
              <w:snapToGrid w:val="0"/>
              <w:spacing w:line="460" w:lineRule="exact"/>
              <w:jc w:val="center"/>
              <w:textAlignment w:val="center"/>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18</w:t>
            </w:r>
          </w:p>
        </w:tc>
        <w:tc>
          <w:tcPr>
            <w:tcW w:w="9348" w:type="dxa"/>
            <w:tcBorders>
              <w:top w:val="single" w:color="000000" w:sz="2" w:space="0"/>
              <w:left w:val="single" w:color="000000" w:sz="2" w:space="0"/>
              <w:bottom w:val="single" w:color="000000" w:sz="2" w:space="0"/>
              <w:right w:val="single" w:color="000000" w:sz="8" w:space="0"/>
            </w:tcBorders>
            <w:vAlign w:val="center"/>
          </w:tcPr>
          <w:p w14:paraId="1AF936B5">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根据《关于在政府采购活动中查询及使用信用记录有关问题的通知》财库[2016]125号的规定：</w:t>
            </w:r>
          </w:p>
          <w:p w14:paraId="7BA1C8F1">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1）招标人或采购代理机构将对本项目供应商的信用记录进行查询。查询渠道为信用中国网站（www.creditchina.gov.cn）、中国政府采购网（www.ccgp.gov.cn）；</w:t>
            </w:r>
          </w:p>
          <w:p w14:paraId="265F4473">
            <w:pPr>
              <w:snapToGrid w:val="0"/>
              <w:spacing w:line="460" w:lineRule="exact"/>
              <w:ind w:firstLine="110" w:firstLine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2）截止时点：</w:t>
            </w:r>
            <w:r>
              <w:rPr>
                <w:rFonts w:hint="eastAsia" w:ascii="新宋体" w:hAnsi="新宋体" w:eastAsia="新宋体" w:cs="新宋体"/>
                <w:color w:val="auto"/>
                <w:sz w:val="22"/>
                <w:highlight w:val="none"/>
              </w:rPr>
              <w:t>招标公告发布之日至投标截止时间前</w:t>
            </w:r>
            <w:r>
              <w:rPr>
                <w:rFonts w:hint="eastAsia" w:ascii="新宋体" w:hAnsi="新宋体" w:eastAsia="新宋体" w:cs="新宋体"/>
                <w:color w:val="auto"/>
                <w:sz w:val="22"/>
                <w:szCs w:val="22"/>
                <w:highlight w:val="none"/>
              </w:rPr>
              <w:t>；</w:t>
            </w:r>
          </w:p>
          <w:p w14:paraId="2E9B0BCF">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3）查询记录和证据的留存：信用信息查询记录和证据以网页截图等方式留存。</w:t>
            </w:r>
          </w:p>
          <w:p w14:paraId="0E4F7666">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27DA702D">
            <w:pPr>
              <w:snapToGrid w:val="0"/>
              <w:spacing w:line="460" w:lineRule="exact"/>
              <w:ind w:left="105" w:leftChars="50"/>
              <w:rPr>
                <w:rFonts w:hint="eastAsia" w:ascii="新宋体" w:hAnsi="新宋体" w:eastAsia="新宋体" w:cs="新宋体"/>
                <w:b/>
                <w:color w:val="auto"/>
                <w:kern w:val="10"/>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5）联合体成员任意一方存在不良信用记录的，视同联合体存在不良信用记录。</w:t>
            </w:r>
          </w:p>
        </w:tc>
      </w:tr>
      <w:tr w14:paraId="4F921D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9875" w:type="dxa"/>
            <w:gridSpan w:val="2"/>
            <w:tcBorders>
              <w:top w:val="single" w:color="000000" w:sz="2" w:space="0"/>
              <w:left w:val="single" w:color="000000" w:sz="8" w:space="0"/>
              <w:bottom w:val="single" w:color="000000" w:sz="2" w:space="0"/>
              <w:right w:val="single" w:color="000000" w:sz="8" w:space="0"/>
            </w:tcBorders>
            <w:vAlign w:val="center"/>
          </w:tcPr>
          <w:p w14:paraId="6EB506D3">
            <w:pPr>
              <w:snapToGrid w:val="0"/>
              <w:spacing w:line="460" w:lineRule="exact"/>
              <w:ind w:left="105" w:leftChars="50"/>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sz w:val="22"/>
                <w:szCs w:val="22"/>
                <w:highlight w:val="none"/>
                <w:lang w:val="en-US" w:eastAsia="zh-CN"/>
              </w:rPr>
              <w:t>注：招标文件其他组成部分涉及与前附表相同内容，如有不明确或不一致，以前附表规定为准。</w:t>
            </w:r>
          </w:p>
        </w:tc>
      </w:tr>
    </w:tbl>
    <w:p w14:paraId="75CCF36B">
      <w:pPr>
        <w:rPr>
          <w:rFonts w:hint="eastAsia" w:ascii="新宋体" w:hAnsi="新宋体" w:eastAsia="新宋体" w:cs="新宋体"/>
          <w:b/>
          <w:bCs/>
          <w:color w:val="auto"/>
          <w:sz w:val="26"/>
          <w:szCs w:val="26"/>
          <w:highlight w:val="none"/>
        </w:rPr>
      </w:pPr>
      <w:bookmarkStart w:id="10" w:name="_Toc20846"/>
      <w:r>
        <w:rPr>
          <w:rFonts w:hint="eastAsia" w:ascii="新宋体" w:hAnsi="新宋体" w:eastAsia="新宋体" w:cs="新宋体"/>
          <w:b/>
          <w:bCs/>
          <w:color w:val="auto"/>
          <w:sz w:val="26"/>
          <w:szCs w:val="26"/>
          <w:highlight w:val="none"/>
        </w:rPr>
        <w:br w:type="page"/>
      </w:r>
    </w:p>
    <w:p w14:paraId="47437209">
      <w:pPr>
        <w:spacing w:before="100" w:beforeAutospacing="1" w:after="100" w:afterAutospacing="1" w:line="460" w:lineRule="exact"/>
        <w:jc w:val="center"/>
        <w:outlineLvl w:val="1"/>
        <w:rPr>
          <w:rFonts w:hint="eastAsia" w:ascii="新宋体" w:hAnsi="新宋体" w:eastAsia="新宋体" w:cs="新宋体"/>
          <w:b/>
          <w:bCs/>
          <w:color w:val="auto"/>
          <w:sz w:val="32"/>
          <w:szCs w:val="32"/>
          <w:highlight w:val="none"/>
        </w:rPr>
      </w:pPr>
      <w:bookmarkStart w:id="11" w:name="_Toc12810"/>
      <w:r>
        <w:rPr>
          <w:rFonts w:hint="eastAsia" w:ascii="新宋体" w:hAnsi="新宋体" w:eastAsia="新宋体" w:cs="新宋体"/>
          <w:b/>
          <w:bCs/>
          <w:color w:val="auto"/>
          <w:sz w:val="26"/>
          <w:szCs w:val="26"/>
          <w:highlight w:val="none"/>
        </w:rPr>
        <w:t>一、 说   明</w:t>
      </w:r>
      <w:bookmarkEnd w:id="10"/>
      <w:bookmarkEnd w:id="11"/>
    </w:p>
    <w:p w14:paraId="78C956D8">
      <w:pPr>
        <w:tabs>
          <w:tab w:val="left" w:pos="360"/>
        </w:tabs>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14:paraId="2C6B674E">
      <w:pPr>
        <w:tabs>
          <w:tab w:val="left" w:pos="360"/>
        </w:tabs>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2、定义</w:t>
      </w:r>
    </w:p>
    <w:p w14:paraId="274BA0D4">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招标人：是指依法进行政府采购的国家机关、事业单位、团体组织</w:t>
      </w:r>
    </w:p>
    <w:p w14:paraId="49E1A7E4">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招标代理机构：受招标人委托，在委托的范围内办理政府采购事宜的机构；</w:t>
      </w:r>
    </w:p>
    <w:p w14:paraId="31F5C2FD">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投标人：是指参加本政府采购项目投标的供应商；</w:t>
      </w:r>
    </w:p>
    <w:p w14:paraId="55E12D39">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投标人代表：是指参加本项目投标活动的供应商法定代表人或法定代表人授权代表；</w:t>
      </w:r>
    </w:p>
    <w:p w14:paraId="28F57B86">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投标联合体：是指两个以上供应商组成联合体，以一个供应商的身份参加投标；</w:t>
      </w:r>
    </w:p>
    <w:p w14:paraId="4EE3D9B3">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甲方：是指合同签订的一方，一般与招标人、用户相同；</w:t>
      </w:r>
    </w:p>
    <w:p w14:paraId="7A8CF266">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乙方：是指合同签订的另一方，与中标人相同；</w:t>
      </w:r>
    </w:p>
    <w:p w14:paraId="796DA4FE">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制造商：是指拥有投标产品自主知识产权的单位；</w:t>
      </w:r>
    </w:p>
    <w:p w14:paraId="3891C374">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14:paraId="67E77694">
      <w:pPr>
        <w:tabs>
          <w:tab w:val="left" w:pos="360"/>
        </w:tabs>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带“▲”条款系指实质性要求条款。“★”是关键技术参数及要求。</w:t>
      </w:r>
    </w:p>
    <w:p w14:paraId="2B3B280C">
      <w:pPr>
        <w:tabs>
          <w:tab w:val="left" w:pos="360"/>
        </w:tabs>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3、投标人代表</w:t>
      </w:r>
    </w:p>
    <w:p w14:paraId="199CFE60">
      <w:pPr>
        <w:tabs>
          <w:tab w:val="left" w:pos="360"/>
        </w:tabs>
        <w:spacing w:line="460" w:lineRule="exact"/>
        <w:ind w:firstLine="440" w:firstLineChars="200"/>
        <w:rPr>
          <w:rFonts w:hint="eastAsia" w:ascii="新宋体" w:hAnsi="新宋体" w:eastAsia="新宋体" w:cs="新宋体"/>
          <w:b w:val="0"/>
          <w:bCs/>
          <w:color w:val="auto"/>
          <w:sz w:val="22"/>
          <w:highlight w:val="none"/>
        </w:rPr>
      </w:pPr>
      <w:r>
        <w:rPr>
          <w:rFonts w:hint="eastAsia" w:ascii="新宋体" w:hAnsi="新宋体" w:eastAsia="新宋体" w:cs="新宋体"/>
          <w:b w:val="0"/>
          <w:bCs/>
          <w:color w:val="auto"/>
          <w:sz w:val="22"/>
          <w:szCs w:val="22"/>
          <w:highlight w:val="none"/>
        </w:rPr>
        <w:t>3.1</w:t>
      </w:r>
      <w:r>
        <w:rPr>
          <w:rFonts w:hint="eastAsia" w:ascii="新宋体" w:hAnsi="新宋体" w:eastAsia="新宋体" w:cs="新宋体"/>
          <w:b w:val="0"/>
          <w:bCs/>
          <w:color w:val="auto"/>
          <w:sz w:val="22"/>
          <w:highlight w:val="none"/>
        </w:rPr>
        <w:t>指全权代表投标人参加投标活动并签署投标文件的人。如果投标人代表不是法定代表人，须持有《法定代表人授权书》（见附件）</w:t>
      </w:r>
    </w:p>
    <w:p w14:paraId="25AE3C14">
      <w:pPr>
        <w:tabs>
          <w:tab w:val="left" w:pos="360"/>
        </w:tabs>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新宋体" w:hAnsi="新宋体" w:eastAsia="新宋体" w:cs="新宋体"/>
          <w:b/>
          <w:color w:val="auto"/>
          <w:sz w:val="22"/>
          <w:szCs w:val="22"/>
          <w:highlight w:val="none"/>
        </w:rPr>
        <w:t>。</w:t>
      </w:r>
    </w:p>
    <w:p w14:paraId="4B630872">
      <w:pPr>
        <w:tabs>
          <w:tab w:val="left" w:pos="360"/>
        </w:tabs>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4、投标费用</w:t>
      </w:r>
    </w:p>
    <w:p w14:paraId="69674C26">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4.1投</w:t>
      </w:r>
      <w:r>
        <w:rPr>
          <w:rFonts w:hint="eastAsia" w:ascii="新宋体" w:hAnsi="新宋体" w:eastAsia="新宋体" w:cs="新宋体"/>
          <w:color w:val="auto"/>
          <w:sz w:val="22"/>
          <w:szCs w:val="22"/>
          <w:highlight w:val="none"/>
        </w:rPr>
        <w:t>标人应承担所有与准备和参加投标有关费用，不论投标的结果如何，招标人或招标代理机构均无义务和责任承担这些费用。</w:t>
      </w:r>
    </w:p>
    <w:p w14:paraId="3B265B7C">
      <w:pPr>
        <w:spacing w:before="100" w:beforeAutospacing="1" w:after="100" w:afterAutospacing="1" w:line="460" w:lineRule="exact"/>
        <w:jc w:val="center"/>
        <w:outlineLvl w:val="1"/>
        <w:rPr>
          <w:rFonts w:hint="eastAsia" w:ascii="新宋体" w:hAnsi="新宋体" w:eastAsia="新宋体" w:cs="新宋体"/>
          <w:b/>
          <w:bCs/>
          <w:color w:val="auto"/>
          <w:sz w:val="26"/>
          <w:szCs w:val="26"/>
          <w:highlight w:val="none"/>
        </w:rPr>
      </w:pPr>
      <w:bookmarkStart w:id="12" w:name="_Toc9899"/>
      <w:bookmarkStart w:id="13" w:name="_Toc17296"/>
      <w:r>
        <w:rPr>
          <w:rFonts w:hint="eastAsia" w:ascii="新宋体" w:hAnsi="新宋体" w:eastAsia="新宋体" w:cs="新宋体"/>
          <w:b/>
          <w:bCs/>
          <w:color w:val="auto"/>
          <w:sz w:val="26"/>
          <w:szCs w:val="26"/>
          <w:highlight w:val="none"/>
        </w:rPr>
        <w:t>二、 招标文件</w:t>
      </w:r>
      <w:bookmarkEnd w:id="12"/>
      <w:bookmarkEnd w:id="13"/>
    </w:p>
    <w:p w14:paraId="18C077AF">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1、招标文件由招标文件目录所列内容及相关资料组成。</w:t>
      </w:r>
    </w:p>
    <w:p w14:paraId="56D613E6">
      <w:pPr>
        <w:tabs>
          <w:tab w:val="left" w:pos="360"/>
        </w:tabs>
        <w:spacing w:line="460" w:lineRule="exact"/>
        <w:ind w:firstLine="442" w:firstLineChars="200"/>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2、招标文件的澄清</w:t>
      </w:r>
    </w:p>
    <w:p w14:paraId="20BF6455">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2.1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果招标文件澄清期内未收到有关澄清要求，视为投标人完全同意招标文件所有条款，且对于招标文件有关表述以及未尽事宜如有异议，以招标人或招标代理机构解释为准。</w:t>
      </w:r>
    </w:p>
    <w:p w14:paraId="7B919410">
      <w:pPr>
        <w:tabs>
          <w:tab w:val="left" w:pos="360"/>
        </w:tabs>
        <w:spacing w:line="460" w:lineRule="exact"/>
        <w:ind w:firstLine="442" w:firstLineChars="200"/>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3、招标文件的修改</w:t>
      </w:r>
    </w:p>
    <w:p w14:paraId="42CA98BC">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3.1招标人或招标代理机构对已发出的招标文件进行必要的澄清或者修改的，应当在招标文件要求递交投标文件截止时间十五日前，在财政部门指定的政府采购信息发布媒体上发布更正公告。该澄清或修改内容为招标文件的组成部分。</w:t>
      </w:r>
    </w:p>
    <w:p w14:paraId="2B33941B">
      <w:pPr>
        <w:tabs>
          <w:tab w:val="left" w:pos="360"/>
        </w:tabs>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3.2招标人、招标代理机构可以视采购的具体情况决定是否延长投标截止时间和开标时间，并在招标文件要求递交投标文件的截止时间前，在财政部门指定的政府采购信息发布媒体上发布变更公告。</w:t>
      </w:r>
    </w:p>
    <w:p w14:paraId="24649B79">
      <w:pPr>
        <w:spacing w:before="100" w:beforeAutospacing="1" w:after="100" w:afterAutospacing="1" w:line="460" w:lineRule="exact"/>
        <w:jc w:val="center"/>
        <w:outlineLvl w:val="1"/>
        <w:rPr>
          <w:rFonts w:hint="eastAsia" w:ascii="新宋体" w:hAnsi="新宋体" w:eastAsia="新宋体" w:cs="新宋体"/>
          <w:b/>
          <w:bCs/>
          <w:color w:val="auto"/>
          <w:sz w:val="26"/>
          <w:szCs w:val="26"/>
          <w:highlight w:val="none"/>
        </w:rPr>
      </w:pPr>
      <w:bookmarkStart w:id="14" w:name="_Toc1754"/>
      <w:bookmarkStart w:id="15" w:name="_Toc12726"/>
      <w:r>
        <w:rPr>
          <w:rFonts w:hint="eastAsia" w:ascii="新宋体" w:hAnsi="新宋体" w:eastAsia="新宋体" w:cs="新宋体"/>
          <w:b/>
          <w:bCs/>
          <w:color w:val="auto"/>
          <w:sz w:val="26"/>
          <w:szCs w:val="26"/>
          <w:highlight w:val="none"/>
        </w:rPr>
        <w:t>三、 投标文件的编制</w:t>
      </w:r>
      <w:bookmarkEnd w:id="14"/>
      <w:bookmarkEnd w:id="15"/>
    </w:p>
    <w:p w14:paraId="0522EF22">
      <w:pPr>
        <w:tabs>
          <w:tab w:val="left" w:pos="360"/>
        </w:tabs>
        <w:spacing w:line="460" w:lineRule="exact"/>
        <w:ind w:firstLine="440" w:firstLineChars="200"/>
        <w:rPr>
          <w:rFonts w:hint="eastAsia" w:ascii="新宋体" w:hAnsi="新宋体" w:eastAsia="新宋体" w:cs="新宋体"/>
          <w:b w:val="0"/>
          <w:bCs w:val="0"/>
          <w:color w:val="auto"/>
          <w:sz w:val="22"/>
          <w:highlight w:val="none"/>
        </w:rPr>
      </w:pPr>
      <w:r>
        <w:rPr>
          <w:rFonts w:hint="eastAsia" w:ascii="新宋体" w:hAnsi="新宋体" w:eastAsia="新宋体" w:cs="新宋体"/>
          <w:b w:val="0"/>
          <w:bCs w:val="0"/>
          <w:color w:val="auto"/>
          <w:sz w:val="22"/>
          <w:highlight w:val="none"/>
        </w:rPr>
        <w:t>1、投标人应认真阅读招标文件中所有事项、格式、条款和技术规范等。投标人没有按照招标文件要求提交全部资料，或者没有对招标文件各个方面做出实质性响应，导致投标被否决的风险由投标人自行承担。</w:t>
      </w:r>
    </w:p>
    <w:p w14:paraId="3B858688">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highlight w:val="none"/>
        </w:rPr>
        <w:t>2、投标人应保证所提供文件资料的真实性，所有文件资料必须是针对本次投标的。如发现投标人提供了虚假文件资料，其投标将被否决，并自行承担相应的法律责任。</w:t>
      </w:r>
    </w:p>
    <w:p w14:paraId="4E0B57B2">
      <w:pPr>
        <w:tabs>
          <w:tab w:val="left" w:pos="360"/>
        </w:tabs>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w:t>
      </w:r>
      <w:r>
        <w:rPr>
          <w:rFonts w:hint="eastAsia" w:ascii="新宋体" w:hAnsi="新宋体" w:eastAsia="新宋体" w:cs="新宋体"/>
          <w:b/>
          <w:bCs/>
          <w:color w:val="auto"/>
          <w:sz w:val="22"/>
          <w:szCs w:val="22"/>
          <w:highlight w:val="none"/>
        </w:rPr>
        <w:t>投标文件的构成：</w:t>
      </w:r>
    </w:p>
    <w:p w14:paraId="3B742073">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kern w:val="0"/>
          <w:sz w:val="22"/>
          <w:szCs w:val="22"/>
          <w:highlight w:val="none"/>
        </w:rPr>
        <w:t>投标</w:t>
      </w:r>
      <w:r>
        <w:rPr>
          <w:rFonts w:hint="eastAsia" w:ascii="新宋体" w:hAnsi="新宋体" w:eastAsia="新宋体" w:cs="新宋体"/>
          <w:b w:val="0"/>
          <w:bCs w:val="0"/>
          <w:color w:val="auto"/>
          <w:kern w:val="0"/>
          <w:sz w:val="22"/>
          <w:szCs w:val="22"/>
          <w:highlight w:val="none"/>
          <w:lang w:val="zh-CN"/>
        </w:rPr>
        <w:t>文件应当包括以下主要内容：资格文件、报价文件、商务技术文件。</w:t>
      </w:r>
    </w:p>
    <w:p w14:paraId="77E19B78">
      <w:pPr>
        <w:tabs>
          <w:tab w:val="left" w:pos="360"/>
        </w:tabs>
        <w:spacing w:line="460" w:lineRule="exact"/>
        <w:ind w:firstLine="442" w:firstLineChars="200"/>
        <w:rPr>
          <w:rFonts w:hint="eastAsia" w:ascii="新宋体" w:hAnsi="新宋体" w:eastAsia="新宋体" w:cs="新宋体"/>
          <w:b/>
          <w:bCs/>
          <w:color w:val="auto"/>
          <w:kern w:val="0"/>
          <w:sz w:val="22"/>
          <w:szCs w:val="22"/>
          <w:highlight w:val="none"/>
          <w:u w:val="none"/>
          <w:lang w:val="zh-CN"/>
        </w:rPr>
      </w:pPr>
      <w:r>
        <w:rPr>
          <w:rFonts w:hint="eastAsia" w:ascii="新宋体" w:hAnsi="新宋体" w:eastAsia="新宋体" w:cs="新宋体"/>
          <w:b/>
          <w:bCs/>
          <w:color w:val="auto"/>
          <w:kern w:val="0"/>
          <w:sz w:val="22"/>
          <w:szCs w:val="22"/>
          <w:highlight w:val="none"/>
          <w:u w:val="none"/>
        </w:rPr>
        <w:t>3.1</w:t>
      </w:r>
      <w:r>
        <w:rPr>
          <w:rFonts w:hint="eastAsia" w:ascii="新宋体" w:hAnsi="新宋体" w:eastAsia="新宋体" w:cs="新宋体"/>
          <w:b/>
          <w:bCs/>
          <w:color w:val="auto"/>
          <w:kern w:val="0"/>
          <w:sz w:val="22"/>
          <w:szCs w:val="22"/>
          <w:highlight w:val="none"/>
          <w:u w:val="none"/>
          <w:lang w:val="zh-CN"/>
        </w:rPr>
        <w:t xml:space="preserve">投标人的资格文件至少应包括以下内容： </w:t>
      </w:r>
    </w:p>
    <w:p w14:paraId="1E735CCE">
      <w:pPr>
        <w:tabs>
          <w:tab w:val="left" w:pos="360"/>
        </w:tabs>
        <w:spacing w:line="460" w:lineRule="exact"/>
        <w:ind w:firstLine="440" w:firstLineChars="200"/>
        <w:rPr>
          <w:rFonts w:hint="eastAsia" w:ascii="新宋体" w:hAnsi="新宋体" w:eastAsia="新宋体" w:cs="新宋体"/>
          <w:color w:val="auto"/>
          <w:kern w:val="0"/>
          <w:sz w:val="22"/>
          <w:szCs w:val="22"/>
          <w:highlight w:val="none"/>
          <w:u w:val="none"/>
          <w:lang w:val="en-US" w:eastAsia="zh-CN"/>
        </w:rPr>
      </w:pPr>
      <w:r>
        <w:rPr>
          <w:rFonts w:hint="eastAsia" w:ascii="新宋体" w:hAnsi="新宋体" w:eastAsia="新宋体" w:cs="新宋体"/>
          <w:color w:val="auto"/>
          <w:kern w:val="0"/>
          <w:sz w:val="22"/>
          <w:szCs w:val="22"/>
          <w:highlight w:val="none"/>
          <w:u w:val="none"/>
          <w:lang w:val="zh-CN"/>
        </w:rPr>
        <w:t>基本资格条件审查材料：</w:t>
      </w:r>
      <w:r>
        <w:rPr>
          <w:rFonts w:hint="eastAsia" w:ascii="新宋体" w:hAnsi="新宋体" w:eastAsia="新宋体" w:cs="新宋体"/>
          <w:color w:val="auto"/>
          <w:kern w:val="0"/>
          <w:sz w:val="22"/>
          <w:szCs w:val="22"/>
          <w:highlight w:val="none"/>
          <w:u w:val="none"/>
          <w:lang w:val="en-US" w:eastAsia="zh-CN"/>
        </w:rPr>
        <w:t>即证明供应商</w:t>
      </w:r>
      <w:r>
        <w:rPr>
          <w:rFonts w:hint="eastAsia" w:ascii="新宋体" w:hAnsi="新宋体" w:eastAsia="新宋体" w:cs="新宋体"/>
          <w:color w:val="auto"/>
          <w:kern w:val="0"/>
          <w:sz w:val="22"/>
          <w:szCs w:val="22"/>
          <w:highlight w:val="none"/>
          <w:u w:val="none"/>
          <w:lang w:val="zh-CN"/>
        </w:rPr>
        <w:t>参加本次政府采购活动前3年内</w:t>
      </w:r>
      <w:r>
        <w:rPr>
          <w:rFonts w:hint="eastAsia" w:ascii="新宋体" w:hAnsi="新宋体" w:eastAsia="新宋体" w:cs="新宋体"/>
          <w:color w:val="auto"/>
          <w:sz w:val="22"/>
          <w:szCs w:val="22"/>
          <w:highlight w:val="none"/>
          <w:u w:val="none"/>
          <w:lang w:val="en-US" w:eastAsia="zh-CN"/>
        </w:rPr>
        <w:t>满足《中华人民共和国政府采购法》</w:t>
      </w:r>
      <w:r>
        <w:rPr>
          <w:rFonts w:hint="eastAsia" w:ascii="新宋体" w:hAnsi="新宋体" w:eastAsia="新宋体" w:cs="新宋体"/>
          <w:color w:val="auto"/>
          <w:kern w:val="0"/>
          <w:sz w:val="22"/>
          <w:szCs w:val="22"/>
          <w:highlight w:val="none"/>
          <w:u w:val="none"/>
          <w:lang w:val="zh-CN"/>
        </w:rPr>
        <w:t>的有关资格证明文件。</w:t>
      </w:r>
      <w:r>
        <w:rPr>
          <w:rFonts w:hint="eastAsia" w:ascii="新宋体" w:hAnsi="新宋体" w:eastAsia="新宋体" w:cs="新宋体"/>
          <w:color w:val="auto"/>
          <w:kern w:val="0"/>
          <w:sz w:val="22"/>
          <w:szCs w:val="22"/>
          <w:highlight w:val="none"/>
          <w:u w:val="none"/>
          <w:lang w:val="en-US" w:eastAsia="zh-CN"/>
        </w:rPr>
        <w:t>包括：</w:t>
      </w:r>
    </w:p>
    <w:p w14:paraId="35A5B180">
      <w:pPr>
        <w:tabs>
          <w:tab w:val="left" w:pos="360"/>
        </w:tabs>
        <w:spacing w:line="460" w:lineRule="exact"/>
        <w:ind w:firstLine="440" w:firstLineChars="200"/>
        <w:rPr>
          <w:rFonts w:hint="eastAsia" w:ascii="新宋体" w:hAnsi="新宋体" w:eastAsia="新宋体" w:cs="新宋体"/>
          <w:color w:val="auto"/>
          <w:sz w:val="22"/>
          <w:szCs w:val="22"/>
          <w:highlight w:val="none"/>
          <w:u w:val="none"/>
          <w:lang w:eastAsia="zh-CN"/>
        </w:rPr>
      </w:pPr>
      <w:r>
        <w:rPr>
          <w:rFonts w:hint="eastAsia" w:ascii="新宋体" w:hAnsi="新宋体" w:eastAsia="新宋体" w:cs="新宋体"/>
          <w:color w:val="auto"/>
          <w:sz w:val="22"/>
          <w:szCs w:val="22"/>
          <w:highlight w:val="none"/>
          <w:u w:val="none"/>
          <w:lang w:eastAsia="zh-CN"/>
        </w:rPr>
        <w:t>（</w:t>
      </w:r>
      <w:r>
        <w:rPr>
          <w:rFonts w:hint="eastAsia" w:ascii="新宋体" w:hAnsi="新宋体" w:eastAsia="新宋体" w:cs="新宋体"/>
          <w:color w:val="auto"/>
          <w:sz w:val="22"/>
          <w:szCs w:val="22"/>
          <w:highlight w:val="none"/>
          <w:u w:val="none"/>
          <w:lang w:val="en-US" w:eastAsia="zh-CN"/>
        </w:rPr>
        <w:t>1</w:t>
      </w:r>
      <w:r>
        <w:rPr>
          <w:rFonts w:hint="eastAsia" w:ascii="新宋体" w:hAnsi="新宋体" w:eastAsia="新宋体" w:cs="新宋体"/>
          <w:color w:val="auto"/>
          <w:sz w:val="22"/>
          <w:szCs w:val="22"/>
          <w:highlight w:val="none"/>
          <w:u w:val="none"/>
          <w:lang w:eastAsia="zh-CN"/>
        </w:rPr>
        <w:t>）</w:t>
      </w:r>
      <w:r>
        <w:rPr>
          <w:rFonts w:hint="eastAsia" w:ascii="新宋体" w:hAnsi="新宋体" w:eastAsia="新宋体" w:cs="新宋体"/>
          <w:color w:val="auto"/>
          <w:sz w:val="22"/>
          <w:szCs w:val="22"/>
          <w:highlight w:val="none"/>
          <w:u w:val="none"/>
        </w:rPr>
        <w:t>资格条件承诺函</w:t>
      </w:r>
      <w:r>
        <w:rPr>
          <w:rFonts w:hint="eastAsia" w:ascii="新宋体" w:hAnsi="新宋体" w:eastAsia="新宋体" w:cs="新宋体"/>
          <w:color w:val="auto"/>
          <w:sz w:val="22"/>
          <w:szCs w:val="22"/>
          <w:highlight w:val="none"/>
          <w:u w:val="none"/>
          <w:lang w:eastAsia="zh-CN"/>
        </w:rPr>
        <w:t>；</w:t>
      </w:r>
    </w:p>
    <w:p w14:paraId="0525E8A4">
      <w:pPr>
        <w:tabs>
          <w:tab w:val="left" w:pos="360"/>
        </w:tabs>
        <w:spacing w:line="460" w:lineRule="exact"/>
        <w:ind w:firstLine="440" w:firstLineChars="200"/>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w:t>
      </w:r>
      <w:r>
        <w:rPr>
          <w:rFonts w:hint="eastAsia" w:ascii="新宋体" w:hAnsi="新宋体" w:eastAsia="新宋体" w:cs="新宋体"/>
          <w:color w:val="auto"/>
          <w:sz w:val="22"/>
          <w:szCs w:val="22"/>
          <w:highlight w:val="none"/>
          <w:u w:val="none"/>
          <w:lang w:val="en-US" w:eastAsia="zh-CN"/>
        </w:rPr>
        <w:t>2</w:t>
      </w:r>
      <w:r>
        <w:rPr>
          <w:rFonts w:hint="eastAsia" w:ascii="新宋体" w:hAnsi="新宋体" w:eastAsia="新宋体" w:cs="新宋体"/>
          <w:color w:val="auto"/>
          <w:sz w:val="22"/>
          <w:szCs w:val="22"/>
          <w:highlight w:val="none"/>
          <w:u w:val="none"/>
        </w:rPr>
        <w:t>）营业执照(或事业法人登记证书或其它工商等登记证明材料；自然人参与政府采购，提供身份证)复印件；</w:t>
      </w:r>
    </w:p>
    <w:p w14:paraId="31153A8A">
      <w:pPr>
        <w:tabs>
          <w:tab w:val="left" w:pos="360"/>
        </w:tabs>
        <w:spacing w:line="460" w:lineRule="exact"/>
        <w:ind w:firstLine="440" w:firstLineChars="200"/>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2DC63A95">
      <w:pPr>
        <w:tabs>
          <w:tab w:val="left" w:pos="360"/>
        </w:tabs>
        <w:spacing w:line="460" w:lineRule="exact"/>
        <w:ind w:firstLine="440" w:firstLineChars="200"/>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lang w:val="en-US" w:eastAsia="zh-CN"/>
        </w:rPr>
        <w:t>（3）投标人信用查询；</w:t>
      </w:r>
    </w:p>
    <w:p w14:paraId="075854EF">
      <w:pPr>
        <w:tabs>
          <w:tab w:val="left" w:pos="360"/>
        </w:tabs>
        <w:spacing w:line="460" w:lineRule="exact"/>
        <w:ind w:firstLine="440" w:firstLineChars="200"/>
        <w:rPr>
          <w:rFonts w:hint="eastAsia" w:ascii="新宋体" w:hAnsi="新宋体" w:eastAsia="新宋体" w:cs="新宋体"/>
          <w:color w:val="auto"/>
          <w:sz w:val="22"/>
          <w:szCs w:val="22"/>
          <w:highlight w:val="none"/>
          <w:u w:val="none"/>
          <w:lang w:eastAsia="zh-CN"/>
        </w:rPr>
      </w:pPr>
      <w:r>
        <w:rPr>
          <w:rFonts w:hint="eastAsia" w:ascii="新宋体" w:hAnsi="新宋体" w:eastAsia="新宋体" w:cs="新宋体"/>
          <w:color w:val="auto"/>
          <w:sz w:val="22"/>
          <w:szCs w:val="22"/>
          <w:highlight w:val="none"/>
          <w:u w:val="none"/>
          <w:lang w:eastAsia="zh-CN"/>
        </w:rPr>
        <w:t>（</w:t>
      </w:r>
      <w:r>
        <w:rPr>
          <w:rFonts w:hint="eastAsia" w:ascii="新宋体" w:hAnsi="新宋体" w:eastAsia="新宋体" w:cs="新宋体"/>
          <w:color w:val="auto"/>
          <w:sz w:val="22"/>
          <w:szCs w:val="22"/>
          <w:highlight w:val="none"/>
          <w:u w:val="none"/>
          <w:lang w:val="en-US" w:eastAsia="zh-CN"/>
        </w:rPr>
        <w:t>4</w:t>
      </w:r>
      <w:r>
        <w:rPr>
          <w:rFonts w:hint="eastAsia" w:ascii="新宋体" w:hAnsi="新宋体" w:eastAsia="新宋体" w:cs="新宋体"/>
          <w:color w:val="auto"/>
          <w:sz w:val="22"/>
          <w:szCs w:val="22"/>
          <w:highlight w:val="none"/>
          <w:u w:val="none"/>
          <w:lang w:eastAsia="zh-CN"/>
        </w:rPr>
        <w:t>）</w:t>
      </w:r>
      <w:r>
        <w:rPr>
          <w:rFonts w:hint="eastAsia" w:ascii="新宋体" w:hAnsi="新宋体" w:eastAsia="新宋体" w:cs="新宋体"/>
          <w:color w:val="auto"/>
          <w:sz w:val="22"/>
          <w:szCs w:val="22"/>
          <w:highlight w:val="none"/>
          <w:u w:val="none"/>
          <w:lang w:val="en-US" w:eastAsia="zh-CN"/>
        </w:rPr>
        <w:t>落实政府采购政策需满足的资格要求证明材料：</w:t>
      </w:r>
      <w:r>
        <w:rPr>
          <w:rFonts w:hint="eastAsia" w:ascii="新宋体" w:hAnsi="新宋体" w:eastAsia="新宋体" w:cs="新宋体"/>
          <w:color w:val="auto"/>
          <w:sz w:val="22"/>
          <w:szCs w:val="22"/>
          <w:highlight w:val="none"/>
          <w:u w:val="none"/>
          <w:lang w:eastAsia="zh-CN"/>
        </w:rPr>
        <w:t>中小企业声明函、监狱企业、残疾人福利性单位及其他相关的充分的证明材料；</w:t>
      </w:r>
    </w:p>
    <w:p w14:paraId="46A442F0">
      <w:pPr>
        <w:tabs>
          <w:tab w:val="left" w:pos="360"/>
        </w:tabs>
        <w:spacing w:line="460" w:lineRule="exact"/>
        <w:ind w:firstLine="440" w:firstLineChars="200"/>
        <w:rPr>
          <w:rFonts w:hint="eastAsia" w:ascii="新宋体" w:hAnsi="新宋体" w:eastAsia="新宋体" w:cs="新宋体"/>
          <w:color w:val="auto"/>
          <w:sz w:val="22"/>
          <w:szCs w:val="22"/>
          <w:highlight w:val="none"/>
          <w:u w:val="none"/>
          <w:lang w:eastAsia="zh-CN"/>
        </w:rPr>
      </w:pPr>
      <w:r>
        <w:rPr>
          <w:rFonts w:hint="eastAsia" w:ascii="新宋体" w:hAnsi="新宋体" w:eastAsia="新宋体" w:cs="新宋体"/>
          <w:color w:val="auto"/>
          <w:sz w:val="22"/>
          <w:szCs w:val="22"/>
          <w:highlight w:val="none"/>
          <w:u w:val="none"/>
          <w:lang w:eastAsia="zh-CN"/>
        </w:rPr>
        <w:t>（</w:t>
      </w:r>
      <w:r>
        <w:rPr>
          <w:rFonts w:hint="eastAsia" w:ascii="新宋体" w:hAnsi="新宋体" w:eastAsia="新宋体" w:cs="新宋体"/>
          <w:color w:val="auto"/>
          <w:sz w:val="22"/>
          <w:szCs w:val="22"/>
          <w:highlight w:val="none"/>
          <w:u w:val="none"/>
          <w:lang w:val="en-US" w:eastAsia="zh-CN"/>
        </w:rPr>
        <w:t>5</w:t>
      </w:r>
      <w:r>
        <w:rPr>
          <w:rFonts w:hint="eastAsia" w:ascii="新宋体" w:hAnsi="新宋体" w:eastAsia="新宋体" w:cs="新宋体"/>
          <w:color w:val="auto"/>
          <w:sz w:val="22"/>
          <w:szCs w:val="22"/>
          <w:highlight w:val="none"/>
          <w:u w:val="none"/>
          <w:lang w:eastAsia="zh-CN"/>
        </w:rPr>
        <w:t>）</w:t>
      </w:r>
      <w:r>
        <w:rPr>
          <w:rFonts w:hint="eastAsia" w:ascii="新宋体" w:hAnsi="新宋体" w:eastAsia="新宋体" w:cs="新宋体"/>
          <w:color w:val="auto"/>
          <w:sz w:val="22"/>
          <w:szCs w:val="22"/>
          <w:highlight w:val="none"/>
          <w:u w:val="none"/>
        </w:rPr>
        <w:t>政府采购活动现场确认声明书</w:t>
      </w:r>
      <w:r>
        <w:rPr>
          <w:rFonts w:hint="eastAsia" w:ascii="新宋体" w:hAnsi="新宋体" w:eastAsia="新宋体" w:cs="新宋体"/>
          <w:color w:val="auto"/>
          <w:sz w:val="22"/>
          <w:szCs w:val="22"/>
          <w:highlight w:val="none"/>
          <w:u w:val="none"/>
          <w:lang w:eastAsia="zh-CN"/>
        </w:rPr>
        <w:t>；</w:t>
      </w:r>
    </w:p>
    <w:p w14:paraId="3876DB5D">
      <w:pPr>
        <w:snapToGrid w:val="0"/>
        <w:spacing w:line="460" w:lineRule="exact"/>
        <w:ind w:left="525" w:leftChars="250"/>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上述资格条件审查材料有一项不提供的，视为资格审查不通过。</w:t>
      </w:r>
    </w:p>
    <w:p w14:paraId="5F0DAA7B">
      <w:pPr>
        <w:tabs>
          <w:tab w:val="left" w:pos="360"/>
        </w:tabs>
        <w:spacing w:line="460" w:lineRule="exact"/>
        <w:ind w:firstLine="442" w:firstLineChars="200"/>
        <w:rPr>
          <w:rFonts w:hint="eastAsia" w:ascii="新宋体" w:hAnsi="新宋体" w:eastAsia="新宋体" w:cs="新宋体"/>
          <w:color w:val="auto"/>
          <w:sz w:val="22"/>
          <w:szCs w:val="22"/>
          <w:highlight w:val="none"/>
          <w:u w:val="single"/>
          <w:lang w:val="zh-CN"/>
        </w:rPr>
      </w:pPr>
      <w:r>
        <w:rPr>
          <w:rFonts w:hint="eastAsia" w:ascii="新宋体" w:hAnsi="新宋体" w:eastAsia="新宋体" w:cs="新宋体"/>
          <w:b/>
          <w:bCs/>
          <w:color w:val="auto"/>
          <w:sz w:val="22"/>
          <w:szCs w:val="22"/>
          <w:highlight w:val="none"/>
        </w:rPr>
        <w:t xml:space="preserve">3.2投标人的报价文件至少应包括以下内容： </w:t>
      </w:r>
    </w:p>
    <w:p w14:paraId="2BBA9D65">
      <w:pPr>
        <w:tabs>
          <w:tab w:val="left" w:pos="360"/>
        </w:tabs>
        <w:spacing w:line="460" w:lineRule="exact"/>
        <w:ind w:firstLine="440" w:firstLineChars="200"/>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w:t>
      </w:r>
      <w:r>
        <w:rPr>
          <w:rFonts w:hint="eastAsia" w:ascii="新宋体" w:hAnsi="新宋体" w:eastAsia="新宋体" w:cs="新宋体"/>
          <w:color w:val="auto"/>
          <w:sz w:val="22"/>
          <w:szCs w:val="22"/>
          <w:highlight w:val="none"/>
          <w:u w:val="none"/>
          <w:lang w:val="en-US" w:eastAsia="zh-CN"/>
        </w:rPr>
        <w:t>1</w:t>
      </w:r>
      <w:r>
        <w:rPr>
          <w:rFonts w:hint="eastAsia" w:ascii="新宋体" w:hAnsi="新宋体" w:eastAsia="新宋体" w:cs="新宋体"/>
          <w:color w:val="auto"/>
          <w:sz w:val="22"/>
          <w:szCs w:val="22"/>
          <w:highlight w:val="none"/>
          <w:u w:val="none"/>
        </w:rPr>
        <w:t>）投标报价一览表；</w:t>
      </w:r>
    </w:p>
    <w:p w14:paraId="1EEBF511">
      <w:pPr>
        <w:tabs>
          <w:tab w:val="left" w:pos="360"/>
        </w:tabs>
        <w:spacing w:line="460" w:lineRule="exact"/>
        <w:ind w:firstLine="440" w:firstLineChars="200"/>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w:t>
      </w:r>
      <w:r>
        <w:rPr>
          <w:rFonts w:hint="eastAsia" w:ascii="新宋体" w:hAnsi="新宋体" w:eastAsia="新宋体" w:cs="新宋体"/>
          <w:color w:val="auto"/>
          <w:sz w:val="22"/>
          <w:szCs w:val="22"/>
          <w:highlight w:val="none"/>
          <w:u w:val="none"/>
          <w:lang w:val="en-US" w:eastAsia="zh-CN"/>
        </w:rPr>
        <w:t>2</w:t>
      </w:r>
      <w:r>
        <w:rPr>
          <w:rFonts w:hint="eastAsia" w:ascii="新宋体" w:hAnsi="新宋体" w:eastAsia="新宋体" w:cs="新宋体"/>
          <w:color w:val="auto"/>
          <w:sz w:val="22"/>
          <w:szCs w:val="22"/>
          <w:highlight w:val="none"/>
          <w:u w:val="none"/>
        </w:rPr>
        <w:t>）投标分项报价表</w:t>
      </w:r>
    </w:p>
    <w:p w14:paraId="1172FF3D">
      <w:pPr>
        <w:tabs>
          <w:tab w:val="left" w:pos="360"/>
        </w:tabs>
        <w:spacing w:line="460" w:lineRule="exact"/>
        <w:ind w:firstLine="442" w:firstLineChars="200"/>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rPr>
        <w:t>3.3</w:t>
      </w:r>
      <w:r>
        <w:rPr>
          <w:rFonts w:hint="eastAsia" w:ascii="新宋体" w:hAnsi="新宋体" w:eastAsia="新宋体" w:cs="新宋体"/>
          <w:b/>
          <w:bCs/>
          <w:color w:val="auto"/>
          <w:kern w:val="0"/>
          <w:sz w:val="22"/>
          <w:szCs w:val="22"/>
          <w:highlight w:val="none"/>
          <w:lang w:val="zh-CN"/>
        </w:rPr>
        <w:t xml:space="preserve">投标人的商务技术文件应包括以下内容： </w:t>
      </w:r>
    </w:p>
    <w:p w14:paraId="4917C0F7">
      <w:pPr>
        <w:tabs>
          <w:tab w:val="left" w:pos="360"/>
        </w:tabs>
        <w:spacing w:line="460" w:lineRule="exact"/>
        <w:ind w:firstLine="440" w:firstLineChars="200"/>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（1）投标函；</w:t>
      </w:r>
    </w:p>
    <w:p w14:paraId="208A6EBB">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）法定代表人授权委托书（需提供法定代表人及授权委托人的身份证复印件加盖公章）；</w:t>
      </w:r>
    </w:p>
    <w:p w14:paraId="0D212488">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）投标人情况表</w:t>
      </w:r>
    </w:p>
    <w:p w14:paraId="49F493F7">
      <w:pPr>
        <w:tabs>
          <w:tab w:val="left" w:pos="360"/>
        </w:tabs>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zh-CN"/>
        </w:rPr>
        <w:t>偏离表（</w:t>
      </w:r>
      <w:r>
        <w:rPr>
          <w:rFonts w:hint="eastAsia" w:ascii="新宋体" w:hAnsi="新宋体" w:eastAsia="新宋体" w:cs="新宋体"/>
          <w:color w:val="auto"/>
          <w:sz w:val="22"/>
          <w:szCs w:val="22"/>
          <w:highlight w:val="none"/>
        </w:rPr>
        <w:t>商务、技术偏离</w:t>
      </w:r>
      <w:r>
        <w:rPr>
          <w:rFonts w:hint="eastAsia" w:ascii="新宋体" w:hAnsi="新宋体" w:eastAsia="新宋体" w:cs="新宋体"/>
          <w:color w:val="auto"/>
          <w:sz w:val="22"/>
          <w:szCs w:val="22"/>
          <w:highlight w:val="none"/>
          <w:lang w:val="zh-CN"/>
        </w:rPr>
        <w:t>）</w:t>
      </w:r>
    </w:p>
    <w:p w14:paraId="072C9696">
      <w:pPr>
        <w:tabs>
          <w:tab w:val="left" w:pos="360"/>
        </w:tabs>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lang w:eastAsia="zh-CN"/>
        </w:rPr>
        <w:t>）详细供货清单说明一览表</w:t>
      </w:r>
    </w:p>
    <w:p w14:paraId="2ACC040B">
      <w:pPr>
        <w:tabs>
          <w:tab w:val="left" w:pos="360"/>
        </w:tabs>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lang w:eastAsia="zh-CN"/>
        </w:rPr>
        <w:t>）备品、易损件、备件、专用工具清单（如有）</w:t>
      </w:r>
    </w:p>
    <w:p w14:paraId="006DF639">
      <w:pPr>
        <w:snapToGrid w:val="0"/>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lang w:eastAsia="zh-CN"/>
        </w:rPr>
        <w:t>）投标人业绩情况</w:t>
      </w:r>
    </w:p>
    <w:p w14:paraId="5102F2B8">
      <w:pPr>
        <w:snapToGrid w:val="0"/>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lang w:eastAsia="zh-CN"/>
        </w:rPr>
        <w:t>）所投产品参数与招标指标的符合性</w:t>
      </w:r>
    </w:p>
    <w:p w14:paraId="633B2DA1">
      <w:pPr>
        <w:snapToGrid w:val="0"/>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lang w:eastAsia="zh-CN"/>
        </w:rPr>
        <w:t>）项目实施方案</w:t>
      </w:r>
    </w:p>
    <w:p w14:paraId="4B445843">
      <w:pPr>
        <w:snapToGrid w:val="0"/>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10</w:t>
      </w:r>
      <w:r>
        <w:rPr>
          <w:rFonts w:hint="eastAsia" w:ascii="新宋体" w:hAnsi="新宋体" w:eastAsia="新宋体" w:cs="新宋体"/>
          <w:color w:val="auto"/>
          <w:sz w:val="22"/>
          <w:szCs w:val="22"/>
          <w:highlight w:val="none"/>
          <w:lang w:eastAsia="zh-CN"/>
        </w:rPr>
        <w:t>）履行能力情况</w:t>
      </w:r>
    </w:p>
    <w:p w14:paraId="00AEEA13">
      <w:pPr>
        <w:snapToGrid w:val="0"/>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11</w:t>
      </w:r>
      <w:r>
        <w:rPr>
          <w:rFonts w:hint="eastAsia" w:ascii="新宋体" w:hAnsi="新宋体" w:eastAsia="新宋体" w:cs="新宋体"/>
          <w:color w:val="auto"/>
          <w:sz w:val="22"/>
          <w:szCs w:val="22"/>
          <w:highlight w:val="none"/>
          <w:lang w:eastAsia="zh-CN"/>
        </w:rPr>
        <w:t>）售后服务承诺与保证措施</w:t>
      </w:r>
    </w:p>
    <w:p w14:paraId="5621F1A3">
      <w:pPr>
        <w:snapToGrid w:val="0"/>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12</w:t>
      </w:r>
      <w:r>
        <w:rPr>
          <w:rFonts w:hint="eastAsia" w:ascii="新宋体" w:hAnsi="新宋体" w:eastAsia="新宋体" w:cs="新宋体"/>
          <w:color w:val="auto"/>
          <w:sz w:val="22"/>
          <w:szCs w:val="22"/>
          <w:highlight w:val="none"/>
          <w:lang w:eastAsia="zh-CN"/>
        </w:rPr>
        <w:t>）培训计划</w:t>
      </w:r>
    </w:p>
    <w:p w14:paraId="78BDE697">
      <w:pPr>
        <w:snapToGrid w:val="0"/>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（13）运行成本</w:t>
      </w:r>
    </w:p>
    <w:p w14:paraId="1372C7D6">
      <w:pPr>
        <w:snapToGrid w:val="0"/>
        <w:spacing w:line="460" w:lineRule="exact"/>
        <w:ind w:firstLine="440" w:firstLineChars="200"/>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（14）维修成本</w:t>
      </w:r>
    </w:p>
    <w:p w14:paraId="591C539B">
      <w:pPr>
        <w:snapToGrid w:val="0"/>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15</w:t>
      </w:r>
      <w:r>
        <w:rPr>
          <w:rFonts w:hint="eastAsia" w:ascii="新宋体" w:hAnsi="新宋体" w:eastAsia="新宋体" w:cs="新宋体"/>
          <w:color w:val="auto"/>
          <w:sz w:val="22"/>
          <w:szCs w:val="22"/>
          <w:highlight w:val="none"/>
          <w:lang w:eastAsia="zh-CN"/>
        </w:rPr>
        <w:t>）节能环保</w:t>
      </w:r>
    </w:p>
    <w:p w14:paraId="5D40647C">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）其他必要提供的资料。</w:t>
      </w:r>
    </w:p>
    <w:p w14:paraId="6720E810">
      <w:pPr>
        <w:tabs>
          <w:tab w:val="left" w:pos="360"/>
        </w:tabs>
        <w:spacing w:line="460" w:lineRule="exact"/>
        <w:ind w:firstLine="440" w:firstLineChars="200"/>
        <w:rPr>
          <w:rFonts w:hint="eastAsia" w:ascii="新宋体" w:hAnsi="新宋体" w:eastAsia="新宋体" w:cs="新宋体"/>
          <w:b w:val="0"/>
          <w:bCs/>
          <w:color w:val="auto"/>
          <w:sz w:val="22"/>
          <w:szCs w:val="22"/>
          <w:highlight w:val="none"/>
          <w:lang w:val="zh-CN"/>
        </w:rPr>
      </w:pPr>
      <w:r>
        <w:rPr>
          <w:rFonts w:hint="eastAsia" w:ascii="新宋体" w:hAnsi="新宋体" w:eastAsia="新宋体" w:cs="新宋体"/>
          <w:b w:val="0"/>
          <w:bCs/>
          <w:color w:val="auto"/>
          <w:sz w:val="22"/>
          <w:szCs w:val="22"/>
          <w:highlight w:val="none"/>
          <w:lang w:val="zh-CN"/>
        </w:rPr>
        <w:t>投标文件中所需的各种证书、证件、证明资料如是复印件，须在复印件上加盖有效公章。</w:t>
      </w:r>
    </w:p>
    <w:p w14:paraId="62F9E309">
      <w:pPr>
        <w:tabs>
          <w:tab w:val="left" w:pos="360"/>
        </w:tabs>
        <w:spacing w:line="460" w:lineRule="exact"/>
        <w:ind w:firstLine="440" w:firstLineChars="2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lang w:val="zh-CN"/>
        </w:rPr>
        <w:t>投标人的</w:t>
      </w:r>
      <w:r>
        <w:rPr>
          <w:rFonts w:hint="eastAsia" w:ascii="新宋体" w:hAnsi="新宋体" w:eastAsia="新宋体" w:cs="新宋体"/>
          <w:b w:val="0"/>
          <w:bCs/>
          <w:color w:val="auto"/>
          <w:sz w:val="22"/>
          <w:szCs w:val="22"/>
          <w:highlight w:val="none"/>
        </w:rPr>
        <w:t>投标文件必须按照招标文件要求制作。</w:t>
      </w:r>
    </w:p>
    <w:p w14:paraId="7508C5D9">
      <w:pPr>
        <w:tabs>
          <w:tab w:val="left" w:pos="360"/>
        </w:tabs>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 w:val="0"/>
          <w:bCs/>
          <w:color w:val="auto"/>
          <w:sz w:val="22"/>
          <w:szCs w:val="22"/>
          <w:highlight w:val="none"/>
        </w:rPr>
        <w:t>投标人可在招标文件中对招标货物的技术规格和要求选用替代标准，但这些替代标准必须相当于或优于招标文件中提出的相应要求，并使招标人满意，同时在技术偏离表中作出详细说明。</w:t>
      </w:r>
    </w:p>
    <w:p w14:paraId="6EFAF37B">
      <w:pPr>
        <w:tabs>
          <w:tab w:val="left" w:pos="360"/>
        </w:tabs>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4、投标报价</w:t>
      </w:r>
    </w:p>
    <w:p w14:paraId="05BB7DA0">
      <w:pPr>
        <w:tabs>
          <w:tab w:val="left" w:pos="360"/>
        </w:tabs>
        <w:spacing w:line="460" w:lineRule="exact"/>
        <w:ind w:firstLine="442" w:firstLineChars="200"/>
        <w:rPr>
          <w:rFonts w:hint="eastAsia" w:ascii="新宋体" w:hAnsi="新宋体" w:eastAsia="新宋体" w:cs="新宋体"/>
          <w:b w:val="0"/>
          <w:bCs/>
          <w:color w:val="auto"/>
          <w:sz w:val="22"/>
          <w:szCs w:val="22"/>
          <w:highlight w:val="none"/>
        </w:rPr>
      </w:pPr>
      <w:r>
        <w:rPr>
          <w:rFonts w:hint="eastAsia" w:ascii="新宋体" w:hAnsi="新宋体" w:eastAsia="新宋体" w:cs="新宋体"/>
          <w:b/>
          <w:bCs w:val="0"/>
          <w:color w:val="auto"/>
          <w:sz w:val="22"/>
          <w:highlight w:val="none"/>
        </w:rPr>
        <w:t>4.1</w:t>
      </w:r>
      <w:r>
        <w:rPr>
          <w:rFonts w:hint="eastAsia" w:ascii="新宋体" w:hAnsi="新宋体" w:eastAsia="新宋体" w:cs="新宋体"/>
          <w:b/>
          <w:bCs/>
          <w:color w:val="auto"/>
          <w:sz w:val="22"/>
          <w:highlight w:val="none"/>
        </w:rPr>
        <w:t>报价</w:t>
      </w:r>
      <w:r>
        <w:rPr>
          <w:rFonts w:hint="eastAsia" w:ascii="新宋体" w:hAnsi="新宋体" w:eastAsia="新宋体" w:cs="新宋体"/>
          <w:b/>
          <w:color w:val="auto"/>
          <w:sz w:val="22"/>
          <w:highlight w:val="none"/>
        </w:rPr>
        <w:t>是指</w:t>
      </w:r>
      <w:r>
        <w:rPr>
          <w:rFonts w:hint="eastAsia" w:ascii="新宋体" w:hAnsi="新宋体" w:eastAsia="新宋体" w:cs="新宋体"/>
          <w:b/>
          <w:bCs/>
          <w:color w:val="auto"/>
          <w:sz w:val="22"/>
          <w:szCs w:val="22"/>
          <w:highlight w:val="none"/>
        </w:rPr>
        <w:t>设备的供货、税金、包装、运输、保险、装卸、验收（含第三方验收）、第三方检定/校准费用、技术服务、售后服务、质保期保障、材料费等完成合同所需的一切本身和不可或缺的所有工作开支、政策性文件规定及合同包含的所有风险、责任等各项全部费用</w:t>
      </w:r>
      <w:r>
        <w:rPr>
          <w:rFonts w:hint="eastAsia" w:ascii="新宋体" w:hAnsi="新宋体" w:eastAsia="新宋体" w:cs="新宋体"/>
          <w:color w:val="auto"/>
          <w:sz w:val="22"/>
          <w:highlight w:val="none"/>
        </w:rPr>
        <w:t>，</w:t>
      </w:r>
      <w:r>
        <w:rPr>
          <w:rFonts w:hint="eastAsia" w:ascii="新宋体" w:hAnsi="新宋体" w:eastAsia="新宋体" w:cs="新宋体"/>
          <w:b/>
          <w:bCs/>
          <w:color w:val="auto"/>
          <w:sz w:val="22"/>
          <w:highlight w:val="none"/>
        </w:rPr>
        <w:t>投标供应商应根据上述因素自行考虑含入投标报价。</w:t>
      </w:r>
    </w:p>
    <w:p w14:paraId="16EACF20">
      <w:pPr>
        <w:tabs>
          <w:tab w:val="left" w:pos="360"/>
        </w:tabs>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4.2投标人必须按附件中的投标报价一览表、投标分项报价表内容填写价格，并由投标人代表签署。</w:t>
      </w:r>
    </w:p>
    <w:p w14:paraId="57EB529B">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4.3</w:t>
      </w:r>
      <w:r>
        <w:rPr>
          <w:rFonts w:hint="eastAsia" w:ascii="新宋体" w:hAnsi="新宋体" w:eastAsia="新宋体" w:cs="新宋体"/>
          <w:b w:val="0"/>
          <w:bCs w:val="0"/>
          <w:color w:val="auto"/>
          <w:sz w:val="22"/>
          <w:highlight w:val="none"/>
        </w:rPr>
        <w:t>投标货币以人民币进行投标</w:t>
      </w:r>
      <w:r>
        <w:rPr>
          <w:rFonts w:hint="eastAsia" w:ascii="新宋体" w:hAnsi="新宋体" w:eastAsia="新宋体" w:cs="新宋体"/>
          <w:b w:val="0"/>
          <w:bCs w:val="0"/>
          <w:color w:val="auto"/>
          <w:sz w:val="22"/>
          <w:szCs w:val="22"/>
          <w:highlight w:val="none"/>
        </w:rPr>
        <w:t>。</w:t>
      </w:r>
    </w:p>
    <w:p w14:paraId="63F9AE4E">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4.4</w:t>
      </w:r>
      <w:r>
        <w:rPr>
          <w:rFonts w:hint="eastAsia" w:ascii="新宋体" w:hAnsi="新宋体" w:eastAsia="新宋体" w:cs="新宋体"/>
          <w:b w:val="0"/>
          <w:bCs w:val="0"/>
          <w:color w:val="auto"/>
          <w:sz w:val="22"/>
          <w:highlight w:val="none"/>
        </w:rPr>
        <w:t>招标人和招标代理机构不接受任何选择投标，对任何</w:t>
      </w:r>
      <w:r>
        <w:rPr>
          <w:rFonts w:hint="eastAsia" w:ascii="新宋体" w:hAnsi="新宋体" w:eastAsia="新宋体" w:cs="新宋体"/>
          <w:b w:val="0"/>
          <w:bCs w:val="0"/>
          <w:color w:val="auto"/>
          <w:sz w:val="22"/>
          <w:highlight w:val="none"/>
          <w:lang w:val="en-US" w:eastAsia="zh-CN"/>
        </w:rPr>
        <w:t>货物或</w:t>
      </w:r>
      <w:r>
        <w:rPr>
          <w:rFonts w:hint="eastAsia" w:ascii="新宋体" w:hAnsi="新宋体" w:eastAsia="新宋体" w:cs="新宋体"/>
          <w:b w:val="0"/>
          <w:bCs w:val="0"/>
          <w:color w:val="auto"/>
          <w:sz w:val="22"/>
          <w:highlight w:val="none"/>
        </w:rPr>
        <w:t>服务只允许一个价格。</w:t>
      </w:r>
    </w:p>
    <w:p w14:paraId="7C8CDBB1">
      <w:pPr>
        <w:tabs>
          <w:tab w:val="left" w:pos="360"/>
        </w:tabs>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4.5招标人和</w:t>
      </w:r>
      <w:r>
        <w:rPr>
          <w:rFonts w:hint="eastAsia" w:ascii="新宋体" w:hAnsi="新宋体" w:eastAsia="新宋体" w:cs="新宋体"/>
          <w:color w:val="auto"/>
          <w:sz w:val="22"/>
          <w:highlight w:val="none"/>
        </w:rPr>
        <w:t>招标代理机构</w:t>
      </w:r>
      <w:r>
        <w:rPr>
          <w:rFonts w:hint="eastAsia" w:ascii="新宋体" w:hAnsi="新宋体" w:eastAsia="新宋体" w:cs="新宋体"/>
          <w:color w:val="auto"/>
          <w:sz w:val="22"/>
          <w:szCs w:val="22"/>
          <w:highlight w:val="none"/>
        </w:rPr>
        <w:t>要求分类报价是为了方便评标，但在任何情况下不限制招标人以其认为最合适的条款、条件签订合同的权利。</w:t>
      </w:r>
    </w:p>
    <w:p w14:paraId="5E3DF3E5">
      <w:pPr>
        <w:tabs>
          <w:tab w:val="left" w:pos="360"/>
        </w:tabs>
        <w:spacing w:line="460" w:lineRule="exact"/>
        <w:ind w:firstLine="440" w:firstLineChars="2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4.6投标报价报出后，投标人不得以任何理由予以变更。任何包含价格调整的要求，将被认为是非实质性响应投标而予以否决。</w:t>
      </w:r>
    </w:p>
    <w:p w14:paraId="161BD337">
      <w:pPr>
        <w:tabs>
          <w:tab w:val="left" w:pos="360"/>
        </w:tabs>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val="0"/>
          <w:bCs/>
          <w:color w:val="auto"/>
          <w:sz w:val="22"/>
          <w:szCs w:val="22"/>
          <w:highlight w:val="none"/>
        </w:rPr>
        <w:t>4.7最低报价不能作为中标的保证。</w:t>
      </w:r>
    </w:p>
    <w:p w14:paraId="77689486">
      <w:pPr>
        <w:tabs>
          <w:tab w:val="left" w:pos="360"/>
        </w:tabs>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5、投标有效期</w:t>
      </w:r>
    </w:p>
    <w:p w14:paraId="2FDAE734">
      <w:pPr>
        <w:tabs>
          <w:tab w:val="left" w:pos="360"/>
        </w:tabs>
        <w:spacing w:line="460" w:lineRule="exact"/>
        <w:ind w:firstLine="440" w:firstLineChars="2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5.1自开标之日起</w:t>
      </w:r>
      <w:r>
        <w:rPr>
          <w:rFonts w:hint="eastAsia" w:ascii="新宋体" w:hAnsi="新宋体" w:eastAsia="新宋体" w:cs="新宋体"/>
          <w:b w:val="0"/>
          <w:bCs/>
          <w:color w:val="auto"/>
          <w:sz w:val="22"/>
          <w:szCs w:val="22"/>
          <w:highlight w:val="none"/>
          <w:lang w:val="en-US" w:eastAsia="zh-CN"/>
        </w:rPr>
        <w:t>90</w:t>
      </w:r>
      <w:r>
        <w:rPr>
          <w:rFonts w:hint="eastAsia" w:ascii="新宋体" w:hAnsi="新宋体" w:eastAsia="新宋体" w:cs="新宋体"/>
          <w:b w:val="0"/>
          <w:bCs/>
          <w:color w:val="auto"/>
          <w:sz w:val="22"/>
          <w:szCs w:val="22"/>
          <w:highlight w:val="none"/>
        </w:rPr>
        <w:t>天内投标应保持有效。</w:t>
      </w:r>
    </w:p>
    <w:p w14:paraId="50812063">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14:paraId="0E764989">
      <w:pPr>
        <w:tabs>
          <w:tab w:val="left" w:pos="360"/>
        </w:tabs>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6、投标保证金</w:t>
      </w:r>
    </w:p>
    <w:p w14:paraId="4C8764FC">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无。</w:t>
      </w:r>
    </w:p>
    <w:p w14:paraId="39598A5C">
      <w:pPr>
        <w:tabs>
          <w:tab w:val="left" w:pos="360"/>
        </w:tabs>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7、投标文件编制</w:t>
      </w:r>
    </w:p>
    <w:p w14:paraId="52CDA420">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u w:val="none"/>
        </w:rPr>
      </w:pPr>
      <w:r>
        <w:rPr>
          <w:rFonts w:hint="eastAsia" w:ascii="新宋体" w:hAnsi="新宋体" w:eastAsia="新宋体" w:cs="新宋体"/>
          <w:b w:val="0"/>
          <w:bCs w:val="0"/>
          <w:color w:val="auto"/>
          <w:sz w:val="22"/>
          <w:szCs w:val="22"/>
          <w:highlight w:val="none"/>
          <w:u w:val="none"/>
        </w:rPr>
        <w:t>7.1本项目通过“政府采购云平台（http://zfcg.czt.zj.gov.cn）”实行在线投标响应（电子投标）。供应商应通过“政采云电子交易客户端”，并按照本招标文件和“政府采购云平台”的要求编制并加密投标文件。</w:t>
      </w:r>
    </w:p>
    <w:p w14:paraId="541B292F">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u w:val="none"/>
        </w:rPr>
      </w:pPr>
      <w:r>
        <w:rPr>
          <w:rFonts w:hint="eastAsia" w:ascii="新宋体" w:hAnsi="新宋体" w:eastAsia="新宋体" w:cs="新宋体"/>
          <w:b w:val="0"/>
          <w:bCs w:val="0"/>
          <w:color w:val="auto"/>
          <w:sz w:val="22"/>
          <w:szCs w:val="22"/>
          <w:highlight w:val="none"/>
          <w:u w:val="none"/>
        </w:rPr>
        <w:t>7.2投标人应当按照本章节 “投标文件的构成”规定的内容及顺序在“政采云电子交易客户端”编制投标文件。其中《资格文件》和《商务技术文件》中不得出现本项目投标报价。</w:t>
      </w:r>
    </w:p>
    <w:p w14:paraId="1CF7EDBB">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u w:val="none"/>
        </w:rPr>
      </w:pPr>
      <w:r>
        <w:rPr>
          <w:rFonts w:hint="eastAsia" w:ascii="新宋体" w:hAnsi="新宋体" w:eastAsia="新宋体" w:cs="新宋体"/>
          <w:b w:val="0"/>
          <w:bCs w:val="0"/>
          <w:color w:val="auto"/>
          <w:sz w:val="22"/>
          <w:szCs w:val="22"/>
          <w:highlight w:val="none"/>
          <w:u w:val="none"/>
        </w:rPr>
        <w:t>7.3本文件《附件》中有提供格式的，投标人须参照格式进行编制（格式中要求提供相关证明材料的还需后附相关证明材料），并按格式要求在指定位置根据要求进行签章，否则视为未提供；本文件《附件》未提供格式的，请各投标人自行拟定格式，并加盖单位公章并由法定代表人或其授权代表签署（签字或盖章），否则视为未提供。</w:t>
      </w:r>
    </w:p>
    <w:p w14:paraId="1135C91A">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u w:val="none"/>
        </w:rPr>
      </w:pPr>
      <w:r>
        <w:rPr>
          <w:rFonts w:hint="eastAsia" w:ascii="新宋体" w:hAnsi="新宋体" w:eastAsia="新宋体" w:cs="新宋体"/>
          <w:b w:val="0"/>
          <w:bCs w:val="0"/>
          <w:color w:val="auto"/>
          <w:sz w:val="22"/>
          <w:szCs w:val="22"/>
          <w:highlight w:val="none"/>
          <w:u w:val="none"/>
        </w:rPr>
        <w:t>7.4《投标文件》内容不完整、编排混乱导致《投标文件》被误读、漏读或者查找不到相关内容的，投标人自行负责。</w:t>
      </w:r>
    </w:p>
    <w:p w14:paraId="327CAB34">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u w:val="none"/>
        </w:rPr>
      </w:pPr>
      <w:r>
        <w:rPr>
          <w:rFonts w:hint="eastAsia" w:ascii="新宋体" w:hAnsi="新宋体" w:eastAsia="新宋体" w:cs="新宋体"/>
          <w:b w:val="0"/>
          <w:bCs w:val="0"/>
          <w:color w:val="auto"/>
          <w:sz w:val="22"/>
          <w:szCs w:val="22"/>
          <w:highlight w:val="none"/>
          <w:u w:val="none"/>
        </w:rPr>
        <w:t>7.5《投标文件》因字迹潦草或表达不清所引起的后果由投标人负责。</w:t>
      </w:r>
    </w:p>
    <w:p w14:paraId="51076C2E">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u w:val="none"/>
        </w:rPr>
      </w:pPr>
      <w:r>
        <w:rPr>
          <w:rFonts w:hint="eastAsia" w:ascii="新宋体" w:hAnsi="新宋体" w:eastAsia="新宋体" w:cs="新宋体"/>
          <w:b w:val="0"/>
          <w:bCs w:val="0"/>
          <w:color w:val="auto"/>
          <w:sz w:val="22"/>
          <w:szCs w:val="22"/>
          <w:highlight w:val="none"/>
          <w:u w:val="none"/>
        </w:rPr>
        <w:t>7.6投标人没有按照本章节 “投标文件的构成”要求提供全部资料，或者没有仔细阅读招标文件，或者没有对招标文件在各方面的要求作出实质性响应是投标人的风险，由此造成的一切后果由投标人自行承担。</w:t>
      </w:r>
    </w:p>
    <w:p w14:paraId="1ED8EB88">
      <w:pPr>
        <w:tabs>
          <w:tab w:val="left" w:pos="360"/>
        </w:tabs>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8、投标文件的签章</w:t>
      </w:r>
    </w:p>
    <w:p w14:paraId="3D53E5F8">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8.1《投标文件》的签章：见《前附表》；</w:t>
      </w:r>
    </w:p>
    <w:p w14:paraId="60ED6D6C">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8.2《投标文件》应由投标人法定代表人或其授权代表签字（或盖章），并时加盖投标人公章。</w:t>
      </w:r>
    </w:p>
    <w:p w14:paraId="68B45F44">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8.3电子签章操作指南详见采购公告附件《供应商项目采购-电子招投标操作指南》。</w:t>
      </w:r>
    </w:p>
    <w:p w14:paraId="4C85C54D">
      <w:pPr>
        <w:tabs>
          <w:tab w:val="left" w:pos="360"/>
        </w:tabs>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9、投标文件的形式</w:t>
      </w:r>
    </w:p>
    <w:p w14:paraId="4344FA03">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9.1投标文件的形式：见《前附表》；</w:t>
      </w:r>
    </w:p>
    <w:p w14:paraId="01EB3425">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9.2“电子加密投标文件”：“电子加密投标文件”是指通过“政采云电子交易客户端”完成投标文件编制后生成并加密的数据电文形式的投标文件。</w:t>
      </w:r>
    </w:p>
    <w:p w14:paraId="569AF163">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14:paraId="0D8A7110">
      <w:pPr>
        <w:tabs>
          <w:tab w:val="left" w:pos="360"/>
        </w:tabs>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10、投标文件的份数</w:t>
      </w:r>
    </w:p>
    <w:p w14:paraId="3D474CB9">
      <w:pPr>
        <w:tabs>
          <w:tab w:val="left" w:pos="360"/>
        </w:tabs>
        <w:spacing w:line="460" w:lineRule="exact"/>
        <w:ind w:firstLine="440"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val="0"/>
          <w:bCs w:val="0"/>
          <w:color w:val="auto"/>
          <w:sz w:val="22"/>
          <w:szCs w:val="22"/>
          <w:highlight w:val="none"/>
        </w:rPr>
        <w:t>10.1投标文件的份数：见《前附表》。</w:t>
      </w:r>
    </w:p>
    <w:p w14:paraId="42400EA1">
      <w:pPr>
        <w:spacing w:before="100" w:beforeAutospacing="1" w:after="100" w:afterAutospacing="1" w:line="440" w:lineRule="exact"/>
        <w:jc w:val="center"/>
        <w:outlineLvl w:val="1"/>
        <w:rPr>
          <w:rFonts w:hint="eastAsia" w:ascii="新宋体" w:hAnsi="新宋体" w:eastAsia="新宋体" w:cs="新宋体"/>
          <w:b/>
          <w:bCs/>
          <w:color w:val="auto"/>
          <w:sz w:val="22"/>
          <w:szCs w:val="22"/>
          <w:highlight w:val="none"/>
        </w:rPr>
      </w:pPr>
      <w:bookmarkStart w:id="16" w:name="_Toc349"/>
      <w:bookmarkStart w:id="17" w:name="_Toc15422"/>
      <w:r>
        <w:rPr>
          <w:rFonts w:hint="eastAsia" w:ascii="新宋体" w:hAnsi="新宋体" w:eastAsia="新宋体" w:cs="新宋体"/>
          <w:b/>
          <w:bCs/>
          <w:color w:val="auto"/>
          <w:sz w:val="22"/>
          <w:szCs w:val="22"/>
          <w:highlight w:val="none"/>
        </w:rPr>
        <w:t>四、 投标文件的递交</w:t>
      </w:r>
      <w:bookmarkEnd w:id="16"/>
      <w:bookmarkEnd w:id="17"/>
    </w:p>
    <w:p w14:paraId="311BB58B">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1、投标文件的上传和递交</w:t>
      </w:r>
    </w:p>
    <w:p w14:paraId="6E9B6C5E">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1.1“投标文件”的上传、递交：见《前附表》。</w:t>
      </w:r>
    </w:p>
    <w:p w14:paraId="3C993264">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2、“电子加密投标文件”解密和异常情况处理</w:t>
      </w:r>
    </w:p>
    <w:p w14:paraId="0DD0B654">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2.1“电子加密投标文件”解密：见《前附表》。</w:t>
      </w:r>
    </w:p>
    <w:p w14:paraId="07680AD4">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3、投标文件的补充、修改或撤回</w:t>
      </w:r>
    </w:p>
    <w:p w14:paraId="6D61DF8F">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5803CE09">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3.2投标截止时间后，投标人不得撤回、修改《投标文件》。</w:t>
      </w:r>
    </w:p>
    <w:p w14:paraId="0F9F6013">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4、投标文件的备选方案</w:t>
      </w:r>
    </w:p>
    <w:p w14:paraId="27BA0E95">
      <w:pPr>
        <w:tabs>
          <w:tab w:val="left" w:pos="360"/>
        </w:tabs>
        <w:spacing w:line="460" w:lineRule="exact"/>
        <w:ind w:firstLine="440"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4.1投标人不得递交任何的投标备选（替代）方案，否则其投标文件将作无效标处理。与“电子加密投标文件”同时生成的“备份投标文件”不是投标备选（替代）方案。</w:t>
      </w:r>
    </w:p>
    <w:p w14:paraId="3C337A31">
      <w:pPr>
        <w:spacing w:before="100" w:beforeAutospacing="1" w:after="100" w:afterAutospacing="1" w:line="460" w:lineRule="exact"/>
        <w:jc w:val="center"/>
        <w:outlineLvl w:val="1"/>
        <w:rPr>
          <w:rFonts w:hint="eastAsia" w:ascii="新宋体" w:hAnsi="新宋体" w:eastAsia="新宋体" w:cs="新宋体"/>
          <w:b/>
          <w:bCs/>
          <w:color w:val="auto"/>
          <w:sz w:val="22"/>
          <w:szCs w:val="22"/>
          <w:highlight w:val="none"/>
        </w:rPr>
      </w:pPr>
      <w:bookmarkStart w:id="18" w:name="_Toc30172"/>
      <w:bookmarkStart w:id="19" w:name="_Toc225"/>
      <w:r>
        <w:rPr>
          <w:rFonts w:hint="eastAsia" w:ascii="新宋体" w:hAnsi="新宋体" w:eastAsia="新宋体" w:cs="新宋体"/>
          <w:b/>
          <w:bCs/>
          <w:color w:val="auto"/>
          <w:sz w:val="22"/>
          <w:szCs w:val="22"/>
          <w:highlight w:val="none"/>
        </w:rPr>
        <w:t>五、 开标和评标</w:t>
      </w:r>
      <w:bookmarkEnd w:id="18"/>
      <w:bookmarkEnd w:id="19"/>
    </w:p>
    <w:p w14:paraId="73DBCD4B">
      <w:pPr>
        <w:tabs>
          <w:tab w:val="left" w:pos="360"/>
        </w:tabs>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1、评标委员会</w:t>
      </w:r>
    </w:p>
    <w:p w14:paraId="24305609">
      <w:pPr>
        <w:tabs>
          <w:tab w:val="left" w:pos="360"/>
        </w:tabs>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招标人和招标代理机构组建评标委员会。评标委员会的成员在评标过程中必须严格遵守《政府采购法》等有关法律、法规的规定。</w:t>
      </w:r>
    </w:p>
    <w:p w14:paraId="4164B15A">
      <w:pPr>
        <w:tabs>
          <w:tab w:val="left" w:pos="360"/>
        </w:tabs>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2、评标过程的保密性</w:t>
      </w:r>
    </w:p>
    <w:p w14:paraId="345F09C4">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开标后直至向中标人授予合同时止，凡与评审有关的资料均不得向投标人及与评标无关人员透露。如果投标人在评标过程中试图向招标人和招标代理机构施加影响，其投标将被拒绝。</w:t>
      </w:r>
    </w:p>
    <w:p w14:paraId="4A73F28A">
      <w:pPr>
        <w:tabs>
          <w:tab w:val="left" w:pos="360"/>
        </w:tabs>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3、开标形式</w:t>
      </w:r>
    </w:p>
    <w:p w14:paraId="61C3BEA7">
      <w:pPr>
        <w:tabs>
          <w:tab w:val="left" w:pos="360"/>
        </w:tabs>
        <w:spacing w:line="460" w:lineRule="exact"/>
        <w:ind w:firstLine="440" w:firstLineChars="2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采购组织机构将按照招标文件规定的时间通过“政府采购云平台”组织开标、开启投标文件，所有供应商均应当准时(在线)参加。</w:t>
      </w:r>
    </w:p>
    <w:p w14:paraId="7CE1CAC6">
      <w:pPr>
        <w:tabs>
          <w:tab w:val="left" w:pos="360"/>
        </w:tabs>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4、开标准备</w:t>
      </w:r>
    </w:p>
    <w:p w14:paraId="413A657E">
      <w:pPr>
        <w:tabs>
          <w:tab w:val="left" w:pos="360"/>
        </w:tabs>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4.1开标的准备工作由采购组织机构负责落实；</w:t>
      </w:r>
    </w:p>
    <w:p w14:paraId="4F65C05E">
      <w:pPr>
        <w:tabs>
          <w:tab w:val="left" w:pos="360"/>
        </w:tabs>
        <w:spacing w:line="460" w:lineRule="exact"/>
        <w:ind w:firstLine="440" w:firstLineChars="200"/>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rPr>
        <w:t>4.2</w:t>
      </w:r>
      <w:r>
        <w:rPr>
          <w:rFonts w:hint="eastAsia" w:ascii="新宋体" w:hAnsi="新宋体" w:eastAsia="新宋体" w:cs="新宋体"/>
          <w:b w:val="0"/>
          <w:bCs w:val="0"/>
          <w:color w:val="auto"/>
          <w:sz w:val="22"/>
          <w:szCs w:val="22"/>
          <w:highlight w:val="none"/>
        </w:rPr>
        <w:t>采购组织机构将按照招标文件规定的时间通过“政府采购云平台”组织开标、开启投标文件，所有供应商均应当准时(在线)参加。</w:t>
      </w:r>
      <w:r>
        <w:rPr>
          <w:rFonts w:hint="eastAsia" w:ascii="新宋体" w:hAnsi="新宋体" w:eastAsia="新宋体" w:cs="新宋体"/>
          <w:b w:val="0"/>
          <w:bCs w:val="0"/>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14:paraId="2E301E65">
      <w:pPr>
        <w:tabs>
          <w:tab w:val="left" w:pos="360"/>
        </w:tabs>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5、开标流程</w:t>
      </w:r>
    </w:p>
    <w:p w14:paraId="5BF30E7A">
      <w:pPr>
        <w:tabs>
          <w:tab w:val="left" w:pos="360"/>
        </w:tabs>
        <w:spacing w:line="460" w:lineRule="exact"/>
        <w:ind w:firstLine="440" w:firstLineChars="200"/>
        <w:rPr>
          <w:rFonts w:hint="eastAsia" w:ascii="新宋体" w:hAnsi="新宋体" w:eastAsia="新宋体" w:cs="新宋体"/>
          <w:b w:val="0"/>
          <w:bCs/>
          <w:color w:val="auto"/>
          <w:kern w:val="0"/>
          <w:sz w:val="22"/>
          <w:szCs w:val="22"/>
          <w:highlight w:val="none"/>
        </w:rPr>
      </w:pPr>
      <w:r>
        <w:rPr>
          <w:rFonts w:hint="eastAsia" w:ascii="新宋体" w:hAnsi="新宋体" w:eastAsia="新宋体" w:cs="新宋体"/>
          <w:b w:val="0"/>
          <w:bCs/>
          <w:color w:val="auto"/>
          <w:kern w:val="0"/>
          <w:sz w:val="22"/>
          <w:szCs w:val="22"/>
          <w:highlight w:val="none"/>
        </w:rPr>
        <w:t>5.1开标、评标</w:t>
      </w:r>
    </w:p>
    <w:p w14:paraId="150C2E2E">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14:paraId="7A35B87C">
      <w:pPr>
        <w:tabs>
          <w:tab w:val="left" w:pos="360"/>
        </w:tabs>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投标人不足3家的，不得开标。</w:t>
      </w:r>
    </w:p>
    <w:p w14:paraId="31D1A78A">
      <w:pPr>
        <w:tabs>
          <w:tab w:val="left" w:pos="360"/>
        </w:tabs>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（2）解密成功后，开启投标人的《报价文件》，由供应商对自己报价文件相关内容进行签字确认，（不予确认的应说明理由，否则视为无异议）。</w:t>
      </w:r>
    </w:p>
    <w:p w14:paraId="266E5731">
      <w:pPr>
        <w:tabs>
          <w:tab w:val="left" w:pos="360"/>
        </w:tabs>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（3）开启《投标文件》，进入资格审查；</w:t>
      </w:r>
      <w:r>
        <w:rPr>
          <w:rFonts w:hint="eastAsia" w:ascii="新宋体" w:hAnsi="新宋体" w:eastAsia="新宋体" w:cs="新宋体"/>
          <w:bCs/>
          <w:color w:val="auto"/>
          <w:sz w:val="22"/>
          <w:szCs w:val="22"/>
          <w:highlight w:val="none"/>
        </w:rPr>
        <w:t>合格投标人不足3家的，不得评标。</w:t>
      </w:r>
    </w:p>
    <w:p w14:paraId="484A7906">
      <w:pPr>
        <w:tabs>
          <w:tab w:val="left" w:pos="360"/>
        </w:tabs>
        <w:spacing w:line="460" w:lineRule="exact"/>
        <w:ind w:firstLine="440" w:firstLineChars="200"/>
        <w:rPr>
          <w:rFonts w:hint="eastAsia" w:ascii="新宋体" w:hAnsi="新宋体" w:eastAsia="新宋体" w:cs="新宋体"/>
          <w:b w:val="0"/>
          <w:bCs/>
          <w:color w:val="auto"/>
          <w:kern w:val="0"/>
          <w:sz w:val="22"/>
          <w:szCs w:val="22"/>
          <w:highlight w:val="none"/>
        </w:rPr>
      </w:pPr>
      <w:r>
        <w:rPr>
          <w:rFonts w:hint="eastAsia" w:ascii="新宋体" w:hAnsi="新宋体" w:eastAsia="新宋体" w:cs="新宋体"/>
          <w:b w:val="0"/>
          <w:bCs/>
          <w:color w:val="auto"/>
          <w:kern w:val="0"/>
          <w:sz w:val="22"/>
          <w:szCs w:val="22"/>
          <w:highlight w:val="none"/>
        </w:rPr>
        <w:t>备注：开标大会的结束后，招标人或采购代理机构将对依法对投标人的资格进行审查，资格审查结束后进入符合性审查和商务技术的评审工作，具体见本章节“投标人资格审查”相关规定。</w:t>
      </w:r>
    </w:p>
    <w:p w14:paraId="473A9BB7">
      <w:pPr>
        <w:tabs>
          <w:tab w:val="left" w:pos="360"/>
        </w:tabs>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rPr>
        <w:t>（4）开启资格审查通过的投标人的商务技术文件进入符合性审查，</w:t>
      </w:r>
      <w:r>
        <w:rPr>
          <w:rFonts w:hint="eastAsia" w:ascii="新宋体" w:hAnsi="新宋体" w:eastAsia="新宋体" w:cs="新宋体"/>
          <w:bCs/>
          <w:color w:val="auto"/>
          <w:sz w:val="22"/>
          <w:szCs w:val="22"/>
          <w:highlight w:val="none"/>
        </w:rPr>
        <w:t>以确定其是否满足招标文件的实质性要求，合格投标人不足3家的，不得评标。</w:t>
      </w:r>
    </w:p>
    <w:p w14:paraId="6EAD3FA4">
      <w:pPr>
        <w:tabs>
          <w:tab w:val="left" w:pos="360"/>
        </w:tabs>
        <w:spacing w:line="460" w:lineRule="exact"/>
        <w:ind w:firstLine="442"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
          <w:bCs w:val="0"/>
          <w:color w:val="auto"/>
          <w:sz w:val="22"/>
          <w:szCs w:val="22"/>
          <w:highlight w:val="none"/>
        </w:rPr>
        <w:t>没有满足招标文件的实质性要求的投标作无效标处理。</w:t>
      </w:r>
      <w:r>
        <w:rPr>
          <w:rFonts w:hint="eastAsia" w:ascii="新宋体" w:hAnsi="新宋体" w:eastAsia="新宋体" w:cs="新宋体"/>
          <w:bCs/>
          <w:color w:val="auto"/>
          <w:sz w:val="22"/>
          <w:szCs w:val="22"/>
          <w:highlight w:val="none"/>
        </w:rPr>
        <w:t>评标委员会决定投标的实质性要求只根据投标文件本身的内容，而不寻求外部的证据。投标人不得通过修正或撤消不合要求的偏离或保留从而使其投标成为实质上响应的投标。</w:t>
      </w:r>
    </w:p>
    <w:p w14:paraId="4CFFDDDF">
      <w:pPr>
        <w:tabs>
          <w:tab w:val="left" w:pos="360"/>
        </w:tabs>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（5）对通过资格审查、符合性审查的合格供应商进行商务技术部分的评审。</w:t>
      </w:r>
    </w:p>
    <w:p w14:paraId="2090B7A1">
      <w:pPr>
        <w:tabs>
          <w:tab w:val="left" w:pos="360"/>
        </w:tabs>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（6）评标委员会对报价的合理性、准确性等进行审查核实。</w:t>
      </w:r>
    </w:p>
    <w:p w14:paraId="0D2510D5">
      <w:pPr>
        <w:tabs>
          <w:tab w:val="left" w:pos="360"/>
        </w:tabs>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（7）评审结束后，公布中标（成交）候选供应商名单及招标人最终确定中标或成交供应商名单的时间和公告方式等，未在场的投标人通过发送邮件形式通知。</w:t>
      </w:r>
    </w:p>
    <w:p w14:paraId="5678ECC0">
      <w:pPr>
        <w:tabs>
          <w:tab w:val="left" w:pos="360"/>
        </w:tabs>
        <w:spacing w:line="460" w:lineRule="exact"/>
        <w:ind w:firstLine="442" w:firstLineChars="20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特别说明：如遇“政府采购云平台”电子化开标或评审程序调整的，按调整后程序执行。</w:t>
      </w:r>
    </w:p>
    <w:p w14:paraId="28840FBD">
      <w:pPr>
        <w:tabs>
          <w:tab w:val="left" w:pos="360"/>
        </w:tabs>
        <w:spacing w:line="460" w:lineRule="exact"/>
        <w:ind w:firstLine="440" w:firstLineChars="200"/>
        <w:rPr>
          <w:rFonts w:hint="eastAsia" w:ascii="新宋体" w:hAnsi="新宋体" w:eastAsia="新宋体" w:cs="新宋体"/>
          <w:color w:val="auto"/>
          <w:sz w:val="22"/>
          <w:szCs w:val="22"/>
          <w:highlight w:val="none"/>
        </w:rPr>
      </w:pPr>
      <w:bookmarkStart w:id="20" w:name="_Toc24550037"/>
      <w:bookmarkStart w:id="21" w:name="_Toc33194393"/>
      <w:r>
        <w:rPr>
          <w:rFonts w:hint="eastAsia" w:ascii="新宋体" w:hAnsi="新宋体" w:eastAsia="新宋体" w:cs="新宋体"/>
          <w:color w:val="auto"/>
          <w:sz w:val="22"/>
          <w:szCs w:val="22"/>
          <w:highlight w:val="none"/>
        </w:rPr>
        <w:t>6、投标人资格审查</w:t>
      </w:r>
      <w:bookmarkEnd w:id="20"/>
      <w:bookmarkEnd w:id="21"/>
    </w:p>
    <w:p w14:paraId="37061D2D">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6.1开标大会结束后，招标人或采购代理机构首先依法对各投标人的资格进行审查，审查各投标人的资格是否满足招标文件的要求。招</w:t>
      </w:r>
      <w:r>
        <w:rPr>
          <w:rFonts w:hint="eastAsia" w:ascii="新宋体" w:hAnsi="新宋体" w:eastAsia="新宋体" w:cs="新宋体"/>
          <w:color w:val="auto"/>
          <w:sz w:val="22"/>
          <w:szCs w:val="22"/>
          <w:highlight w:val="none"/>
        </w:rPr>
        <w:t>标人或采购代理机构对投标人所提交的资格证明材料仅负审核的责任。如发现投标人所提交的资格证明材料不合法或与事实不符，招标人可取消其中标资格并追究投标人的法律责任。</w:t>
      </w:r>
    </w:p>
    <w:p w14:paraId="2DE6D285">
      <w:pPr>
        <w:tabs>
          <w:tab w:val="left" w:pos="360"/>
        </w:tabs>
        <w:spacing w:line="460" w:lineRule="exact"/>
        <w:ind w:firstLine="440" w:firstLineChars="200"/>
        <w:rPr>
          <w:rFonts w:hint="eastAsia" w:ascii="新宋体" w:hAnsi="新宋体" w:eastAsia="新宋体" w:cs="新宋体"/>
          <w:b w:val="0"/>
          <w:bCs/>
          <w:color w:val="auto"/>
          <w:kern w:val="0"/>
          <w:sz w:val="22"/>
          <w:szCs w:val="22"/>
          <w:highlight w:val="none"/>
        </w:rPr>
      </w:pPr>
      <w:r>
        <w:rPr>
          <w:rFonts w:hint="eastAsia" w:ascii="新宋体" w:hAnsi="新宋体" w:eastAsia="新宋体" w:cs="新宋体"/>
          <w:b w:val="0"/>
          <w:bCs/>
          <w:color w:val="auto"/>
          <w:sz w:val="22"/>
          <w:szCs w:val="22"/>
          <w:highlight w:val="none"/>
        </w:rPr>
        <w:t>6.2投标人提交的资格证明材料无法证明其符合招标文件规定的“投标人资格要求”的，招标人或采购代理机构</w:t>
      </w:r>
      <w:r>
        <w:rPr>
          <w:rFonts w:hint="eastAsia" w:ascii="新宋体" w:hAnsi="新宋体" w:eastAsia="新宋体" w:cs="新宋体"/>
          <w:b w:val="0"/>
          <w:bCs/>
          <w:color w:val="auto"/>
          <w:kern w:val="0"/>
          <w:sz w:val="22"/>
          <w:szCs w:val="22"/>
          <w:highlight w:val="none"/>
        </w:rPr>
        <w:t>将对其作资格审查不通过处理（无效投标），并不再将其投标提交评标委员会进行后续评审。</w:t>
      </w:r>
    </w:p>
    <w:p w14:paraId="3ABE54CA">
      <w:pPr>
        <w:tabs>
          <w:tab w:val="left" w:pos="360"/>
        </w:tabs>
        <w:spacing w:line="460" w:lineRule="exact"/>
        <w:ind w:firstLine="440" w:firstLineChars="2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6</w:t>
      </w:r>
      <w:r>
        <w:rPr>
          <w:rFonts w:hint="eastAsia" w:ascii="新宋体" w:hAnsi="新宋体" w:eastAsia="新宋体" w:cs="新宋体"/>
          <w:b w:val="0"/>
          <w:bCs/>
          <w:color w:val="auto"/>
          <w:kern w:val="0"/>
          <w:sz w:val="22"/>
          <w:szCs w:val="22"/>
          <w:highlight w:val="none"/>
        </w:rPr>
        <w:t>.3单位负责人为同一人或者存在直接控股、管理关系的不同供应商参加同一合同项下的政府采购活动的，相关投标人均作资格无效处理。</w:t>
      </w:r>
    </w:p>
    <w:p w14:paraId="46424BAA">
      <w:pPr>
        <w:tabs>
          <w:tab w:val="left" w:pos="360"/>
        </w:tabs>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7、评标委员按照招标文件中规定的评标方法和标准，对投标文件进行商务和技术评估，综合比较与评价。</w:t>
      </w:r>
    </w:p>
    <w:p w14:paraId="2B29B182">
      <w:pPr>
        <w:tabs>
          <w:tab w:val="left" w:pos="360"/>
        </w:tabs>
        <w:spacing w:line="460" w:lineRule="exact"/>
        <w:ind w:firstLine="442" w:firstLineChars="200"/>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rPr>
        <w:t>8、投标人存在下列情况之一的，投标无效：</w:t>
      </w:r>
    </w:p>
    <w:p w14:paraId="68787516">
      <w:pPr>
        <w:tabs>
          <w:tab w:val="left" w:pos="360"/>
        </w:tabs>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（1）投标文件未按招标文件要求签署、盖章的；</w:t>
      </w:r>
    </w:p>
    <w:p w14:paraId="47DAE874">
      <w:pPr>
        <w:tabs>
          <w:tab w:val="left" w:pos="360"/>
        </w:tabs>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（2）不具备招标文件中规定的资格要求的； </w:t>
      </w:r>
    </w:p>
    <w:p w14:paraId="69A3AD7F">
      <w:pPr>
        <w:tabs>
          <w:tab w:val="left" w:pos="360"/>
        </w:tabs>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（3）明显不符合招标文件中主要技术规格、技术标准的；</w:t>
      </w:r>
    </w:p>
    <w:p w14:paraId="6A449719">
      <w:pPr>
        <w:tabs>
          <w:tab w:val="left" w:pos="360"/>
        </w:tabs>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（4）投标文件内容不全或关键字迹模糊无法辨认的；</w:t>
      </w:r>
    </w:p>
    <w:p w14:paraId="6CF64E70">
      <w:pPr>
        <w:tabs>
          <w:tab w:val="left" w:pos="360"/>
        </w:tabs>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（5）报价超过招标文件中规定的预算金额的；</w:t>
      </w:r>
    </w:p>
    <w:p w14:paraId="218D8767">
      <w:pPr>
        <w:tabs>
          <w:tab w:val="left" w:pos="360"/>
        </w:tabs>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（6）投标人代表没有法定代表人合法、有效委托的；</w:t>
      </w:r>
    </w:p>
    <w:p w14:paraId="055C829A">
      <w:pPr>
        <w:tabs>
          <w:tab w:val="left" w:pos="360"/>
        </w:tabs>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（7）投标文件存在一个或一个以上备选（替代）投标方案的；</w:t>
      </w:r>
    </w:p>
    <w:p w14:paraId="10D308DE">
      <w:pPr>
        <w:tabs>
          <w:tab w:val="left" w:pos="360"/>
        </w:tabs>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（8）仅提交“备份投标文件”的；</w:t>
      </w:r>
    </w:p>
    <w:p w14:paraId="6F4C9476">
      <w:pPr>
        <w:tabs>
          <w:tab w:val="left" w:pos="360"/>
        </w:tabs>
        <w:spacing w:line="460" w:lineRule="exact"/>
        <w:ind w:firstLine="440" w:firstLineChars="200"/>
        <w:rPr>
          <w:rFonts w:hint="eastAsia" w:ascii="新宋体" w:hAnsi="新宋体" w:eastAsia="新宋体" w:cs="新宋体"/>
          <w:b w:val="0"/>
          <w:bCs/>
          <w:color w:val="auto"/>
          <w:sz w:val="22"/>
          <w:szCs w:val="22"/>
          <w:highlight w:val="none"/>
          <w:u w:val="none"/>
        </w:rPr>
      </w:pPr>
      <w:r>
        <w:rPr>
          <w:rFonts w:hint="eastAsia" w:ascii="新宋体" w:hAnsi="新宋体" w:eastAsia="新宋体" w:cs="新宋体"/>
          <w:b w:val="0"/>
          <w:bCs/>
          <w:color w:val="auto"/>
          <w:sz w:val="22"/>
          <w:szCs w:val="22"/>
          <w:highlight w:val="none"/>
          <w:u w:val="none"/>
        </w:rPr>
        <w:t>（</w:t>
      </w:r>
      <w:r>
        <w:rPr>
          <w:rFonts w:hint="eastAsia" w:ascii="新宋体" w:hAnsi="新宋体" w:eastAsia="新宋体" w:cs="新宋体"/>
          <w:b w:val="0"/>
          <w:bCs/>
          <w:color w:val="auto"/>
          <w:sz w:val="22"/>
          <w:szCs w:val="22"/>
          <w:highlight w:val="none"/>
          <w:u w:val="none"/>
          <w:lang w:val="en-US" w:eastAsia="zh-CN"/>
        </w:rPr>
        <w:t>9</w:t>
      </w:r>
      <w:r>
        <w:rPr>
          <w:rFonts w:hint="eastAsia" w:ascii="新宋体" w:hAnsi="新宋体" w:eastAsia="新宋体" w:cs="新宋体"/>
          <w:b w:val="0"/>
          <w:bCs/>
          <w:color w:val="auto"/>
          <w:sz w:val="22"/>
          <w:szCs w:val="22"/>
          <w:highlight w:val="none"/>
          <w:u w:val="none"/>
        </w:rPr>
        <w:t>）未提供食品药品监督管理部门核发的完整有效的医疗器械注册或备案证明，或提供的医疗器械注册或备案证明不足以证明所投</w:t>
      </w:r>
      <w:r>
        <w:rPr>
          <w:rFonts w:hint="eastAsia" w:ascii="新宋体" w:hAnsi="新宋体" w:eastAsia="新宋体" w:cs="新宋体"/>
          <w:b w:val="0"/>
          <w:bCs/>
          <w:color w:val="auto"/>
          <w:sz w:val="22"/>
          <w:szCs w:val="22"/>
          <w:highlight w:val="none"/>
          <w:u w:val="none"/>
          <w:lang w:val="en-US" w:eastAsia="zh-CN"/>
        </w:rPr>
        <w:t>设备</w:t>
      </w:r>
      <w:r>
        <w:rPr>
          <w:rFonts w:hint="eastAsia" w:ascii="新宋体" w:hAnsi="新宋体" w:eastAsia="新宋体" w:cs="新宋体"/>
          <w:b w:val="0"/>
          <w:bCs/>
          <w:color w:val="auto"/>
          <w:sz w:val="22"/>
          <w:szCs w:val="22"/>
          <w:highlight w:val="none"/>
          <w:u w:val="none"/>
        </w:rPr>
        <w:t>可合法销售（适用于医疗器械）；</w:t>
      </w:r>
    </w:p>
    <w:p w14:paraId="2A47F94E">
      <w:pPr>
        <w:tabs>
          <w:tab w:val="left" w:pos="360"/>
        </w:tabs>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10</w:t>
      </w:r>
      <w:r>
        <w:rPr>
          <w:rFonts w:hint="eastAsia" w:ascii="新宋体" w:hAnsi="新宋体" w:eastAsia="新宋体" w:cs="新宋体"/>
          <w:bCs/>
          <w:color w:val="auto"/>
          <w:sz w:val="22"/>
          <w:szCs w:val="22"/>
          <w:highlight w:val="none"/>
        </w:rPr>
        <w:t>）投标文件含有招标人不能接受的附加条件的；</w:t>
      </w:r>
    </w:p>
    <w:p w14:paraId="2C00D468">
      <w:pPr>
        <w:tabs>
          <w:tab w:val="left" w:pos="360"/>
        </w:tabs>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en-US" w:eastAsia="zh-CN"/>
        </w:rPr>
        <w:t>1</w:t>
      </w:r>
      <w:r>
        <w:rPr>
          <w:rFonts w:hint="eastAsia" w:ascii="新宋体" w:hAnsi="新宋体" w:eastAsia="新宋体" w:cs="新宋体"/>
          <w:bCs/>
          <w:color w:val="auto"/>
          <w:sz w:val="22"/>
          <w:szCs w:val="22"/>
          <w:highlight w:val="none"/>
        </w:rPr>
        <w:t>）法律、法规和招标文件规定的其他无效情形。</w:t>
      </w:r>
    </w:p>
    <w:p w14:paraId="2C4FE257">
      <w:pPr>
        <w:tabs>
          <w:tab w:val="left" w:pos="360"/>
        </w:tabs>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9、有下列情形之一的，视为投标人串通投标，其投标无效</w:t>
      </w:r>
    </w:p>
    <w:p w14:paraId="66D0995E">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（1）不同投标人的投标文件由同一单位或者个人编制；</w:t>
      </w:r>
    </w:p>
    <w:p w14:paraId="5F9BA18E">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（2）不同投标人委托同一单位或者个人办理投标事宜；</w:t>
      </w:r>
    </w:p>
    <w:p w14:paraId="762762D1">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（3）不同投标人的投标文件载明的项目管理成员或者联系人员为同一人；</w:t>
      </w:r>
    </w:p>
    <w:p w14:paraId="672EA37F">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（4）不同投标人的投标文件异常一致或者投标报价呈规律性差异；</w:t>
      </w:r>
    </w:p>
    <w:p w14:paraId="0DCF8A82">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（5）不同投标人的投标文件相互混装。</w:t>
      </w:r>
    </w:p>
    <w:p w14:paraId="0B5344AA">
      <w:pPr>
        <w:tabs>
          <w:tab w:val="left" w:pos="360"/>
        </w:tabs>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10、投标文件报价出现前后不一致的，按照下列规定修正：</w:t>
      </w:r>
    </w:p>
    <w:p w14:paraId="49DD99C7">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（1）系统上传的投标文件中开标一览表（报价表）（加盖公章）内容与投标文件中相应内容不一致的，以系统上传的投标文件中开标一览表（报价表）（加盖公章）为准；</w:t>
      </w:r>
    </w:p>
    <w:p w14:paraId="6C2637C1">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（2）大写金额和小写金额不一致的，以大写金额为准；</w:t>
      </w:r>
    </w:p>
    <w:p w14:paraId="49E8C304">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（3）单价金额小数点或者百分比有明显错位的，以开标一览表的总价为准，并修改单价；</w:t>
      </w:r>
    </w:p>
    <w:p w14:paraId="4B18FB3E">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（4）总价金额与按单价汇总金额不一致的，以单价金额计算结果为准。</w:t>
      </w:r>
    </w:p>
    <w:p w14:paraId="7A104439">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14:paraId="2F7051C5">
      <w:pPr>
        <w:tabs>
          <w:tab w:val="left" w:pos="360"/>
        </w:tabs>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14:paraId="6F696013">
      <w:pPr>
        <w:tabs>
          <w:tab w:val="left" w:pos="360"/>
        </w:tabs>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12、投标文件的澄清</w:t>
      </w:r>
    </w:p>
    <w:p w14:paraId="7EF96A36">
      <w:pPr>
        <w:tabs>
          <w:tab w:val="left" w:pos="360"/>
        </w:tabs>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14:paraId="5DD08B87">
      <w:pPr>
        <w:tabs>
          <w:tab w:val="left" w:pos="360"/>
        </w:tabs>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14:paraId="6443E313">
      <w:pPr>
        <w:tabs>
          <w:tab w:val="left" w:pos="360"/>
        </w:tabs>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拒不按要求对其投标文件进行澄清，说明或补正的投标人，评标委员会可以否决其投标。</w:t>
      </w:r>
    </w:p>
    <w:p w14:paraId="3EB3113E">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12.2经澄清后，若偏差仍存在，且不可接受，投标人则被认为是“没有实质性响应招标文件要求”，其投标将被拒绝。</w:t>
      </w:r>
    </w:p>
    <w:p w14:paraId="05660AB0">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13、评审结果的修改</w:t>
      </w:r>
    </w:p>
    <w:p w14:paraId="182E5812">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13.1评标结果汇总完成后，除下列情形外，任何人不得修改评标结果：</w:t>
      </w:r>
    </w:p>
    <w:p w14:paraId="2E745384">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（1）分值汇总计算错误的；</w:t>
      </w:r>
    </w:p>
    <w:p w14:paraId="6E7E07C4">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（2）分项评分超出评分标准范围的；</w:t>
      </w:r>
    </w:p>
    <w:p w14:paraId="6B99D9EF">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（3）评标委员会成员对客观评审因素评分不一致的；</w:t>
      </w:r>
    </w:p>
    <w:p w14:paraId="6D7B3549">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（4）经评标委员会认定评分畸高、畸低的。</w:t>
      </w:r>
    </w:p>
    <w:p w14:paraId="2E884A37">
      <w:pPr>
        <w:tabs>
          <w:tab w:val="left" w:pos="360"/>
        </w:tabs>
        <w:spacing w:line="460" w:lineRule="exact"/>
        <w:ind w:firstLine="440" w:firstLineChars="200"/>
        <w:rPr>
          <w:rFonts w:hint="eastAsia" w:ascii="新宋体" w:hAnsi="新宋体" w:eastAsia="新宋体" w:cs="新宋体"/>
          <w:b w:val="0"/>
          <w:bCs/>
          <w:color w:val="auto"/>
          <w:highlight w:val="none"/>
        </w:rPr>
      </w:pPr>
      <w:r>
        <w:rPr>
          <w:rFonts w:hint="eastAsia" w:ascii="新宋体" w:hAnsi="新宋体" w:eastAsia="新宋体" w:cs="新宋体"/>
          <w:bCs/>
          <w:color w:val="auto"/>
          <w:sz w:val="22"/>
          <w:szCs w:val="22"/>
          <w:highlight w:val="none"/>
        </w:rPr>
        <w:t>13.2书面评标报告签署前，经复核发现存在以上情形之一的，评标委员会将当场修改评标结果，并</w:t>
      </w:r>
      <w:r>
        <w:rPr>
          <w:rFonts w:hint="eastAsia" w:ascii="新宋体" w:hAnsi="新宋体" w:eastAsia="新宋体" w:cs="新宋体"/>
          <w:b w:val="0"/>
          <w:bCs/>
          <w:color w:val="auto"/>
          <w:sz w:val="22"/>
          <w:szCs w:val="22"/>
          <w:highlight w:val="none"/>
        </w:rPr>
        <w:t>在评标报告中记载。</w:t>
      </w:r>
    </w:p>
    <w:p w14:paraId="61418E18">
      <w:pPr>
        <w:tabs>
          <w:tab w:val="left" w:pos="360"/>
        </w:tabs>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14</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14:paraId="1406C319">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14.1由评标委员会确定中标候选人。</w:t>
      </w:r>
    </w:p>
    <w:p w14:paraId="02034068">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14.2评标委员会依据法律、法规及招标文件有关规定按评审后得分（即商务技术分与报价分之和）由高到低顺序排序，得分前二名的投标人确定为该项目的第一和第二中标候选人（得分相同的，按投标报价由低到高顺序排列。得分且投标报价相同的并列。）向招标人推荐。</w:t>
      </w:r>
    </w:p>
    <w:p w14:paraId="26CFC5B4">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15、确定中标人</w:t>
      </w:r>
    </w:p>
    <w:p w14:paraId="07DB909F">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15.1招标人按照书面评标报告中推荐的中标候选投标人顺序确定</w:t>
      </w:r>
      <w:r>
        <w:rPr>
          <w:rFonts w:hint="eastAsia" w:ascii="新宋体" w:hAnsi="新宋体" w:eastAsia="新宋体" w:cs="新宋体"/>
          <w:b w:val="0"/>
          <w:bCs w:val="0"/>
          <w:color w:val="auto"/>
          <w:sz w:val="22"/>
          <w:szCs w:val="22"/>
          <w:highlight w:val="none"/>
          <w:lang w:val="en-US" w:eastAsia="zh-CN"/>
        </w:rPr>
        <w:t>中标人</w:t>
      </w:r>
      <w:r>
        <w:rPr>
          <w:rFonts w:hint="eastAsia" w:ascii="新宋体" w:hAnsi="新宋体" w:eastAsia="新宋体" w:cs="新宋体"/>
          <w:b w:val="0"/>
          <w:bCs w:val="0"/>
          <w:color w:val="auto"/>
          <w:sz w:val="22"/>
          <w:szCs w:val="22"/>
          <w:highlight w:val="none"/>
        </w:rPr>
        <w:t>；也可以事先授权评标委员会按照推荐的中标候选投标人顺序直接确定</w:t>
      </w:r>
      <w:r>
        <w:rPr>
          <w:rFonts w:hint="eastAsia" w:ascii="新宋体" w:hAnsi="新宋体" w:eastAsia="新宋体" w:cs="新宋体"/>
          <w:b w:val="0"/>
          <w:bCs w:val="0"/>
          <w:color w:val="auto"/>
          <w:sz w:val="22"/>
          <w:szCs w:val="22"/>
          <w:highlight w:val="none"/>
          <w:lang w:val="en-US" w:eastAsia="zh-CN"/>
        </w:rPr>
        <w:t>中标人</w:t>
      </w:r>
      <w:r>
        <w:rPr>
          <w:rFonts w:hint="eastAsia" w:ascii="新宋体" w:hAnsi="新宋体" w:eastAsia="新宋体" w:cs="新宋体"/>
          <w:b w:val="0"/>
          <w:bCs w:val="0"/>
          <w:color w:val="auto"/>
          <w:sz w:val="22"/>
          <w:szCs w:val="22"/>
          <w:highlight w:val="none"/>
        </w:rPr>
        <w:t>。中标候选人并列的，由评标委员会全体成员记名投票按少数服从多数的原则确定排名。</w:t>
      </w:r>
    </w:p>
    <w:p w14:paraId="20A33780">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14:paraId="1C82BA51">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16、起草、签署评审报告</w:t>
      </w:r>
    </w:p>
    <w:p w14:paraId="25EE4767">
      <w:pPr>
        <w:tabs>
          <w:tab w:val="left" w:pos="360"/>
        </w:tabs>
        <w:spacing w:line="460" w:lineRule="exact"/>
        <w:ind w:firstLine="440"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1EF3FCAA">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中标人确定后，招标人将在政府指定媒体公告中标结果，招标人向中标人发出中标通知书。</w:t>
      </w:r>
    </w:p>
    <w:p w14:paraId="5C0E074E">
      <w:pPr>
        <w:tabs>
          <w:tab w:val="left" w:pos="360"/>
        </w:tabs>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18、招标人对决标结果不做任何解释，也不保证最低价中标。</w:t>
      </w:r>
    </w:p>
    <w:p w14:paraId="7D1E4AFF">
      <w:pPr>
        <w:tabs>
          <w:tab w:val="left" w:pos="360"/>
        </w:tabs>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val="0"/>
          <w:bCs w:val="0"/>
          <w:color w:val="auto"/>
          <w:sz w:val="22"/>
          <w:szCs w:val="22"/>
          <w:highlight w:val="none"/>
        </w:rPr>
        <w:t>19、评标细则详见“评标原则及方法”。</w:t>
      </w:r>
    </w:p>
    <w:p w14:paraId="150EDB5F">
      <w:pPr>
        <w:spacing w:before="100" w:beforeAutospacing="1" w:after="100" w:afterAutospacing="1" w:line="440" w:lineRule="exact"/>
        <w:jc w:val="center"/>
        <w:outlineLvl w:val="1"/>
        <w:rPr>
          <w:rFonts w:hint="eastAsia" w:ascii="新宋体" w:hAnsi="新宋体" w:eastAsia="新宋体" w:cs="新宋体"/>
          <w:b/>
          <w:bCs/>
          <w:color w:val="auto"/>
          <w:sz w:val="26"/>
          <w:szCs w:val="26"/>
          <w:highlight w:val="none"/>
        </w:rPr>
      </w:pPr>
      <w:bookmarkStart w:id="22" w:name="_Toc26836"/>
      <w:bookmarkStart w:id="23" w:name="_Toc16545"/>
      <w:r>
        <w:rPr>
          <w:rFonts w:hint="eastAsia" w:ascii="新宋体" w:hAnsi="新宋体" w:eastAsia="新宋体" w:cs="新宋体"/>
          <w:b/>
          <w:bCs/>
          <w:color w:val="auto"/>
          <w:sz w:val="26"/>
          <w:szCs w:val="26"/>
          <w:highlight w:val="none"/>
        </w:rPr>
        <w:t>六、 授予合同</w:t>
      </w:r>
      <w:bookmarkEnd w:id="22"/>
      <w:bookmarkEnd w:id="23"/>
    </w:p>
    <w:p w14:paraId="27B1FEE3">
      <w:pPr>
        <w:tabs>
          <w:tab w:val="left" w:pos="360"/>
        </w:tabs>
        <w:spacing w:line="460" w:lineRule="exact"/>
        <w:ind w:firstLine="440" w:firstLineChars="2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highlight w:val="none"/>
        </w:rPr>
        <w:t>1、中标通知书</w:t>
      </w:r>
    </w:p>
    <w:p w14:paraId="3050981C">
      <w:pPr>
        <w:tabs>
          <w:tab w:val="left" w:pos="360"/>
        </w:tabs>
        <w:spacing w:line="460" w:lineRule="exact"/>
        <w:ind w:firstLine="440" w:firstLineChars="2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 xml:space="preserve">1.1中标人确定后，招标人将向中标人发出中标通知书。 </w:t>
      </w:r>
    </w:p>
    <w:p w14:paraId="567DFFC5">
      <w:pPr>
        <w:tabs>
          <w:tab w:val="left" w:pos="360"/>
        </w:tabs>
        <w:spacing w:line="460" w:lineRule="exact"/>
        <w:ind w:firstLine="440" w:firstLineChars="2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1.2中标通知书是合同的一个组成部分,对招标人和中标人均具有同等法律效力。</w:t>
      </w:r>
    </w:p>
    <w:p w14:paraId="4A0D6685">
      <w:pPr>
        <w:tabs>
          <w:tab w:val="left" w:pos="360"/>
        </w:tabs>
        <w:spacing w:line="460" w:lineRule="exact"/>
        <w:ind w:firstLine="440" w:firstLineChars="2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highlight w:val="none"/>
        </w:rPr>
        <w:t>2、授标时更改采购货物数量的权力</w:t>
      </w:r>
    </w:p>
    <w:p w14:paraId="5D41308A">
      <w:pPr>
        <w:tabs>
          <w:tab w:val="left" w:pos="360"/>
        </w:tabs>
        <w:spacing w:line="460" w:lineRule="exact"/>
        <w:ind w:firstLine="440" w:firstLineChars="2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2.1招标人在授予合同时有权对采购货物的数量和服务在一定幅度范围内予以增加或减少,但不得对单价和其他的条款和条件作任何改变。</w:t>
      </w:r>
    </w:p>
    <w:p w14:paraId="0B419D24">
      <w:pPr>
        <w:tabs>
          <w:tab w:val="left" w:pos="360"/>
        </w:tabs>
        <w:spacing w:line="460" w:lineRule="exact"/>
        <w:ind w:firstLine="440" w:firstLineChars="2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highlight w:val="none"/>
        </w:rPr>
        <w:t>3、签订合同</w:t>
      </w:r>
    </w:p>
    <w:p w14:paraId="2ADCF665">
      <w:pPr>
        <w:tabs>
          <w:tab w:val="left" w:pos="360"/>
        </w:tabs>
        <w:spacing w:line="460" w:lineRule="exact"/>
        <w:ind w:firstLine="440" w:firstLineChars="2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3.1中标人应按中标通知书规定的时间、地点与招标人签订合同。</w:t>
      </w:r>
    </w:p>
    <w:p w14:paraId="4E54276C">
      <w:pPr>
        <w:tabs>
          <w:tab w:val="left" w:pos="360"/>
        </w:tabs>
        <w:spacing w:line="460" w:lineRule="exact"/>
        <w:ind w:firstLine="440" w:firstLineChars="2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3.2</w:t>
      </w:r>
      <w:r>
        <w:rPr>
          <w:rFonts w:hint="eastAsia" w:ascii="新宋体" w:hAnsi="新宋体" w:eastAsia="新宋体" w:cs="新宋体"/>
          <w:b w:val="0"/>
          <w:bCs/>
          <w:color w:val="auto"/>
          <w:spacing w:val="6"/>
          <w:sz w:val="22"/>
          <w:szCs w:val="22"/>
          <w:highlight w:val="none"/>
        </w:rPr>
        <w:t>在签订合同前，招标人有权在中标总价不变的前提下要求中标人对商务报价中的不平衡报价和缺漏项进行调整，如果中标人无合理理由拒绝调整，其中投标资格将被取消，保证金将不予退还，且将导致其它进一步的赔偿和处罚。</w:t>
      </w:r>
    </w:p>
    <w:p w14:paraId="3CFE6009">
      <w:pPr>
        <w:tabs>
          <w:tab w:val="left" w:pos="360"/>
        </w:tabs>
        <w:spacing w:line="460" w:lineRule="exact"/>
        <w:ind w:firstLine="440" w:firstLineChars="2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3.3招标文件、中标人的投标文件、投标修改文件、评标过程中有关澄清文件及经投标人和评委双方签字的询标纪要和中标通知书均作为合同附件。</w:t>
      </w:r>
    </w:p>
    <w:p w14:paraId="7E4589C4">
      <w:pPr>
        <w:tabs>
          <w:tab w:val="left" w:pos="360"/>
        </w:tabs>
        <w:spacing w:line="460" w:lineRule="exact"/>
        <w:ind w:firstLine="440" w:firstLineChars="2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3.4拒签合同的违约责任</w:t>
      </w:r>
    </w:p>
    <w:p w14:paraId="50858F7F">
      <w:pPr>
        <w:tabs>
          <w:tab w:val="left" w:pos="360"/>
        </w:tabs>
        <w:spacing w:line="460" w:lineRule="exact"/>
        <w:ind w:firstLine="464" w:firstLineChars="200"/>
        <w:rPr>
          <w:rFonts w:hint="eastAsia" w:ascii="新宋体" w:hAnsi="新宋体" w:eastAsia="新宋体" w:cs="新宋体"/>
          <w:b w:val="0"/>
          <w:bCs/>
          <w:color w:val="auto"/>
          <w:spacing w:val="6"/>
          <w:sz w:val="22"/>
          <w:szCs w:val="22"/>
          <w:highlight w:val="none"/>
        </w:rPr>
      </w:pPr>
      <w:r>
        <w:rPr>
          <w:rFonts w:hint="eastAsia" w:ascii="新宋体" w:hAnsi="新宋体" w:eastAsia="新宋体" w:cs="新宋体"/>
          <w:b w:val="0"/>
          <w:bCs/>
          <w:color w:val="auto"/>
          <w:spacing w:val="6"/>
          <w:sz w:val="22"/>
          <w:szCs w:val="22"/>
          <w:highlight w:val="none"/>
        </w:rPr>
        <w:t>中标人接到中标通知书后，在规定时间内借故否认已经承诺的条件而拒签合同的，以违约处理。</w:t>
      </w:r>
    </w:p>
    <w:p w14:paraId="761CCC45">
      <w:pPr>
        <w:tabs>
          <w:tab w:val="left" w:pos="360"/>
        </w:tabs>
        <w:spacing w:line="460" w:lineRule="exact"/>
        <w:ind w:firstLine="440" w:firstLineChars="2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highlight w:val="none"/>
          <w:lang w:val="en-US" w:eastAsia="zh-CN"/>
        </w:rPr>
        <w:t>4</w:t>
      </w:r>
      <w:r>
        <w:rPr>
          <w:rFonts w:hint="eastAsia" w:ascii="新宋体" w:hAnsi="新宋体" w:eastAsia="新宋体" w:cs="新宋体"/>
          <w:b w:val="0"/>
          <w:bCs/>
          <w:color w:val="auto"/>
          <w:sz w:val="22"/>
          <w:highlight w:val="none"/>
        </w:rPr>
        <w:t>、质疑与投诉</w:t>
      </w:r>
    </w:p>
    <w:p w14:paraId="618BE4A9">
      <w:pPr>
        <w:tabs>
          <w:tab w:val="left" w:pos="360"/>
        </w:tabs>
        <w:spacing w:line="460" w:lineRule="exact"/>
        <w:ind w:firstLine="464" w:firstLineChars="200"/>
        <w:rPr>
          <w:rFonts w:hint="eastAsia" w:ascii="新宋体" w:hAnsi="新宋体" w:eastAsia="新宋体" w:cs="新宋体"/>
          <w:b w:val="0"/>
          <w:bCs/>
          <w:color w:val="auto"/>
          <w:sz w:val="22"/>
          <w:highlight w:val="none"/>
          <w:lang w:val="en-US" w:eastAsia="zh-CN"/>
        </w:rPr>
      </w:pPr>
      <w:r>
        <w:rPr>
          <w:rFonts w:hint="eastAsia" w:ascii="新宋体" w:hAnsi="新宋体" w:eastAsia="新宋体" w:cs="新宋体"/>
          <w:b w:val="0"/>
          <w:bCs/>
          <w:color w:val="auto"/>
          <w:spacing w:val="6"/>
          <w:sz w:val="22"/>
          <w:szCs w:val="22"/>
          <w:highlight w:val="none"/>
          <w:lang w:val="en-US" w:eastAsia="zh-CN"/>
        </w:rPr>
        <w:t>4</w:t>
      </w:r>
      <w:r>
        <w:rPr>
          <w:rFonts w:hint="eastAsia" w:ascii="新宋体" w:hAnsi="新宋体" w:eastAsia="新宋体" w:cs="新宋体"/>
          <w:b w:val="0"/>
          <w:bCs/>
          <w:color w:val="auto"/>
          <w:spacing w:val="6"/>
          <w:sz w:val="22"/>
          <w:szCs w:val="22"/>
          <w:highlight w:val="none"/>
        </w:rPr>
        <w:t>.1</w:t>
      </w:r>
      <w:r>
        <w:rPr>
          <w:rFonts w:hint="eastAsia" w:ascii="新宋体" w:hAnsi="新宋体" w:eastAsia="新宋体" w:cs="新宋体"/>
          <w:b/>
          <w:bCs w:val="0"/>
          <w:color w:val="auto"/>
          <w:sz w:val="22"/>
          <w:highlight w:val="none"/>
          <w:lang w:val="en-US" w:eastAsia="zh-CN"/>
        </w:rPr>
        <w:t>特别提醒：</w:t>
      </w:r>
      <w:r>
        <w:rPr>
          <w:rFonts w:hint="eastAsia" w:ascii="新宋体" w:hAnsi="新宋体" w:eastAsia="新宋体" w:cs="新宋体"/>
          <w:color w:val="auto"/>
          <w:sz w:val="22"/>
          <w:highlight w:val="none"/>
          <w:lang w:val="en-US" w:eastAsia="zh-CN"/>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w:t>
      </w:r>
      <w:r>
        <w:rPr>
          <w:rFonts w:hint="eastAsia" w:ascii="新宋体" w:hAnsi="新宋体" w:eastAsia="新宋体" w:cs="新宋体"/>
          <w:bCs/>
          <w:color w:val="auto"/>
          <w:sz w:val="22"/>
          <w:highlight w:val="none"/>
          <w:lang w:eastAsia="zh-CN"/>
        </w:rPr>
        <w:t>，</w:t>
      </w:r>
      <w:r>
        <w:rPr>
          <w:rFonts w:hint="eastAsia" w:ascii="新宋体" w:hAnsi="新宋体" w:eastAsia="新宋体" w:cs="新宋体"/>
          <w:b w:val="0"/>
          <w:bCs/>
          <w:color w:val="auto"/>
          <w:sz w:val="22"/>
          <w:highlight w:val="none"/>
          <w:lang w:val="en-US" w:eastAsia="zh-CN"/>
        </w:rPr>
        <w:t>供应商在法定质疑期内应一次性提出针对同一采购程序环节的质疑，</w:t>
      </w:r>
      <w:r>
        <w:rPr>
          <w:rFonts w:hint="eastAsia" w:ascii="新宋体" w:hAnsi="新宋体" w:eastAsia="新宋体" w:cs="新宋体"/>
          <w:bCs/>
          <w:color w:val="auto"/>
          <w:sz w:val="22"/>
          <w:highlight w:val="none"/>
          <w:lang w:val="en-US" w:eastAsia="zh-CN"/>
        </w:rPr>
        <w:t>否则</w:t>
      </w:r>
      <w:r>
        <w:rPr>
          <w:rFonts w:hint="eastAsia" w:ascii="新宋体" w:hAnsi="新宋体" w:eastAsia="新宋体" w:cs="新宋体"/>
          <w:color w:val="auto"/>
          <w:sz w:val="22"/>
          <w:szCs w:val="22"/>
          <w:highlight w:val="none"/>
        </w:rPr>
        <w:t>不予受理、答复</w:t>
      </w:r>
      <w:r>
        <w:rPr>
          <w:rFonts w:hint="eastAsia" w:ascii="新宋体" w:hAnsi="新宋体" w:eastAsia="新宋体" w:cs="新宋体"/>
          <w:bCs/>
          <w:color w:val="auto"/>
          <w:sz w:val="22"/>
          <w:highlight w:val="none"/>
          <w:lang w:val="en-US" w:eastAsia="zh-CN"/>
        </w:rPr>
        <w:t>。</w:t>
      </w:r>
    </w:p>
    <w:p w14:paraId="45206E78">
      <w:pPr>
        <w:tabs>
          <w:tab w:val="left" w:pos="360"/>
        </w:tabs>
        <w:spacing w:line="460" w:lineRule="exact"/>
        <w:ind w:firstLine="440" w:firstLineChars="2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highlight w:val="none"/>
          <w:lang w:val="en-US" w:eastAsia="zh-CN"/>
        </w:rPr>
        <w:t>4</w:t>
      </w:r>
      <w:r>
        <w:rPr>
          <w:rFonts w:hint="eastAsia" w:ascii="新宋体" w:hAnsi="新宋体" w:eastAsia="新宋体" w:cs="新宋体"/>
          <w:b w:val="0"/>
          <w:bCs/>
          <w:color w:val="auto"/>
          <w:sz w:val="22"/>
          <w:highlight w:val="none"/>
        </w:rPr>
        <w:t>.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14:paraId="0AF886D8">
      <w:pPr>
        <w:tabs>
          <w:tab w:val="left" w:pos="360"/>
        </w:tabs>
        <w:spacing w:line="460" w:lineRule="exact"/>
        <w:ind w:firstLine="440" w:firstLineChars="200"/>
        <w:rPr>
          <w:rFonts w:hint="eastAsia" w:ascii="新宋体" w:hAnsi="新宋体" w:eastAsia="新宋体" w:cs="新宋体"/>
          <w:b w:val="0"/>
          <w:bCs/>
          <w:color w:val="auto"/>
          <w:sz w:val="22"/>
          <w:highlight w:val="none"/>
        </w:rPr>
      </w:pPr>
      <w:r>
        <w:rPr>
          <w:rFonts w:hint="eastAsia" w:ascii="新宋体" w:hAnsi="新宋体" w:eastAsia="新宋体" w:cs="新宋体"/>
          <w:b w:val="0"/>
          <w:bCs/>
          <w:color w:val="auto"/>
          <w:sz w:val="22"/>
          <w:highlight w:val="none"/>
          <w:lang w:val="en-US" w:eastAsia="zh-CN"/>
        </w:rPr>
        <w:t>4</w:t>
      </w:r>
      <w:r>
        <w:rPr>
          <w:rFonts w:hint="eastAsia" w:ascii="新宋体" w:hAnsi="新宋体" w:eastAsia="新宋体" w:cs="新宋体"/>
          <w:b w:val="0"/>
          <w:bCs/>
          <w:color w:val="auto"/>
          <w:sz w:val="22"/>
          <w:highlight w:val="none"/>
        </w:rPr>
        <w:t>.3投诉人投诉时，应提交投诉书，投诉书应当由本人并由法定代表人签字盖公章，投诉书应说明具体的投诉事项及事实依据。投诉人对投诉书的真实性负责，恶意投诉将承当相应的法律和民事责任。</w:t>
      </w:r>
    </w:p>
    <w:p w14:paraId="486EB8E3">
      <w:pPr>
        <w:rPr>
          <w:rFonts w:hint="eastAsia" w:ascii="新宋体" w:hAnsi="新宋体" w:eastAsia="新宋体" w:cs="新宋体"/>
          <w:color w:val="auto"/>
          <w:highlight w:val="none"/>
        </w:rPr>
      </w:pPr>
      <w:bookmarkStart w:id="24" w:name="_Toc28194"/>
    </w:p>
    <w:p w14:paraId="7114E6D7">
      <w:pPr>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p>
    <w:p w14:paraId="348EB3D9">
      <w:pPr>
        <w:pStyle w:val="3"/>
        <w:bidi w:val="0"/>
        <w:rPr>
          <w:rFonts w:hint="eastAsia" w:ascii="新宋体" w:hAnsi="新宋体" w:eastAsia="新宋体" w:cs="新宋体"/>
          <w:color w:val="auto"/>
          <w:highlight w:val="none"/>
        </w:rPr>
      </w:pPr>
      <w:bookmarkStart w:id="25" w:name="_Toc25646"/>
      <w:r>
        <w:rPr>
          <w:rFonts w:hint="eastAsia" w:ascii="新宋体" w:hAnsi="新宋体" w:eastAsia="新宋体" w:cs="新宋体"/>
          <w:color w:val="auto"/>
          <w:highlight w:val="none"/>
        </w:rPr>
        <w:t>第二部分</w:t>
      </w:r>
      <w:r>
        <w:rPr>
          <w:rFonts w:hint="eastAsia" w:ascii="新宋体" w:hAnsi="新宋体" w:eastAsia="新宋体" w:cs="新宋体"/>
          <w:color w:val="auto"/>
          <w:highlight w:val="none"/>
          <w:lang w:val="en-US" w:eastAsia="zh-CN"/>
        </w:rPr>
        <w:t xml:space="preserve">   </w:t>
      </w:r>
      <w:r>
        <w:rPr>
          <w:rFonts w:hint="eastAsia" w:ascii="新宋体" w:hAnsi="新宋体" w:eastAsia="新宋体" w:cs="新宋体"/>
          <w:color w:val="auto"/>
          <w:highlight w:val="none"/>
        </w:rPr>
        <w:t>合同主要条款</w:t>
      </w:r>
      <w:bookmarkEnd w:id="24"/>
      <w:bookmarkEnd w:id="25"/>
    </w:p>
    <w:p w14:paraId="13A81CB0">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注：如甲、乙双方同意，合同格式也可以按照其他形式, 具体条款以甲方为主协商确定。但合同条款的基本内容应与以下要求的内容相一致。</w:t>
      </w:r>
    </w:p>
    <w:p w14:paraId="0E1DA3E1">
      <w:pPr>
        <w:spacing w:line="460" w:lineRule="exact"/>
        <w:ind w:firstLine="440" w:firstLineChars="200"/>
        <w:rPr>
          <w:rFonts w:hint="eastAsia" w:ascii="新宋体" w:hAnsi="新宋体" w:eastAsia="新宋体" w:cs="新宋体"/>
          <w:color w:val="auto"/>
          <w:sz w:val="22"/>
          <w:szCs w:val="22"/>
          <w:highlight w:val="none"/>
        </w:rPr>
      </w:pPr>
    </w:p>
    <w:p w14:paraId="00092C38">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eastAsia="zh-CN"/>
        </w:rPr>
        <w:t>温州市儿童福利院（温州市未成年人救助保护中心）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（招标人）</w:t>
      </w:r>
    </w:p>
    <w:p w14:paraId="41E868CC">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（中标人）</w:t>
      </w:r>
    </w:p>
    <w:p w14:paraId="75A50A4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rPr>
        <w:t>（项目名称、编号）在国内以</w:t>
      </w:r>
      <w:r>
        <w:rPr>
          <w:rFonts w:hint="eastAsia" w:ascii="新宋体" w:hAnsi="新宋体" w:eastAsia="新宋体" w:cs="新宋体"/>
          <w:bCs/>
          <w:color w:val="auto"/>
          <w:sz w:val="22"/>
          <w:szCs w:val="22"/>
          <w:highlight w:val="none"/>
          <w:u w:val="single"/>
          <w:lang w:val="en-US" w:eastAsia="zh-CN"/>
        </w:rPr>
        <w:t xml:space="preserve"> 公开招标 </w:t>
      </w:r>
      <w:r>
        <w:rPr>
          <w:rFonts w:hint="eastAsia" w:ascii="新宋体" w:hAnsi="新宋体" w:eastAsia="新宋体" w:cs="新宋体"/>
          <w:bCs/>
          <w:color w:val="auto"/>
          <w:sz w:val="22"/>
          <w:szCs w:val="22"/>
          <w:highlight w:val="none"/>
        </w:rPr>
        <w:t>方式进行招标，经评标委员会评定</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rPr>
        <w:t>（中标人名称）为中标人。双方本着诚信及互利互惠的原则，同意按照下面条款和条件，签署本合同。</w:t>
      </w:r>
    </w:p>
    <w:p w14:paraId="7C7F6C4C">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一、本合同签订依据</w:t>
      </w:r>
    </w:p>
    <w:p w14:paraId="21A0220C">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《中华人民共和国</w:t>
      </w:r>
      <w:r>
        <w:rPr>
          <w:rFonts w:hint="eastAsia" w:ascii="新宋体" w:hAnsi="新宋体" w:eastAsia="新宋体" w:cs="新宋体"/>
          <w:bCs/>
          <w:color w:val="auto"/>
          <w:sz w:val="22"/>
          <w:szCs w:val="22"/>
          <w:highlight w:val="none"/>
          <w:lang w:val="en-US" w:eastAsia="zh-CN"/>
        </w:rPr>
        <w:t>民法典</w:t>
      </w:r>
      <w:r>
        <w:rPr>
          <w:rFonts w:hint="eastAsia" w:ascii="新宋体" w:hAnsi="新宋体" w:eastAsia="新宋体" w:cs="新宋体"/>
          <w:bCs/>
          <w:color w:val="auto"/>
          <w:sz w:val="22"/>
          <w:szCs w:val="22"/>
          <w:highlight w:val="none"/>
        </w:rPr>
        <w:t>》</w:t>
      </w:r>
    </w:p>
    <w:p w14:paraId="751EF06D">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二、合同文件的优先次序</w:t>
      </w:r>
    </w:p>
    <w:p w14:paraId="46CBA04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合同文件如存在歧义或不一致则根据以下优先次序来判断：</w:t>
      </w:r>
    </w:p>
    <w:p w14:paraId="178B691A">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1、合同书及合同补充条款或说明</w:t>
      </w:r>
    </w:p>
    <w:p w14:paraId="3DE6EF7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2、中标通知书</w:t>
      </w:r>
    </w:p>
    <w:p w14:paraId="44E42CB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3、承诺书（含询标记录和优惠条款）</w:t>
      </w:r>
    </w:p>
    <w:p w14:paraId="29A47E3A">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4、招标文件</w:t>
      </w:r>
    </w:p>
    <w:p w14:paraId="426DEE3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5、投标文件</w:t>
      </w:r>
    </w:p>
    <w:p w14:paraId="47988303">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三、采购内容</w:t>
      </w:r>
    </w:p>
    <w:p w14:paraId="63E5070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1、规格及数量</w:t>
      </w:r>
    </w:p>
    <w:tbl>
      <w:tblPr>
        <w:tblStyle w:val="52"/>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728"/>
        <w:gridCol w:w="1075"/>
        <w:gridCol w:w="1112"/>
        <w:gridCol w:w="900"/>
        <w:gridCol w:w="1488"/>
        <w:gridCol w:w="1558"/>
      </w:tblGrid>
      <w:tr w14:paraId="11D48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noWrap w:val="0"/>
            <w:vAlign w:val="top"/>
          </w:tcPr>
          <w:p w14:paraId="06737534">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1728" w:type="dxa"/>
            <w:noWrap w:val="0"/>
            <w:vAlign w:val="top"/>
          </w:tcPr>
          <w:p w14:paraId="1FECAB87">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设备名称</w:t>
            </w:r>
          </w:p>
        </w:tc>
        <w:tc>
          <w:tcPr>
            <w:tcW w:w="1075" w:type="dxa"/>
            <w:noWrap w:val="0"/>
            <w:vAlign w:val="top"/>
          </w:tcPr>
          <w:p w14:paraId="4B2B8012">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单价</w:t>
            </w:r>
          </w:p>
        </w:tc>
        <w:tc>
          <w:tcPr>
            <w:tcW w:w="1112" w:type="dxa"/>
            <w:noWrap w:val="0"/>
            <w:vAlign w:val="top"/>
          </w:tcPr>
          <w:p w14:paraId="6D27BCB2">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900" w:type="dxa"/>
            <w:noWrap w:val="0"/>
            <w:vAlign w:val="top"/>
          </w:tcPr>
          <w:p w14:paraId="2AB64A32">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合价</w:t>
            </w:r>
          </w:p>
        </w:tc>
        <w:tc>
          <w:tcPr>
            <w:tcW w:w="1488" w:type="dxa"/>
            <w:noWrap w:val="0"/>
            <w:vAlign w:val="top"/>
          </w:tcPr>
          <w:p w14:paraId="50D3F64F">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交货周期</w:t>
            </w:r>
          </w:p>
        </w:tc>
        <w:tc>
          <w:tcPr>
            <w:tcW w:w="1558" w:type="dxa"/>
            <w:noWrap w:val="0"/>
            <w:vAlign w:val="top"/>
          </w:tcPr>
          <w:p w14:paraId="477184BD">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14:paraId="772E9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noWrap w:val="0"/>
            <w:vAlign w:val="top"/>
          </w:tcPr>
          <w:p w14:paraId="1D98CD79">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新宋体" w:hAnsi="新宋体" w:eastAsia="新宋体" w:cs="新宋体"/>
                <w:color w:val="auto"/>
                <w:sz w:val="22"/>
                <w:szCs w:val="22"/>
                <w:highlight w:val="none"/>
              </w:rPr>
            </w:pPr>
          </w:p>
        </w:tc>
        <w:tc>
          <w:tcPr>
            <w:tcW w:w="1728" w:type="dxa"/>
            <w:noWrap w:val="0"/>
            <w:vAlign w:val="top"/>
          </w:tcPr>
          <w:p w14:paraId="4602DBA2">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新宋体" w:hAnsi="新宋体" w:eastAsia="新宋体" w:cs="新宋体"/>
                <w:color w:val="auto"/>
                <w:sz w:val="22"/>
                <w:szCs w:val="22"/>
                <w:highlight w:val="none"/>
              </w:rPr>
            </w:pPr>
          </w:p>
        </w:tc>
        <w:tc>
          <w:tcPr>
            <w:tcW w:w="1075" w:type="dxa"/>
            <w:noWrap w:val="0"/>
            <w:vAlign w:val="top"/>
          </w:tcPr>
          <w:p w14:paraId="6ECCB5C9">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新宋体" w:hAnsi="新宋体" w:eastAsia="新宋体" w:cs="新宋体"/>
                <w:color w:val="auto"/>
                <w:sz w:val="22"/>
                <w:szCs w:val="22"/>
                <w:highlight w:val="none"/>
              </w:rPr>
            </w:pPr>
          </w:p>
        </w:tc>
        <w:tc>
          <w:tcPr>
            <w:tcW w:w="1112" w:type="dxa"/>
            <w:noWrap w:val="0"/>
            <w:vAlign w:val="top"/>
          </w:tcPr>
          <w:p w14:paraId="0FCEC841">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新宋体" w:hAnsi="新宋体" w:eastAsia="新宋体" w:cs="新宋体"/>
                <w:color w:val="auto"/>
                <w:sz w:val="22"/>
                <w:szCs w:val="22"/>
                <w:highlight w:val="none"/>
              </w:rPr>
            </w:pPr>
          </w:p>
        </w:tc>
        <w:tc>
          <w:tcPr>
            <w:tcW w:w="900" w:type="dxa"/>
            <w:noWrap w:val="0"/>
            <w:vAlign w:val="top"/>
          </w:tcPr>
          <w:p w14:paraId="7B6C2F5C">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新宋体" w:hAnsi="新宋体" w:eastAsia="新宋体" w:cs="新宋体"/>
                <w:color w:val="auto"/>
                <w:sz w:val="22"/>
                <w:szCs w:val="22"/>
                <w:highlight w:val="none"/>
              </w:rPr>
            </w:pPr>
          </w:p>
        </w:tc>
        <w:tc>
          <w:tcPr>
            <w:tcW w:w="1488" w:type="dxa"/>
            <w:noWrap w:val="0"/>
            <w:vAlign w:val="top"/>
          </w:tcPr>
          <w:p w14:paraId="0DA4754B">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新宋体" w:hAnsi="新宋体" w:eastAsia="新宋体" w:cs="新宋体"/>
                <w:color w:val="auto"/>
                <w:sz w:val="22"/>
                <w:szCs w:val="22"/>
                <w:highlight w:val="none"/>
              </w:rPr>
            </w:pPr>
          </w:p>
        </w:tc>
        <w:tc>
          <w:tcPr>
            <w:tcW w:w="1558" w:type="dxa"/>
            <w:noWrap w:val="0"/>
            <w:vAlign w:val="top"/>
          </w:tcPr>
          <w:p w14:paraId="032C1E27">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新宋体" w:hAnsi="新宋体" w:eastAsia="新宋体" w:cs="新宋体"/>
                <w:color w:val="auto"/>
                <w:sz w:val="22"/>
                <w:szCs w:val="22"/>
                <w:highlight w:val="none"/>
              </w:rPr>
            </w:pPr>
          </w:p>
        </w:tc>
      </w:tr>
      <w:tr w14:paraId="6006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noWrap w:val="0"/>
            <w:vAlign w:val="top"/>
          </w:tcPr>
          <w:p w14:paraId="0F840099">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新宋体" w:hAnsi="新宋体" w:eastAsia="新宋体" w:cs="新宋体"/>
                <w:color w:val="auto"/>
                <w:sz w:val="22"/>
                <w:szCs w:val="22"/>
                <w:highlight w:val="none"/>
              </w:rPr>
            </w:pPr>
          </w:p>
        </w:tc>
        <w:tc>
          <w:tcPr>
            <w:tcW w:w="1728" w:type="dxa"/>
            <w:noWrap w:val="0"/>
            <w:vAlign w:val="top"/>
          </w:tcPr>
          <w:p w14:paraId="56BA80F2">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新宋体" w:hAnsi="新宋体" w:eastAsia="新宋体" w:cs="新宋体"/>
                <w:color w:val="auto"/>
                <w:sz w:val="22"/>
                <w:szCs w:val="22"/>
                <w:highlight w:val="none"/>
              </w:rPr>
            </w:pPr>
          </w:p>
        </w:tc>
        <w:tc>
          <w:tcPr>
            <w:tcW w:w="1075" w:type="dxa"/>
            <w:noWrap w:val="0"/>
            <w:vAlign w:val="top"/>
          </w:tcPr>
          <w:p w14:paraId="5261601B">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新宋体" w:hAnsi="新宋体" w:eastAsia="新宋体" w:cs="新宋体"/>
                <w:color w:val="auto"/>
                <w:sz w:val="22"/>
                <w:szCs w:val="22"/>
                <w:highlight w:val="none"/>
              </w:rPr>
            </w:pPr>
          </w:p>
        </w:tc>
        <w:tc>
          <w:tcPr>
            <w:tcW w:w="1112" w:type="dxa"/>
            <w:noWrap w:val="0"/>
            <w:vAlign w:val="top"/>
          </w:tcPr>
          <w:p w14:paraId="47764D53">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新宋体" w:hAnsi="新宋体" w:eastAsia="新宋体" w:cs="新宋体"/>
                <w:color w:val="auto"/>
                <w:sz w:val="22"/>
                <w:szCs w:val="22"/>
                <w:highlight w:val="none"/>
              </w:rPr>
            </w:pPr>
          </w:p>
        </w:tc>
        <w:tc>
          <w:tcPr>
            <w:tcW w:w="900" w:type="dxa"/>
            <w:noWrap w:val="0"/>
            <w:vAlign w:val="top"/>
          </w:tcPr>
          <w:p w14:paraId="2006A505">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新宋体" w:hAnsi="新宋体" w:eastAsia="新宋体" w:cs="新宋体"/>
                <w:color w:val="auto"/>
                <w:sz w:val="22"/>
                <w:szCs w:val="22"/>
                <w:highlight w:val="none"/>
              </w:rPr>
            </w:pPr>
          </w:p>
        </w:tc>
        <w:tc>
          <w:tcPr>
            <w:tcW w:w="1488" w:type="dxa"/>
            <w:noWrap w:val="0"/>
            <w:vAlign w:val="top"/>
          </w:tcPr>
          <w:p w14:paraId="1F40EF28">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新宋体" w:hAnsi="新宋体" w:eastAsia="新宋体" w:cs="新宋体"/>
                <w:color w:val="auto"/>
                <w:sz w:val="22"/>
                <w:szCs w:val="22"/>
                <w:highlight w:val="none"/>
              </w:rPr>
            </w:pPr>
          </w:p>
        </w:tc>
        <w:tc>
          <w:tcPr>
            <w:tcW w:w="1558" w:type="dxa"/>
            <w:noWrap w:val="0"/>
            <w:vAlign w:val="top"/>
          </w:tcPr>
          <w:p w14:paraId="1CF2787C">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新宋体" w:hAnsi="新宋体" w:eastAsia="新宋体" w:cs="新宋体"/>
                <w:color w:val="auto"/>
                <w:sz w:val="22"/>
                <w:szCs w:val="22"/>
                <w:highlight w:val="none"/>
              </w:rPr>
            </w:pPr>
          </w:p>
        </w:tc>
      </w:tr>
      <w:tr w14:paraId="5DAE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898" w:type="dxa"/>
            <w:gridSpan w:val="7"/>
            <w:noWrap w:val="0"/>
            <w:vAlign w:val="top"/>
          </w:tcPr>
          <w:p w14:paraId="77AD0F24">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合同额：大写：                              小写：</w:t>
            </w:r>
          </w:p>
        </w:tc>
      </w:tr>
    </w:tbl>
    <w:p w14:paraId="6BA55E0E">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2、标准和计量单位</w:t>
      </w:r>
    </w:p>
    <w:p w14:paraId="53B082C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（1）本合同项下交付的货物应符合技术规格所述的标准。如在招标文件中无相应说明，则以国家颁布的最新版本标准或行业（部）标准或相应的国际标准执行，没有国家或行业（部）标准的则按企业标准执行。</w:t>
      </w:r>
    </w:p>
    <w:p w14:paraId="1F980BF8">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（2）除非技术规格中另有规定，计量单位均采用中华人民共和国法定计量单位。</w:t>
      </w:r>
    </w:p>
    <w:p w14:paraId="1EC843A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3、专利权</w:t>
      </w:r>
    </w:p>
    <w:p w14:paraId="0084853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乙方应保证，甲方在使用该货物或货物的任何一部分时，免受第三方提出的侵犯其专利权、商标权、著作权或其它知识产权的起诉。乙方应承担由此可能产生的一切法律责任和费用。</w:t>
      </w:r>
    </w:p>
    <w:p w14:paraId="45EA131A">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四、交货</w:t>
      </w:r>
    </w:p>
    <w:p w14:paraId="43C0A57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1、包装要求</w:t>
      </w:r>
    </w:p>
    <w:p w14:paraId="43F54C68">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bookmarkStart w:id="26" w:name="OLE_LINK4"/>
      <w:r>
        <w:rPr>
          <w:rFonts w:hint="eastAsia" w:ascii="新宋体" w:hAnsi="新宋体" w:eastAsia="新宋体" w:cs="新宋体"/>
          <w:color w:val="auto"/>
          <w:sz w:val="22"/>
          <w:szCs w:val="22"/>
          <w:highlight w:val="none"/>
        </w:rPr>
        <w:t>（1）除合同另有规定外，乙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乙方应承担由于包装或防护措施不妥而引起货物锈蚀、损坏和丢失的任何损失的责任或费用。</w:t>
      </w:r>
    </w:p>
    <w:p w14:paraId="1991F38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（2）每一包装箱内必须附有装箱清单、合格证和齐全的技术资料等。</w:t>
      </w:r>
      <w:bookmarkEnd w:id="26"/>
    </w:p>
    <w:p w14:paraId="54E17DB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（3）乙方应在每一包装箱的四侧用不褪色的油漆以醒目的中文字样标注“收货人”“货物名称”“小心轻放”、“防潮”、“此端朝上，请勿倒置”等字样和其他国际贸易中使用的适当标志。</w:t>
      </w:r>
    </w:p>
    <w:p w14:paraId="5220E5C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2、交货方式</w:t>
      </w:r>
    </w:p>
    <w:p w14:paraId="46CBABE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（1）现场交货：乙方负责办理运输和保险，将货物运抵甲方指定的现场并落地就位。有关运输和保险的一切费用由乙方承担。所有货物运抵现场的日期为交货日期。</w:t>
      </w:r>
    </w:p>
    <w:p w14:paraId="76116498">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（2）在现场交货条件下，乙方在货物发运前</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天，将要发运货物的合同号、货物名称、规格、数量、包装箱件数、重量、包装箱尺寸（长×宽×高）和货物的卸车，贮存的特殊要求以及运输工具名称以及启运日期，以传真形式通知甲方。</w:t>
      </w:r>
    </w:p>
    <w:p w14:paraId="318973D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（3）如因乙方延误将上述内容用传真形式通知甲方，由此引起的一切损失应由乙方承担。</w:t>
      </w:r>
    </w:p>
    <w:p w14:paraId="21C93282">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3、交付日期：合同生效之日起</w:t>
      </w:r>
      <w:r>
        <w:rPr>
          <w:rFonts w:hint="eastAsia" w:ascii="新宋体" w:hAnsi="新宋体" w:eastAsia="新宋体" w:cs="新宋体"/>
          <w:b/>
          <w:color w:val="auto"/>
          <w:sz w:val="22"/>
          <w:szCs w:val="22"/>
          <w:highlight w:val="none"/>
          <w:u w:val="single"/>
        </w:rPr>
        <w:t xml:space="preserve">    </w:t>
      </w:r>
      <w:r>
        <w:rPr>
          <w:rFonts w:hint="eastAsia" w:ascii="新宋体" w:hAnsi="新宋体" w:eastAsia="新宋体" w:cs="新宋体"/>
          <w:b/>
          <w:color w:val="auto"/>
          <w:sz w:val="22"/>
          <w:szCs w:val="22"/>
          <w:highlight w:val="none"/>
        </w:rPr>
        <w:t>天内</w:t>
      </w:r>
    </w:p>
    <w:p w14:paraId="006E8DA4">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4、交货地点：甲方指定地点</w:t>
      </w:r>
    </w:p>
    <w:p w14:paraId="5DEDAAE0">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bookmarkStart w:id="27" w:name="OLE_LINK6"/>
      <w:r>
        <w:rPr>
          <w:rFonts w:hint="eastAsia" w:ascii="新宋体" w:hAnsi="新宋体" w:eastAsia="新宋体" w:cs="新宋体"/>
          <w:b/>
          <w:color w:val="auto"/>
          <w:sz w:val="22"/>
          <w:szCs w:val="22"/>
          <w:highlight w:val="none"/>
        </w:rPr>
        <w:t>5、技术文件和资料</w:t>
      </w:r>
    </w:p>
    <w:p w14:paraId="6F1E93A8">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（1）提供技术文件和资料的种类和数量在本招标文件《招标内容及要求》中规定，甲乙双方可根据采购要求和需要订立具体的技术文件和资料交付时间和数量。</w:t>
      </w:r>
    </w:p>
    <w:p w14:paraId="7D05E6C8">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（2）如果甲方确认乙方提供的技术文件和资料不完整，或在运输途中丢失，乙方应在收到甲方通知后3天内将这些文件、资料补齐。</w:t>
      </w:r>
      <w:bookmarkEnd w:id="27"/>
    </w:p>
    <w:p w14:paraId="4A3B2A9C">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五、付款方式与结算</w:t>
      </w:r>
    </w:p>
    <w:p w14:paraId="4B9FE7B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zh-CN"/>
        </w:rPr>
        <w:t>在合同签订后3个工作日内，</w:t>
      </w:r>
      <w:r>
        <w:rPr>
          <w:rFonts w:hint="eastAsia" w:ascii="新宋体" w:hAnsi="新宋体" w:eastAsia="新宋体" w:cs="新宋体"/>
          <w:color w:val="auto"/>
          <w:sz w:val="22"/>
          <w:szCs w:val="22"/>
          <w:highlight w:val="none"/>
          <w:lang w:val="en-US" w:eastAsia="zh-CN"/>
        </w:rPr>
        <w:t>乙</w:t>
      </w:r>
      <w:r>
        <w:rPr>
          <w:rFonts w:hint="eastAsia" w:ascii="新宋体" w:hAnsi="新宋体" w:eastAsia="新宋体" w:cs="新宋体"/>
          <w:color w:val="auto"/>
          <w:sz w:val="22"/>
          <w:szCs w:val="22"/>
          <w:highlight w:val="none"/>
          <w:lang w:val="zh-CN"/>
        </w:rPr>
        <w:t>方应提供合同总金额1%的履约保证金，</w:t>
      </w:r>
      <w:r>
        <w:rPr>
          <w:rFonts w:hint="eastAsia" w:ascii="新宋体" w:hAnsi="新宋体" w:eastAsia="新宋体" w:cs="新宋体"/>
          <w:color w:val="auto"/>
          <w:sz w:val="22"/>
          <w:szCs w:val="22"/>
          <w:highlight w:val="none"/>
          <w:lang w:val="en-US" w:eastAsia="zh-CN"/>
        </w:rPr>
        <w:t>甲</w:t>
      </w:r>
      <w:r>
        <w:rPr>
          <w:rFonts w:hint="eastAsia" w:ascii="新宋体" w:hAnsi="新宋体" w:eastAsia="新宋体" w:cs="新宋体"/>
          <w:color w:val="auto"/>
          <w:sz w:val="22"/>
          <w:szCs w:val="22"/>
          <w:highlight w:val="none"/>
          <w:lang w:val="zh-CN"/>
        </w:rPr>
        <w:t>方在合同签订合同生效以及具备实施条件后7个工作日内支付合同总价的40%预付款，其余在合同全部</w:t>
      </w:r>
      <w:r>
        <w:rPr>
          <w:rFonts w:hint="eastAsia" w:ascii="新宋体" w:hAnsi="新宋体" w:eastAsia="新宋体" w:cs="新宋体"/>
          <w:color w:val="auto"/>
          <w:sz w:val="22"/>
          <w:szCs w:val="22"/>
          <w:highlight w:val="none"/>
          <w:lang w:val="en-US" w:eastAsia="zh-CN"/>
        </w:rPr>
        <w:t>履</w:t>
      </w:r>
      <w:r>
        <w:rPr>
          <w:rFonts w:hint="eastAsia" w:ascii="新宋体" w:hAnsi="新宋体" w:eastAsia="新宋体" w:cs="新宋体"/>
          <w:color w:val="auto"/>
          <w:sz w:val="22"/>
          <w:szCs w:val="22"/>
          <w:highlight w:val="none"/>
          <w:lang w:val="zh-CN"/>
        </w:rPr>
        <w:t>约完毕，且验收合格后，7个工作日内付至合同总价的100%，并无息全额退还</w:t>
      </w:r>
      <w:r>
        <w:rPr>
          <w:rFonts w:hint="eastAsia" w:ascii="新宋体" w:hAnsi="新宋体" w:eastAsia="新宋体" w:cs="新宋体"/>
          <w:color w:val="auto"/>
          <w:sz w:val="22"/>
          <w:szCs w:val="22"/>
          <w:highlight w:val="none"/>
          <w:lang w:val="en-US" w:eastAsia="zh-CN"/>
        </w:rPr>
        <w:t>履</w:t>
      </w:r>
      <w:r>
        <w:rPr>
          <w:rFonts w:hint="eastAsia" w:ascii="新宋体" w:hAnsi="新宋体" w:eastAsia="新宋体" w:cs="新宋体"/>
          <w:color w:val="auto"/>
          <w:sz w:val="22"/>
          <w:szCs w:val="22"/>
          <w:highlight w:val="none"/>
          <w:lang w:val="zh-CN"/>
        </w:rPr>
        <w:t>约保证金。</w:t>
      </w:r>
    </w:p>
    <w:p w14:paraId="73806DA6">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六、质量要求</w:t>
      </w:r>
    </w:p>
    <w:p w14:paraId="061E803A">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乙方所提供的货物应保证是企业原厂生产的货物而不是其他地方生产的、全新的、未使用过的，是原包装未拆封的，是用一流的工艺和最佳材料制造而成的，并完全符合合同规定的质量、规格和性能要求。乙方应保证所提供的货物经正常运行和保养，在其使用寿命期内应具有使甲方满意的性能，并且确保一次性通过各项检验和测试。在货物</w:t>
      </w:r>
      <w:r>
        <w:rPr>
          <w:rFonts w:hint="eastAsia" w:ascii="新宋体" w:hAnsi="新宋体" w:eastAsia="新宋体" w:cs="新宋体"/>
          <w:color w:val="auto"/>
          <w:sz w:val="22"/>
          <w:szCs w:val="22"/>
          <w:highlight w:val="none"/>
          <w:lang w:eastAsia="zh-CN"/>
        </w:rPr>
        <w:t>免费质保期</w:t>
      </w:r>
      <w:r>
        <w:rPr>
          <w:rFonts w:hint="eastAsia" w:ascii="新宋体" w:hAnsi="新宋体" w:eastAsia="新宋体" w:cs="新宋体"/>
          <w:color w:val="auto"/>
          <w:sz w:val="22"/>
          <w:szCs w:val="22"/>
          <w:highlight w:val="none"/>
        </w:rPr>
        <w:t>内，乙方应对由于设计、工艺、材料和配套件的缺陷所产生的任何不足或故障负责。</w:t>
      </w:r>
    </w:p>
    <w:p w14:paraId="7E845747">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2、根据甲方按检验标准检验的结果或当地质检部门检验的结果，或者在</w:t>
      </w:r>
      <w:r>
        <w:rPr>
          <w:rFonts w:hint="eastAsia" w:ascii="新宋体" w:hAnsi="新宋体" w:eastAsia="新宋体" w:cs="新宋体"/>
          <w:color w:val="auto"/>
          <w:sz w:val="22"/>
          <w:szCs w:val="22"/>
          <w:highlight w:val="none"/>
          <w:lang w:eastAsia="zh-CN"/>
        </w:rPr>
        <w:t>免费质保期</w:t>
      </w:r>
      <w:r>
        <w:rPr>
          <w:rFonts w:hint="eastAsia" w:ascii="新宋体" w:hAnsi="新宋体" w:eastAsia="新宋体" w:cs="新宋体"/>
          <w:color w:val="auto"/>
          <w:sz w:val="22"/>
          <w:szCs w:val="22"/>
          <w:highlight w:val="none"/>
        </w:rPr>
        <w:t>内，如果货物的数量、质量或规格与合同不符，或证实货物是有缺陷的，包括潜在的缺陷或使用不符合要求的材料等，甲方应尽快以书面形式通知乙方，提出索赔。乙方在收到通知后，应在规定期限内，用与报价时采用的零件、部件或材料免费更换有缺陷的或不符合要求的零件、部件或材料，同时相应延长</w:t>
      </w:r>
      <w:r>
        <w:rPr>
          <w:rFonts w:hint="eastAsia" w:ascii="新宋体" w:hAnsi="新宋体" w:eastAsia="新宋体" w:cs="新宋体"/>
          <w:color w:val="auto"/>
          <w:sz w:val="22"/>
          <w:szCs w:val="22"/>
          <w:highlight w:val="none"/>
          <w:lang w:eastAsia="zh-CN"/>
        </w:rPr>
        <w:t>免费质保期</w:t>
      </w:r>
      <w:r>
        <w:rPr>
          <w:rFonts w:hint="eastAsia" w:ascii="新宋体" w:hAnsi="新宋体" w:eastAsia="新宋体" w:cs="新宋体"/>
          <w:color w:val="auto"/>
          <w:sz w:val="22"/>
          <w:szCs w:val="22"/>
          <w:highlight w:val="none"/>
        </w:rPr>
        <w:t>。</w:t>
      </w:r>
    </w:p>
    <w:p w14:paraId="64D9BB4A">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b/>
          <w:color w:val="auto"/>
          <w:sz w:val="22"/>
          <w:szCs w:val="22"/>
          <w:highlight w:val="none"/>
        </w:rPr>
        <w:t>3、本合同项下货物</w:t>
      </w:r>
      <w:r>
        <w:rPr>
          <w:rFonts w:hint="eastAsia" w:ascii="新宋体" w:hAnsi="新宋体" w:eastAsia="新宋体" w:cs="新宋体"/>
          <w:b/>
          <w:color w:val="auto"/>
          <w:sz w:val="22"/>
          <w:szCs w:val="22"/>
          <w:highlight w:val="none"/>
          <w:lang w:eastAsia="zh-CN"/>
        </w:rPr>
        <w:t>免费质保期</w:t>
      </w:r>
      <w:r>
        <w:rPr>
          <w:rFonts w:hint="eastAsia" w:ascii="新宋体" w:hAnsi="新宋体" w:eastAsia="新宋体" w:cs="新宋体"/>
          <w:b/>
          <w:color w:val="auto"/>
          <w:sz w:val="22"/>
          <w:szCs w:val="22"/>
          <w:highlight w:val="none"/>
        </w:rPr>
        <w:t xml:space="preserve">为自货物通过最终验收，向甲方移交之日起 </w:t>
      </w:r>
      <w:r>
        <w:rPr>
          <w:rFonts w:hint="eastAsia" w:ascii="新宋体" w:hAnsi="新宋体" w:eastAsia="新宋体" w:cs="新宋体"/>
          <w:b/>
          <w:color w:val="auto"/>
          <w:sz w:val="22"/>
          <w:szCs w:val="22"/>
          <w:highlight w:val="none"/>
          <w:u w:val="single"/>
        </w:rPr>
        <w:t xml:space="preserve">    </w:t>
      </w:r>
      <w:r>
        <w:rPr>
          <w:rFonts w:hint="eastAsia" w:ascii="新宋体" w:hAnsi="新宋体" w:eastAsia="新宋体" w:cs="新宋体"/>
          <w:b/>
          <w:color w:val="auto"/>
          <w:sz w:val="22"/>
          <w:szCs w:val="22"/>
          <w:highlight w:val="none"/>
        </w:rPr>
        <w:t>年 （设备</w:t>
      </w:r>
      <w:r>
        <w:rPr>
          <w:rFonts w:hint="eastAsia" w:ascii="新宋体" w:hAnsi="新宋体" w:eastAsia="新宋体" w:cs="新宋体"/>
          <w:b/>
          <w:color w:val="auto"/>
          <w:sz w:val="22"/>
          <w:szCs w:val="22"/>
          <w:highlight w:val="none"/>
          <w:lang w:val="en-US" w:eastAsia="zh-CN"/>
        </w:rPr>
        <w:t>产品</w:t>
      </w:r>
      <w:r>
        <w:rPr>
          <w:rFonts w:hint="eastAsia" w:ascii="新宋体" w:hAnsi="新宋体" w:eastAsia="新宋体" w:cs="新宋体"/>
          <w:b/>
          <w:color w:val="auto"/>
          <w:sz w:val="22"/>
          <w:szCs w:val="22"/>
          <w:highlight w:val="none"/>
        </w:rPr>
        <w:t>另有超过质保期规定或招标文件另有规定的按就高原则执行），在保修期内所产生的相关费用由乙方承担，合同内的所有产品要求乙方提供上门服务</w:t>
      </w:r>
      <w:r>
        <w:rPr>
          <w:rFonts w:hint="eastAsia" w:ascii="新宋体" w:hAnsi="新宋体" w:eastAsia="新宋体" w:cs="新宋体"/>
          <w:color w:val="auto"/>
          <w:kern w:val="0"/>
          <w:sz w:val="22"/>
          <w:szCs w:val="22"/>
          <w:highlight w:val="none"/>
        </w:rPr>
        <w:t>。</w:t>
      </w:r>
    </w:p>
    <w:p w14:paraId="4FAA40AE">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七、验收</w:t>
      </w:r>
    </w:p>
    <w:p w14:paraId="72BF330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1、验收应在甲方和乙方双方共同参加下进行。</w:t>
      </w:r>
    </w:p>
    <w:p w14:paraId="395A339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验收按国家有关的规定、规范进行。验收时如发现所交付的货物有短缺、次品、损坏等情形者，甲方应做出详尽的现场记录，或由甲方和乙方双方签署备忘录。此现场记录或备忘录可用作补充、缺失和更换损坏部件的有效证据。由此产生的有关费用由乙方承担。</w:t>
      </w:r>
    </w:p>
    <w:p w14:paraId="6E6FDA3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3、如果合同货物运输过程中因事故造成货物短缺、损坏，乙方应及时安排换货，以保证合同货物成功完整交付。换货的相关费用由乙方承担。</w:t>
      </w:r>
      <w:r>
        <w:rPr>
          <w:rFonts w:hint="eastAsia" w:ascii="新宋体" w:hAnsi="新宋体" w:eastAsia="新宋体" w:cs="新宋体"/>
          <w:b/>
          <w:color w:val="auto"/>
          <w:sz w:val="22"/>
          <w:szCs w:val="22"/>
          <w:highlight w:val="none"/>
        </w:rPr>
        <w:t> </w:t>
      </w:r>
    </w:p>
    <w:p w14:paraId="659CC4DA">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八、双方责任</w:t>
      </w:r>
    </w:p>
    <w:p w14:paraId="403F247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1、甲方</w:t>
      </w:r>
    </w:p>
    <w:p w14:paraId="3103F0EA">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（1）按合同规定向乙方支付货款。</w:t>
      </w:r>
    </w:p>
    <w:p w14:paraId="413FF5DE">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（2）组织对货物的验收。</w:t>
      </w:r>
    </w:p>
    <w:p w14:paraId="7E313B1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2、乙方</w:t>
      </w:r>
    </w:p>
    <w:p w14:paraId="1C02F78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（1）按合同要求提供货物和服务。</w:t>
      </w:r>
    </w:p>
    <w:p w14:paraId="520DDF8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（2）对所提供的货物和服务质量问题无条件负责处理。</w:t>
      </w:r>
    </w:p>
    <w:p w14:paraId="3E3FE353">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九、乙方履约延误</w:t>
      </w:r>
    </w:p>
    <w:p w14:paraId="33FFE097">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1、乙方应按照合同规定的时间交货和提供服务。</w:t>
      </w:r>
    </w:p>
    <w:p w14:paraId="58F1114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在履行合同过程中，如果乙方遇到妨碍按时交货和提供服务的情况时，应及时以书面形式将延误的事实、可能拖延的时间和原因通知甲方。甲方在收到乙方通知后，应尽快对情况进行分析评价，并确定是否同意延长交货时间以及是否收取误期赔偿费。延期应通过书面确认或补充协议的方式由双方认可。</w:t>
      </w:r>
    </w:p>
    <w:p w14:paraId="1CED660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3、除了合同条款中不可抗力的情况外，除非延误是取得</w:t>
      </w:r>
      <w:r>
        <w:rPr>
          <w:rFonts w:hint="eastAsia" w:ascii="新宋体" w:hAnsi="新宋体" w:eastAsia="新宋体" w:cs="新宋体"/>
          <w:color w:val="auto"/>
          <w:sz w:val="22"/>
          <w:szCs w:val="22"/>
          <w:highlight w:val="none"/>
          <w:lang w:val="en-US" w:eastAsia="zh-CN"/>
        </w:rPr>
        <w:t>甲方</w:t>
      </w:r>
      <w:r>
        <w:rPr>
          <w:rFonts w:hint="eastAsia" w:ascii="新宋体" w:hAnsi="新宋体" w:eastAsia="新宋体" w:cs="新宋体"/>
          <w:color w:val="auto"/>
          <w:sz w:val="22"/>
          <w:szCs w:val="22"/>
          <w:highlight w:val="none"/>
        </w:rPr>
        <w:t>同意而不收取赔偿费，乙方延误交货或提供服务将按合同条款</w:t>
      </w:r>
      <w:r>
        <w:rPr>
          <w:rFonts w:hint="eastAsia" w:ascii="新宋体" w:hAnsi="新宋体" w:eastAsia="新宋体" w:cs="新宋体"/>
          <w:color w:val="auto"/>
          <w:sz w:val="22"/>
          <w:szCs w:val="22"/>
          <w:highlight w:val="none"/>
          <w:lang w:val="en-US" w:eastAsia="zh-CN"/>
        </w:rPr>
        <w:t>十</w:t>
      </w:r>
      <w:r>
        <w:rPr>
          <w:rFonts w:hint="eastAsia" w:ascii="新宋体" w:hAnsi="新宋体" w:eastAsia="新宋体" w:cs="新宋体"/>
          <w:color w:val="auto"/>
          <w:sz w:val="22"/>
          <w:szCs w:val="22"/>
          <w:highlight w:val="none"/>
        </w:rPr>
        <w:t>条规定被收取误期赔偿费。</w:t>
      </w:r>
    </w:p>
    <w:p w14:paraId="2484C94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4、所有提供的货物及验收都应服从甲方的统一安排。</w:t>
      </w:r>
    </w:p>
    <w:p w14:paraId="09D5E361">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十、误期赔偿费</w:t>
      </w:r>
    </w:p>
    <w:p w14:paraId="00EB3A9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除不可抗力外，如果乙方没有按照合同规定的时间交货和提供服务，甲方应在不影响合同项下的其他补救措施的情况下，从合同价款中扣除误期赔偿费。每延误一天的赔偿费按迟交货物交货价或未提供服务的服务费用的百分之零点二（0.2%）计收，直至交货或提供服务为止。误期赔偿费最高限额为合同价的百分之十（10%）。一旦延到误期赔偿费的最高限额，甲方可考虑终止合同。</w:t>
      </w:r>
    </w:p>
    <w:p w14:paraId="580F5F0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甲方若没有按照合同规定的时间支付合同款项，每延误一天按该笔支付费用的</w:t>
      </w:r>
      <w:r>
        <w:rPr>
          <w:rFonts w:hint="eastAsia" w:ascii="新宋体" w:hAnsi="新宋体" w:eastAsia="新宋体" w:cs="新宋体"/>
          <w:b w:val="0"/>
          <w:bCs/>
          <w:color w:val="auto"/>
          <w:sz w:val="22"/>
          <w:szCs w:val="22"/>
          <w:highlight w:val="none"/>
        </w:rPr>
        <w:t>百分之零点二（0.2%）计收</w:t>
      </w:r>
      <w:r>
        <w:rPr>
          <w:rFonts w:hint="eastAsia" w:ascii="新宋体" w:hAnsi="新宋体" w:eastAsia="新宋体" w:cs="新宋体"/>
          <w:b w:val="0"/>
          <w:bCs/>
          <w:color w:val="auto"/>
          <w:sz w:val="22"/>
          <w:szCs w:val="22"/>
          <w:highlight w:val="none"/>
          <w:lang w:val="en-US" w:eastAsia="zh-CN"/>
        </w:rPr>
        <w:t>作为</w:t>
      </w:r>
      <w:r>
        <w:rPr>
          <w:rFonts w:hint="eastAsia" w:ascii="新宋体" w:hAnsi="新宋体" w:eastAsia="新宋体" w:cs="新宋体"/>
          <w:color w:val="auto"/>
          <w:sz w:val="22"/>
          <w:szCs w:val="22"/>
          <w:highlight w:val="none"/>
        </w:rPr>
        <w:t>误期赔偿费</w:t>
      </w:r>
      <w:r>
        <w:rPr>
          <w:rFonts w:hint="eastAsia" w:ascii="新宋体" w:hAnsi="新宋体" w:eastAsia="新宋体" w:cs="新宋体"/>
          <w:b w:val="0"/>
          <w:bCs/>
          <w:color w:val="auto"/>
          <w:sz w:val="22"/>
          <w:szCs w:val="22"/>
          <w:highlight w:val="none"/>
          <w:lang w:eastAsia="zh-CN"/>
        </w:rPr>
        <w:t>。</w:t>
      </w:r>
    </w:p>
    <w:p w14:paraId="3F60297B">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十一、不可抗力</w:t>
      </w:r>
    </w:p>
    <w:p w14:paraId="1AD57FE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如果双方中任何一方由于战争、严重火灾、水灾、破坏性台风和地震以及其它经双方同意属不可抗力的事故，致使合同履行受阻时，履行合同期限应予延长，延长时限应相当于事故所影响的时间，或双方协商解决。</w:t>
      </w:r>
    </w:p>
    <w:p w14:paraId="6E7DF558">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十二、税费</w:t>
      </w:r>
    </w:p>
    <w:p w14:paraId="0D21CFEA">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1、根据国家现行税法对甲方征收的与本合同有关的一切费用由甲方承担。</w:t>
      </w:r>
    </w:p>
    <w:p w14:paraId="7830AFE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2、根据现行税法对乙方征收的与本合同有关的一切税费均由乙方承担。</w:t>
      </w:r>
    </w:p>
    <w:p w14:paraId="6CA058F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3、在中国境外发生的与本合同执行有关的一切税费由乙方承担。</w:t>
      </w:r>
    </w:p>
    <w:p w14:paraId="42D2E7E2">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十三、违约终止合同</w:t>
      </w:r>
    </w:p>
    <w:p w14:paraId="77531F9E">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1、甲方在乙方违约的情况下，如果发生下列情况之一，可考虑终止部分或全部合同：</w:t>
      </w:r>
    </w:p>
    <w:p w14:paraId="6C5B385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（1）乙方未能在合同规定的期限内或甲方同意延长的期限内提供全部或部分货物；</w:t>
      </w:r>
    </w:p>
    <w:p w14:paraId="6D167D4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乙方未能履行合同规定的其他任何义务。乙方在收到甲方发出的违约通知后30天内，或经甲方书面认可延长的时间内未能纠正其过失。甲方可向乙方发出书面通知，终止部分或全部合同，在这种情况下，并不影响甲方向乙方提出的索赔。</w:t>
      </w:r>
    </w:p>
    <w:p w14:paraId="002E32E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如果甲方根据上述的规定，终止了全部或部分合同，甲方可以依其认为适当的条件和方法购买与未交货物类似的货物或服务，乙方应承担甲方因购买类似货物或服务而产生的额外支出。但是，乙方应继续执行合同中未终止的部分。</w:t>
      </w:r>
    </w:p>
    <w:p w14:paraId="0F539CC5">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十四、履约保证金的罚没</w:t>
      </w:r>
    </w:p>
    <w:p w14:paraId="19A6E19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1、如乙方未能履行合同规定的任何义务，甲方有权从履约保证金中得到补偿。</w:t>
      </w:r>
    </w:p>
    <w:p w14:paraId="06C522CA">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2、如果乙方毫无理由地拖延交货或拒绝履行合同规定的任何义务，履约保证金将被没收，并加收违约赔偿金。</w:t>
      </w:r>
    </w:p>
    <w:p w14:paraId="018D2F3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3、乙方提供的货物须和报价文件中所承诺的货物规格、数量、型号等相符（合同中另有规定除外）如不符，除追究乙方责任外，其履约保证金将被没收。</w:t>
      </w:r>
    </w:p>
    <w:p w14:paraId="33D0178C">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十五、争端的解决</w:t>
      </w:r>
    </w:p>
    <w:p w14:paraId="30D6A7F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有关本合同和签署本合同的争议应通过友好协商解决。如果协商不成，该争议提交甲方所在地人民法院通过诉讼解决。：</w:t>
      </w:r>
    </w:p>
    <w:p w14:paraId="182F4BC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本合同未尽事宜或与国家有关法律、法规相悖的，均按国家有关法律、规定执行。</w:t>
      </w:r>
    </w:p>
    <w:p w14:paraId="297438CC">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任何一方就对方针对本合同项下任何条款的违约行为的自动弃权或重复性弃权不应被视为是对下一次针对同一条款的违约行为、或针对其他条款的违约行为的弃权。</w:t>
      </w:r>
    </w:p>
    <w:p w14:paraId="580B412E">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十六、转让和分包及货物不可替代</w:t>
      </w:r>
    </w:p>
    <w:p w14:paraId="4D42F6E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1、未经甲方事先书面同意，乙方不得部分转让或全部转让和分包其履行合同的义务。</w:t>
      </w:r>
    </w:p>
    <w:p w14:paraId="6809A29E">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2、货物不可替代，乙方在没有取得甲方的书面授权的情况下，不得将合同货物的生产制造转交其他生产厂商或以其他厂商的货物替代。</w:t>
      </w:r>
    </w:p>
    <w:p w14:paraId="15B0BF95">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十七、适用法律</w:t>
      </w:r>
    </w:p>
    <w:p w14:paraId="7DC211EC">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本合同按照中华人民共和国的法律进行解释。</w:t>
      </w:r>
    </w:p>
    <w:p w14:paraId="5BFEDC08">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十八、合同生效及其他</w:t>
      </w:r>
    </w:p>
    <w:p w14:paraId="6DBDBB8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1、合同应在双方签字盖章后开始生效。</w:t>
      </w:r>
    </w:p>
    <w:p w14:paraId="0BE6D3D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2、如需修改或补充合同内容，经协商，双方应签署书面修改或补充协议，该协议将作为本合同的一个组成部分。</w:t>
      </w:r>
    </w:p>
    <w:p w14:paraId="3191F53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b/>
          <w:bCs/>
          <w:color w:val="auto"/>
          <w:sz w:val="22"/>
          <w:szCs w:val="22"/>
          <w:highlight w:val="none"/>
        </w:rPr>
        <w:t>合同壹式伍份，双方各贰份，壹份送招标代理公司备案</w:t>
      </w:r>
    </w:p>
    <w:p w14:paraId="23D9A35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p>
    <w:p w14:paraId="00B293B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甲方：（印章）                       </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乙方：（印章）</w:t>
      </w:r>
    </w:p>
    <w:p w14:paraId="04ECFA0A">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全权代表:（签字）                    </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全权代表:（签字）</w:t>
      </w:r>
    </w:p>
    <w:p w14:paraId="5469063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地址：                               </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地址：</w:t>
      </w:r>
    </w:p>
    <w:p w14:paraId="319CF5F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邮政编码：                           </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邮政编码：</w:t>
      </w:r>
    </w:p>
    <w:p w14:paraId="4D68502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电话：                               </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电话：</w:t>
      </w:r>
    </w:p>
    <w:p w14:paraId="7744F78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传真：                               </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传真：</w:t>
      </w:r>
    </w:p>
    <w:p w14:paraId="4346F6E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开户银行：                           </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开户银行：</w:t>
      </w:r>
    </w:p>
    <w:p w14:paraId="4ECF12D8">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帐号：                               </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帐号：</w:t>
      </w:r>
    </w:p>
    <w:p w14:paraId="3C67B9D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u w:val="single"/>
        </w:rPr>
      </w:pPr>
      <w:r>
        <w:rPr>
          <w:rFonts w:hint="eastAsia" w:ascii="新宋体" w:hAnsi="新宋体" w:eastAsia="新宋体" w:cs="新宋体"/>
          <w:color w:val="auto"/>
          <w:sz w:val="22"/>
          <w:szCs w:val="22"/>
          <w:highlight w:val="none"/>
        </w:rPr>
        <w:t xml:space="preserve">时间:                                </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时间：</w:t>
      </w:r>
    </w:p>
    <w:p w14:paraId="02D04CA5">
      <w:pPr>
        <w:pStyle w:val="3"/>
        <w:bidi w:val="0"/>
        <w:jc w:val="center"/>
        <w:rPr>
          <w:rFonts w:hint="eastAsia" w:ascii="新宋体" w:hAnsi="新宋体" w:eastAsia="新宋体" w:cs="新宋体"/>
          <w:color w:val="auto"/>
          <w:highlight w:val="none"/>
        </w:rPr>
      </w:pPr>
      <w:bookmarkStart w:id="28" w:name="_Toc19081"/>
      <w:bookmarkStart w:id="29" w:name="_Toc14351"/>
      <w:r>
        <w:rPr>
          <w:rFonts w:hint="eastAsia" w:ascii="新宋体" w:hAnsi="新宋体" w:eastAsia="新宋体" w:cs="新宋体"/>
          <w:color w:val="auto"/>
          <w:highlight w:val="none"/>
        </w:rPr>
        <w:t>第三部分</w:t>
      </w:r>
      <w:r>
        <w:rPr>
          <w:rFonts w:hint="eastAsia" w:ascii="新宋体" w:hAnsi="新宋体" w:eastAsia="新宋体" w:cs="新宋体"/>
          <w:color w:val="auto"/>
          <w:highlight w:val="none"/>
          <w:lang w:val="en-US" w:eastAsia="zh-CN"/>
        </w:rPr>
        <w:t xml:space="preserve">   </w:t>
      </w:r>
      <w:r>
        <w:rPr>
          <w:rFonts w:hint="eastAsia" w:ascii="新宋体" w:hAnsi="新宋体" w:eastAsia="新宋体" w:cs="新宋体"/>
          <w:color w:val="auto"/>
          <w:highlight w:val="none"/>
        </w:rPr>
        <w:t>附件</w:t>
      </w:r>
      <w:bookmarkEnd w:id="28"/>
      <w:bookmarkEnd w:id="29"/>
    </w:p>
    <w:p w14:paraId="30DD1206">
      <w:pPr>
        <w:pStyle w:val="24"/>
        <w:spacing w:line="460" w:lineRule="exact"/>
        <w:ind w:left="433" w:hanging="433" w:hangingChars="196"/>
        <w:outlineLvl w:val="1"/>
        <w:rPr>
          <w:rFonts w:hint="eastAsia" w:ascii="新宋体" w:hAnsi="新宋体" w:eastAsia="新宋体" w:cs="新宋体"/>
          <w:b/>
          <w:color w:val="auto"/>
          <w:sz w:val="22"/>
          <w:highlight w:val="none"/>
        </w:rPr>
      </w:pPr>
      <w:bookmarkStart w:id="30" w:name="_Toc7056"/>
      <w:bookmarkStart w:id="31" w:name="_Toc3071"/>
      <w:r>
        <w:rPr>
          <w:rFonts w:hint="eastAsia" w:ascii="新宋体" w:hAnsi="新宋体" w:eastAsia="新宋体" w:cs="新宋体"/>
          <w:b/>
          <w:color w:val="auto"/>
          <w:sz w:val="22"/>
          <w:highlight w:val="none"/>
        </w:rPr>
        <w:t>附件一</w:t>
      </w:r>
      <w:bookmarkEnd w:id="30"/>
      <w:bookmarkEnd w:id="31"/>
    </w:p>
    <w:p w14:paraId="0B6F3E70">
      <w:pPr>
        <w:spacing w:line="400" w:lineRule="exact"/>
        <w:jc w:val="center"/>
        <w:outlineLvl w:val="2"/>
        <w:rPr>
          <w:rFonts w:hint="eastAsia" w:ascii="新宋体" w:hAnsi="新宋体" w:eastAsia="新宋体" w:cs="新宋体"/>
          <w:b/>
          <w:bCs/>
          <w:color w:val="auto"/>
          <w:sz w:val="28"/>
          <w:szCs w:val="28"/>
          <w:highlight w:val="none"/>
        </w:rPr>
      </w:pPr>
      <w:bookmarkStart w:id="32" w:name="_Toc13365"/>
      <w:bookmarkStart w:id="33" w:name="_Toc16354"/>
      <w:r>
        <w:rPr>
          <w:rFonts w:hint="eastAsia" w:ascii="新宋体" w:hAnsi="新宋体" w:eastAsia="新宋体" w:cs="新宋体"/>
          <w:b/>
          <w:bCs/>
          <w:color w:val="auto"/>
          <w:sz w:val="28"/>
          <w:szCs w:val="28"/>
          <w:highlight w:val="none"/>
        </w:rPr>
        <w:t>报价文件</w:t>
      </w:r>
      <w:bookmarkEnd w:id="32"/>
      <w:bookmarkEnd w:id="33"/>
    </w:p>
    <w:p w14:paraId="37E8DCD7">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1、</w:t>
      </w:r>
      <w:r>
        <w:rPr>
          <w:rFonts w:hint="eastAsia" w:ascii="新宋体" w:hAnsi="新宋体" w:eastAsia="新宋体" w:cs="新宋体"/>
          <w:b/>
          <w:bCs/>
          <w:color w:val="auto"/>
          <w:sz w:val="28"/>
          <w:szCs w:val="28"/>
          <w:highlight w:val="none"/>
          <w:lang w:val="zh-CN" w:eastAsia="zh-CN"/>
        </w:rPr>
        <w:t>投标报价一览表</w:t>
      </w:r>
    </w:p>
    <w:p w14:paraId="2F8822F0">
      <w:pPr>
        <w:spacing w:line="360" w:lineRule="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WZLCZB（L）-2024-07264</w:t>
      </w:r>
    </w:p>
    <w:p w14:paraId="44A7DE46">
      <w:pPr>
        <w:spacing w:line="360" w:lineRule="auto"/>
        <w:rPr>
          <w:rFonts w:hint="eastAsia" w:ascii="新宋体" w:hAnsi="新宋体" w:eastAsia="新宋体" w:cs="新宋体"/>
          <w:color w:val="auto"/>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儿童康复器材</w:t>
      </w:r>
    </w:p>
    <w:tbl>
      <w:tblPr>
        <w:tblStyle w:val="52"/>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22"/>
        <w:gridCol w:w="5413"/>
        <w:gridCol w:w="868"/>
      </w:tblGrid>
      <w:tr w14:paraId="701FF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vAlign w:val="center"/>
          </w:tcPr>
          <w:p w14:paraId="577D2C3B">
            <w:pPr>
              <w:spacing w:line="380" w:lineRule="exact"/>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序号</w:t>
            </w:r>
          </w:p>
        </w:tc>
        <w:tc>
          <w:tcPr>
            <w:tcW w:w="2522" w:type="dxa"/>
            <w:vAlign w:val="center"/>
          </w:tcPr>
          <w:p w14:paraId="76DFFB92">
            <w:pPr>
              <w:spacing w:line="380" w:lineRule="exact"/>
              <w:jc w:val="center"/>
              <w:rPr>
                <w:rFonts w:hint="eastAsia" w:ascii="新宋体" w:hAnsi="新宋体" w:eastAsia="新宋体" w:cs="新宋体"/>
                <w:color w:val="auto"/>
                <w:sz w:val="22"/>
                <w:highlight w:val="none"/>
              </w:rPr>
            </w:pPr>
            <w:r>
              <w:rPr>
                <w:rFonts w:hint="eastAsia" w:ascii="新宋体" w:hAnsi="新宋体" w:eastAsia="新宋体" w:cs="新宋体"/>
                <w:bCs/>
                <w:color w:val="auto"/>
                <w:sz w:val="22"/>
                <w:szCs w:val="22"/>
                <w:highlight w:val="none"/>
              </w:rPr>
              <w:t>项目名称</w:t>
            </w:r>
          </w:p>
        </w:tc>
        <w:tc>
          <w:tcPr>
            <w:tcW w:w="5413" w:type="dxa"/>
            <w:vAlign w:val="center"/>
          </w:tcPr>
          <w:p w14:paraId="4F9B1B0B">
            <w:pPr>
              <w:spacing w:line="380" w:lineRule="exact"/>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报价（</w:t>
            </w:r>
            <w:r>
              <w:rPr>
                <w:rFonts w:hint="eastAsia" w:ascii="新宋体" w:hAnsi="新宋体" w:eastAsia="新宋体" w:cs="新宋体"/>
                <w:color w:val="auto"/>
                <w:sz w:val="22"/>
                <w:highlight w:val="none"/>
                <w:lang w:val="en-US" w:eastAsia="zh-CN"/>
              </w:rPr>
              <w:t>元</w:t>
            </w:r>
            <w:r>
              <w:rPr>
                <w:rFonts w:hint="eastAsia" w:ascii="新宋体" w:hAnsi="新宋体" w:eastAsia="新宋体" w:cs="新宋体"/>
                <w:color w:val="auto"/>
                <w:sz w:val="22"/>
                <w:highlight w:val="none"/>
              </w:rPr>
              <w:t>）</w:t>
            </w:r>
          </w:p>
        </w:tc>
        <w:tc>
          <w:tcPr>
            <w:tcW w:w="868" w:type="dxa"/>
            <w:vAlign w:val="center"/>
          </w:tcPr>
          <w:p w14:paraId="1C9AD229">
            <w:pPr>
              <w:spacing w:line="380" w:lineRule="exact"/>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备注</w:t>
            </w:r>
          </w:p>
        </w:tc>
      </w:tr>
      <w:tr w14:paraId="2CB47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815" w:type="dxa"/>
            <w:vMerge w:val="restart"/>
            <w:vAlign w:val="center"/>
          </w:tcPr>
          <w:p w14:paraId="7200F9ED">
            <w:pPr>
              <w:spacing w:line="380" w:lineRule="exact"/>
              <w:jc w:val="center"/>
              <w:rPr>
                <w:rFonts w:hint="eastAsia" w:ascii="新宋体" w:hAnsi="新宋体" w:eastAsia="新宋体" w:cs="新宋体"/>
                <w:color w:val="auto"/>
                <w:sz w:val="22"/>
                <w:highlight w:val="none"/>
              </w:rPr>
            </w:pPr>
          </w:p>
        </w:tc>
        <w:tc>
          <w:tcPr>
            <w:tcW w:w="2522" w:type="dxa"/>
            <w:vMerge w:val="restart"/>
            <w:vAlign w:val="center"/>
          </w:tcPr>
          <w:p w14:paraId="64C50F41">
            <w:pPr>
              <w:spacing w:line="380" w:lineRule="exact"/>
              <w:jc w:val="center"/>
              <w:rPr>
                <w:rFonts w:hint="eastAsia" w:ascii="新宋体" w:hAnsi="新宋体" w:eastAsia="新宋体" w:cs="新宋体"/>
                <w:color w:val="auto"/>
                <w:sz w:val="22"/>
                <w:highlight w:val="none"/>
              </w:rPr>
            </w:pPr>
          </w:p>
        </w:tc>
        <w:tc>
          <w:tcPr>
            <w:tcW w:w="5413" w:type="dxa"/>
            <w:vAlign w:val="center"/>
          </w:tcPr>
          <w:p w14:paraId="6055355D">
            <w:pPr>
              <w:spacing w:line="38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大写：</w:t>
            </w:r>
          </w:p>
        </w:tc>
        <w:tc>
          <w:tcPr>
            <w:tcW w:w="868" w:type="dxa"/>
            <w:vMerge w:val="restart"/>
            <w:vAlign w:val="center"/>
          </w:tcPr>
          <w:p w14:paraId="5B86C1A2">
            <w:pPr>
              <w:spacing w:line="380" w:lineRule="exact"/>
              <w:jc w:val="center"/>
              <w:rPr>
                <w:rFonts w:hint="eastAsia" w:ascii="新宋体" w:hAnsi="新宋体" w:eastAsia="新宋体" w:cs="新宋体"/>
                <w:color w:val="auto"/>
                <w:sz w:val="22"/>
                <w:highlight w:val="none"/>
              </w:rPr>
            </w:pPr>
          </w:p>
        </w:tc>
      </w:tr>
      <w:tr w14:paraId="52A3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15" w:type="dxa"/>
            <w:vMerge w:val="continue"/>
            <w:vAlign w:val="center"/>
          </w:tcPr>
          <w:p w14:paraId="5BA1C3E2">
            <w:pPr>
              <w:spacing w:line="380" w:lineRule="exact"/>
              <w:jc w:val="center"/>
              <w:rPr>
                <w:rFonts w:hint="eastAsia" w:ascii="新宋体" w:hAnsi="新宋体" w:eastAsia="新宋体" w:cs="新宋体"/>
                <w:color w:val="auto"/>
                <w:sz w:val="22"/>
                <w:highlight w:val="none"/>
              </w:rPr>
            </w:pPr>
          </w:p>
        </w:tc>
        <w:tc>
          <w:tcPr>
            <w:tcW w:w="2522" w:type="dxa"/>
            <w:vMerge w:val="continue"/>
            <w:vAlign w:val="center"/>
          </w:tcPr>
          <w:p w14:paraId="09DD2FD6">
            <w:pPr>
              <w:spacing w:line="380" w:lineRule="exact"/>
              <w:jc w:val="center"/>
              <w:rPr>
                <w:rFonts w:hint="eastAsia" w:ascii="新宋体" w:hAnsi="新宋体" w:eastAsia="新宋体" w:cs="新宋体"/>
                <w:color w:val="auto"/>
                <w:sz w:val="22"/>
                <w:highlight w:val="none"/>
              </w:rPr>
            </w:pPr>
          </w:p>
        </w:tc>
        <w:tc>
          <w:tcPr>
            <w:tcW w:w="5413" w:type="dxa"/>
            <w:vAlign w:val="center"/>
          </w:tcPr>
          <w:p w14:paraId="55A56EAE">
            <w:pPr>
              <w:spacing w:line="38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小写：</w:t>
            </w:r>
          </w:p>
        </w:tc>
        <w:tc>
          <w:tcPr>
            <w:tcW w:w="868" w:type="dxa"/>
            <w:vMerge w:val="continue"/>
            <w:vAlign w:val="center"/>
          </w:tcPr>
          <w:p w14:paraId="380CB0DB">
            <w:pPr>
              <w:spacing w:line="380" w:lineRule="exact"/>
              <w:jc w:val="center"/>
              <w:rPr>
                <w:rFonts w:hint="eastAsia" w:ascii="新宋体" w:hAnsi="新宋体" w:eastAsia="新宋体" w:cs="新宋体"/>
                <w:color w:val="auto"/>
                <w:sz w:val="22"/>
                <w:highlight w:val="none"/>
              </w:rPr>
            </w:pPr>
          </w:p>
        </w:tc>
      </w:tr>
    </w:tbl>
    <w:p w14:paraId="7E07044D">
      <w:pPr>
        <w:spacing w:line="400" w:lineRule="exact"/>
        <w:ind w:firstLine="442" w:firstLineChars="200"/>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说明：</w:t>
      </w:r>
    </w:p>
    <w:p w14:paraId="036D2D4F">
      <w:pPr>
        <w:numPr>
          <w:ilvl w:val="0"/>
          <w:numId w:val="0"/>
        </w:numPr>
        <w:spacing w:line="450" w:lineRule="exact"/>
        <w:ind w:firstLine="442" w:firstLineChars="200"/>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lang w:val="en-US" w:eastAsia="zh-CN"/>
        </w:rPr>
        <w:t>1、</w:t>
      </w:r>
      <w:r>
        <w:rPr>
          <w:rFonts w:hint="eastAsia" w:ascii="新宋体" w:hAnsi="新宋体" w:eastAsia="新宋体" w:cs="新宋体"/>
          <w:b/>
          <w:color w:val="auto"/>
          <w:sz w:val="22"/>
          <w:highlight w:val="none"/>
        </w:rPr>
        <w:t>此栏投标报价应与附件一中“</w:t>
      </w:r>
      <w:r>
        <w:rPr>
          <w:rFonts w:hint="eastAsia" w:ascii="新宋体" w:hAnsi="新宋体" w:eastAsia="新宋体" w:cs="新宋体"/>
          <w:b/>
          <w:color w:val="auto"/>
          <w:sz w:val="22"/>
          <w:highlight w:val="none"/>
          <w:lang w:val="en-US" w:eastAsia="zh-CN"/>
        </w:rPr>
        <w:t>2</w:t>
      </w:r>
      <w:r>
        <w:rPr>
          <w:rFonts w:hint="eastAsia" w:ascii="新宋体" w:hAnsi="新宋体" w:eastAsia="新宋体" w:cs="新宋体"/>
          <w:b/>
          <w:color w:val="auto"/>
          <w:sz w:val="22"/>
          <w:highlight w:val="none"/>
        </w:rPr>
        <w:t>、投标分项报价表”中的总计价相一致。</w:t>
      </w:r>
    </w:p>
    <w:p w14:paraId="01C247F4">
      <w:pPr>
        <w:numPr>
          <w:ilvl w:val="0"/>
          <w:numId w:val="0"/>
        </w:numPr>
        <w:spacing w:line="450" w:lineRule="exact"/>
        <w:ind w:firstLine="442" w:firstLineChars="200"/>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lang w:val="en-US" w:eastAsia="zh-CN"/>
        </w:rPr>
        <w:t>2、</w:t>
      </w:r>
      <w:r>
        <w:rPr>
          <w:rFonts w:hint="eastAsia" w:ascii="新宋体" w:hAnsi="新宋体" w:eastAsia="新宋体" w:cs="新宋体"/>
          <w:b/>
          <w:color w:val="auto"/>
          <w:sz w:val="22"/>
          <w:highlight w:val="none"/>
        </w:rPr>
        <w:t>不提供此表格将被视为没有实质性响应招标文件</w:t>
      </w:r>
    </w:p>
    <w:p w14:paraId="2566FB08">
      <w:pPr>
        <w:spacing w:line="360" w:lineRule="auto"/>
        <w:jc w:val="center"/>
        <w:rPr>
          <w:rFonts w:hint="eastAsia" w:ascii="新宋体" w:hAnsi="新宋体" w:eastAsia="新宋体" w:cs="新宋体"/>
          <w:color w:val="auto"/>
          <w:sz w:val="22"/>
          <w:szCs w:val="22"/>
          <w:highlight w:val="none"/>
        </w:rPr>
      </w:pPr>
    </w:p>
    <w:p w14:paraId="788C1FB7">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42DB1F2A">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en-US" w:eastAsia="zh-CN"/>
        </w:rPr>
        <w:t xml:space="preserve">                  </w:t>
      </w:r>
      <w:r>
        <w:rPr>
          <w:rFonts w:hint="eastAsia" w:ascii="新宋体" w:hAnsi="新宋体" w:eastAsia="新宋体" w:cs="新宋体"/>
          <w:color w:val="auto"/>
          <w:kern w:val="0"/>
          <w:sz w:val="22"/>
          <w:szCs w:val="22"/>
          <w:highlight w:val="none"/>
        </w:rPr>
        <w:t>法定代表人或其授权代表（签字或盖章）</w:t>
      </w:r>
      <w:r>
        <w:rPr>
          <w:rFonts w:hint="eastAsia" w:ascii="新宋体" w:hAnsi="新宋体" w:eastAsia="新宋体" w:cs="新宋体"/>
          <w:color w:val="auto"/>
          <w:sz w:val="22"/>
          <w:szCs w:val="22"/>
          <w:highlight w:val="none"/>
        </w:rPr>
        <w:t>：</w:t>
      </w:r>
    </w:p>
    <w:p w14:paraId="47CEB810">
      <w:pPr>
        <w:spacing w:line="360" w:lineRule="auto"/>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日    期：</w:t>
      </w:r>
    </w:p>
    <w:p w14:paraId="2AE676DF">
      <w:pPr>
        <w:pStyle w:val="25"/>
        <w:ind w:left="860" w:hanging="440"/>
        <w:rPr>
          <w:rFonts w:hint="eastAsia" w:ascii="新宋体" w:hAnsi="新宋体" w:eastAsia="新宋体" w:cs="新宋体"/>
          <w:color w:val="auto"/>
          <w:sz w:val="22"/>
          <w:szCs w:val="22"/>
          <w:highlight w:val="none"/>
        </w:rPr>
      </w:pPr>
    </w:p>
    <w:p w14:paraId="6EBC7D78">
      <w:pPr>
        <w:pStyle w:val="25"/>
        <w:ind w:left="860" w:hanging="440"/>
        <w:rPr>
          <w:rFonts w:hint="eastAsia" w:ascii="新宋体" w:hAnsi="新宋体" w:eastAsia="新宋体" w:cs="新宋体"/>
          <w:color w:val="auto"/>
          <w:sz w:val="22"/>
          <w:szCs w:val="22"/>
          <w:highlight w:val="none"/>
        </w:rPr>
      </w:pPr>
    </w:p>
    <w:p w14:paraId="13822A02">
      <w:pPr>
        <w:pStyle w:val="25"/>
        <w:ind w:left="860" w:hanging="440"/>
        <w:rPr>
          <w:rFonts w:hint="eastAsia" w:ascii="新宋体" w:hAnsi="新宋体" w:eastAsia="新宋体" w:cs="新宋体"/>
          <w:color w:val="auto"/>
          <w:sz w:val="22"/>
          <w:szCs w:val="22"/>
          <w:highlight w:val="none"/>
        </w:rPr>
      </w:pPr>
    </w:p>
    <w:p w14:paraId="54564276">
      <w:pPr>
        <w:pStyle w:val="25"/>
        <w:ind w:left="860" w:hanging="440"/>
        <w:rPr>
          <w:rFonts w:hint="eastAsia" w:ascii="新宋体" w:hAnsi="新宋体" w:eastAsia="新宋体" w:cs="新宋体"/>
          <w:color w:val="auto"/>
          <w:sz w:val="22"/>
          <w:szCs w:val="22"/>
          <w:highlight w:val="none"/>
        </w:rPr>
      </w:pPr>
    </w:p>
    <w:p w14:paraId="2607BF53">
      <w:pPr>
        <w:pStyle w:val="25"/>
        <w:ind w:left="860" w:hanging="440"/>
        <w:rPr>
          <w:rFonts w:hint="eastAsia" w:ascii="新宋体" w:hAnsi="新宋体" w:eastAsia="新宋体" w:cs="新宋体"/>
          <w:color w:val="auto"/>
          <w:sz w:val="22"/>
          <w:szCs w:val="22"/>
          <w:highlight w:val="none"/>
        </w:rPr>
      </w:pPr>
    </w:p>
    <w:p w14:paraId="35E63CB8">
      <w:pPr>
        <w:pStyle w:val="25"/>
        <w:ind w:left="860" w:hanging="440"/>
        <w:rPr>
          <w:rFonts w:hint="eastAsia" w:ascii="新宋体" w:hAnsi="新宋体" w:eastAsia="新宋体" w:cs="新宋体"/>
          <w:color w:val="auto"/>
          <w:sz w:val="22"/>
          <w:szCs w:val="22"/>
          <w:highlight w:val="none"/>
        </w:rPr>
      </w:pPr>
    </w:p>
    <w:p w14:paraId="13826794">
      <w:pPr>
        <w:pStyle w:val="25"/>
        <w:ind w:left="860" w:hanging="440"/>
        <w:rPr>
          <w:rFonts w:hint="eastAsia" w:ascii="新宋体" w:hAnsi="新宋体" w:eastAsia="新宋体" w:cs="新宋体"/>
          <w:color w:val="auto"/>
          <w:sz w:val="22"/>
          <w:szCs w:val="22"/>
          <w:highlight w:val="none"/>
        </w:rPr>
      </w:pPr>
    </w:p>
    <w:p w14:paraId="18AA206E">
      <w:pPr>
        <w:pStyle w:val="25"/>
        <w:ind w:left="860" w:hanging="440"/>
        <w:rPr>
          <w:rFonts w:hint="eastAsia" w:ascii="新宋体" w:hAnsi="新宋体" w:eastAsia="新宋体" w:cs="新宋体"/>
          <w:color w:val="auto"/>
          <w:sz w:val="22"/>
          <w:szCs w:val="22"/>
          <w:highlight w:val="none"/>
        </w:rPr>
      </w:pPr>
    </w:p>
    <w:p w14:paraId="2578D9D1">
      <w:pPr>
        <w:pStyle w:val="25"/>
        <w:ind w:left="860" w:hanging="440"/>
        <w:rPr>
          <w:rFonts w:hint="eastAsia" w:ascii="新宋体" w:hAnsi="新宋体" w:eastAsia="新宋体" w:cs="新宋体"/>
          <w:color w:val="auto"/>
          <w:sz w:val="22"/>
          <w:szCs w:val="22"/>
          <w:highlight w:val="none"/>
        </w:rPr>
      </w:pPr>
    </w:p>
    <w:p w14:paraId="045642A0">
      <w:pPr>
        <w:pStyle w:val="25"/>
        <w:ind w:left="860" w:hanging="440"/>
        <w:rPr>
          <w:rFonts w:hint="eastAsia" w:ascii="新宋体" w:hAnsi="新宋体" w:eastAsia="新宋体" w:cs="新宋体"/>
          <w:color w:val="auto"/>
          <w:sz w:val="22"/>
          <w:szCs w:val="22"/>
          <w:highlight w:val="none"/>
        </w:rPr>
      </w:pPr>
    </w:p>
    <w:p w14:paraId="672C6E77">
      <w:pPr>
        <w:pStyle w:val="25"/>
        <w:ind w:left="860" w:hanging="440"/>
        <w:rPr>
          <w:rFonts w:hint="eastAsia" w:ascii="新宋体" w:hAnsi="新宋体" w:eastAsia="新宋体" w:cs="新宋体"/>
          <w:color w:val="auto"/>
          <w:sz w:val="22"/>
          <w:szCs w:val="22"/>
          <w:highlight w:val="none"/>
        </w:rPr>
      </w:pPr>
    </w:p>
    <w:p w14:paraId="134F60EA">
      <w:pPr>
        <w:pStyle w:val="25"/>
        <w:ind w:left="860" w:hanging="440"/>
        <w:rPr>
          <w:rFonts w:hint="eastAsia" w:ascii="新宋体" w:hAnsi="新宋体" w:eastAsia="新宋体" w:cs="新宋体"/>
          <w:color w:val="auto"/>
          <w:sz w:val="22"/>
          <w:szCs w:val="22"/>
          <w:highlight w:val="none"/>
        </w:rPr>
      </w:pPr>
    </w:p>
    <w:p w14:paraId="1072AC28">
      <w:pPr>
        <w:pStyle w:val="25"/>
        <w:ind w:left="860" w:hanging="440"/>
        <w:rPr>
          <w:rFonts w:hint="eastAsia" w:ascii="新宋体" w:hAnsi="新宋体" w:eastAsia="新宋体" w:cs="新宋体"/>
          <w:color w:val="auto"/>
          <w:sz w:val="22"/>
          <w:szCs w:val="22"/>
          <w:highlight w:val="none"/>
        </w:rPr>
      </w:pPr>
    </w:p>
    <w:p w14:paraId="35AE6A2D">
      <w:pPr>
        <w:pStyle w:val="25"/>
        <w:ind w:left="860" w:hanging="440"/>
        <w:rPr>
          <w:rFonts w:hint="eastAsia" w:ascii="新宋体" w:hAnsi="新宋体" w:eastAsia="新宋体" w:cs="新宋体"/>
          <w:color w:val="auto"/>
          <w:sz w:val="22"/>
          <w:szCs w:val="22"/>
          <w:highlight w:val="none"/>
        </w:rPr>
      </w:pPr>
    </w:p>
    <w:p w14:paraId="46B7B6B4">
      <w:pPr>
        <w:spacing w:line="400" w:lineRule="exact"/>
        <w:jc w:val="center"/>
        <w:outlineLvl w:val="3"/>
        <w:rPr>
          <w:rFonts w:hint="eastAsia" w:ascii="新宋体" w:hAnsi="新宋体" w:eastAsia="新宋体" w:cs="新宋体"/>
          <w:b/>
          <w:bCs/>
          <w:color w:val="auto"/>
          <w:sz w:val="28"/>
          <w:szCs w:val="28"/>
          <w:highlight w:val="none"/>
          <w:lang w:val="zh-CN" w:eastAsia="zh-CN"/>
        </w:rPr>
      </w:pPr>
      <w:r>
        <w:rPr>
          <w:rFonts w:hint="eastAsia" w:ascii="新宋体" w:hAnsi="新宋体" w:eastAsia="新宋体" w:cs="新宋体"/>
          <w:b/>
          <w:bCs/>
          <w:color w:val="auto"/>
          <w:sz w:val="28"/>
          <w:szCs w:val="28"/>
          <w:highlight w:val="none"/>
          <w:lang w:val="en-US" w:eastAsia="zh-CN"/>
        </w:rPr>
        <w:t>2</w:t>
      </w:r>
      <w:r>
        <w:rPr>
          <w:rFonts w:hint="eastAsia" w:ascii="新宋体" w:hAnsi="新宋体" w:eastAsia="新宋体" w:cs="新宋体"/>
          <w:b/>
          <w:bCs/>
          <w:color w:val="auto"/>
          <w:sz w:val="28"/>
          <w:szCs w:val="28"/>
          <w:highlight w:val="none"/>
          <w:lang w:val="zh-CN" w:eastAsia="zh-CN"/>
        </w:rPr>
        <w:t>、分项报价表</w:t>
      </w:r>
    </w:p>
    <w:p w14:paraId="0855CA1D">
      <w:pPr>
        <w:spacing w:line="360" w:lineRule="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WZLCZB（L）-2024-07264</w:t>
      </w:r>
    </w:p>
    <w:p w14:paraId="3BABCE44">
      <w:pPr>
        <w:spacing w:line="360" w:lineRule="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儿童康复器材</w:t>
      </w:r>
    </w:p>
    <w:tbl>
      <w:tblPr>
        <w:tblStyle w:val="52"/>
        <w:tblW w:w="10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45"/>
        <w:gridCol w:w="955"/>
        <w:gridCol w:w="1282"/>
        <w:gridCol w:w="1623"/>
        <w:gridCol w:w="736"/>
        <w:gridCol w:w="1038"/>
        <w:gridCol w:w="1149"/>
        <w:gridCol w:w="736"/>
      </w:tblGrid>
      <w:tr w14:paraId="74B89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75" w:type="dxa"/>
            <w:noWrap w:val="0"/>
            <w:vAlign w:val="center"/>
          </w:tcPr>
          <w:p w14:paraId="621C5733">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序号</w:t>
            </w:r>
          </w:p>
        </w:tc>
        <w:tc>
          <w:tcPr>
            <w:tcW w:w="1845" w:type="dxa"/>
            <w:noWrap w:val="0"/>
            <w:vAlign w:val="center"/>
          </w:tcPr>
          <w:p w14:paraId="1B8196E2">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名称</w:t>
            </w:r>
          </w:p>
        </w:tc>
        <w:tc>
          <w:tcPr>
            <w:tcW w:w="955" w:type="dxa"/>
            <w:noWrap w:val="0"/>
            <w:vAlign w:val="center"/>
          </w:tcPr>
          <w:p w14:paraId="544400CE">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品牌</w:t>
            </w:r>
          </w:p>
        </w:tc>
        <w:tc>
          <w:tcPr>
            <w:tcW w:w="1282" w:type="dxa"/>
            <w:noWrap w:val="0"/>
            <w:vAlign w:val="center"/>
          </w:tcPr>
          <w:p w14:paraId="5F7255AC">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规格型号</w:t>
            </w:r>
          </w:p>
        </w:tc>
        <w:tc>
          <w:tcPr>
            <w:tcW w:w="1623" w:type="dxa"/>
            <w:noWrap w:val="0"/>
            <w:vAlign w:val="center"/>
          </w:tcPr>
          <w:p w14:paraId="37078616">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color w:val="auto"/>
                <w:sz w:val="22"/>
                <w:szCs w:val="22"/>
                <w:highlight w:val="none"/>
              </w:rPr>
              <w:t>制造厂商名称</w:t>
            </w:r>
          </w:p>
        </w:tc>
        <w:tc>
          <w:tcPr>
            <w:tcW w:w="736" w:type="dxa"/>
            <w:noWrap w:val="0"/>
            <w:vAlign w:val="center"/>
          </w:tcPr>
          <w:p w14:paraId="42F7277F">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数量</w:t>
            </w:r>
          </w:p>
        </w:tc>
        <w:tc>
          <w:tcPr>
            <w:tcW w:w="1038" w:type="dxa"/>
            <w:noWrap w:val="0"/>
            <w:vAlign w:val="center"/>
          </w:tcPr>
          <w:p w14:paraId="19831183">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b w:val="0"/>
                <w:bCs/>
                <w:color w:val="auto"/>
                <w:sz w:val="22"/>
                <w:szCs w:val="22"/>
                <w:highlight w:val="none"/>
                <w:lang w:eastAsia="zh-CN"/>
              </w:rPr>
            </w:pPr>
            <w:r>
              <w:rPr>
                <w:rFonts w:hint="eastAsia" w:ascii="新宋体" w:hAnsi="新宋体" w:eastAsia="新宋体" w:cs="新宋体"/>
                <w:b w:val="0"/>
                <w:bCs/>
                <w:color w:val="auto"/>
                <w:sz w:val="22"/>
                <w:szCs w:val="22"/>
                <w:highlight w:val="none"/>
              </w:rPr>
              <w:t>单价</w:t>
            </w:r>
            <w:r>
              <w:rPr>
                <w:rFonts w:hint="eastAsia" w:ascii="新宋体" w:hAnsi="新宋体" w:eastAsia="新宋体" w:cs="新宋体"/>
                <w:b w:val="0"/>
                <w:bCs/>
                <w:color w:val="auto"/>
                <w:sz w:val="22"/>
                <w:szCs w:val="22"/>
                <w:highlight w:val="none"/>
                <w:lang w:eastAsia="zh-CN"/>
              </w:rPr>
              <w:t>（</w:t>
            </w:r>
            <w:r>
              <w:rPr>
                <w:rFonts w:hint="eastAsia" w:ascii="新宋体" w:hAnsi="新宋体" w:eastAsia="新宋体" w:cs="新宋体"/>
                <w:b w:val="0"/>
                <w:bCs/>
                <w:color w:val="auto"/>
                <w:sz w:val="22"/>
                <w:szCs w:val="22"/>
                <w:highlight w:val="none"/>
                <w:lang w:val="en-US" w:eastAsia="zh-CN"/>
              </w:rPr>
              <w:t>元</w:t>
            </w:r>
            <w:r>
              <w:rPr>
                <w:rFonts w:hint="eastAsia" w:ascii="新宋体" w:hAnsi="新宋体" w:eastAsia="新宋体" w:cs="新宋体"/>
                <w:b w:val="0"/>
                <w:bCs/>
                <w:color w:val="auto"/>
                <w:sz w:val="22"/>
                <w:szCs w:val="22"/>
                <w:highlight w:val="none"/>
                <w:lang w:eastAsia="zh-CN"/>
              </w:rPr>
              <w:t>）</w:t>
            </w:r>
          </w:p>
        </w:tc>
        <w:tc>
          <w:tcPr>
            <w:tcW w:w="1149" w:type="dxa"/>
            <w:noWrap w:val="0"/>
            <w:vAlign w:val="center"/>
          </w:tcPr>
          <w:p w14:paraId="1888DB14">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b w:val="0"/>
                <w:bCs/>
                <w:color w:val="auto"/>
                <w:sz w:val="22"/>
                <w:szCs w:val="22"/>
                <w:highlight w:val="none"/>
                <w:lang w:eastAsia="zh-CN"/>
              </w:rPr>
            </w:pPr>
            <w:r>
              <w:rPr>
                <w:rFonts w:hint="eastAsia" w:ascii="新宋体" w:hAnsi="新宋体" w:eastAsia="新宋体" w:cs="新宋体"/>
                <w:b w:val="0"/>
                <w:bCs/>
                <w:color w:val="auto"/>
                <w:sz w:val="22"/>
                <w:szCs w:val="22"/>
                <w:highlight w:val="none"/>
              </w:rPr>
              <w:t>总价</w:t>
            </w:r>
            <w:r>
              <w:rPr>
                <w:rFonts w:hint="eastAsia" w:ascii="新宋体" w:hAnsi="新宋体" w:eastAsia="新宋体" w:cs="新宋体"/>
                <w:b w:val="0"/>
                <w:bCs/>
                <w:color w:val="auto"/>
                <w:sz w:val="22"/>
                <w:szCs w:val="22"/>
                <w:highlight w:val="none"/>
                <w:lang w:eastAsia="zh-CN"/>
              </w:rPr>
              <w:t>（</w:t>
            </w:r>
            <w:r>
              <w:rPr>
                <w:rFonts w:hint="eastAsia" w:ascii="新宋体" w:hAnsi="新宋体" w:eastAsia="新宋体" w:cs="新宋体"/>
                <w:b w:val="0"/>
                <w:bCs/>
                <w:color w:val="auto"/>
                <w:sz w:val="22"/>
                <w:szCs w:val="22"/>
                <w:highlight w:val="none"/>
                <w:lang w:val="en-US" w:eastAsia="zh-CN"/>
              </w:rPr>
              <w:t>元</w:t>
            </w:r>
            <w:r>
              <w:rPr>
                <w:rFonts w:hint="eastAsia" w:ascii="新宋体" w:hAnsi="新宋体" w:eastAsia="新宋体" w:cs="新宋体"/>
                <w:b w:val="0"/>
                <w:bCs/>
                <w:color w:val="auto"/>
                <w:sz w:val="22"/>
                <w:szCs w:val="22"/>
                <w:highlight w:val="none"/>
                <w:lang w:eastAsia="zh-CN"/>
              </w:rPr>
              <w:t>）</w:t>
            </w:r>
          </w:p>
        </w:tc>
        <w:tc>
          <w:tcPr>
            <w:tcW w:w="736" w:type="dxa"/>
            <w:noWrap w:val="0"/>
            <w:vAlign w:val="center"/>
          </w:tcPr>
          <w:p w14:paraId="5364567B">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b w:val="0"/>
                <w:bCs/>
                <w:color w:val="auto"/>
                <w:sz w:val="22"/>
                <w:szCs w:val="22"/>
                <w:highlight w:val="none"/>
              </w:rPr>
            </w:pPr>
          </w:p>
          <w:p w14:paraId="7BB8AF5A">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备注</w:t>
            </w:r>
          </w:p>
          <w:p w14:paraId="304A2C68">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b w:val="0"/>
                <w:bCs/>
                <w:color w:val="auto"/>
                <w:sz w:val="22"/>
                <w:szCs w:val="22"/>
                <w:highlight w:val="none"/>
              </w:rPr>
            </w:pPr>
          </w:p>
        </w:tc>
      </w:tr>
      <w:tr w14:paraId="3B8C4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75" w:type="dxa"/>
            <w:noWrap w:val="0"/>
            <w:vAlign w:val="center"/>
          </w:tcPr>
          <w:p w14:paraId="150FE916">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1</w:t>
            </w:r>
          </w:p>
        </w:tc>
        <w:tc>
          <w:tcPr>
            <w:tcW w:w="1845" w:type="dxa"/>
            <w:noWrap w:val="0"/>
            <w:vAlign w:val="center"/>
          </w:tcPr>
          <w:p w14:paraId="7E15750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color w:val="auto"/>
                <w:sz w:val="22"/>
                <w:szCs w:val="22"/>
                <w:highlight w:val="none"/>
              </w:rPr>
            </w:pPr>
          </w:p>
        </w:tc>
        <w:tc>
          <w:tcPr>
            <w:tcW w:w="955" w:type="dxa"/>
            <w:noWrap w:val="0"/>
            <w:vAlign w:val="center"/>
          </w:tcPr>
          <w:p w14:paraId="7A168C91">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b w:val="0"/>
                <w:bCs/>
                <w:color w:val="auto"/>
                <w:sz w:val="22"/>
                <w:szCs w:val="22"/>
                <w:highlight w:val="none"/>
              </w:rPr>
            </w:pPr>
          </w:p>
        </w:tc>
        <w:tc>
          <w:tcPr>
            <w:tcW w:w="1282" w:type="dxa"/>
            <w:noWrap w:val="0"/>
            <w:vAlign w:val="center"/>
          </w:tcPr>
          <w:p w14:paraId="2855D4E6">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b w:val="0"/>
                <w:bCs/>
                <w:color w:val="auto"/>
                <w:sz w:val="22"/>
                <w:szCs w:val="22"/>
                <w:highlight w:val="none"/>
              </w:rPr>
            </w:pPr>
          </w:p>
        </w:tc>
        <w:tc>
          <w:tcPr>
            <w:tcW w:w="1623" w:type="dxa"/>
            <w:noWrap w:val="0"/>
            <w:vAlign w:val="center"/>
          </w:tcPr>
          <w:p w14:paraId="14DC0990">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b w:val="0"/>
                <w:bCs/>
                <w:color w:val="auto"/>
                <w:sz w:val="22"/>
                <w:szCs w:val="22"/>
                <w:highlight w:val="none"/>
              </w:rPr>
            </w:pPr>
          </w:p>
        </w:tc>
        <w:tc>
          <w:tcPr>
            <w:tcW w:w="736" w:type="dxa"/>
            <w:noWrap w:val="0"/>
            <w:vAlign w:val="center"/>
          </w:tcPr>
          <w:p w14:paraId="3253B442">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b w:val="0"/>
                <w:bCs/>
                <w:color w:val="auto"/>
                <w:sz w:val="22"/>
                <w:szCs w:val="22"/>
                <w:highlight w:val="none"/>
              </w:rPr>
            </w:pPr>
          </w:p>
        </w:tc>
        <w:tc>
          <w:tcPr>
            <w:tcW w:w="1038" w:type="dxa"/>
            <w:noWrap w:val="0"/>
            <w:vAlign w:val="center"/>
          </w:tcPr>
          <w:p w14:paraId="35E6D63E">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b w:val="0"/>
                <w:bCs/>
                <w:color w:val="auto"/>
                <w:sz w:val="22"/>
                <w:szCs w:val="22"/>
                <w:highlight w:val="none"/>
              </w:rPr>
            </w:pPr>
          </w:p>
        </w:tc>
        <w:tc>
          <w:tcPr>
            <w:tcW w:w="1149" w:type="dxa"/>
            <w:noWrap w:val="0"/>
            <w:vAlign w:val="center"/>
          </w:tcPr>
          <w:p w14:paraId="017E6A0E">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b w:val="0"/>
                <w:bCs/>
                <w:color w:val="auto"/>
                <w:sz w:val="22"/>
                <w:szCs w:val="22"/>
                <w:highlight w:val="none"/>
              </w:rPr>
            </w:pPr>
          </w:p>
        </w:tc>
        <w:tc>
          <w:tcPr>
            <w:tcW w:w="736" w:type="dxa"/>
            <w:noWrap w:val="0"/>
            <w:vAlign w:val="center"/>
          </w:tcPr>
          <w:p w14:paraId="7C67982D">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b w:val="0"/>
                <w:bCs/>
                <w:color w:val="auto"/>
                <w:sz w:val="22"/>
                <w:szCs w:val="22"/>
                <w:highlight w:val="none"/>
              </w:rPr>
            </w:pPr>
          </w:p>
        </w:tc>
      </w:tr>
      <w:tr w14:paraId="3D1B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75" w:type="dxa"/>
            <w:noWrap w:val="0"/>
            <w:vAlign w:val="center"/>
          </w:tcPr>
          <w:p w14:paraId="202240B1">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2</w:t>
            </w:r>
          </w:p>
        </w:tc>
        <w:tc>
          <w:tcPr>
            <w:tcW w:w="1845" w:type="dxa"/>
            <w:noWrap w:val="0"/>
            <w:vAlign w:val="center"/>
          </w:tcPr>
          <w:p w14:paraId="712D644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color w:val="auto"/>
                <w:sz w:val="22"/>
                <w:szCs w:val="22"/>
                <w:highlight w:val="none"/>
              </w:rPr>
            </w:pPr>
          </w:p>
        </w:tc>
        <w:tc>
          <w:tcPr>
            <w:tcW w:w="955" w:type="dxa"/>
            <w:noWrap w:val="0"/>
            <w:vAlign w:val="center"/>
          </w:tcPr>
          <w:p w14:paraId="51C55430">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b w:val="0"/>
                <w:bCs/>
                <w:color w:val="auto"/>
                <w:sz w:val="22"/>
                <w:szCs w:val="22"/>
                <w:highlight w:val="none"/>
              </w:rPr>
            </w:pPr>
          </w:p>
        </w:tc>
        <w:tc>
          <w:tcPr>
            <w:tcW w:w="1282" w:type="dxa"/>
            <w:noWrap w:val="0"/>
            <w:vAlign w:val="center"/>
          </w:tcPr>
          <w:p w14:paraId="6966AC7F">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b w:val="0"/>
                <w:bCs/>
                <w:color w:val="auto"/>
                <w:sz w:val="22"/>
                <w:szCs w:val="22"/>
                <w:highlight w:val="none"/>
              </w:rPr>
            </w:pPr>
          </w:p>
        </w:tc>
        <w:tc>
          <w:tcPr>
            <w:tcW w:w="1623" w:type="dxa"/>
            <w:noWrap w:val="0"/>
            <w:vAlign w:val="center"/>
          </w:tcPr>
          <w:p w14:paraId="445FFD2E">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b w:val="0"/>
                <w:bCs/>
                <w:color w:val="auto"/>
                <w:sz w:val="22"/>
                <w:szCs w:val="22"/>
                <w:highlight w:val="none"/>
              </w:rPr>
            </w:pPr>
          </w:p>
        </w:tc>
        <w:tc>
          <w:tcPr>
            <w:tcW w:w="736" w:type="dxa"/>
            <w:noWrap w:val="0"/>
            <w:vAlign w:val="center"/>
          </w:tcPr>
          <w:p w14:paraId="25D3F87D">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b w:val="0"/>
                <w:bCs/>
                <w:color w:val="auto"/>
                <w:sz w:val="22"/>
                <w:szCs w:val="22"/>
                <w:highlight w:val="none"/>
              </w:rPr>
            </w:pPr>
          </w:p>
        </w:tc>
        <w:tc>
          <w:tcPr>
            <w:tcW w:w="1038" w:type="dxa"/>
            <w:noWrap w:val="0"/>
            <w:vAlign w:val="center"/>
          </w:tcPr>
          <w:p w14:paraId="2B6EB9FE">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b w:val="0"/>
                <w:bCs/>
                <w:color w:val="auto"/>
                <w:sz w:val="22"/>
                <w:szCs w:val="22"/>
                <w:highlight w:val="none"/>
              </w:rPr>
            </w:pPr>
          </w:p>
        </w:tc>
        <w:tc>
          <w:tcPr>
            <w:tcW w:w="1149" w:type="dxa"/>
            <w:noWrap w:val="0"/>
            <w:vAlign w:val="center"/>
          </w:tcPr>
          <w:p w14:paraId="3FC3466B">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b w:val="0"/>
                <w:bCs/>
                <w:color w:val="auto"/>
                <w:sz w:val="22"/>
                <w:szCs w:val="22"/>
                <w:highlight w:val="none"/>
              </w:rPr>
            </w:pPr>
          </w:p>
        </w:tc>
        <w:tc>
          <w:tcPr>
            <w:tcW w:w="736" w:type="dxa"/>
            <w:noWrap w:val="0"/>
            <w:vAlign w:val="center"/>
          </w:tcPr>
          <w:p w14:paraId="6E42B595">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b w:val="0"/>
                <w:bCs/>
                <w:color w:val="auto"/>
                <w:sz w:val="22"/>
                <w:szCs w:val="22"/>
                <w:highlight w:val="none"/>
              </w:rPr>
            </w:pPr>
          </w:p>
        </w:tc>
      </w:tr>
      <w:tr w14:paraId="6E5D1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75" w:type="dxa"/>
            <w:noWrap w:val="0"/>
            <w:vAlign w:val="center"/>
          </w:tcPr>
          <w:p w14:paraId="745FD3BC">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3</w:t>
            </w:r>
          </w:p>
        </w:tc>
        <w:tc>
          <w:tcPr>
            <w:tcW w:w="1845" w:type="dxa"/>
            <w:noWrap w:val="0"/>
            <w:vAlign w:val="center"/>
          </w:tcPr>
          <w:p w14:paraId="154CA9C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color w:val="auto"/>
                <w:sz w:val="22"/>
                <w:szCs w:val="22"/>
                <w:highlight w:val="none"/>
              </w:rPr>
            </w:pPr>
          </w:p>
        </w:tc>
        <w:tc>
          <w:tcPr>
            <w:tcW w:w="955" w:type="dxa"/>
            <w:noWrap w:val="0"/>
            <w:vAlign w:val="center"/>
          </w:tcPr>
          <w:p w14:paraId="596A7344">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b w:val="0"/>
                <w:bCs/>
                <w:color w:val="auto"/>
                <w:sz w:val="22"/>
                <w:szCs w:val="22"/>
                <w:highlight w:val="none"/>
              </w:rPr>
            </w:pPr>
          </w:p>
        </w:tc>
        <w:tc>
          <w:tcPr>
            <w:tcW w:w="1282" w:type="dxa"/>
            <w:noWrap w:val="0"/>
            <w:vAlign w:val="center"/>
          </w:tcPr>
          <w:p w14:paraId="4FAC8AA6">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b w:val="0"/>
                <w:bCs/>
                <w:color w:val="auto"/>
                <w:sz w:val="22"/>
                <w:szCs w:val="22"/>
                <w:highlight w:val="none"/>
              </w:rPr>
            </w:pPr>
          </w:p>
        </w:tc>
        <w:tc>
          <w:tcPr>
            <w:tcW w:w="1623" w:type="dxa"/>
            <w:noWrap w:val="0"/>
            <w:vAlign w:val="center"/>
          </w:tcPr>
          <w:p w14:paraId="6D7ADA2B">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b w:val="0"/>
                <w:bCs/>
                <w:color w:val="auto"/>
                <w:sz w:val="22"/>
                <w:szCs w:val="22"/>
                <w:highlight w:val="none"/>
              </w:rPr>
            </w:pPr>
          </w:p>
        </w:tc>
        <w:tc>
          <w:tcPr>
            <w:tcW w:w="736" w:type="dxa"/>
            <w:noWrap w:val="0"/>
            <w:vAlign w:val="center"/>
          </w:tcPr>
          <w:p w14:paraId="75D0B67A">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b w:val="0"/>
                <w:bCs/>
                <w:color w:val="auto"/>
                <w:sz w:val="22"/>
                <w:szCs w:val="22"/>
                <w:highlight w:val="none"/>
              </w:rPr>
            </w:pPr>
          </w:p>
        </w:tc>
        <w:tc>
          <w:tcPr>
            <w:tcW w:w="1038" w:type="dxa"/>
            <w:noWrap w:val="0"/>
            <w:vAlign w:val="center"/>
          </w:tcPr>
          <w:p w14:paraId="7E9B8A82">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b w:val="0"/>
                <w:bCs/>
                <w:color w:val="auto"/>
                <w:sz w:val="22"/>
                <w:szCs w:val="22"/>
                <w:highlight w:val="none"/>
              </w:rPr>
            </w:pPr>
          </w:p>
        </w:tc>
        <w:tc>
          <w:tcPr>
            <w:tcW w:w="1149" w:type="dxa"/>
            <w:noWrap w:val="0"/>
            <w:vAlign w:val="center"/>
          </w:tcPr>
          <w:p w14:paraId="777F4785">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b w:val="0"/>
                <w:bCs/>
                <w:color w:val="auto"/>
                <w:sz w:val="22"/>
                <w:szCs w:val="22"/>
                <w:highlight w:val="none"/>
              </w:rPr>
            </w:pPr>
          </w:p>
        </w:tc>
        <w:tc>
          <w:tcPr>
            <w:tcW w:w="736" w:type="dxa"/>
            <w:noWrap w:val="0"/>
            <w:vAlign w:val="center"/>
          </w:tcPr>
          <w:p w14:paraId="50F247F9">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b w:val="0"/>
                <w:bCs/>
                <w:color w:val="auto"/>
                <w:sz w:val="22"/>
                <w:szCs w:val="22"/>
                <w:highlight w:val="none"/>
              </w:rPr>
            </w:pPr>
          </w:p>
        </w:tc>
      </w:tr>
      <w:tr w14:paraId="4314E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75" w:type="dxa"/>
            <w:noWrap w:val="0"/>
            <w:vAlign w:val="center"/>
          </w:tcPr>
          <w:p w14:paraId="784D7D92">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4</w:t>
            </w:r>
          </w:p>
        </w:tc>
        <w:tc>
          <w:tcPr>
            <w:tcW w:w="1845" w:type="dxa"/>
            <w:noWrap w:val="0"/>
            <w:vAlign w:val="center"/>
          </w:tcPr>
          <w:p w14:paraId="54A6F10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color w:val="auto"/>
                <w:sz w:val="22"/>
                <w:szCs w:val="22"/>
                <w:highlight w:val="none"/>
              </w:rPr>
            </w:pPr>
          </w:p>
        </w:tc>
        <w:tc>
          <w:tcPr>
            <w:tcW w:w="955" w:type="dxa"/>
            <w:noWrap w:val="0"/>
            <w:vAlign w:val="center"/>
          </w:tcPr>
          <w:p w14:paraId="61B69517">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b w:val="0"/>
                <w:bCs/>
                <w:color w:val="auto"/>
                <w:sz w:val="22"/>
                <w:szCs w:val="22"/>
                <w:highlight w:val="none"/>
              </w:rPr>
            </w:pPr>
          </w:p>
        </w:tc>
        <w:tc>
          <w:tcPr>
            <w:tcW w:w="1282" w:type="dxa"/>
            <w:noWrap w:val="0"/>
            <w:vAlign w:val="center"/>
          </w:tcPr>
          <w:p w14:paraId="30508849">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b w:val="0"/>
                <w:bCs/>
                <w:color w:val="auto"/>
                <w:sz w:val="22"/>
                <w:szCs w:val="22"/>
                <w:highlight w:val="none"/>
              </w:rPr>
            </w:pPr>
          </w:p>
        </w:tc>
        <w:tc>
          <w:tcPr>
            <w:tcW w:w="1623" w:type="dxa"/>
            <w:noWrap w:val="0"/>
            <w:vAlign w:val="center"/>
          </w:tcPr>
          <w:p w14:paraId="411BA7DB">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b w:val="0"/>
                <w:bCs/>
                <w:color w:val="auto"/>
                <w:sz w:val="22"/>
                <w:szCs w:val="22"/>
                <w:highlight w:val="none"/>
              </w:rPr>
            </w:pPr>
          </w:p>
        </w:tc>
        <w:tc>
          <w:tcPr>
            <w:tcW w:w="736" w:type="dxa"/>
            <w:noWrap w:val="0"/>
            <w:vAlign w:val="center"/>
          </w:tcPr>
          <w:p w14:paraId="1B9690DB">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b w:val="0"/>
                <w:bCs/>
                <w:color w:val="auto"/>
                <w:sz w:val="22"/>
                <w:szCs w:val="22"/>
                <w:highlight w:val="none"/>
              </w:rPr>
            </w:pPr>
          </w:p>
        </w:tc>
        <w:tc>
          <w:tcPr>
            <w:tcW w:w="1038" w:type="dxa"/>
            <w:noWrap w:val="0"/>
            <w:vAlign w:val="center"/>
          </w:tcPr>
          <w:p w14:paraId="27399999">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b w:val="0"/>
                <w:bCs/>
                <w:color w:val="auto"/>
                <w:sz w:val="22"/>
                <w:szCs w:val="22"/>
                <w:highlight w:val="none"/>
              </w:rPr>
            </w:pPr>
          </w:p>
        </w:tc>
        <w:tc>
          <w:tcPr>
            <w:tcW w:w="1149" w:type="dxa"/>
            <w:noWrap w:val="0"/>
            <w:vAlign w:val="center"/>
          </w:tcPr>
          <w:p w14:paraId="20DE3064">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b w:val="0"/>
                <w:bCs/>
                <w:color w:val="auto"/>
                <w:sz w:val="22"/>
                <w:szCs w:val="22"/>
                <w:highlight w:val="none"/>
              </w:rPr>
            </w:pPr>
          </w:p>
        </w:tc>
        <w:tc>
          <w:tcPr>
            <w:tcW w:w="736" w:type="dxa"/>
            <w:noWrap w:val="0"/>
            <w:vAlign w:val="center"/>
          </w:tcPr>
          <w:p w14:paraId="696B0522">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b w:val="0"/>
                <w:bCs/>
                <w:color w:val="auto"/>
                <w:sz w:val="22"/>
                <w:szCs w:val="22"/>
                <w:highlight w:val="none"/>
              </w:rPr>
            </w:pPr>
          </w:p>
        </w:tc>
      </w:tr>
      <w:tr w14:paraId="0E903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75" w:type="dxa"/>
            <w:noWrap w:val="0"/>
            <w:vAlign w:val="center"/>
          </w:tcPr>
          <w:p w14:paraId="26181A93">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5</w:t>
            </w:r>
          </w:p>
        </w:tc>
        <w:tc>
          <w:tcPr>
            <w:tcW w:w="1845" w:type="dxa"/>
            <w:noWrap w:val="0"/>
            <w:vAlign w:val="center"/>
          </w:tcPr>
          <w:p w14:paraId="61CE71F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color w:val="auto"/>
                <w:sz w:val="22"/>
                <w:szCs w:val="22"/>
                <w:highlight w:val="none"/>
              </w:rPr>
            </w:pPr>
          </w:p>
        </w:tc>
        <w:tc>
          <w:tcPr>
            <w:tcW w:w="955" w:type="dxa"/>
            <w:noWrap w:val="0"/>
            <w:vAlign w:val="center"/>
          </w:tcPr>
          <w:p w14:paraId="6A08DA76">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b w:val="0"/>
                <w:bCs/>
                <w:color w:val="auto"/>
                <w:sz w:val="22"/>
                <w:szCs w:val="22"/>
                <w:highlight w:val="none"/>
              </w:rPr>
            </w:pPr>
          </w:p>
        </w:tc>
        <w:tc>
          <w:tcPr>
            <w:tcW w:w="1282" w:type="dxa"/>
            <w:noWrap w:val="0"/>
            <w:vAlign w:val="center"/>
          </w:tcPr>
          <w:p w14:paraId="6FB37BF5">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b w:val="0"/>
                <w:bCs/>
                <w:color w:val="auto"/>
                <w:sz w:val="22"/>
                <w:szCs w:val="22"/>
                <w:highlight w:val="none"/>
              </w:rPr>
            </w:pPr>
          </w:p>
        </w:tc>
        <w:tc>
          <w:tcPr>
            <w:tcW w:w="1623" w:type="dxa"/>
            <w:noWrap w:val="0"/>
            <w:vAlign w:val="center"/>
          </w:tcPr>
          <w:p w14:paraId="77FD0C46">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b w:val="0"/>
                <w:bCs/>
                <w:color w:val="auto"/>
                <w:sz w:val="22"/>
                <w:szCs w:val="22"/>
                <w:highlight w:val="none"/>
              </w:rPr>
            </w:pPr>
          </w:p>
        </w:tc>
        <w:tc>
          <w:tcPr>
            <w:tcW w:w="736" w:type="dxa"/>
            <w:noWrap w:val="0"/>
            <w:vAlign w:val="center"/>
          </w:tcPr>
          <w:p w14:paraId="38EC8FA3">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b w:val="0"/>
                <w:bCs/>
                <w:color w:val="auto"/>
                <w:sz w:val="22"/>
                <w:szCs w:val="22"/>
                <w:highlight w:val="none"/>
              </w:rPr>
            </w:pPr>
          </w:p>
        </w:tc>
        <w:tc>
          <w:tcPr>
            <w:tcW w:w="1038" w:type="dxa"/>
            <w:noWrap w:val="0"/>
            <w:vAlign w:val="center"/>
          </w:tcPr>
          <w:p w14:paraId="430FCFB8">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b w:val="0"/>
                <w:bCs/>
                <w:color w:val="auto"/>
                <w:sz w:val="22"/>
                <w:szCs w:val="22"/>
                <w:highlight w:val="none"/>
              </w:rPr>
            </w:pPr>
          </w:p>
        </w:tc>
        <w:tc>
          <w:tcPr>
            <w:tcW w:w="1149" w:type="dxa"/>
            <w:noWrap w:val="0"/>
            <w:vAlign w:val="center"/>
          </w:tcPr>
          <w:p w14:paraId="2DB9BD48">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b w:val="0"/>
                <w:bCs/>
                <w:color w:val="auto"/>
                <w:sz w:val="22"/>
                <w:szCs w:val="22"/>
                <w:highlight w:val="none"/>
              </w:rPr>
            </w:pPr>
          </w:p>
        </w:tc>
        <w:tc>
          <w:tcPr>
            <w:tcW w:w="736" w:type="dxa"/>
            <w:noWrap w:val="0"/>
            <w:vAlign w:val="center"/>
          </w:tcPr>
          <w:p w14:paraId="670F5931">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b w:val="0"/>
                <w:bCs/>
                <w:color w:val="auto"/>
                <w:sz w:val="22"/>
                <w:szCs w:val="22"/>
                <w:highlight w:val="none"/>
              </w:rPr>
            </w:pPr>
          </w:p>
        </w:tc>
      </w:tr>
      <w:tr w14:paraId="01FB9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75" w:type="dxa"/>
            <w:noWrap w:val="0"/>
            <w:vAlign w:val="center"/>
          </w:tcPr>
          <w:p w14:paraId="0B721FFC">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6</w:t>
            </w:r>
          </w:p>
        </w:tc>
        <w:tc>
          <w:tcPr>
            <w:tcW w:w="5705" w:type="dxa"/>
            <w:gridSpan w:val="4"/>
            <w:noWrap w:val="0"/>
            <w:vAlign w:val="center"/>
          </w:tcPr>
          <w:p w14:paraId="7F5A7577">
            <w:pPr>
              <w:spacing w:line="460" w:lineRule="exact"/>
              <w:jc w:val="center"/>
              <w:rPr>
                <w:rFonts w:hint="eastAsia" w:ascii="新宋体" w:hAnsi="新宋体" w:eastAsia="新宋体" w:cs="新宋体"/>
                <w:b w:val="0"/>
                <w:bCs/>
                <w:color w:val="auto"/>
                <w:sz w:val="22"/>
                <w:szCs w:val="22"/>
                <w:highlight w:val="none"/>
              </w:rPr>
            </w:pPr>
            <w:r>
              <w:rPr>
                <w:rFonts w:hint="eastAsia" w:ascii="新宋体" w:hAnsi="新宋体" w:eastAsia="新宋体" w:cs="新宋体"/>
                <w:color w:val="auto"/>
                <w:sz w:val="22"/>
                <w:szCs w:val="22"/>
                <w:highlight w:val="none"/>
              </w:rPr>
              <w:t>税金</w:t>
            </w:r>
          </w:p>
        </w:tc>
        <w:tc>
          <w:tcPr>
            <w:tcW w:w="3659" w:type="dxa"/>
            <w:gridSpan w:val="4"/>
            <w:noWrap w:val="0"/>
            <w:vAlign w:val="center"/>
          </w:tcPr>
          <w:p w14:paraId="66392DF0">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lang w:val="en-US" w:eastAsia="zh-CN"/>
              </w:rPr>
              <w:t>含</w:t>
            </w:r>
          </w:p>
        </w:tc>
      </w:tr>
      <w:tr w14:paraId="4278E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dxa"/>
            <w:noWrap w:val="0"/>
            <w:vAlign w:val="center"/>
          </w:tcPr>
          <w:p w14:paraId="0FF4A128">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7</w:t>
            </w:r>
          </w:p>
        </w:tc>
        <w:tc>
          <w:tcPr>
            <w:tcW w:w="5705" w:type="dxa"/>
            <w:gridSpan w:val="4"/>
            <w:noWrap w:val="0"/>
            <w:vAlign w:val="center"/>
          </w:tcPr>
          <w:p w14:paraId="34AA3F61">
            <w:pPr>
              <w:spacing w:line="460" w:lineRule="exact"/>
              <w:jc w:val="center"/>
              <w:rPr>
                <w:rFonts w:hint="eastAsia" w:ascii="新宋体" w:hAnsi="新宋体" w:eastAsia="新宋体" w:cs="新宋体"/>
                <w:b w:val="0"/>
                <w:bCs/>
                <w:color w:val="auto"/>
                <w:sz w:val="22"/>
                <w:szCs w:val="22"/>
                <w:highlight w:val="none"/>
              </w:rPr>
            </w:pPr>
            <w:r>
              <w:rPr>
                <w:rFonts w:hint="eastAsia" w:ascii="新宋体" w:hAnsi="新宋体" w:eastAsia="新宋体" w:cs="新宋体"/>
                <w:color w:val="auto"/>
                <w:sz w:val="22"/>
                <w:szCs w:val="22"/>
                <w:highlight w:val="none"/>
              </w:rPr>
              <w:t>其他</w:t>
            </w:r>
          </w:p>
        </w:tc>
        <w:tc>
          <w:tcPr>
            <w:tcW w:w="3659" w:type="dxa"/>
            <w:gridSpan w:val="4"/>
            <w:noWrap w:val="0"/>
            <w:vAlign w:val="center"/>
          </w:tcPr>
          <w:p w14:paraId="4AFB68AD">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lang w:val="en-US" w:eastAsia="zh-CN"/>
              </w:rPr>
              <w:t>含</w:t>
            </w:r>
          </w:p>
        </w:tc>
      </w:tr>
      <w:tr w14:paraId="0CFE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75" w:type="dxa"/>
            <w:noWrap w:val="0"/>
            <w:vAlign w:val="center"/>
          </w:tcPr>
          <w:p w14:paraId="0455AD98">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8</w:t>
            </w:r>
          </w:p>
        </w:tc>
        <w:tc>
          <w:tcPr>
            <w:tcW w:w="5705" w:type="dxa"/>
            <w:gridSpan w:val="4"/>
            <w:noWrap w:val="0"/>
            <w:vAlign w:val="center"/>
          </w:tcPr>
          <w:p w14:paraId="247D17DF">
            <w:pPr>
              <w:spacing w:line="460" w:lineRule="exact"/>
              <w:jc w:val="center"/>
              <w:rPr>
                <w:rFonts w:hint="eastAsia" w:ascii="新宋体" w:hAnsi="新宋体" w:eastAsia="新宋体" w:cs="新宋体"/>
                <w:b w:val="0"/>
                <w:bCs/>
                <w:color w:val="auto"/>
                <w:sz w:val="22"/>
                <w:szCs w:val="22"/>
                <w:highlight w:val="none"/>
              </w:rPr>
            </w:pPr>
            <w:r>
              <w:rPr>
                <w:rFonts w:hint="eastAsia" w:ascii="新宋体" w:hAnsi="新宋体" w:eastAsia="新宋体" w:cs="新宋体"/>
                <w:color w:val="auto"/>
                <w:sz w:val="22"/>
                <w:szCs w:val="22"/>
                <w:highlight w:val="none"/>
              </w:rPr>
              <w:t>采购代理服务费</w:t>
            </w:r>
          </w:p>
        </w:tc>
        <w:tc>
          <w:tcPr>
            <w:tcW w:w="3659" w:type="dxa"/>
            <w:gridSpan w:val="4"/>
            <w:noWrap w:val="0"/>
            <w:vAlign w:val="center"/>
          </w:tcPr>
          <w:p w14:paraId="2AE082B6">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含</w:t>
            </w:r>
          </w:p>
        </w:tc>
      </w:tr>
      <w:tr w14:paraId="2EBEE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380" w:type="dxa"/>
            <w:gridSpan w:val="5"/>
            <w:noWrap w:val="0"/>
            <w:vAlign w:val="center"/>
          </w:tcPr>
          <w:p w14:paraId="4D05619B">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投标报价（小写）</w:t>
            </w:r>
          </w:p>
        </w:tc>
        <w:tc>
          <w:tcPr>
            <w:tcW w:w="3659" w:type="dxa"/>
            <w:gridSpan w:val="4"/>
            <w:noWrap w:val="0"/>
            <w:vAlign w:val="center"/>
          </w:tcPr>
          <w:p w14:paraId="61011C67">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b w:val="0"/>
                <w:bCs/>
                <w:color w:val="auto"/>
                <w:sz w:val="22"/>
                <w:szCs w:val="22"/>
                <w:highlight w:val="none"/>
              </w:rPr>
            </w:pPr>
          </w:p>
        </w:tc>
      </w:tr>
      <w:tr w14:paraId="2450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380" w:type="dxa"/>
            <w:gridSpan w:val="5"/>
            <w:noWrap w:val="0"/>
            <w:vAlign w:val="center"/>
          </w:tcPr>
          <w:p w14:paraId="0CFB5783">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投标报价（大写）</w:t>
            </w:r>
          </w:p>
        </w:tc>
        <w:tc>
          <w:tcPr>
            <w:tcW w:w="3659" w:type="dxa"/>
            <w:gridSpan w:val="4"/>
            <w:noWrap w:val="0"/>
            <w:vAlign w:val="center"/>
          </w:tcPr>
          <w:p w14:paraId="22E9F455">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b w:val="0"/>
                <w:bCs/>
                <w:color w:val="auto"/>
                <w:sz w:val="22"/>
                <w:szCs w:val="22"/>
                <w:highlight w:val="none"/>
              </w:rPr>
            </w:pPr>
          </w:p>
        </w:tc>
      </w:tr>
    </w:tbl>
    <w:p w14:paraId="596243F7">
      <w:pPr>
        <w:spacing w:line="380" w:lineRule="exact"/>
        <w:rPr>
          <w:rFonts w:hint="eastAsia" w:ascii="新宋体" w:hAnsi="新宋体" w:eastAsia="新宋体" w:cs="新宋体"/>
          <w:b/>
          <w:color w:val="auto"/>
          <w:sz w:val="22"/>
          <w:szCs w:val="22"/>
          <w:highlight w:val="none"/>
        </w:rPr>
      </w:pPr>
    </w:p>
    <w:p w14:paraId="4F66AFF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说明：</w:t>
      </w:r>
      <w:r>
        <w:rPr>
          <w:rFonts w:hint="eastAsia" w:ascii="新宋体" w:hAnsi="新宋体" w:eastAsia="新宋体" w:cs="新宋体"/>
          <w:b/>
          <w:bCs/>
          <w:color w:val="auto"/>
          <w:sz w:val="22"/>
          <w:szCs w:val="22"/>
          <w:highlight w:val="none"/>
        </w:rPr>
        <w:t>1、此表总计价应与附件一中“</w:t>
      </w:r>
      <w:r>
        <w:rPr>
          <w:rFonts w:hint="eastAsia" w:ascii="新宋体" w:hAnsi="新宋体" w:eastAsia="新宋体" w:cs="新宋体"/>
          <w:b/>
          <w:bCs/>
          <w:color w:val="auto"/>
          <w:sz w:val="22"/>
          <w:szCs w:val="22"/>
          <w:highlight w:val="none"/>
          <w:lang w:val="en-US" w:eastAsia="zh-CN"/>
        </w:rPr>
        <w:t>1</w:t>
      </w:r>
      <w:r>
        <w:rPr>
          <w:rFonts w:hint="eastAsia" w:ascii="新宋体" w:hAnsi="新宋体" w:eastAsia="新宋体" w:cs="新宋体"/>
          <w:b/>
          <w:bCs/>
          <w:color w:val="auto"/>
          <w:sz w:val="22"/>
          <w:szCs w:val="22"/>
          <w:highlight w:val="none"/>
        </w:rPr>
        <w:t>、报价一览表”中报价相一致。</w:t>
      </w:r>
    </w:p>
    <w:p w14:paraId="7AB479AC">
      <w:pPr>
        <w:keepNext w:val="0"/>
        <w:keepLines w:val="0"/>
        <w:pageBreakBefore w:val="0"/>
        <w:widowControl w:val="0"/>
        <w:kinsoku/>
        <w:wordWrap/>
        <w:overflowPunct/>
        <w:topLinePunct w:val="0"/>
        <w:autoSpaceDE/>
        <w:autoSpaceDN/>
        <w:bidi w:val="0"/>
        <w:adjustRightInd/>
        <w:snapToGrid/>
        <w:spacing w:line="460" w:lineRule="exact"/>
        <w:ind w:firstLine="663" w:firstLineChars="3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2、不提供详细分项报价将视为没有实质性响应</w:t>
      </w:r>
      <w:r>
        <w:rPr>
          <w:rFonts w:hint="eastAsia" w:ascii="新宋体" w:hAnsi="新宋体" w:eastAsia="新宋体" w:cs="新宋体"/>
          <w:b/>
          <w:bCs/>
          <w:color w:val="auto"/>
          <w:sz w:val="22"/>
          <w:szCs w:val="22"/>
          <w:highlight w:val="none"/>
          <w:lang w:val="en-US" w:eastAsia="zh-CN"/>
        </w:rPr>
        <w:t>招标</w:t>
      </w:r>
      <w:r>
        <w:rPr>
          <w:rFonts w:hint="eastAsia" w:ascii="新宋体" w:hAnsi="新宋体" w:eastAsia="新宋体" w:cs="新宋体"/>
          <w:b/>
          <w:bCs/>
          <w:color w:val="auto"/>
          <w:sz w:val="22"/>
          <w:szCs w:val="22"/>
          <w:highlight w:val="none"/>
        </w:rPr>
        <w:t>文件。</w:t>
      </w:r>
    </w:p>
    <w:p w14:paraId="7ADC9EEA">
      <w:pPr>
        <w:keepNext w:val="0"/>
        <w:keepLines w:val="0"/>
        <w:pageBreakBefore w:val="0"/>
        <w:widowControl w:val="0"/>
        <w:kinsoku/>
        <w:wordWrap/>
        <w:overflowPunct/>
        <w:topLinePunct w:val="0"/>
        <w:autoSpaceDE/>
        <w:autoSpaceDN/>
        <w:bidi w:val="0"/>
        <w:adjustRightInd/>
        <w:snapToGrid/>
        <w:spacing w:line="460" w:lineRule="exact"/>
        <w:ind w:firstLine="663" w:firstLineChars="3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3、如果免费请在该项内容栏内注明“免”，如果含在产品价格中则填“含”，如无此项内容则填“无”。</w:t>
      </w:r>
    </w:p>
    <w:p w14:paraId="7B177881">
      <w:pPr>
        <w:spacing w:line="400" w:lineRule="exact"/>
        <w:ind w:firstLine="5500" w:firstLineChars="25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1C44CD3A">
      <w:pPr>
        <w:spacing w:line="400" w:lineRule="exact"/>
        <w:ind w:firstLine="5500" w:firstLineChars="25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r>
        <w:rPr>
          <w:rFonts w:hint="eastAsia" w:ascii="新宋体" w:hAnsi="新宋体" w:eastAsia="新宋体" w:cs="新宋体"/>
          <w:color w:val="auto"/>
          <w:sz w:val="22"/>
          <w:szCs w:val="22"/>
          <w:highlight w:val="none"/>
        </w:rPr>
        <w:t>：</w:t>
      </w:r>
    </w:p>
    <w:p w14:paraId="444BC717">
      <w:pPr>
        <w:spacing w:line="380" w:lineRule="exact"/>
        <w:ind w:firstLine="5500" w:firstLineChars="25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1CF03DE4">
      <w:pP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br w:type="page"/>
      </w:r>
      <w:bookmarkStart w:id="34" w:name="_Toc19402"/>
    </w:p>
    <w:p w14:paraId="233A9EB4">
      <w:pPr>
        <w:pStyle w:val="24"/>
        <w:spacing w:line="460" w:lineRule="exact"/>
        <w:ind w:left="433" w:hanging="433" w:hangingChars="196"/>
        <w:outlineLvl w:val="1"/>
        <w:rPr>
          <w:rFonts w:hint="eastAsia" w:ascii="新宋体" w:hAnsi="新宋体" w:eastAsia="新宋体" w:cs="新宋体"/>
          <w:b/>
          <w:color w:val="auto"/>
          <w:sz w:val="22"/>
          <w:szCs w:val="22"/>
          <w:highlight w:val="none"/>
        </w:rPr>
      </w:pPr>
      <w:bookmarkStart w:id="35" w:name="_Toc31189"/>
      <w:r>
        <w:rPr>
          <w:rFonts w:hint="eastAsia" w:ascii="新宋体" w:hAnsi="新宋体" w:eastAsia="新宋体" w:cs="新宋体"/>
          <w:b/>
          <w:color w:val="auto"/>
          <w:sz w:val="22"/>
          <w:szCs w:val="22"/>
          <w:highlight w:val="none"/>
        </w:rPr>
        <w:t>附件二</w:t>
      </w:r>
      <w:bookmarkEnd w:id="34"/>
      <w:bookmarkEnd w:id="35"/>
    </w:p>
    <w:p w14:paraId="1EB178BF">
      <w:pPr>
        <w:spacing w:line="460" w:lineRule="exact"/>
        <w:jc w:val="center"/>
        <w:outlineLvl w:val="2"/>
        <w:rPr>
          <w:rFonts w:hint="eastAsia" w:ascii="新宋体" w:hAnsi="新宋体" w:eastAsia="新宋体" w:cs="新宋体"/>
          <w:color w:val="auto"/>
          <w:sz w:val="28"/>
          <w:szCs w:val="28"/>
          <w:highlight w:val="none"/>
        </w:rPr>
      </w:pPr>
      <w:bookmarkStart w:id="36" w:name="_Toc4718"/>
      <w:bookmarkStart w:id="37" w:name="_Toc23832"/>
      <w:r>
        <w:rPr>
          <w:rFonts w:hint="eastAsia" w:ascii="新宋体" w:hAnsi="新宋体" w:eastAsia="新宋体" w:cs="新宋体"/>
          <w:b/>
          <w:bCs/>
          <w:color w:val="auto"/>
          <w:sz w:val="32"/>
          <w:szCs w:val="32"/>
          <w:highlight w:val="none"/>
        </w:rPr>
        <w:t>资格证明文件</w:t>
      </w:r>
      <w:bookmarkEnd w:id="36"/>
      <w:bookmarkEnd w:id="37"/>
      <w:r>
        <w:rPr>
          <w:rFonts w:hint="eastAsia" w:ascii="新宋体" w:hAnsi="新宋体" w:eastAsia="新宋体" w:cs="新宋体"/>
          <w:color w:val="auto"/>
          <w:sz w:val="28"/>
          <w:szCs w:val="28"/>
          <w:highlight w:val="none"/>
        </w:rPr>
        <w:t xml:space="preserve"> </w:t>
      </w:r>
    </w:p>
    <w:p w14:paraId="1E7D23DE">
      <w:pPr>
        <w:spacing w:line="400" w:lineRule="exact"/>
        <w:jc w:val="center"/>
        <w:outlineLvl w:val="3"/>
        <w:rPr>
          <w:rFonts w:hint="eastAsia" w:ascii="新宋体" w:hAnsi="新宋体" w:eastAsia="新宋体" w:cs="新宋体"/>
          <w:b/>
          <w:bCs/>
          <w:color w:val="auto"/>
          <w:sz w:val="28"/>
          <w:szCs w:val="28"/>
          <w:highlight w:val="none"/>
          <w:lang w:val="en-US" w:eastAsia="zh-CN"/>
        </w:rPr>
      </w:pPr>
      <w:bookmarkStart w:id="38" w:name="_Toc16516"/>
      <w:r>
        <w:rPr>
          <w:rFonts w:hint="eastAsia" w:ascii="新宋体" w:hAnsi="新宋体" w:eastAsia="新宋体" w:cs="新宋体"/>
          <w:b/>
          <w:bCs/>
          <w:color w:val="auto"/>
          <w:sz w:val="28"/>
          <w:szCs w:val="28"/>
          <w:highlight w:val="none"/>
          <w:lang w:val="en-US" w:eastAsia="zh-CN"/>
        </w:rPr>
        <w:t>1、资格条件承诺函</w:t>
      </w:r>
    </w:p>
    <w:p w14:paraId="065C604B">
      <w:pPr>
        <w:widowControl/>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温州市儿童福利院（温州市未成年人救助保护中心）</w:t>
      </w:r>
      <w:r>
        <w:rPr>
          <w:rFonts w:hint="eastAsia" w:ascii="新宋体" w:hAnsi="新宋体" w:eastAsia="新宋体" w:cs="新宋体"/>
          <w:color w:val="auto"/>
          <w:sz w:val="22"/>
          <w:szCs w:val="22"/>
          <w:highlight w:val="none"/>
        </w:rPr>
        <w:t>、温州历程招标有限公司：</w:t>
      </w:r>
    </w:p>
    <w:p w14:paraId="4B48848F">
      <w:pPr>
        <w:widowControl/>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我方参与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（采购项目名称、编号）投标，现郑重承诺</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kern w:val="0"/>
          <w:sz w:val="22"/>
          <w:szCs w:val="22"/>
          <w:highlight w:val="none"/>
        </w:rPr>
        <w:t>参加本次政府采购活动前3年内</w:t>
      </w:r>
      <w:r>
        <w:rPr>
          <w:rFonts w:hint="eastAsia" w:ascii="新宋体" w:hAnsi="新宋体" w:eastAsia="新宋体" w:cs="新宋体"/>
          <w:color w:val="auto"/>
          <w:sz w:val="22"/>
          <w:szCs w:val="22"/>
          <w:highlight w:val="none"/>
        </w:rPr>
        <w:t>：</w:t>
      </w:r>
    </w:p>
    <w:p w14:paraId="738647AF">
      <w:pPr>
        <w:widowControl/>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1、我方符合《中华人民共和国政府采购法》第22条规定的资格条件，即</w:t>
      </w:r>
    </w:p>
    <w:p w14:paraId="4B23D36B">
      <w:pPr>
        <w:widowControl/>
        <w:spacing w:line="44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（1）我方具有独立承担民事责任的能力；</w:t>
      </w:r>
    </w:p>
    <w:p w14:paraId="7C91879C">
      <w:pPr>
        <w:widowControl/>
        <w:spacing w:line="44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（2）我方具有良好的商业信誉和健全的财务会计制度；</w:t>
      </w:r>
    </w:p>
    <w:p w14:paraId="41A67B64">
      <w:pPr>
        <w:widowControl/>
        <w:spacing w:line="44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（3）我方具有履行合同所必需的设备和专业技术能力；</w:t>
      </w:r>
    </w:p>
    <w:p w14:paraId="2568DC2B">
      <w:pPr>
        <w:widowControl/>
        <w:spacing w:line="44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（4）我方有依法缴纳税收和社会保障资金的良好记录；</w:t>
      </w:r>
    </w:p>
    <w:p w14:paraId="493B86A2">
      <w:pPr>
        <w:widowControl/>
        <w:spacing w:line="44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6091BB92">
      <w:pPr>
        <w:widowControl/>
        <w:spacing w:line="44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2、到本项目投标截止时间为止，我方未被“信用中国（</w:t>
      </w:r>
      <w:r>
        <w:rPr>
          <w:rFonts w:hint="eastAsia" w:ascii="新宋体" w:hAnsi="新宋体" w:eastAsia="新宋体" w:cs="新宋体"/>
          <w:color w:val="auto"/>
          <w:kern w:val="0"/>
          <w:sz w:val="22"/>
          <w:szCs w:val="22"/>
          <w:highlight w:val="none"/>
        </w:rPr>
        <w:fldChar w:fldCharType="begin"/>
      </w:r>
      <w:r>
        <w:rPr>
          <w:rFonts w:hint="eastAsia" w:ascii="新宋体" w:hAnsi="新宋体" w:eastAsia="新宋体" w:cs="新宋体"/>
          <w:color w:val="auto"/>
          <w:kern w:val="0"/>
          <w:sz w:val="22"/>
          <w:szCs w:val="22"/>
          <w:highlight w:val="none"/>
        </w:rPr>
        <w:instrText xml:space="preserve"> HYPERLINK "http://www.creditchina.gov.cn）、" </w:instrText>
      </w:r>
      <w:r>
        <w:rPr>
          <w:rFonts w:hint="eastAsia" w:ascii="新宋体" w:hAnsi="新宋体" w:eastAsia="新宋体" w:cs="新宋体"/>
          <w:color w:val="auto"/>
          <w:kern w:val="0"/>
          <w:sz w:val="22"/>
          <w:szCs w:val="22"/>
          <w:highlight w:val="none"/>
        </w:rPr>
        <w:fldChar w:fldCharType="separate"/>
      </w:r>
      <w:r>
        <w:rPr>
          <w:rFonts w:hint="eastAsia" w:ascii="新宋体" w:hAnsi="新宋体" w:eastAsia="新宋体" w:cs="新宋体"/>
          <w:color w:val="auto"/>
          <w:kern w:val="0"/>
          <w:sz w:val="22"/>
          <w:szCs w:val="22"/>
          <w:highlight w:val="none"/>
        </w:rPr>
        <w:t>www.creditchina.gov.cn）、</w:t>
      </w:r>
      <w:r>
        <w:rPr>
          <w:rFonts w:hint="eastAsia" w:ascii="新宋体" w:hAnsi="新宋体" w:eastAsia="新宋体" w:cs="新宋体"/>
          <w:color w:val="auto"/>
          <w:kern w:val="0"/>
          <w:sz w:val="22"/>
          <w:szCs w:val="22"/>
          <w:highlight w:val="none"/>
        </w:rPr>
        <w:fldChar w:fldCharType="end"/>
      </w:r>
      <w:r>
        <w:rPr>
          <w:rFonts w:hint="eastAsia" w:ascii="新宋体" w:hAnsi="新宋体" w:eastAsia="新宋体" w:cs="新宋体"/>
          <w:color w:val="auto"/>
          <w:kern w:val="0"/>
          <w:sz w:val="22"/>
          <w:szCs w:val="22"/>
          <w:highlight w:val="none"/>
        </w:rPr>
        <w:t xml:space="preserve"> 中国政府采购网（www.ccgp.gov.cn）列入失信被执行人名单、重大税收违法案件当事人名单、政府采购严重违法失信行为记录名单。</w:t>
      </w:r>
    </w:p>
    <w:p w14:paraId="64AB7B06">
      <w:pPr>
        <w:widowControl/>
        <w:spacing w:line="44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3、我方与参加本次项目同一合同项下政府采购活动的其他供应商不存在单位负责人为同一人或者直接控股、管理关系。</w:t>
      </w:r>
    </w:p>
    <w:p w14:paraId="680557D8">
      <w:pPr>
        <w:widowControl/>
        <w:spacing w:line="44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4、我方</w:t>
      </w:r>
      <w:r>
        <w:rPr>
          <w:rFonts w:hint="eastAsia" w:ascii="新宋体" w:hAnsi="新宋体" w:eastAsia="新宋体" w:cs="新宋体"/>
          <w:color w:val="auto"/>
          <w:kern w:val="0"/>
          <w:sz w:val="22"/>
          <w:szCs w:val="22"/>
          <w:highlight w:val="none"/>
        </w:rPr>
        <w:t>不属于公益一类事业单位。</w:t>
      </w:r>
    </w:p>
    <w:p w14:paraId="01A51BA9">
      <w:pPr>
        <w:widowControl/>
        <w:snapToGrid w:val="0"/>
        <w:spacing w:line="440" w:lineRule="exact"/>
        <w:ind w:firstLine="440" w:firstLineChars="200"/>
        <w:jc w:val="left"/>
        <w:rPr>
          <w:rFonts w:hint="eastAsia" w:ascii="新宋体" w:hAnsi="新宋体" w:eastAsia="新宋体" w:cs="新宋体"/>
          <w:color w:val="auto"/>
          <w:kern w:val="0"/>
          <w:sz w:val="22"/>
          <w:szCs w:val="22"/>
          <w:highlight w:val="none"/>
          <w:lang w:val="en-US" w:eastAsia="zh-CN"/>
        </w:rPr>
      </w:pPr>
    </w:p>
    <w:p w14:paraId="5F545138">
      <w:pPr>
        <w:widowControl/>
        <w:spacing w:line="44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以上承诺如有虚假，</w:t>
      </w:r>
      <w:r>
        <w:rPr>
          <w:rFonts w:hint="eastAsia" w:ascii="新宋体" w:hAnsi="新宋体" w:eastAsia="新宋体" w:cs="新宋体"/>
          <w:color w:val="auto"/>
          <w:sz w:val="22"/>
          <w:szCs w:val="22"/>
          <w:highlight w:val="none"/>
        </w:rPr>
        <w:t>愿接受取消</w:t>
      </w:r>
      <w:r>
        <w:rPr>
          <w:rFonts w:hint="eastAsia" w:ascii="新宋体" w:hAnsi="新宋体" w:eastAsia="新宋体" w:cs="新宋体"/>
          <w:color w:val="auto"/>
          <w:kern w:val="0"/>
          <w:sz w:val="22"/>
          <w:szCs w:val="22"/>
          <w:highlight w:val="none"/>
        </w:rPr>
        <w:t>我方任何资格（投标/成交/签订合同）</w:t>
      </w:r>
      <w:r>
        <w:rPr>
          <w:rFonts w:hint="eastAsia" w:ascii="新宋体" w:hAnsi="新宋体" w:eastAsia="新宋体" w:cs="新宋体"/>
          <w:color w:val="auto"/>
          <w:sz w:val="22"/>
          <w:szCs w:val="22"/>
          <w:highlight w:val="none"/>
        </w:rPr>
        <w:t>及其他任何形式的处理。</w:t>
      </w:r>
    </w:p>
    <w:p w14:paraId="3202A7B5">
      <w:pPr>
        <w:widowControl/>
        <w:snapToGrid w:val="0"/>
        <w:spacing w:line="440" w:lineRule="exact"/>
        <w:ind w:firstLine="440" w:firstLineChars="200"/>
        <w:jc w:val="left"/>
        <w:rPr>
          <w:rFonts w:hint="eastAsia" w:ascii="新宋体" w:hAnsi="新宋体" w:eastAsia="新宋体" w:cs="新宋体"/>
          <w:color w:val="auto"/>
          <w:kern w:val="0"/>
          <w:sz w:val="22"/>
          <w:szCs w:val="22"/>
          <w:highlight w:val="none"/>
        </w:rPr>
      </w:pPr>
    </w:p>
    <w:p w14:paraId="2185AC7F">
      <w:pPr>
        <w:snapToGrid w:val="0"/>
        <w:spacing w:line="360" w:lineRule="auto"/>
        <w:ind w:firstLine="5060" w:firstLineChars="2300"/>
        <w:rPr>
          <w:rFonts w:hint="eastAsia" w:ascii="新宋体" w:hAnsi="新宋体" w:eastAsia="新宋体" w:cs="新宋体"/>
          <w:color w:val="auto"/>
          <w:kern w:val="0"/>
          <w:sz w:val="22"/>
          <w:szCs w:val="22"/>
          <w:highlight w:val="none"/>
          <w:lang w:val="zh-CN"/>
        </w:rPr>
      </w:pPr>
    </w:p>
    <w:p w14:paraId="499F6E4D">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投标人全称（盖章）</w:t>
      </w:r>
      <w:r>
        <w:rPr>
          <w:rFonts w:hint="eastAsia" w:ascii="新宋体" w:hAnsi="新宋体" w:eastAsia="新宋体" w:cs="新宋体"/>
          <w:color w:val="auto"/>
          <w:kern w:val="0"/>
          <w:sz w:val="22"/>
          <w:szCs w:val="22"/>
          <w:highlight w:val="none"/>
        </w:rPr>
        <w:t xml:space="preserve"> ：</w:t>
      </w:r>
    </w:p>
    <w:p w14:paraId="4401B986">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14:paraId="21E34898">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p>
    <w:p w14:paraId="5E8A21D5">
      <w:pPr>
        <w:pStyle w:val="24"/>
        <w:spacing w:line="460" w:lineRule="exact"/>
        <w:ind w:left="479" w:leftChars="228" w:firstLine="5280" w:firstLineChars="24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14:paraId="57B59C8D">
      <w:pPr>
        <w:rPr>
          <w:rFonts w:hint="eastAsia" w:ascii="新宋体" w:hAnsi="新宋体" w:eastAsia="新宋体" w:cs="新宋体"/>
          <w:color w:val="auto"/>
          <w:highlight w:val="none"/>
        </w:rPr>
      </w:pPr>
    </w:p>
    <w:p w14:paraId="263AE0E1">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ascii="新宋体" w:hAnsi="新宋体" w:eastAsia="新宋体" w:cs="新宋体"/>
          <w:b/>
          <w:bCs w:val="0"/>
          <w:color w:val="auto"/>
          <w:sz w:val="28"/>
          <w:szCs w:val="28"/>
          <w:highlight w:val="none"/>
        </w:rPr>
      </w:pPr>
    </w:p>
    <w:p w14:paraId="75F1527A">
      <w:pPr>
        <w:rPr>
          <w:rFonts w:hint="eastAsia" w:ascii="新宋体" w:hAnsi="新宋体" w:eastAsia="新宋体" w:cs="新宋体"/>
          <w:b/>
          <w:bCs w:val="0"/>
          <w:color w:val="auto"/>
          <w:kern w:val="0"/>
          <w:sz w:val="32"/>
          <w:szCs w:val="32"/>
          <w:highlight w:val="none"/>
          <w:lang w:val="en-US" w:eastAsia="zh-CN" w:bidi="ar-SA"/>
        </w:rPr>
      </w:pPr>
      <w:r>
        <w:rPr>
          <w:rFonts w:hint="eastAsia" w:ascii="新宋体" w:hAnsi="新宋体" w:eastAsia="新宋体" w:cs="新宋体"/>
          <w:b/>
          <w:bCs w:val="0"/>
          <w:color w:val="auto"/>
          <w:kern w:val="0"/>
          <w:sz w:val="32"/>
          <w:szCs w:val="32"/>
          <w:highlight w:val="none"/>
          <w:lang w:val="en-US" w:eastAsia="zh-CN" w:bidi="ar-SA"/>
        </w:rPr>
        <w:br w:type="page"/>
      </w:r>
    </w:p>
    <w:p w14:paraId="296DA4C3">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2、有效营业执照</w:t>
      </w:r>
    </w:p>
    <w:p w14:paraId="7CDD90BF">
      <w:pPr>
        <w:pStyle w:val="49"/>
        <w:tabs>
          <w:tab w:val="left" w:pos="630"/>
          <w:tab w:val="left" w:pos="840"/>
          <w:tab w:val="left" w:pos="1050"/>
        </w:tabs>
        <w:adjustRightInd w:val="0"/>
        <w:snapToGrid w:val="0"/>
        <w:spacing w:before="0" w:beforeAutospacing="0" w:after="0" w:afterAutospacing="0" w:line="360" w:lineRule="auto"/>
        <w:ind w:left="420"/>
        <w:rPr>
          <w:rFonts w:hint="eastAsia" w:ascii="新宋体" w:hAnsi="新宋体" w:eastAsia="新宋体" w:cs="新宋体"/>
          <w:bCs/>
          <w:color w:val="auto"/>
          <w:sz w:val="24"/>
          <w:szCs w:val="24"/>
          <w:highlight w:val="none"/>
        </w:rPr>
      </w:pPr>
    </w:p>
    <w:p w14:paraId="1423D7FB">
      <w:pPr>
        <w:pStyle w:val="49"/>
        <w:tabs>
          <w:tab w:val="left" w:pos="630"/>
          <w:tab w:val="left" w:pos="840"/>
          <w:tab w:val="left" w:pos="1050"/>
        </w:tabs>
        <w:adjustRightInd w:val="0"/>
        <w:snapToGrid w:val="0"/>
        <w:spacing w:before="0" w:beforeAutospacing="0" w:after="0" w:afterAutospacing="0" w:line="360" w:lineRule="auto"/>
        <w:ind w:left="42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投标人须在投标文件中出具符合以下情况的证明材料复印件（五选一）：</w:t>
      </w:r>
    </w:p>
    <w:p w14:paraId="7929C515">
      <w:pPr>
        <w:pStyle w:val="49"/>
        <w:numPr>
          <w:ilvl w:val="0"/>
          <w:numId w:val="0"/>
        </w:numPr>
        <w:tabs>
          <w:tab w:val="left" w:pos="312"/>
        </w:tabs>
        <w:adjustRightInd w:val="0"/>
        <w:snapToGrid w:val="0"/>
        <w:spacing w:before="0" w:beforeAutospacing="0" w:after="0" w:afterAutospacing="0" w:line="360" w:lineRule="auto"/>
        <w:ind w:left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①</w:t>
      </w:r>
      <w:r>
        <w:rPr>
          <w:rFonts w:hint="eastAsia" w:ascii="新宋体" w:hAnsi="新宋体" w:eastAsia="新宋体" w:cs="新宋体"/>
          <w:bCs/>
          <w:color w:val="auto"/>
          <w:sz w:val="22"/>
          <w:szCs w:val="22"/>
          <w:highlight w:val="none"/>
        </w:rPr>
        <w:t>如投标人是企业（包括合伙企业），提供在工商部门注册的有效“企业法人营业执照”或“营业执照”；</w:t>
      </w:r>
    </w:p>
    <w:p w14:paraId="64C9AEC4">
      <w:pPr>
        <w:pStyle w:val="49"/>
        <w:numPr>
          <w:ilvl w:val="0"/>
          <w:numId w:val="0"/>
        </w:numPr>
        <w:tabs>
          <w:tab w:val="left" w:pos="312"/>
        </w:tabs>
        <w:adjustRightInd w:val="0"/>
        <w:snapToGrid w:val="0"/>
        <w:spacing w:before="0" w:beforeAutospacing="0" w:after="0" w:afterAutospacing="0" w:line="360" w:lineRule="auto"/>
        <w:ind w:left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②</w:t>
      </w:r>
      <w:r>
        <w:rPr>
          <w:rFonts w:hint="eastAsia" w:ascii="新宋体" w:hAnsi="新宋体" w:eastAsia="新宋体" w:cs="新宋体"/>
          <w:bCs/>
          <w:color w:val="auto"/>
          <w:sz w:val="22"/>
          <w:szCs w:val="22"/>
          <w:highlight w:val="none"/>
        </w:rPr>
        <w:t>如投标人是事业单位，提供有效的“事业单位法人证书”；</w:t>
      </w:r>
    </w:p>
    <w:p w14:paraId="00F9DAB2">
      <w:pPr>
        <w:pStyle w:val="49"/>
        <w:numPr>
          <w:ilvl w:val="0"/>
          <w:numId w:val="0"/>
        </w:numPr>
        <w:tabs>
          <w:tab w:val="left" w:pos="312"/>
        </w:tabs>
        <w:adjustRightInd w:val="0"/>
        <w:snapToGrid w:val="0"/>
        <w:spacing w:before="0" w:beforeAutospacing="0" w:after="0" w:afterAutospacing="0" w:line="360" w:lineRule="auto"/>
        <w:ind w:left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③</w:t>
      </w:r>
      <w:r>
        <w:rPr>
          <w:rFonts w:hint="eastAsia" w:ascii="新宋体" w:hAnsi="新宋体" w:eastAsia="新宋体" w:cs="新宋体"/>
          <w:bCs/>
          <w:color w:val="auto"/>
          <w:sz w:val="22"/>
          <w:szCs w:val="22"/>
          <w:highlight w:val="none"/>
        </w:rPr>
        <w:t>如投标人是非企业专业服务机构的，提供执业许可证等证明文件；</w:t>
      </w:r>
    </w:p>
    <w:p w14:paraId="5F3F2AA0">
      <w:pPr>
        <w:pStyle w:val="49"/>
        <w:numPr>
          <w:ilvl w:val="0"/>
          <w:numId w:val="0"/>
        </w:numPr>
        <w:tabs>
          <w:tab w:val="left" w:pos="312"/>
        </w:tabs>
        <w:adjustRightInd w:val="0"/>
        <w:snapToGrid w:val="0"/>
        <w:spacing w:before="0" w:beforeAutospacing="0" w:after="0" w:afterAutospacing="0" w:line="360" w:lineRule="auto"/>
        <w:ind w:left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④</w:t>
      </w:r>
      <w:r>
        <w:rPr>
          <w:rFonts w:hint="eastAsia" w:ascii="新宋体" w:hAnsi="新宋体" w:eastAsia="新宋体" w:cs="新宋体"/>
          <w:bCs/>
          <w:color w:val="auto"/>
          <w:sz w:val="22"/>
          <w:szCs w:val="22"/>
          <w:highlight w:val="none"/>
        </w:rPr>
        <w:t>如投标人是个体工商户，提供有效的“个体工商户营业执照”；</w:t>
      </w:r>
    </w:p>
    <w:p w14:paraId="01FB8DE1">
      <w:pPr>
        <w:pStyle w:val="49"/>
        <w:numPr>
          <w:ilvl w:val="0"/>
          <w:numId w:val="0"/>
        </w:numPr>
        <w:tabs>
          <w:tab w:val="left" w:pos="312"/>
        </w:tabs>
        <w:adjustRightInd w:val="0"/>
        <w:snapToGrid w:val="0"/>
        <w:spacing w:before="0" w:beforeAutospacing="0" w:after="0" w:afterAutospacing="0" w:line="360" w:lineRule="auto"/>
        <w:ind w:left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⑤</w:t>
      </w:r>
      <w:r>
        <w:rPr>
          <w:rFonts w:hint="eastAsia" w:ascii="新宋体" w:hAnsi="新宋体" w:eastAsia="新宋体" w:cs="新宋体"/>
          <w:bCs/>
          <w:color w:val="auto"/>
          <w:sz w:val="22"/>
          <w:szCs w:val="22"/>
          <w:highlight w:val="none"/>
        </w:rPr>
        <w:t>如投标人是自然人，提供有效的自然人身份证明（居民身份证正反面或公安机关出具的临时居民身份证正反面或港澳台胞证或护照）。</w:t>
      </w:r>
    </w:p>
    <w:p w14:paraId="0C086D33">
      <w:pPr>
        <w:pStyle w:val="49"/>
        <w:tabs>
          <w:tab w:val="left" w:pos="312"/>
        </w:tabs>
        <w:adjustRightInd w:val="0"/>
        <w:snapToGrid w:val="0"/>
        <w:spacing w:before="0" w:beforeAutospacing="0" w:after="0" w:afterAutospacing="0" w:line="360" w:lineRule="auto"/>
        <w:rPr>
          <w:rFonts w:hint="eastAsia" w:ascii="新宋体" w:hAnsi="新宋体" w:eastAsia="新宋体" w:cs="新宋体"/>
          <w:bCs/>
          <w:color w:val="auto"/>
          <w:sz w:val="22"/>
          <w:szCs w:val="22"/>
          <w:highlight w:val="none"/>
        </w:rPr>
      </w:pPr>
    </w:p>
    <w:p w14:paraId="6A1ED03E">
      <w:pPr>
        <w:pStyle w:val="218"/>
        <w:tabs>
          <w:tab w:val="left" w:pos="1212"/>
          <w:tab w:val="left" w:pos="3888"/>
        </w:tabs>
        <w:snapToGrid w:val="0"/>
        <w:spacing w:line="360" w:lineRule="auto"/>
        <w:ind w:firstLine="4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7F136A94">
      <w:pP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br w:type="page"/>
      </w:r>
    </w:p>
    <w:p w14:paraId="52DFAA1E">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3、投标人信用查询</w:t>
      </w:r>
    </w:p>
    <w:p w14:paraId="1A770C93">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1、投标人信用信息查询的查询渠道：“信用中国”(www.creditchina.gov.cn)；“中国政府采购网”（http://www.ccgp.gov.cn/）；</w:t>
      </w:r>
    </w:p>
    <w:p w14:paraId="1043F24A">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2、投标人信用信息查询截止时点：招标公告发布之日至投标截止时间前。</w:t>
      </w:r>
    </w:p>
    <w:p w14:paraId="004804A4">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3、投标人信用信息查询记录和证据留存的具体方式：</w:t>
      </w:r>
      <w:r>
        <w:rPr>
          <w:rFonts w:hint="eastAsia" w:ascii="新宋体" w:hAnsi="新宋体" w:eastAsia="新宋体" w:cs="新宋体"/>
          <w:b/>
          <w:bCs/>
          <w:color w:val="auto"/>
          <w:sz w:val="22"/>
          <w:highlight w:val="none"/>
        </w:rPr>
        <w:t>网页截图</w:t>
      </w:r>
      <w:r>
        <w:rPr>
          <w:rFonts w:hint="eastAsia" w:ascii="新宋体" w:hAnsi="新宋体" w:eastAsia="新宋体" w:cs="新宋体"/>
          <w:color w:val="auto"/>
          <w:sz w:val="22"/>
          <w:highlight w:val="none"/>
        </w:rPr>
        <w:t>；</w:t>
      </w:r>
    </w:p>
    <w:p w14:paraId="03E406F4">
      <w:pPr>
        <w:tabs>
          <w:tab w:val="left" w:pos="360"/>
        </w:tabs>
        <w:spacing w:line="460" w:lineRule="exact"/>
        <w:ind w:firstLine="550" w:firstLineChars="250"/>
        <w:rPr>
          <w:rFonts w:hint="eastAsia" w:ascii="新宋体" w:hAnsi="新宋体" w:eastAsia="新宋体" w:cs="新宋体"/>
          <w:b w:val="0"/>
          <w:bCs w:val="0"/>
          <w:color w:val="auto"/>
          <w:sz w:val="22"/>
          <w:szCs w:val="22"/>
          <w:highlight w:val="none"/>
          <w:u w:val="none"/>
        </w:rPr>
      </w:pPr>
      <w:r>
        <w:rPr>
          <w:rFonts w:hint="eastAsia" w:ascii="新宋体" w:hAnsi="新宋体" w:eastAsia="新宋体" w:cs="新宋体"/>
          <w:b w:val="0"/>
          <w:bCs w:val="0"/>
          <w:color w:val="auto"/>
          <w:sz w:val="22"/>
          <w:highlight w:val="none"/>
          <w:u w:val="none"/>
        </w:rPr>
        <w:t>4、信用信息的使用规则：对列入失信被执行人、重大税收违法案件当事人名单、政府采购严重违法失信行为记录名单的投标人，其投标将作无效标处理。</w:t>
      </w:r>
    </w:p>
    <w:p w14:paraId="086F07E8">
      <w:pPr>
        <w:rPr>
          <w:rFonts w:hint="eastAsia" w:ascii="新宋体" w:hAnsi="新宋体" w:eastAsia="新宋体" w:cs="新宋体"/>
          <w:b/>
          <w:bCs w:val="0"/>
          <w:color w:val="auto"/>
          <w:kern w:val="0"/>
          <w:sz w:val="28"/>
          <w:szCs w:val="28"/>
          <w:highlight w:val="none"/>
          <w:lang w:val="en-US" w:eastAsia="zh-CN" w:bidi="ar-SA"/>
        </w:rPr>
      </w:pPr>
    </w:p>
    <w:p w14:paraId="12E10A0D">
      <w:pPr>
        <w:rPr>
          <w:rFonts w:hint="eastAsia" w:ascii="新宋体" w:hAnsi="新宋体" w:eastAsia="新宋体" w:cs="新宋体"/>
          <w:b/>
          <w:bCs w:val="0"/>
          <w:color w:val="auto"/>
          <w:kern w:val="0"/>
          <w:sz w:val="28"/>
          <w:szCs w:val="28"/>
          <w:highlight w:val="none"/>
          <w:lang w:val="en-US" w:eastAsia="zh-CN" w:bidi="ar-SA"/>
        </w:rPr>
      </w:pPr>
      <w:r>
        <w:rPr>
          <w:rFonts w:hint="eastAsia" w:ascii="新宋体" w:hAnsi="新宋体" w:eastAsia="新宋体" w:cs="新宋体"/>
          <w:b/>
          <w:bCs w:val="0"/>
          <w:color w:val="auto"/>
          <w:kern w:val="0"/>
          <w:sz w:val="28"/>
          <w:szCs w:val="28"/>
          <w:highlight w:val="none"/>
          <w:lang w:val="en-US" w:eastAsia="zh-CN" w:bidi="ar-SA"/>
        </w:rPr>
        <w:br w:type="page"/>
      </w:r>
    </w:p>
    <w:p w14:paraId="7F31CBC7">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4、落实政府采购政策需满足的资格要求证明材料</w:t>
      </w:r>
    </w:p>
    <w:p w14:paraId="3A7DE245">
      <w:pPr>
        <w:bidi w:val="0"/>
        <w:jc w:val="center"/>
        <w:rPr>
          <w:rFonts w:hint="eastAsia" w:ascii="新宋体" w:hAnsi="新宋体" w:eastAsia="新宋体" w:cs="新宋体"/>
          <w:b/>
          <w:bCs/>
          <w:color w:val="auto"/>
          <w:szCs w:val="28"/>
          <w:highlight w:val="none"/>
          <w:lang w:val="en-US" w:eastAsia="zh-CN"/>
        </w:rPr>
      </w:pPr>
      <w:r>
        <w:rPr>
          <w:rFonts w:hint="eastAsia"/>
          <w:color w:val="auto"/>
          <w:highlight w:val="none"/>
        </w:rPr>
        <w:t>（根据</w:t>
      </w:r>
      <w:r>
        <w:rPr>
          <w:rFonts w:hint="eastAsia"/>
          <w:color w:val="auto"/>
          <w:highlight w:val="none"/>
          <w:lang w:val="en-US" w:eastAsia="zh-CN"/>
        </w:rPr>
        <w:t>招标</w:t>
      </w:r>
      <w:r>
        <w:rPr>
          <w:rFonts w:hint="eastAsia"/>
          <w:color w:val="auto"/>
          <w:highlight w:val="none"/>
        </w:rPr>
        <w:t>公告落实政府采购政策需满足的资格要求选择提供相应的材料；未要求的，无需提供）</w:t>
      </w:r>
    </w:p>
    <w:p w14:paraId="244F912D">
      <w:pPr>
        <w:spacing w:line="460" w:lineRule="exact"/>
        <w:jc w:val="center"/>
        <w:outlineLvl w:val="4"/>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（1）中小企业的相关证明材料</w:t>
      </w:r>
    </w:p>
    <w:p w14:paraId="77C92848">
      <w:pPr>
        <w:spacing w:line="460" w:lineRule="exact"/>
        <w:jc w:val="both"/>
        <w:rPr>
          <w:rFonts w:hint="eastAsia" w:ascii="新宋体" w:hAnsi="新宋体" w:eastAsia="新宋体" w:cs="新宋体"/>
          <w:b/>
          <w:bCs/>
          <w:color w:val="auto"/>
          <w:sz w:val="22"/>
          <w:szCs w:val="22"/>
          <w:highlight w:val="none"/>
        </w:rPr>
      </w:pPr>
    </w:p>
    <w:p w14:paraId="1E6EA0CA">
      <w:pPr>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pacing w:val="20"/>
          <w:sz w:val="22"/>
          <w:szCs w:val="22"/>
          <w:highlight w:val="none"/>
        </w:rPr>
        <w:t>中小企业声明函（货物</w:t>
      </w:r>
      <w:r>
        <w:rPr>
          <w:rFonts w:hint="eastAsia" w:ascii="新宋体" w:hAnsi="新宋体" w:eastAsia="新宋体" w:cs="新宋体"/>
          <w:b/>
          <w:bCs/>
          <w:color w:val="auto"/>
          <w:spacing w:val="20"/>
          <w:sz w:val="22"/>
          <w:szCs w:val="22"/>
          <w:highlight w:val="none"/>
          <w:lang w:eastAsia="zh-CN"/>
        </w:rPr>
        <w:t>）</w:t>
      </w:r>
      <w:r>
        <w:rPr>
          <w:rFonts w:hint="eastAsia" w:ascii="新宋体" w:hAnsi="新宋体" w:eastAsia="新宋体" w:cs="新宋体"/>
          <w:b/>
          <w:bCs/>
          <w:color w:val="auto"/>
          <w:sz w:val="22"/>
          <w:szCs w:val="22"/>
          <w:highlight w:val="none"/>
        </w:rPr>
        <w:t>》</w:t>
      </w:r>
    </w:p>
    <w:p w14:paraId="1238E5C9">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【不属于中小企业单位的无需填写、递交】</w:t>
      </w:r>
    </w:p>
    <w:p w14:paraId="37110DD4">
      <w:pPr>
        <w:spacing w:line="460" w:lineRule="exact"/>
        <w:ind w:firstLine="637" w:firstLineChars="245"/>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本公司（联合体）郑重声明，根据《政府采购促进中小企业发展管理办法》（财库﹝2020﹞46 号）的规定，本公司（联合体）参加</w:t>
      </w:r>
      <w:r>
        <w:rPr>
          <w:rFonts w:hint="eastAsia" w:ascii="新宋体" w:hAnsi="新宋体" w:eastAsia="新宋体" w:cs="新宋体"/>
          <w:color w:val="auto"/>
          <w:spacing w:val="20"/>
          <w:sz w:val="22"/>
          <w:szCs w:val="22"/>
          <w:highlight w:val="none"/>
          <w:u w:val="single"/>
        </w:rPr>
        <w:t>（单位名称）</w:t>
      </w:r>
      <w:r>
        <w:rPr>
          <w:rFonts w:hint="eastAsia" w:ascii="新宋体" w:hAnsi="新宋体" w:eastAsia="新宋体" w:cs="新宋体"/>
          <w:color w:val="auto"/>
          <w:spacing w:val="20"/>
          <w:sz w:val="22"/>
          <w:szCs w:val="22"/>
          <w:highlight w:val="none"/>
        </w:rPr>
        <w:t>的</w:t>
      </w:r>
      <w:r>
        <w:rPr>
          <w:rFonts w:hint="eastAsia" w:ascii="新宋体" w:hAnsi="新宋体" w:eastAsia="新宋体" w:cs="新宋体"/>
          <w:color w:val="auto"/>
          <w:spacing w:val="20"/>
          <w:sz w:val="22"/>
          <w:szCs w:val="22"/>
          <w:highlight w:val="none"/>
          <w:u w:val="single"/>
        </w:rPr>
        <w:t>（项目名称）</w:t>
      </w:r>
      <w:r>
        <w:rPr>
          <w:rFonts w:hint="eastAsia" w:ascii="新宋体" w:hAnsi="新宋体" w:eastAsia="新宋体" w:cs="新宋体"/>
          <w:color w:val="auto"/>
          <w:spacing w:val="20"/>
          <w:sz w:val="22"/>
          <w:szCs w:val="22"/>
          <w:highlight w:val="none"/>
        </w:rPr>
        <w:t>采购活动，提供的货物全部由符合政策要求的中小企业制造。相关企业（含联合体中的中小企业、签订分包意向协议的中小企业）的具体情况如下：</w:t>
      </w:r>
    </w:p>
    <w:p w14:paraId="1ED0F38A">
      <w:pPr>
        <w:spacing w:line="460" w:lineRule="exact"/>
        <w:ind w:firstLine="539" w:firstLineChars="245"/>
        <w:rPr>
          <w:rFonts w:hint="eastAsia" w:ascii="新宋体" w:hAnsi="新宋体" w:eastAsia="新宋体" w:cs="新宋体"/>
          <w:color w:val="auto"/>
          <w:spacing w:val="20"/>
          <w:sz w:val="22"/>
          <w:szCs w:val="22"/>
          <w:highlight w:val="none"/>
        </w:rPr>
      </w:pPr>
      <w:r>
        <w:rPr>
          <w:rFonts w:hint="eastAsia" w:ascii="新宋体" w:hAnsi="新宋体" w:eastAsia="新宋体" w:cs="新宋体"/>
          <w:b w:val="0"/>
          <w:bCs w:val="0"/>
          <w:color w:val="auto"/>
          <w:sz w:val="22"/>
          <w:szCs w:val="22"/>
          <w:highlight w:val="none"/>
          <w:lang w:val="zh-CN"/>
        </w:rPr>
        <w:t>1.</w:t>
      </w:r>
      <w:r>
        <w:rPr>
          <w:rFonts w:hint="eastAsia" w:ascii="新宋体" w:hAnsi="新宋体" w:eastAsia="新宋体" w:cs="新宋体"/>
          <w:b w:val="0"/>
          <w:bCs w:val="0"/>
          <w:color w:val="auto"/>
          <w:sz w:val="22"/>
          <w:szCs w:val="22"/>
          <w:highlight w:val="none"/>
          <w:u w:val="single"/>
          <w:lang w:val="zh-CN"/>
        </w:rPr>
        <w:t>（标的名称）</w:t>
      </w:r>
      <w:r>
        <w:rPr>
          <w:rFonts w:hint="eastAsia" w:ascii="新宋体" w:hAnsi="新宋体" w:eastAsia="新宋体" w:cs="新宋体"/>
          <w:b w:val="0"/>
          <w:bCs w:val="0"/>
          <w:color w:val="auto"/>
          <w:sz w:val="22"/>
          <w:szCs w:val="22"/>
          <w:highlight w:val="none"/>
          <w:lang w:val="zh-CN"/>
        </w:rPr>
        <w:t xml:space="preserve"> ，属于</w:t>
      </w:r>
      <w:r>
        <w:rPr>
          <w:rFonts w:hint="eastAsia" w:ascii="新宋体" w:hAnsi="新宋体" w:eastAsia="新宋体" w:cs="新宋体"/>
          <w:b w:val="0"/>
          <w:bCs w:val="0"/>
          <w:color w:val="auto"/>
          <w:sz w:val="22"/>
          <w:szCs w:val="22"/>
          <w:highlight w:val="none"/>
          <w:u w:val="single"/>
          <w:lang w:val="en-US" w:eastAsia="zh-CN"/>
        </w:rPr>
        <w:t xml:space="preserve">           </w:t>
      </w:r>
      <w:r>
        <w:rPr>
          <w:rFonts w:hint="eastAsia" w:ascii="新宋体" w:hAnsi="新宋体" w:eastAsia="新宋体" w:cs="新宋体"/>
          <w:color w:val="auto"/>
          <w:spacing w:val="20"/>
          <w:sz w:val="22"/>
          <w:szCs w:val="22"/>
          <w:highlight w:val="none"/>
        </w:rPr>
        <w:t>行业；制造商为</w:t>
      </w:r>
      <w:r>
        <w:rPr>
          <w:rFonts w:hint="eastAsia" w:ascii="新宋体" w:hAnsi="新宋体" w:eastAsia="新宋体" w:cs="新宋体"/>
          <w:color w:val="auto"/>
          <w:spacing w:val="20"/>
          <w:sz w:val="22"/>
          <w:szCs w:val="22"/>
          <w:highlight w:val="none"/>
          <w:u w:val="single"/>
        </w:rPr>
        <w:t>（企业名称）</w:t>
      </w:r>
      <w:r>
        <w:rPr>
          <w:rFonts w:hint="eastAsia" w:ascii="新宋体" w:hAnsi="新宋体" w:eastAsia="新宋体" w:cs="新宋体"/>
          <w:color w:val="auto"/>
          <w:spacing w:val="20"/>
          <w:sz w:val="22"/>
          <w:szCs w:val="22"/>
          <w:highlight w:val="none"/>
          <w:u w:val="single"/>
          <w:lang w:eastAsia="zh-CN"/>
        </w:rPr>
        <w:t>，</w:t>
      </w:r>
      <w:r>
        <w:rPr>
          <w:rFonts w:hint="eastAsia" w:ascii="新宋体" w:hAnsi="新宋体" w:eastAsia="新宋体" w:cs="新宋体"/>
          <w:color w:val="auto"/>
          <w:spacing w:val="20"/>
          <w:sz w:val="22"/>
          <w:szCs w:val="22"/>
          <w:highlight w:val="none"/>
        </w:rPr>
        <w:t>从业人员</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u w:val="single"/>
          <w:lang w:val="en-US" w:eastAsia="zh-CN"/>
        </w:rPr>
        <w:t xml:space="preserve">   </w:t>
      </w:r>
      <w:r>
        <w:rPr>
          <w:rFonts w:hint="eastAsia" w:ascii="新宋体" w:hAnsi="新宋体" w:eastAsia="新宋体" w:cs="新宋体"/>
          <w:color w:val="auto"/>
          <w:spacing w:val="20"/>
          <w:sz w:val="22"/>
          <w:szCs w:val="22"/>
          <w:highlight w:val="none"/>
        </w:rPr>
        <w:t>人，营业收入为</w:t>
      </w:r>
      <w:r>
        <w:rPr>
          <w:rFonts w:hint="eastAsia" w:ascii="新宋体" w:hAnsi="新宋体" w:eastAsia="新宋体" w:cs="新宋体"/>
          <w:color w:val="auto"/>
          <w:spacing w:val="20"/>
          <w:sz w:val="22"/>
          <w:szCs w:val="22"/>
          <w:highlight w:val="none"/>
          <w:u w:val="single"/>
          <w:lang w:val="en-US" w:eastAsia="zh-CN"/>
        </w:rPr>
        <w:t xml:space="preserve">     </w:t>
      </w:r>
      <w:r>
        <w:rPr>
          <w:rFonts w:hint="eastAsia" w:ascii="新宋体" w:hAnsi="新宋体" w:eastAsia="新宋体" w:cs="新宋体"/>
          <w:color w:val="auto"/>
          <w:spacing w:val="20"/>
          <w:sz w:val="22"/>
          <w:szCs w:val="22"/>
          <w:highlight w:val="none"/>
        </w:rPr>
        <w:t>万元，资产总额为</w:t>
      </w:r>
      <w:r>
        <w:rPr>
          <w:rFonts w:hint="eastAsia" w:ascii="新宋体" w:hAnsi="新宋体" w:eastAsia="新宋体" w:cs="新宋体"/>
          <w:color w:val="auto"/>
          <w:spacing w:val="20"/>
          <w:sz w:val="22"/>
          <w:szCs w:val="22"/>
          <w:highlight w:val="none"/>
          <w:u w:val="single"/>
          <w:lang w:val="en-US" w:eastAsia="zh-CN"/>
        </w:rPr>
        <w:t xml:space="preserve">    </w:t>
      </w:r>
      <w:r>
        <w:rPr>
          <w:rFonts w:hint="eastAsia" w:ascii="新宋体" w:hAnsi="新宋体" w:eastAsia="新宋体" w:cs="新宋体"/>
          <w:color w:val="auto"/>
          <w:spacing w:val="20"/>
          <w:sz w:val="22"/>
          <w:szCs w:val="22"/>
          <w:highlight w:val="none"/>
        </w:rPr>
        <w:t>万元，属于</w:t>
      </w:r>
      <w:r>
        <w:rPr>
          <w:rFonts w:hint="eastAsia" w:ascii="新宋体" w:hAnsi="新宋体" w:eastAsia="新宋体" w:cs="新宋体"/>
          <w:color w:val="auto"/>
          <w:spacing w:val="20"/>
          <w:sz w:val="22"/>
          <w:szCs w:val="22"/>
          <w:highlight w:val="none"/>
          <w:u w:val="single"/>
        </w:rPr>
        <w:t>（中型企业、小型企业、微型企业）</w:t>
      </w:r>
      <w:r>
        <w:rPr>
          <w:rFonts w:hint="eastAsia" w:ascii="新宋体" w:hAnsi="新宋体" w:eastAsia="新宋体" w:cs="新宋体"/>
          <w:color w:val="auto"/>
          <w:spacing w:val="20"/>
          <w:sz w:val="22"/>
          <w:szCs w:val="22"/>
          <w:highlight w:val="none"/>
        </w:rPr>
        <w:t>；</w:t>
      </w:r>
    </w:p>
    <w:p w14:paraId="29CF7525">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2.</w:t>
      </w:r>
      <w:r>
        <w:rPr>
          <w:rFonts w:hint="eastAsia" w:ascii="新宋体" w:hAnsi="新宋体" w:eastAsia="新宋体" w:cs="新宋体"/>
          <w:color w:val="auto"/>
          <w:spacing w:val="20"/>
          <w:sz w:val="22"/>
          <w:szCs w:val="22"/>
          <w:highlight w:val="none"/>
          <w:u w:val="single"/>
        </w:rPr>
        <w:t>（标的名称）</w:t>
      </w:r>
      <w:r>
        <w:rPr>
          <w:rFonts w:hint="eastAsia" w:ascii="新宋体" w:hAnsi="新宋体" w:eastAsia="新宋体" w:cs="新宋体"/>
          <w:color w:val="auto"/>
          <w:spacing w:val="20"/>
          <w:sz w:val="22"/>
          <w:szCs w:val="22"/>
          <w:highlight w:val="none"/>
        </w:rPr>
        <w:t xml:space="preserve"> ，属于</w:t>
      </w:r>
      <w:r>
        <w:rPr>
          <w:rFonts w:hint="eastAsia" w:ascii="新宋体" w:hAnsi="新宋体" w:eastAsia="新宋体" w:cs="新宋体"/>
          <w:color w:val="auto"/>
          <w:spacing w:val="20"/>
          <w:sz w:val="22"/>
          <w:szCs w:val="22"/>
          <w:highlight w:val="none"/>
          <w:u w:val="single"/>
        </w:rPr>
        <w:t>（采购文件中明确的所属行业）</w:t>
      </w:r>
      <w:r>
        <w:rPr>
          <w:rFonts w:hint="eastAsia" w:ascii="新宋体" w:hAnsi="新宋体" w:eastAsia="新宋体" w:cs="新宋体"/>
          <w:color w:val="auto"/>
          <w:spacing w:val="20"/>
          <w:sz w:val="22"/>
          <w:szCs w:val="22"/>
          <w:highlight w:val="none"/>
        </w:rPr>
        <w:t>行业；制造商为（企业名称），从业人员</w:t>
      </w:r>
      <w:r>
        <w:rPr>
          <w:rFonts w:hint="eastAsia" w:ascii="新宋体" w:hAnsi="新宋体" w:eastAsia="新宋体" w:cs="新宋体"/>
          <w:color w:val="auto"/>
          <w:spacing w:val="20"/>
          <w:sz w:val="22"/>
          <w:szCs w:val="22"/>
          <w:highlight w:val="none"/>
          <w:u w:val="single"/>
          <w:lang w:val="en-US" w:eastAsia="zh-CN"/>
        </w:rPr>
        <w:t xml:space="preserve">   </w:t>
      </w:r>
      <w:r>
        <w:rPr>
          <w:rFonts w:hint="eastAsia" w:ascii="新宋体" w:hAnsi="新宋体" w:eastAsia="新宋体" w:cs="新宋体"/>
          <w:color w:val="auto"/>
          <w:spacing w:val="20"/>
          <w:sz w:val="22"/>
          <w:szCs w:val="22"/>
          <w:highlight w:val="none"/>
        </w:rPr>
        <w:t>人，营业收入为</w:t>
      </w:r>
      <w:r>
        <w:rPr>
          <w:rFonts w:hint="eastAsia" w:ascii="新宋体" w:hAnsi="新宋体" w:eastAsia="新宋体" w:cs="新宋体"/>
          <w:color w:val="auto"/>
          <w:spacing w:val="20"/>
          <w:sz w:val="22"/>
          <w:szCs w:val="22"/>
          <w:highlight w:val="none"/>
          <w:u w:val="single"/>
          <w:lang w:val="en-US" w:eastAsia="zh-CN"/>
        </w:rPr>
        <w:t xml:space="preserve">   </w:t>
      </w:r>
      <w:r>
        <w:rPr>
          <w:rFonts w:hint="eastAsia" w:ascii="新宋体" w:hAnsi="新宋体" w:eastAsia="新宋体" w:cs="新宋体"/>
          <w:color w:val="auto"/>
          <w:spacing w:val="20"/>
          <w:sz w:val="22"/>
          <w:szCs w:val="22"/>
          <w:highlight w:val="none"/>
        </w:rPr>
        <w:t>万元，资产总额为</w:t>
      </w:r>
      <w:r>
        <w:rPr>
          <w:rFonts w:hint="eastAsia" w:ascii="新宋体" w:hAnsi="新宋体" w:eastAsia="新宋体" w:cs="新宋体"/>
          <w:color w:val="auto"/>
          <w:spacing w:val="20"/>
          <w:sz w:val="22"/>
          <w:szCs w:val="22"/>
          <w:highlight w:val="none"/>
          <w:u w:val="single"/>
          <w:lang w:val="en-US" w:eastAsia="zh-CN"/>
        </w:rPr>
        <w:t xml:space="preserve">    </w:t>
      </w:r>
      <w:r>
        <w:rPr>
          <w:rFonts w:hint="eastAsia" w:ascii="新宋体" w:hAnsi="新宋体" w:eastAsia="新宋体" w:cs="新宋体"/>
          <w:color w:val="auto"/>
          <w:spacing w:val="20"/>
          <w:sz w:val="22"/>
          <w:szCs w:val="22"/>
          <w:highlight w:val="none"/>
        </w:rPr>
        <w:t>万元，属于（中型企业、小型企业、微型企业）；</w:t>
      </w:r>
    </w:p>
    <w:p w14:paraId="03977E0C">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w:t>
      </w:r>
    </w:p>
    <w:p w14:paraId="123F316B">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以上企业，不属于大企业的分支机构，不存在控股股东为大企业的情形，也不存在与大企业的负责人为同一人的情形。</w:t>
      </w:r>
    </w:p>
    <w:p w14:paraId="090A5B1E">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本企业对上述声明内容的真实性负责。如有虚假，将依法承担相应责任。</w:t>
      </w:r>
    </w:p>
    <w:p w14:paraId="40DCEF7F">
      <w:pPr>
        <w:spacing w:line="460" w:lineRule="exact"/>
        <w:rPr>
          <w:rFonts w:hint="eastAsia" w:ascii="新宋体" w:hAnsi="新宋体" w:eastAsia="新宋体" w:cs="新宋体"/>
          <w:color w:val="auto"/>
          <w:spacing w:val="20"/>
          <w:sz w:val="22"/>
          <w:szCs w:val="22"/>
          <w:highlight w:val="none"/>
        </w:rPr>
      </w:pPr>
    </w:p>
    <w:p w14:paraId="1A7159A5">
      <w:pPr>
        <w:pStyle w:val="9"/>
        <w:rPr>
          <w:rFonts w:hint="eastAsia" w:ascii="新宋体" w:hAnsi="新宋体" w:eastAsia="新宋体" w:cs="新宋体"/>
          <w:color w:val="auto"/>
          <w:sz w:val="22"/>
          <w:szCs w:val="22"/>
          <w:highlight w:val="none"/>
        </w:rPr>
      </w:pPr>
    </w:p>
    <w:p w14:paraId="5C6F4C71">
      <w:pPr>
        <w:spacing w:line="460" w:lineRule="exact"/>
        <w:ind w:firstLine="4680" w:firstLineChars="1800"/>
        <w:jc w:val="both"/>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企业名称（盖章）：</w:t>
      </w:r>
    </w:p>
    <w:p w14:paraId="39C5391C">
      <w:pPr>
        <w:spacing w:line="460" w:lineRule="exact"/>
        <w:ind w:firstLine="4680" w:firstLineChars="1800"/>
        <w:jc w:val="both"/>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日 期：</w:t>
      </w:r>
    </w:p>
    <w:p w14:paraId="33F53371">
      <w:pP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br w:type="page"/>
      </w:r>
    </w:p>
    <w:p w14:paraId="62ACA60D">
      <w:pPr>
        <w:spacing w:line="460" w:lineRule="exact"/>
        <w:jc w:val="center"/>
        <w:outlineLvl w:val="4"/>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（2）残疾人福利性单位的相关证明材料</w:t>
      </w:r>
    </w:p>
    <w:p w14:paraId="10033E89">
      <w:pPr>
        <w:spacing w:line="460" w:lineRule="exact"/>
        <w:ind w:firstLine="520" w:firstLineChars="200"/>
        <w:rPr>
          <w:rFonts w:hint="eastAsia" w:ascii="新宋体" w:hAnsi="新宋体" w:eastAsia="新宋体" w:cs="新宋体"/>
          <w:color w:val="auto"/>
          <w:spacing w:val="20"/>
          <w:sz w:val="22"/>
          <w:szCs w:val="22"/>
          <w:highlight w:val="none"/>
        </w:rPr>
      </w:pPr>
    </w:p>
    <w:p w14:paraId="25049C07">
      <w:pPr>
        <w:spacing w:line="460" w:lineRule="exact"/>
        <w:rPr>
          <w:rFonts w:hint="eastAsia" w:ascii="新宋体" w:hAnsi="新宋体" w:eastAsia="新宋体" w:cs="新宋体"/>
          <w:color w:val="auto"/>
          <w:spacing w:val="20"/>
          <w:sz w:val="22"/>
          <w:szCs w:val="22"/>
          <w:highlight w:val="none"/>
        </w:rPr>
      </w:pPr>
    </w:p>
    <w:p w14:paraId="1993614E">
      <w:pPr>
        <w:spacing w:line="460" w:lineRule="exact"/>
        <w:rPr>
          <w:rFonts w:hint="eastAsia" w:ascii="新宋体" w:hAnsi="新宋体" w:eastAsia="新宋体" w:cs="新宋体"/>
          <w:color w:val="auto"/>
          <w:spacing w:val="20"/>
          <w:sz w:val="22"/>
          <w:szCs w:val="22"/>
          <w:highlight w:val="none"/>
        </w:rPr>
      </w:pPr>
    </w:p>
    <w:p w14:paraId="1B4DE8E0">
      <w:pPr>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b/>
          <w:color w:val="auto"/>
          <w:spacing w:val="6"/>
          <w:sz w:val="22"/>
          <w:szCs w:val="22"/>
          <w:highlight w:val="none"/>
        </w:rPr>
        <w:t>残疾人福利性单位声明函</w:t>
      </w:r>
    </w:p>
    <w:p w14:paraId="4E2600CD">
      <w:pPr>
        <w:widowControl/>
        <w:adjustRightInd w:val="0"/>
        <w:snapToGrid w:val="0"/>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【不属于残疾人福利性单位的无需填写、递交】</w:t>
      </w:r>
    </w:p>
    <w:p w14:paraId="2D52A360">
      <w:pPr>
        <w:snapToGrid w:val="0"/>
        <w:spacing w:line="460" w:lineRule="exact"/>
        <w:jc w:val="center"/>
        <w:rPr>
          <w:rFonts w:hint="eastAsia" w:ascii="新宋体" w:hAnsi="新宋体" w:eastAsia="新宋体" w:cs="新宋体"/>
          <w:b/>
          <w:bCs/>
          <w:color w:val="auto"/>
          <w:sz w:val="22"/>
          <w:szCs w:val="22"/>
          <w:highlight w:val="none"/>
        </w:rPr>
      </w:pPr>
    </w:p>
    <w:p w14:paraId="2953DF68">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本单位郑重声明，根据《财政部民政部中国残疾人联合会关于促进残疾人就业政府采购政策的通知》（财库</w:t>
      </w:r>
      <w:r>
        <w:rPr>
          <w:rFonts w:hint="eastAsia" w:ascii="新宋体" w:hAnsi="新宋体" w:eastAsia="新宋体" w:cs="新宋体"/>
          <w:color w:val="auto"/>
          <w:sz w:val="22"/>
          <w:szCs w:val="22"/>
          <w:highlight w:val="none"/>
        </w:rPr>
        <w:t>〔2017〕141</w:t>
      </w:r>
      <w:r>
        <w:rPr>
          <w:rFonts w:hint="eastAsia" w:ascii="新宋体" w:hAnsi="新宋体" w:eastAsia="新宋体" w:cs="新宋体"/>
          <w:color w:val="auto"/>
          <w:spacing w:val="6"/>
          <w:sz w:val="22"/>
          <w:szCs w:val="22"/>
          <w:highlight w:val="none"/>
        </w:rPr>
        <w:t>号）的规定，本单位为符合条件的残疾人福利性单位，且本单位参加</w:t>
      </w:r>
      <w:r>
        <w:rPr>
          <w:rFonts w:hint="eastAsia" w:ascii="新宋体" w:hAnsi="新宋体" w:eastAsia="新宋体" w:cs="新宋体"/>
          <w:color w:val="auto"/>
          <w:spacing w:val="6"/>
          <w:sz w:val="22"/>
          <w:szCs w:val="22"/>
          <w:highlight w:val="none"/>
          <w:u w:val="single"/>
        </w:rPr>
        <w:t>（</w:t>
      </w:r>
      <w:r>
        <w:rPr>
          <w:rFonts w:hint="eastAsia" w:ascii="新宋体" w:hAnsi="新宋体" w:eastAsia="新宋体" w:cs="新宋体"/>
          <w:color w:val="auto"/>
          <w:spacing w:val="6"/>
          <w:sz w:val="22"/>
          <w:szCs w:val="22"/>
          <w:highlight w:val="none"/>
          <w:u w:val="single"/>
          <w:lang w:eastAsia="zh-CN"/>
        </w:rPr>
        <w:t>采购人</w:t>
      </w:r>
      <w:r>
        <w:rPr>
          <w:rFonts w:hint="eastAsia" w:ascii="新宋体" w:hAnsi="新宋体" w:eastAsia="新宋体" w:cs="新宋体"/>
          <w:color w:val="auto"/>
          <w:spacing w:val="6"/>
          <w:sz w:val="22"/>
          <w:szCs w:val="22"/>
          <w:highlight w:val="none"/>
          <w:u w:val="single"/>
        </w:rPr>
        <w:t>名称）</w:t>
      </w:r>
      <w:r>
        <w:rPr>
          <w:rFonts w:hint="eastAsia" w:ascii="新宋体" w:hAnsi="新宋体" w:eastAsia="新宋体" w:cs="新宋体"/>
          <w:color w:val="auto"/>
          <w:spacing w:val="6"/>
          <w:sz w:val="22"/>
          <w:szCs w:val="22"/>
          <w:highlight w:val="none"/>
        </w:rPr>
        <w:t>单位的</w:t>
      </w:r>
      <w:r>
        <w:rPr>
          <w:rFonts w:hint="eastAsia" w:ascii="新宋体" w:hAnsi="新宋体" w:eastAsia="新宋体" w:cs="新宋体"/>
          <w:color w:val="auto"/>
          <w:spacing w:val="6"/>
          <w:sz w:val="22"/>
          <w:szCs w:val="22"/>
          <w:highlight w:val="none"/>
          <w:u w:val="single"/>
        </w:rPr>
        <w:t>（招标项目名称）</w:t>
      </w:r>
      <w:r>
        <w:rPr>
          <w:rFonts w:hint="eastAsia" w:ascii="新宋体" w:hAnsi="新宋体" w:eastAsia="新宋体" w:cs="新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6484F112">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本单位对上述声明的真实性负责。如有虚假，将依法承担相应责任。</w:t>
      </w:r>
    </w:p>
    <w:p w14:paraId="2479D54F">
      <w:pPr>
        <w:snapToGrid w:val="0"/>
        <w:spacing w:line="460" w:lineRule="exact"/>
        <w:ind w:firstLine="464" w:firstLineChars="200"/>
        <w:rPr>
          <w:rFonts w:hint="eastAsia" w:ascii="新宋体" w:hAnsi="新宋体" w:eastAsia="新宋体" w:cs="新宋体"/>
          <w:color w:val="auto"/>
          <w:spacing w:val="6"/>
          <w:sz w:val="22"/>
          <w:szCs w:val="22"/>
          <w:highlight w:val="none"/>
        </w:rPr>
      </w:pPr>
    </w:p>
    <w:p w14:paraId="08184FA6">
      <w:pPr>
        <w:snapToGrid w:val="0"/>
        <w:spacing w:line="460" w:lineRule="exact"/>
        <w:ind w:firstLine="464" w:firstLineChars="200"/>
        <w:rPr>
          <w:rFonts w:hint="eastAsia" w:ascii="新宋体" w:hAnsi="新宋体" w:eastAsia="新宋体" w:cs="新宋体"/>
          <w:color w:val="auto"/>
          <w:spacing w:val="6"/>
          <w:sz w:val="22"/>
          <w:szCs w:val="22"/>
          <w:highlight w:val="none"/>
        </w:rPr>
      </w:pPr>
    </w:p>
    <w:p w14:paraId="57F22255">
      <w:pPr>
        <w:adjustRightInd w:val="0"/>
        <w:snapToGrid w:val="0"/>
        <w:spacing w:line="460" w:lineRule="exact"/>
        <w:ind w:firstLine="440" w:firstLineChars="20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投标人全称（盖章）：</w:t>
      </w:r>
      <w:r>
        <w:rPr>
          <w:rFonts w:hint="eastAsia" w:ascii="新宋体" w:hAnsi="新宋体" w:eastAsia="新宋体" w:cs="新宋体"/>
          <w:color w:val="auto"/>
          <w:kern w:val="0"/>
          <w:sz w:val="22"/>
          <w:szCs w:val="22"/>
          <w:highlight w:val="none"/>
          <w:u w:val="single"/>
        </w:rPr>
        <w:t xml:space="preserve">                    </w:t>
      </w:r>
    </w:p>
    <w:p w14:paraId="7BD2D85C">
      <w:pPr>
        <w:pStyle w:val="24"/>
        <w:spacing w:line="460" w:lineRule="exact"/>
        <w:ind w:left="437" w:leftChars="208" w:firstLine="0" w:firstLineChars="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14:paraId="358EE7D0">
      <w:pPr>
        <w:pStyle w:val="24"/>
        <w:spacing w:line="460" w:lineRule="exact"/>
        <w:ind w:left="440" w:hanging="440"/>
        <w:rPr>
          <w:rFonts w:hint="eastAsia" w:ascii="新宋体" w:hAnsi="新宋体" w:eastAsia="新宋体" w:cs="新宋体"/>
          <w:color w:val="auto"/>
          <w:kern w:val="0"/>
          <w:sz w:val="22"/>
          <w:szCs w:val="22"/>
          <w:highlight w:val="none"/>
        </w:rPr>
      </w:pPr>
    </w:p>
    <w:p w14:paraId="0822A57F">
      <w:pPr>
        <w:pStyle w:val="24"/>
        <w:ind w:left="440" w:hanging="440"/>
        <w:rPr>
          <w:rFonts w:hint="eastAsia" w:ascii="新宋体" w:hAnsi="新宋体" w:eastAsia="新宋体" w:cs="新宋体"/>
          <w:color w:val="auto"/>
          <w:kern w:val="0"/>
          <w:sz w:val="22"/>
          <w:szCs w:val="22"/>
          <w:highlight w:val="none"/>
        </w:rPr>
      </w:pPr>
    </w:p>
    <w:p w14:paraId="0B456DE4">
      <w:pPr>
        <w:pStyle w:val="24"/>
        <w:ind w:left="440" w:hanging="440"/>
        <w:rPr>
          <w:rFonts w:hint="eastAsia" w:ascii="新宋体" w:hAnsi="新宋体" w:eastAsia="新宋体" w:cs="新宋体"/>
          <w:color w:val="auto"/>
          <w:kern w:val="0"/>
          <w:sz w:val="22"/>
          <w:szCs w:val="22"/>
          <w:highlight w:val="none"/>
        </w:rPr>
      </w:pPr>
    </w:p>
    <w:p w14:paraId="1173DBE0">
      <w:pPr>
        <w:pStyle w:val="24"/>
        <w:ind w:left="440" w:hanging="440"/>
        <w:rPr>
          <w:rFonts w:hint="eastAsia" w:ascii="新宋体" w:hAnsi="新宋体" w:eastAsia="新宋体" w:cs="新宋体"/>
          <w:color w:val="auto"/>
          <w:kern w:val="0"/>
          <w:sz w:val="22"/>
          <w:szCs w:val="22"/>
          <w:highlight w:val="none"/>
        </w:rPr>
      </w:pPr>
    </w:p>
    <w:p w14:paraId="61C2B051">
      <w:pPr>
        <w:pStyle w:val="24"/>
        <w:ind w:left="440" w:hanging="440"/>
        <w:rPr>
          <w:rFonts w:hint="eastAsia" w:ascii="新宋体" w:hAnsi="新宋体" w:eastAsia="新宋体" w:cs="新宋体"/>
          <w:color w:val="auto"/>
          <w:kern w:val="0"/>
          <w:sz w:val="22"/>
          <w:szCs w:val="22"/>
          <w:highlight w:val="none"/>
        </w:rPr>
      </w:pPr>
    </w:p>
    <w:p w14:paraId="0D4A2946">
      <w:pPr>
        <w:pStyle w:val="24"/>
        <w:ind w:left="440" w:hanging="440"/>
        <w:rPr>
          <w:rFonts w:hint="eastAsia" w:ascii="新宋体" w:hAnsi="新宋体" w:eastAsia="新宋体" w:cs="新宋体"/>
          <w:color w:val="auto"/>
          <w:kern w:val="0"/>
          <w:sz w:val="22"/>
          <w:szCs w:val="22"/>
          <w:highlight w:val="none"/>
        </w:rPr>
      </w:pPr>
    </w:p>
    <w:p w14:paraId="1D8C0D5C">
      <w:pPr>
        <w:pStyle w:val="24"/>
        <w:ind w:left="440" w:hanging="440"/>
        <w:rPr>
          <w:rFonts w:hint="eastAsia" w:ascii="新宋体" w:hAnsi="新宋体" w:eastAsia="新宋体" w:cs="新宋体"/>
          <w:color w:val="auto"/>
          <w:kern w:val="0"/>
          <w:sz w:val="22"/>
          <w:szCs w:val="22"/>
          <w:highlight w:val="none"/>
        </w:rPr>
      </w:pPr>
    </w:p>
    <w:p w14:paraId="3F4345B1">
      <w:pPr>
        <w:pStyle w:val="24"/>
        <w:ind w:left="440" w:hanging="440"/>
        <w:rPr>
          <w:rFonts w:hint="eastAsia" w:ascii="新宋体" w:hAnsi="新宋体" w:eastAsia="新宋体" w:cs="新宋体"/>
          <w:color w:val="auto"/>
          <w:kern w:val="0"/>
          <w:sz w:val="22"/>
          <w:szCs w:val="22"/>
          <w:highlight w:val="none"/>
        </w:rPr>
      </w:pPr>
    </w:p>
    <w:p w14:paraId="3D8C4AE7">
      <w:pPr>
        <w:pStyle w:val="24"/>
        <w:ind w:left="440" w:hanging="440"/>
        <w:rPr>
          <w:rFonts w:hint="eastAsia" w:ascii="新宋体" w:hAnsi="新宋体" w:eastAsia="新宋体" w:cs="新宋体"/>
          <w:color w:val="auto"/>
          <w:kern w:val="0"/>
          <w:sz w:val="22"/>
          <w:szCs w:val="22"/>
          <w:highlight w:val="none"/>
        </w:rPr>
      </w:pPr>
    </w:p>
    <w:p w14:paraId="101C722D">
      <w:pPr>
        <w:rPr>
          <w:rFonts w:hint="eastAsia"/>
          <w:color w:val="auto"/>
          <w:highlight w:val="none"/>
        </w:rPr>
      </w:pPr>
      <w:r>
        <w:rPr>
          <w:rFonts w:hint="eastAsia"/>
          <w:color w:val="auto"/>
          <w:highlight w:val="none"/>
        </w:rPr>
        <w:br w:type="page"/>
      </w:r>
    </w:p>
    <w:p w14:paraId="5662CFAC">
      <w:pPr>
        <w:spacing w:line="460" w:lineRule="exact"/>
        <w:jc w:val="center"/>
        <w:outlineLvl w:val="4"/>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（3）监狱企业的相关证明材料</w:t>
      </w:r>
    </w:p>
    <w:p w14:paraId="3E6E0632">
      <w:pPr>
        <w:spacing w:line="460" w:lineRule="exact"/>
        <w:ind w:firstLine="466" w:firstLineChars="200"/>
        <w:rPr>
          <w:rFonts w:hint="eastAsia" w:ascii="新宋体" w:hAnsi="新宋体" w:eastAsia="新宋体" w:cs="新宋体"/>
          <w:b/>
          <w:bCs/>
          <w:color w:val="auto"/>
          <w:sz w:val="22"/>
          <w:szCs w:val="22"/>
          <w:highlight w:val="none"/>
          <w:u w:val="single"/>
          <w:lang w:val="zh-CN"/>
        </w:rPr>
      </w:pPr>
      <w:r>
        <w:rPr>
          <w:rFonts w:hint="eastAsia" w:ascii="新宋体" w:hAnsi="新宋体" w:eastAsia="新宋体" w:cs="新宋体"/>
          <w:b/>
          <w:color w:val="auto"/>
          <w:spacing w:val="6"/>
          <w:sz w:val="22"/>
          <w:szCs w:val="22"/>
          <w:highlight w:val="none"/>
        </w:rPr>
        <w:t>需提供相关证明材料，</w:t>
      </w:r>
      <w:r>
        <w:rPr>
          <w:rFonts w:hint="eastAsia" w:ascii="新宋体" w:hAnsi="新宋体" w:eastAsia="新宋体" w:cs="新宋体"/>
          <w:b/>
          <w:bCs/>
          <w:color w:val="auto"/>
          <w:sz w:val="22"/>
          <w:szCs w:val="22"/>
          <w:highlight w:val="none"/>
          <w:u w:val="single"/>
          <w:lang w:val="zh-CN"/>
        </w:rPr>
        <w:t>未提供证明材料或不能清楚辨析</w:t>
      </w:r>
      <w:r>
        <w:rPr>
          <w:rFonts w:hint="eastAsia" w:ascii="新宋体" w:hAnsi="新宋体" w:eastAsia="新宋体" w:cs="新宋体"/>
          <w:b/>
          <w:bCs/>
          <w:color w:val="auto"/>
          <w:sz w:val="22"/>
          <w:szCs w:val="22"/>
          <w:highlight w:val="none"/>
          <w:u w:val="single"/>
        </w:rPr>
        <w:t>是监狱企业的按非监狱企业处理，所提供的证明材料应为最新的最近的</w:t>
      </w:r>
      <w:r>
        <w:rPr>
          <w:rFonts w:hint="eastAsia" w:ascii="新宋体" w:hAnsi="新宋体" w:eastAsia="新宋体" w:cs="新宋体"/>
          <w:b/>
          <w:bCs/>
          <w:color w:val="auto"/>
          <w:sz w:val="22"/>
          <w:szCs w:val="22"/>
          <w:highlight w:val="none"/>
          <w:u w:val="single"/>
          <w:lang w:val="zh-CN"/>
        </w:rPr>
        <w:t>。</w:t>
      </w:r>
    </w:p>
    <w:p w14:paraId="2CD63056">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180DC3CD">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3B67649B">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58674F5B">
      <w:pPr>
        <w:adjustRightInd w:val="0"/>
        <w:snapToGrid w:val="0"/>
        <w:spacing w:line="300" w:lineRule="auto"/>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b/>
          <w:color w:val="auto"/>
          <w:spacing w:val="6"/>
          <w:sz w:val="22"/>
          <w:szCs w:val="22"/>
          <w:highlight w:val="none"/>
        </w:rPr>
        <w:t>监狱企业声明函</w:t>
      </w:r>
    </w:p>
    <w:p w14:paraId="2F89C050">
      <w:pPr>
        <w:snapToGrid w:val="0"/>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【非监狱企业不用提供】</w:t>
      </w:r>
    </w:p>
    <w:p w14:paraId="20BE53FF">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本企业郑重声明，根据《关于政府采购支持监狱企业发展有关问题的通知》（财库[2014]68号）的规定，本企业为监狱企业。 </w:t>
      </w:r>
    </w:p>
    <w:p w14:paraId="3C328BF2">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根据上述标准，我企业属于监狱企业的理由为：</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 </w:t>
      </w:r>
    </w:p>
    <w:p w14:paraId="48EE7451">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本企业为参加（招标项目名称：</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）（招标编号</w:t>
      </w:r>
      <w:r>
        <w:rPr>
          <w:rFonts w:hint="eastAsia" w:ascii="新宋体" w:hAnsi="新宋体" w:eastAsia="新宋体" w:cs="新宋体"/>
          <w:color w:val="auto"/>
          <w:spacing w:val="6"/>
          <w:sz w:val="22"/>
          <w:szCs w:val="22"/>
          <w:highlight w:val="none"/>
          <w:u w:val="none"/>
        </w:rPr>
        <w:t>：</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）采购活动并承担本工程。</w:t>
      </w:r>
    </w:p>
    <w:p w14:paraId="4132BBF5">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本企业对上述声明的真实性负责。如有虚假，将依法承担相应责任。  </w:t>
      </w:r>
    </w:p>
    <w:p w14:paraId="3882EF4A">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投标人全称（盖章）：</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 xml:space="preserve">  </w:t>
      </w:r>
    </w:p>
    <w:p w14:paraId="554822F7">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日期：    年    月   日</w:t>
      </w:r>
      <w:r>
        <w:rPr>
          <w:rFonts w:hint="eastAsia" w:ascii="新宋体" w:hAnsi="新宋体" w:eastAsia="新宋体" w:cs="新宋体"/>
          <w:color w:val="auto"/>
          <w:kern w:val="0"/>
          <w:sz w:val="22"/>
          <w:szCs w:val="22"/>
          <w:highlight w:val="none"/>
        </w:rPr>
        <w:t xml:space="preserve"> </w:t>
      </w:r>
    </w:p>
    <w:p w14:paraId="5B0B7472">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14:paraId="3DD26B71">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E18E351">
      <w:pPr>
        <w:spacing w:line="460" w:lineRule="exact"/>
        <w:rPr>
          <w:rFonts w:hint="eastAsia" w:ascii="新宋体" w:hAnsi="新宋体" w:eastAsia="新宋体" w:cs="新宋体"/>
          <w:color w:val="auto"/>
          <w:spacing w:val="20"/>
          <w:sz w:val="22"/>
          <w:szCs w:val="22"/>
          <w:highlight w:val="none"/>
        </w:rPr>
      </w:pPr>
    </w:p>
    <w:p w14:paraId="24B4E5EB">
      <w:pPr>
        <w:pStyle w:val="24"/>
        <w:rPr>
          <w:rFonts w:hint="eastAsia"/>
          <w:color w:val="auto"/>
          <w:highlight w:val="none"/>
        </w:rPr>
      </w:pPr>
    </w:p>
    <w:p w14:paraId="793518F7">
      <w:pPr>
        <w:rPr>
          <w:rFonts w:hint="eastAsia" w:ascii="新宋体" w:hAnsi="新宋体" w:eastAsia="新宋体" w:cs="新宋体"/>
          <w:color w:val="auto"/>
          <w:highlight w:val="none"/>
        </w:rPr>
      </w:pPr>
    </w:p>
    <w:p w14:paraId="72533370">
      <w:pPr>
        <w:rPr>
          <w:rFonts w:hint="eastAsia" w:ascii="新宋体" w:hAnsi="新宋体" w:eastAsia="新宋体" w:cs="新宋体"/>
          <w:b/>
          <w:bCs w:val="0"/>
          <w:color w:val="auto"/>
          <w:kern w:val="0"/>
          <w:sz w:val="28"/>
          <w:szCs w:val="28"/>
          <w:highlight w:val="none"/>
          <w:lang w:val="en-US" w:eastAsia="zh-CN" w:bidi="ar-SA"/>
        </w:rPr>
      </w:pPr>
    </w:p>
    <w:p w14:paraId="6CAB90D5">
      <w:pPr>
        <w:rPr>
          <w:rFonts w:hint="eastAsia" w:ascii="新宋体" w:hAnsi="新宋体" w:eastAsia="新宋体" w:cs="新宋体"/>
          <w:b/>
          <w:bCs w:val="0"/>
          <w:color w:val="auto"/>
          <w:kern w:val="0"/>
          <w:sz w:val="28"/>
          <w:szCs w:val="28"/>
          <w:highlight w:val="none"/>
          <w:lang w:val="en-US" w:eastAsia="zh-CN" w:bidi="ar-SA"/>
        </w:rPr>
      </w:pPr>
      <w:r>
        <w:rPr>
          <w:rFonts w:hint="eastAsia" w:ascii="新宋体" w:hAnsi="新宋体" w:eastAsia="新宋体" w:cs="新宋体"/>
          <w:b/>
          <w:bCs w:val="0"/>
          <w:color w:val="auto"/>
          <w:kern w:val="0"/>
          <w:sz w:val="28"/>
          <w:szCs w:val="28"/>
          <w:highlight w:val="none"/>
          <w:lang w:val="en-US" w:eastAsia="zh-CN" w:bidi="ar-SA"/>
        </w:rPr>
        <w:br w:type="page"/>
      </w:r>
    </w:p>
    <w:p w14:paraId="57BC9883">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5、政府采购活动现场确认声明书</w:t>
      </w:r>
    </w:p>
    <w:p w14:paraId="469947F0">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lang w:bidi="ar"/>
        </w:rPr>
        <w:t>温州历程招标有限公司：</w:t>
      </w:r>
    </w:p>
    <w:p w14:paraId="501C47CB">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kern w:val="0"/>
          <w:sz w:val="22"/>
          <w:szCs w:val="22"/>
          <w:highlight w:val="none"/>
          <w:lang w:bidi="ar"/>
        </w:rPr>
        <w:t>本人经由</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（供应商名称）负责人</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（姓名）合法授权参加</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（编号：</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）政府采购活动，经与本单位法人代表</w:t>
      </w:r>
      <w:r>
        <w:rPr>
          <w:rFonts w:hint="eastAsia" w:ascii="新宋体" w:hAnsi="新宋体" w:eastAsia="新宋体" w:cs="新宋体"/>
          <w:color w:val="auto"/>
          <w:kern w:val="0"/>
          <w:sz w:val="22"/>
          <w:szCs w:val="22"/>
          <w:highlight w:val="none"/>
          <w:u w:val="single"/>
          <w:lang w:bidi="ar"/>
        </w:rPr>
        <w:t>（负责人）</w:t>
      </w:r>
      <w:r>
        <w:rPr>
          <w:rFonts w:hint="eastAsia" w:ascii="新宋体" w:hAnsi="新宋体" w:eastAsia="新宋体" w:cs="新宋体"/>
          <w:color w:val="auto"/>
          <w:kern w:val="0"/>
          <w:sz w:val="22"/>
          <w:szCs w:val="22"/>
          <w:highlight w:val="none"/>
          <w:lang w:bidi="ar"/>
        </w:rPr>
        <w:t>联系确认，现就有关公平竞争事项郑重声明如下：</w:t>
      </w:r>
    </w:p>
    <w:p w14:paraId="2CB5D4C4">
      <w:pPr>
        <w:spacing w:line="460" w:lineRule="exact"/>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（一）本单位与采购人之间 □不存在利害关系 □存在下列利害关系：</w:t>
      </w:r>
    </w:p>
    <w:p w14:paraId="28FE418F">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A.投资关系    </w:t>
      </w:r>
    </w:p>
    <w:p w14:paraId="2196891C">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B.行政隶属关系    </w:t>
      </w:r>
    </w:p>
    <w:p w14:paraId="0EE86BFC">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C.业务指导关系  </w:t>
      </w:r>
    </w:p>
    <w:p w14:paraId="024902D8">
      <w:pPr>
        <w:spacing w:line="460" w:lineRule="exact"/>
        <w:ind w:firstLine="660" w:firstLineChars="3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D.其他可能影响采购公正的利害关系</w:t>
      </w:r>
      <w:r>
        <w:rPr>
          <w:rStyle w:val="332"/>
          <w:rFonts w:hint="eastAsia" w:ascii="新宋体" w:hAnsi="新宋体" w:eastAsia="新宋体" w:cs="新宋体"/>
          <w:color w:val="auto"/>
          <w:sz w:val="22"/>
          <w:szCs w:val="22"/>
          <w:highlight w:val="none"/>
          <w:lang w:bidi="ar"/>
        </w:rPr>
        <w:t xml:space="preserve">（如有，请如实说明）                 </w:t>
      </w:r>
      <w:r>
        <w:rPr>
          <w:rFonts w:hint="eastAsia" w:ascii="新宋体" w:hAnsi="新宋体" w:eastAsia="新宋体" w:cs="新宋体"/>
          <w:color w:val="auto"/>
          <w:kern w:val="0"/>
          <w:sz w:val="22"/>
          <w:szCs w:val="22"/>
          <w:highlight w:val="none"/>
          <w:lang w:bidi="ar"/>
        </w:rPr>
        <w:t>。</w:t>
      </w:r>
    </w:p>
    <w:p w14:paraId="58DAB81B">
      <w:pPr>
        <w:spacing w:line="460" w:lineRule="exact"/>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（二）现已清楚知道参加本项目采购活动的其他所有供应商名称，本单位 </w:t>
      </w:r>
    </w:p>
    <w:p w14:paraId="36F30F1F">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□与其他所有供应商之间均不存在利害关系 </w:t>
      </w:r>
    </w:p>
    <w:p w14:paraId="5AE75EF9">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□与</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供应商名称）之间存在下列利害关系</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w:t>
      </w:r>
    </w:p>
    <w:p w14:paraId="34AACB27">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A.法定代表人或负责人或实际控制人是同一人</w:t>
      </w:r>
    </w:p>
    <w:p w14:paraId="6D908409">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B.法定代表人或负责人或实际控制人是夫妻关系</w:t>
      </w:r>
    </w:p>
    <w:p w14:paraId="4436C792">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C.法定代表人或负责人或实际控制人是直系血亲关系</w:t>
      </w:r>
    </w:p>
    <w:p w14:paraId="21F4C4D2">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D.法定代表人或负责人或实际控制人存在三代以内旁系血亲关系</w:t>
      </w:r>
    </w:p>
    <w:p w14:paraId="5EF8B0F9">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E.法定代表人或负责人或实际控制人存在近姻亲关系</w:t>
      </w:r>
    </w:p>
    <w:p w14:paraId="78C40D5F">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F.法定代表人或负责人或实际控制人存在股份控制或实际控制关系</w:t>
      </w:r>
    </w:p>
    <w:p w14:paraId="390007E6">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G.存在共同直接或间接投资设立子公司、联营企业和合营企业情况</w:t>
      </w:r>
    </w:p>
    <w:p w14:paraId="57AE2EC9">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H.存在分级代理或代销关系、同一生产制造商关系、管理关系、重要业务（占主营业务收入50%以上）或重要财务往来关系（如融资）等其他实质性控制关系</w:t>
      </w:r>
    </w:p>
    <w:p w14:paraId="69A39420">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I.其他利害关系情况</w:t>
      </w:r>
      <w:r>
        <w:rPr>
          <w:rFonts w:hint="eastAsia" w:ascii="新宋体" w:hAnsi="新宋体" w:eastAsia="新宋体" w:cs="新宋体"/>
          <w:color w:val="auto"/>
          <w:kern w:val="0"/>
          <w:sz w:val="22"/>
          <w:szCs w:val="22"/>
          <w:highlight w:val="none"/>
          <w:u w:val="single"/>
          <w:lang w:bidi="ar"/>
        </w:rPr>
        <w:t xml:space="preserve">                              。</w:t>
      </w:r>
    </w:p>
    <w:p w14:paraId="0887A294">
      <w:pPr>
        <w:pStyle w:val="24"/>
        <w:spacing w:line="460" w:lineRule="exact"/>
        <w:ind w:left="0" w:firstLine="0" w:firstLineChars="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（三）现已清楚知道并严格遵守政府采购法律法规和现场纪律</w:t>
      </w:r>
    </w:p>
    <w:p w14:paraId="37F6FB3F">
      <w:pPr>
        <w:pStyle w:val="24"/>
        <w:spacing w:line="460" w:lineRule="exact"/>
        <w:ind w:left="0" w:firstLine="0" w:firstLineChars="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（四）我发现</w:t>
      </w:r>
      <w:r>
        <w:rPr>
          <w:rStyle w:val="332"/>
          <w:rFonts w:hint="eastAsia" w:ascii="新宋体" w:hAnsi="新宋体" w:eastAsia="新宋体" w:cs="新宋体"/>
          <w:color w:val="auto"/>
          <w:sz w:val="22"/>
          <w:szCs w:val="22"/>
          <w:highlight w:val="none"/>
          <w:lang w:bidi="ar"/>
        </w:rPr>
        <w:t xml:space="preserve">                  </w:t>
      </w:r>
      <w:r>
        <w:rPr>
          <w:rStyle w:val="332"/>
          <w:rFonts w:hint="eastAsia" w:ascii="新宋体" w:hAnsi="新宋体" w:eastAsia="新宋体" w:cs="新宋体"/>
          <w:color w:val="auto"/>
          <w:sz w:val="22"/>
          <w:szCs w:val="22"/>
          <w:highlight w:val="none"/>
          <w:u w:val="none"/>
          <w:lang w:bidi="ar"/>
        </w:rPr>
        <w:t>与</w:t>
      </w:r>
      <w:r>
        <w:rPr>
          <w:rStyle w:val="332"/>
          <w:rFonts w:hint="eastAsia" w:ascii="新宋体" w:hAnsi="新宋体" w:eastAsia="新宋体" w:cs="新宋体"/>
          <w:color w:val="auto"/>
          <w:sz w:val="22"/>
          <w:szCs w:val="22"/>
          <w:highlight w:val="none"/>
          <w:lang w:bidi="ar"/>
        </w:rPr>
        <w:t xml:space="preserve">                  （供应商名称）</w:t>
      </w:r>
      <w:r>
        <w:rPr>
          <w:rFonts w:hint="eastAsia" w:ascii="新宋体" w:hAnsi="新宋体" w:eastAsia="新宋体" w:cs="新宋体"/>
          <w:color w:val="auto"/>
          <w:kern w:val="0"/>
          <w:sz w:val="22"/>
          <w:szCs w:val="22"/>
          <w:highlight w:val="none"/>
          <w:lang w:bidi="ar"/>
        </w:rPr>
        <w:t>之间存在或可能存在上述第二条第</w:t>
      </w:r>
      <w:r>
        <w:rPr>
          <w:rStyle w:val="332"/>
          <w:rFonts w:hint="eastAsia" w:ascii="新宋体" w:hAnsi="新宋体" w:eastAsia="新宋体" w:cs="新宋体"/>
          <w:color w:val="auto"/>
          <w:sz w:val="22"/>
          <w:szCs w:val="22"/>
          <w:highlight w:val="none"/>
          <w:lang w:bidi="ar"/>
        </w:rPr>
        <w:t xml:space="preserve">        </w:t>
      </w:r>
      <w:r>
        <w:rPr>
          <w:rFonts w:hint="eastAsia" w:ascii="新宋体" w:hAnsi="新宋体" w:eastAsia="新宋体" w:cs="新宋体"/>
          <w:color w:val="auto"/>
          <w:kern w:val="0"/>
          <w:sz w:val="22"/>
          <w:szCs w:val="22"/>
          <w:highlight w:val="none"/>
          <w:lang w:bidi="ar"/>
        </w:rPr>
        <w:t>项利害关系。</w:t>
      </w:r>
    </w:p>
    <w:p w14:paraId="2D6E7074">
      <w:pPr>
        <w:pStyle w:val="24"/>
        <w:spacing w:line="460" w:lineRule="exact"/>
        <w:ind w:left="442" w:hanging="442"/>
        <w:rPr>
          <w:rFonts w:hint="eastAsia" w:ascii="新宋体" w:hAnsi="新宋体" w:eastAsia="新宋体" w:cs="新宋体"/>
          <w:b/>
          <w:color w:val="auto"/>
          <w:kern w:val="0"/>
          <w:sz w:val="22"/>
          <w:szCs w:val="22"/>
          <w:highlight w:val="none"/>
          <w:lang w:bidi="ar"/>
        </w:rPr>
      </w:pPr>
      <w:r>
        <w:rPr>
          <w:rFonts w:hint="eastAsia" w:ascii="新宋体" w:hAnsi="新宋体" w:eastAsia="新宋体" w:cs="新宋体"/>
          <w:b/>
          <w:color w:val="auto"/>
          <w:kern w:val="0"/>
          <w:sz w:val="22"/>
          <w:szCs w:val="22"/>
          <w:highlight w:val="none"/>
          <w:lang w:bidi="ar"/>
        </w:rPr>
        <w:t>供应商代表签名：</w:t>
      </w:r>
    </w:p>
    <w:p w14:paraId="77FF7193">
      <w:pPr>
        <w:pStyle w:val="24"/>
        <w:spacing w:line="460" w:lineRule="exact"/>
        <w:ind w:left="442" w:hanging="442"/>
        <w:rPr>
          <w:rFonts w:hint="eastAsia" w:ascii="新宋体" w:hAnsi="新宋体" w:eastAsia="新宋体" w:cs="新宋体"/>
          <w:b/>
          <w:color w:val="auto"/>
          <w:kern w:val="0"/>
          <w:sz w:val="22"/>
          <w:szCs w:val="22"/>
          <w:highlight w:val="none"/>
          <w:lang w:bidi="ar"/>
        </w:rPr>
      </w:pPr>
    </w:p>
    <w:p w14:paraId="508C25AF">
      <w:pPr>
        <w:pStyle w:val="24"/>
        <w:spacing w:line="460" w:lineRule="exact"/>
        <w:ind w:left="442" w:hanging="442"/>
        <w:jc w:val="right"/>
        <w:rPr>
          <w:rFonts w:hint="eastAsia" w:ascii="新宋体" w:hAnsi="新宋体" w:eastAsia="新宋体" w:cs="新宋体"/>
          <w:b/>
          <w:color w:val="auto"/>
          <w:kern w:val="0"/>
          <w:sz w:val="22"/>
          <w:szCs w:val="22"/>
          <w:highlight w:val="none"/>
          <w:lang w:bidi="ar"/>
        </w:rPr>
      </w:pPr>
      <w:r>
        <w:rPr>
          <w:rFonts w:hint="eastAsia" w:ascii="新宋体" w:hAnsi="新宋体" w:eastAsia="新宋体" w:cs="新宋体"/>
          <w:b/>
          <w:color w:val="auto"/>
          <w:kern w:val="0"/>
          <w:sz w:val="22"/>
          <w:szCs w:val="22"/>
          <w:highlight w:val="none"/>
          <w:lang w:bidi="ar"/>
        </w:rPr>
        <w:t>日期：     年    月    日</w:t>
      </w:r>
    </w:p>
    <w:p w14:paraId="31F6E28F">
      <w:pPr>
        <w:pStyle w:val="24"/>
        <w:spacing w:line="460" w:lineRule="exact"/>
        <w:ind w:left="0" w:firstLine="0" w:firstLineChars="0"/>
        <w:jc w:val="right"/>
        <w:rPr>
          <w:rFonts w:hint="eastAsia" w:ascii="新宋体" w:hAnsi="新宋体" w:eastAsia="新宋体" w:cs="新宋体"/>
          <w:b/>
          <w:bCs/>
          <w:color w:val="auto"/>
          <w:sz w:val="22"/>
          <w:szCs w:val="22"/>
          <w:highlight w:val="none"/>
        </w:rPr>
      </w:pPr>
    </w:p>
    <w:p w14:paraId="7CB2155D">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p>
    <w:p w14:paraId="2E4961BB">
      <w:pPr>
        <w:outlineLvl w:val="1"/>
        <w:rPr>
          <w:rFonts w:hint="eastAsia" w:ascii="新宋体" w:hAnsi="新宋体" w:eastAsia="新宋体" w:cs="新宋体"/>
          <w:b/>
          <w:bCs/>
          <w:color w:val="auto"/>
          <w:sz w:val="22"/>
          <w:szCs w:val="22"/>
          <w:highlight w:val="none"/>
        </w:rPr>
      </w:pPr>
      <w:bookmarkStart w:id="39" w:name="_Toc2600"/>
      <w:r>
        <w:rPr>
          <w:rFonts w:hint="eastAsia" w:ascii="新宋体" w:hAnsi="新宋体" w:eastAsia="新宋体" w:cs="新宋体"/>
          <w:b/>
          <w:bCs/>
          <w:color w:val="auto"/>
          <w:sz w:val="22"/>
          <w:szCs w:val="22"/>
          <w:highlight w:val="none"/>
        </w:rPr>
        <w:t>附件三</w:t>
      </w:r>
      <w:bookmarkEnd w:id="38"/>
      <w:bookmarkEnd w:id="39"/>
    </w:p>
    <w:p w14:paraId="3A134B4C">
      <w:pPr>
        <w:spacing w:line="460" w:lineRule="exact"/>
        <w:jc w:val="center"/>
        <w:outlineLvl w:val="2"/>
        <w:rPr>
          <w:rFonts w:hint="eastAsia" w:ascii="新宋体" w:hAnsi="新宋体" w:eastAsia="新宋体" w:cs="新宋体"/>
          <w:b/>
          <w:bCs/>
          <w:color w:val="auto"/>
          <w:sz w:val="28"/>
          <w:szCs w:val="28"/>
          <w:highlight w:val="none"/>
          <w:lang w:val="zh-CN"/>
        </w:rPr>
      </w:pPr>
      <w:bookmarkStart w:id="40" w:name="_Toc29102"/>
      <w:bookmarkStart w:id="41" w:name="_Toc8156"/>
      <w:r>
        <w:rPr>
          <w:rFonts w:hint="eastAsia" w:ascii="新宋体" w:hAnsi="新宋体" w:eastAsia="新宋体" w:cs="新宋体"/>
          <w:b/>
          <w:bCs/>
          <w:color w:val="auto"/>
          <w:sz w:val="28"/>
          <w:szCs w:val="28"/>
          <w:highlight w:val="none"/>
          <w:lang w:val="zh-CN"/>
        </w:rPr>
        <w:t>商务技术文件</w:t>
      </w:r>
      <w:bookmarkEnd w:id="40"/>
      <w:bookmarkEnd w:id="41"/>
    </w:p>
    <w:p w14:paraId="2230571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新宋体" w:hAnsi="新宋体" w:eastAsia="新宋体" w:cs="新宋体"/>
          <w:b/>
          <w:bCs/>
          <w:color w:val="auto"/>
          <w:sz w:val="28"/>
          <w:szCs w:val="28"/>
          <w:highlight w:val="none"/>
          <w:lang w:val="en-US" w:eastAsia="zh-CN"/>
        </w:rPr>
      </w:pPr>
    </w:p>
    <w:p w14:paraId="3CB6583A">
      <w:pPr>
        <w:spacing w:line="400" w:lineRule="exact"/>
        <w:jc w:val="center"/>
        <w:outlineLvl w:val="3"/>
        <w:rPr>
          <w:rFonts w:hint="eastAsia" w:ascii="新宋体" w:hAnsi="新宋体" w:eastAsia="新宋体" w:cs="新宋体"/>
          <w:b/>
          <w:bCs/>
          <w:color w:val="auto"/>
          <w:sz w:val="28"/>
          <w:szCs w:val="28"/>
          <w:highlight w:val="none"/>
          <w:lang w:val="zh-CN" w:eastAsia="zh-CN"/>
        </w:rPr>
      </w:pPr>
      <w:r>
        <w:rPr>
          <w:rFonts w:hint="eastAsia" w:ascii="新宋体" w:hAnsi="新宋体" w:eastAsia="新宋体" w:cs="新宋体"/>
          <w:b/>
          <w:bCs/>
          <w:color w:val="auto"/>
          <w:sz w:val="28"/>
          <w:szCs w:val="28"/>
          <w:highlight w:val="none"/>
          <w:lang w:val="en-US" w:eastAsia="zh-CN"/>
        </w:rPr>
        <w:t>1、</w:t>
      </w:r>
      <w:r>
        <w:rPr>
          <w:rFonts w:hint="eastAsia" w:ascii="新宋体" w:hAnsi="新宋体" w:eastAsia="新宋体" w:cs="新宋体"/>
          <w:b/>
          <w:bCs/>
          <w:color w:val="auto"/>
          <w:sz w:val="28"/>
          <w:szCs w:val="28"/>
          <w:highlight w:val="none"/>
          <w:lang w:val="zh-CN" w:eastAsia="zh-CN"/>
        </w:rPr>
        <w:t>投标函</w:t>
      </w:r>
    </w:p>
    <w:p w14:paraId="48DF07F4">
      <w:pPr>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致：</w:t>
      </w:r>
      <w:r>
        <w:rPr>
          <w:rFonts w:hint="eastAsia" w:ascii="新宋体" w:hAnsi="新宋体" w:eastAsia="新宋体" w:cs="新宋体"/>
          <w:color w:val="auto"/>
          <w:sz w:val="22"/>
          <w:szCs w:val="22"/>
          <w:highlight w:val="none"/>
          <w:lang w:eastAsia="zh-CN"/>
        </w:rPr>
        <w:t>温州市儿童福利院（温州市未成年人救助保护中心）</w:t>
      </w:r>
    </w:p>
    <w:p w14:paraId="2248772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根据贵方为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项目（招标编号：</w:t>
      </w:r>
      <w:r>
        <w:rPr>
          <w:rFonts w:hint="eastAsia" w:ascii="新宋体" w:hAnsi="新宋体" w:eastAsia="新宋体" w:cs="新宋体"/>
          <w:b/>
          <w:color w:val="auto"/>
          <w:sz w:val="22"/>
          <w:szCs w:val="22"/>
          <w:highlight w:val="none"/>
          <w:u w:val="single"/>
        </w:rPr>
        <w:t xml:space="preserve">        </w:t>
      </w:r>
      <w:r>
        <w:rPr>
          <w:rFonts w:hint="eastAsia" w:ascii="新宋体" w:hAnsi="新宋体" w:eastAsia="新宋体" w:cs="新宋体"/>
          <w:b/>
          <w:color w:val="auto"/>
          <w:sz w:val="22"/>
          <w:szCs w:val="22"/>
          <w:highlight w:val="none"/>
        </w:rPr>
        <w:t xml:space="preserve"> </w:t>
      </w:r>
      <w:r>
        <w:rPr>
          <w:rFonts w:hint="eastAsia" w:ascii="新宋体" w:hAnsi="新宋体" w:eastAsia="新宋体" w:cs="新宋体"/>
          <w:color w:val="auto"/>
          <w:sz w:val="22"/>
          <w:szCs w:val="22"/>
          <w:highlight w:val="none"/>
        </w:rPr>
        <w:t>）的投标邀请，我方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（投标人名称）作为投标人正式授权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（授权代表全名，职务）代表我方处理有关本投标的一切事宜。为此：</w:t>
      </w:r>
    </w:p>
    <w:p w14:paraId="27CD032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1、我方同意在投标人</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规定的开标日期起遵守本投标书中的承诺且在投标有效期满之前均具有约束力。</w:t>
      </w:r>
    </w:p>
    <w:p w14:paraId="7CD508A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2、我方承诺已经具备《中华人民共和国政府采购法》中规定的参加政府采购活动的供应商应当具备的条件：</w:t>
      </w:r>
    </w:p>
    <w:p w14:paraId="2FFD27A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(1)具有独立承担民事责任的能力；</w:t>
      </w:r>
    </w:p>
    <w:p w14:paraId="02A4EFF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(2)遵守国家法律、行政法规，具有良好的信誉和商业道德；</w:t>
      </w:r>
    </w:p>
    <w:p w14:paraId="6159756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(3)具有履行合同的能力和良好的履行合同记录；</w:t>
      </w:r>
    </w:p>
    <w:p w14:paraId="04432E2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(4)良好的资金、财务状况；</w:t>
      </w:r>
    </w:p>
    <w:p w14:paraId="0541402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(5)提供的产品和服务符合中国政府规定的相应标准和环保标准；</w:t>
      </w:r>
    </w:p>
    <w:p w14:paraId="6371DC7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(6)没有违反政府采购法规、政策的记录；</w:t>
      </w:r>
    </w:p>
    <w:p w14:paraId="58E9C23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(7)没有发生重大经济纠纷和走私犯罪记录。</w:t>
      </w:r>
    </w:p>
    <w:p w14:paraId="37AC6FB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3、提供</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规定的全部投标文件，包括资格文件、报价文件、商务技术文件。具体内容为：</w:t>
      </w:r>
    </w:p>
    <w:p w14:paraId="030B265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(1)资格文件</w:t>
      </w:r>
    </w:p>
    <w:p w14:paraId="70BD3FB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(2)报价文件；</w:t>
      </w:r>
    </w:p>
    <w:p w14:paraId="398B9A2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zh-CN"/>
        </w:rPr>
        <w:t>商务</w:t>
      </w:r>
      <w:r>
        <w:rPr>
          <w:rFonts w:hint="eastAsia" w:ascii="新宋体" w:hAnsi="新宋体" w:eastAsia="新宋体" w:cs="新宋体"/>
          <w:color w:val="auto"/>
          <w:kern w:val="0"/>
          <w:sz w:val="22"/>
          <w:szCs w:val="22"/>
          <w:highlight w:val="none"/>
          <w:lang w:val="zh-CN"/>
        </w:rPr>
        <w:t>技术文件</w:t>
      </w:r>
      <w:r>
        <w:rPr>
          <w:rFonts w:hint="eastAsia" w:ascii="新宋体" w:hAnsi="新宋体" w:eastAsia="新宋体" w:cs="新宋体"/>
          <w:color w:val="auto"/>
          <w:sz w:val="22"/>
          <w:szCs w:val="22"/>
          <w:highlight w:val="none"/>
        </w:rPr>
        <w:t>；</w:t>
      </w:r>
    </w:p>
    <w:p w14:paraId="0A6FAF3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要求投标人提交的全部文件；</w:t>
      </w:r>
    </w:p>
    <w:p w14:paraId="38A2EE1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(5)按招标文件要求提供和交付的货物和服务的投标报价详见开标一览表；</w:t>
      </w:r>
    </w:p>
    <w:p w14:paraId="3B49B23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(6)保证忠实地执行双方所签订的合同，并承担合同规定的责任和义务；</w:t>
      </w:r>
    </w:p>
    <w:p w14:paraId="69E632C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(7)保证遵守招标文件中的其他有关规定。</w:t>
      </w:r>
    </w:p>
    <w:p w14:paraId="0BDBE72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4、投标有效期内不撤销投标文件，如中标，有效期将延至合同终止日为止。</w:t>
      </w:r>
    </w:p>
    <w:p w14:paraId="07DD8B6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5、我方完全理解贵方不一定要接受最低价的投标。</w:t>
      </w:r>
    </w:p>
    <w:p w14:paraId="1D012B4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14:paraId="4A1DBB8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7、如中标，按招标文件规定的招标代理服务费标准，在领取中标通知书时向招标代理机构支付招标代理服务费。</w:t>
      </w:r>
    </w:p>
    <w:p w14:paraId="49120F1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8、我方愿意向贵方提供任何与该项投标有关的数据、情况和服务资料。若贵方需要，我方愿意提供我方作出的一切承诺的证明材料。</w:t>
      </w:r>
    </w:p>
    <w:p w14:paraId="7052BCB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5BC91F5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26276B0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(1)提供虚假材料谋取中标、成交的；</w:t>
      </w:r>
    </w:p>
    <w:p w14:paraId="5C93ABF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(2)采取不正当手段诋毁、排挤其他供应商的；</w:t>
      </w:r>
    </w:p>
    <w:p w14:paraId="493D89B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(3)与招标人、其它供应商或者招标代理机构恶意串通的；</w:t>
      </w:r>
    </w:p>
    <w:p w14:paraId="4166E1F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(4)向招标人、招标代理机构行贿或者提供其他不正当利益的；</w:t>
      </w:r>
    </w:p>
    <w:p w14:paraId="7479B6E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(5)在招标采购过程中与招标人进行协商谈判的；</w:t>
      </w:r>
    </w:p>
    <w:p w14:paraId="31971D9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(6)拒绝有关部门监督检查或提供虚假情况的。</w:t>
      </w:r>
    </w:p>
    <w:p w14:paraId="21F25E1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供应商有前款第(1)至(5)项情形之一的，中标、成交无效。</w:t>
      </w:r>
    </w:p>
    <w:p w14:paraId="7F8DCF8C">
      <w:pPr>
        <w:spacing w:line="460" w:lineRule="exact"/>
        <w:ind w:firstLine="440" w:firstLineChars="200"/>
        <w:rPr>
          <w:rFonts w:hint="eastAsia" w:ascii="新宋体" w:hAnsi="新宋体" w:eastAsia="新宋体" w:cs="新宋体"/>
          <w:color w:val="auto"/>
          <w:sz w:val="22"/>
          <w:szCs w:val="22"/>
          <w:highlight w:val="none"/>
          <w:lang w:val="zh-CN"/>
        </w:rPr>
      </w:pPr>
    </w:p>
    <w:p w14:paraId="475CF274">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法定（授权）代表人（签字）：</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u w:val="single"/>
          <w:lang w:val="en-US" w:eastAsia="zh-CN"/>
        </w:rPr>
        <w:t xml:space="preserve">                       </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u w:val="single"/>
        </w:rPr>
        <w:tab/>
      </w:r>
    </w:p>
    <w:p w14:paraId="625F31D9">
      <w:pPr>
        <w:spacing w:line="460" w:lineRule="exact"/>
        <w:ind w:firstLine="440" w:firstLineChars="200"/>
        <w:rPr>
          <w:rFonts w:hint="eastAsia" w:ascii="新宋体" w:hAnsi="新宋体" w:eastAsia="新宋体" w:cs="新宋体"/>
          <w:color w:val="auto"/>
          <w:kern w:val="0"/>
          <w:sz w:val="22"/>
          <w:szCs w:val="22"/>
          <w:highlight w:val="none"/>
          <w:u w:val="single"/>
          <w:lang w:val="zh-CN"/>
        </w:rPr>
      </w:pPr>
      <w:r>
        <w:rPr>
          <w:rFonts w:hint="eastAsia" w:ascii="新宋体" w:hAnsi="新宋体" w:eastAsia="新宋体" w:cs="新宋体"/>
          <w:color w:val="auto"/>
          <w:kern w:val="0"/>
          <w:sz w:val="22"/>
          <w:szCs w:val="22"/>
          <w:highlight w:val="none"/>
          <w:lang w:val="zh-CN"/>
        </w:rPr>
        <w:t>投标人盖 章：</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rPr>
        <w:tab/>
      </w:r>
      <w:r>
        <w:rPr>
          <w:rFonts w:hint="eastAsia" w:ascii="新宋体" w:hAnsi="新宋体" w:eastAsia="新宋体" w:cs="新宋体"/>
          <w:color w:val="auto"/>
          <w:kern w:val="0"/>
          <w:sz w:val="22"/>
          <w:szCs w:val="22"/>
          <w:highlight w:val="none"/>
          <w:u w:val="single"/>
          <w:lang w:val="zh-CN"/>
        </w:rPr>
        <w:t xml:space="preserve">                      </w:t>
      </w:r>
    </w:p>
    <w:p w14:paraId="694C87AF">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联系电话：</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u w:val="single"/>
          <w:lang w:val="en-US" w:eastAsia="zh-CN"/>
        </w:rPr>
        <w:t xml:space="preserve">         </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u w:val="single"/>
          <w:lang w:val="en-US" w:eastAsia="zh-CN"/>
        </w:rPr>
        <w:t xml:space="preserve"> </w:t>
      </w:r>
      <w:r>
        <w:rPr>
          <w:rFonts w:hint="eastAsia" w:ascii="新宋体" w:hAnsi="新宋体" w:eastAsia="新宋体" w:cs="新宋体"/>
          <w:color w:val="auto"/>
          <w:kern w:val="0"/>
          <w:sz w:val="22"/>
          <w:szCs w:val="22"/>
          <w:highlight w:val="none"/>
          <w:lang w:val="zh-CN"/>
        </w:rPr>
        <w:t>电子邮件：</w:t>
      </w:r>
      <w:r>
        <w:rPr>
          <w:rFonts w:hint="eastAsia" w:ascii="新宋体" w:hAnsi="新宋体" w:eastAsia="新宋体" w:cs="新宋体"/>
          <w:color w:val="auto"/>
          <w:kern w:val="0"/>
          <w:sz w:val="22"/>
          <w:szCs w:val="22"/>
          <w:highlight w:val="none"/>
          <w:u w:val="single"/>
          <w:lang w:val="zh-CN"/>
        </w:rPr>
        <w:t xml:space="preserve">                </w:t>
      </w:r>
    </w:p>
    <w:p w14:paraId="322CA1E4">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联系地址：</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u w:val="single"/>
        </w:rPr>
        <w:tab/>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u w:val="single"/>
          <w:lang w:val="en-US" w:eastAsia="zh-CN"/>
        </w:rPr>
        <w:t xml:space="preserve"> </w:t>
      </w:r>
      <w:r>
        <w:rPr>
          <w:rFonts w:hint="eastAsia" w:ascii="新宋体" w:hAnsi="新宋体" w:eastAsia="新宋体" w:cs="新宋体"/>
          <w:color w:val="auto"/>
          <w:kern w:val="0"/>
          <w:sz w:val="22"/>
          <w:szCs w:val="22"/>
          <w:highlight w:val="none"/>
          <w:u w:val="single"/>
          <w:lang w:val="zh-CN"/>
        </w:rPr>
        <w:t xml:space="preserve">       </w:t>
      </w:r>
    </w:p>
    <w:p w14:paraId="799FC3DA">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邮政编码：</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lang w:val="zh-CN"/>
        </w:rPr>
        <w:t>传真号码：</w:t>
      </w:r>
      <w:r>
        <w:rPr>
          <w:rFonts w:hint="eastAsia" w:ascii="新宋体" w:hAnsi="新宋体" w:eastAsia="新宋体" w:cs="新宋体"/>
          <w:color w:val="auto"/>
          <w:kern w:val="0"/>
          <w:sz w:val="22"/>
          <w:szCs w:val="22"/>
          <w:highlight w:val="none"/>
          <w:u w:val="single"/>
          <w:lang w:val="zh-CN"/>
        </w:rPr>
        <w:t xml:space="preserve">                     </w:t>
      </w:r>
    </w:p>
    <w:p w14:paraId="5FE36319">
      <w:pPr>
        <w:spacing w:line="460" w:lineRule="exact"/>
        <w:ind w:firstLine="440" w:firstLineChars="20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lang w:val="zh-CN"/>
        </w:rPr>
        <w:t>日</w:t>
      </w: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lang w:val="zh-CN"/>
        </w:rPr>
        <w:t>期</w:t>
      </w: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lang w:val="zh-CN"/>
        </w:rPr>
        <w:t>年</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single"/>
        </w:rPr>
        <w:tab/>
      </w:r>
      <w:r>
        <w:rPr>
          <w:rFonts w:hint="eastAsia" w:ascii="新宋体" w:hAnsi="新宋体" w:eastAsia="新宋体" w:cs="新宋体"/>
          <w:color w:val="auto"/>
          <w:kern w:val="0"/>
          <w:sz w:val="22"/>
          <w:szCs w:val="22"/>
          <w:highlight w:val="none"/>
          <w:lang w:val="zh-CN"/>
        </w:rPr>
        <w:t>月</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lang w:val="zh-CN"/>
        </w:rPr>
        <w:t>日</w:t>
      </w:r>
    </w:p>
    <w:p w14:paraId="094DBD07">
      <w:pPr>
        <w:spacing w:line="44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lang w:val="zh-CN"/>
        </w:rPr>
        <w:t>注：未按照本投标响应函要求填报的将被视为非实质性响应，从而可能导致该投标文件被拒绝。</w:t>
      </w:r>
    </w:p>
    <w:p w14:paraId="7F35B48B">
      <w:pPr>
        <w:pStyle w:val="24"/>
        <w:ind w:left="442" w:hanging="442"/>
        <w:rPr>
          <w:rFonts w:hint="eastAsia" w:ascii="新宋体" w:hAnsi="新宋体" w:eastAsia="新宋体" w:cs="新宋体"/>
          <w:b/>
          <w:bCs/>
          <w:color w:val="auto"/>
          <w:sz w:val="22"/>
          <w:szCs w:val="22"/>
          <w:highlight w:val="none"/>
        </w:rPr>
      </w:pPr>
    </w:p>
    <w:p w14:paraId="08F188A8">
      <w:pPr>
        <w:pStyle w:val="24"/>
        <w:ind w:left="442" w:hanging="442"/>
        <w:rPr>
          <w:rFonts w:hint="eastAsia" w:ascii="新宋体" w:hAnsi="新宋体" w:eastAsia="新宋体" w:cs="新宋体"/>
          <w:b/>
          <w:bCs/>
          <w:color w:val="auto"/>
          <w:sz w:val="22"/>
          <w:szCs w:val="22"/>
          <w:highlight w:val="none"/>
        </w:rPr>
      </w:pPr>
    </w:p>
    <w:p w14:paraId="05CD4358">
      <w:pPr>
        <w:pStyle w:val="24"/>
        <w:ind w:left="442" w:hanging="442"/>
        <w:rPr>
          <w:rFonts w:hint="eastAsia" w:ascii="新宋体" w:hAnsi="新宋体" w:eastAsia="新宋体" w:cs="新宋体"/>
          <w:b/>
          <w:bCs/>
          <w:color w:val="auto"/>
          <w:sz w:val="22"/>
          <w:szCs w:val="22"/>
          <w:highlight w:val="none"/>
        </w:rPr>
      </w:pPr>
    </w:p>
    <w:p w14:paraId="54C9ECCD">
      <w:pPr>
        <w:pStyle w:val="24"/>
        <w:ind w:left="442" w:hanging="442"/>
        <w:rPr>
          <w:rFonts w:hint="eastAsia" w:ascii="新宋体" w:hAnsi="新宋体" w:eastAsia="新宋体" w:cs="新宋体"/>
          <w:b/>
          <w:bCs/>
          <w:color w:val="auto"/>
          <w:sz w:val="22"/>
          <w:szCs w:val="22"/>
          <w:highlight w:val="none"/>
        </w:rPr>
      </w:pPr>
    </w:p>
    <w:p w14:paraId="4776AEFE">
      <w:pPr>
        <w:pStyle w:val="24"/>
        <w:ind w:left="442" w:hanging="442"/>
        <w:rPr>
          <w:rFonts w:hint="eastAsia" w:ascii="新宋体" w:hAnsi="新宋体" w:eastAsia="新宋体" w:cs="新宋体"/>
          <w:b/>
          <w:bCs/>
          <w:color w:val="auto"/>
          <w:sz w:val="22"/>
          <w:szCs w:val="22"/>
          <w:highlight w:val="none"/>
        </w:rPr>
      </w:pPr>
    </w:p>
    <w:p w14:paraId="0DB5DF11">
      <w:pPr>
        <w:pStyle w:val="24"/>
        <w:ind w:left="442" w:hanging="442"/>
        <w:rPr>
          <w:rFonts w:hint="eastAsia" w:ascii="新宋体" w:hAnsi="新宋体" w:eastAsia="新宋体" w:cs="新宋体"/>
          <w:b/>
          <w:bCs/>
          <w:color w:val="auto"/>
          <w:sz w:val="22"/>
          <w:szCs w:val="22"/>
          <w:highlight w:val="none"/>
        </w:rPr>
      </w:pPr>
    </w:p>
    <w:p w14:paraId="168F9C49">
      <w:pPr>
        <w:pStyle w:val="24"/>
        <w:ind w:left="442" w:hanging="442"/>
        <w:rPr>
          <w:rFonts w:hint="eastAsia" w:ascii="新宋体" w:hAnsi="新宋体" w:eastAsia="新宋体" w:cs="新宋体"/>
          <w:b/>
          <w:bCs/>
          <w:color w:val="auto"/>
          <w:sz w:val="22"/>
          <w:szCs w:val="22"/>
          <w:highlight w:val="none"/>
        </w:rPr>
      </w:pPr>
    </w:p>
    <w:p w14:paraId="686B0F86">
      <w:pPr>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br w:type="page"/>
      </w:r>
    </w:p>
    <w:p w14:paraId="4AE41F78">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2、法定代表人授权书</w:t>
      </w:r>
    </w:p>
    <w:p w14:paraId="1C3AAE93">
      <w:pPr>
        <w:spacing w:line="460" w:lineRule="exact"/>
        <w:rPr>
          <w:rFonts w:hint="eastAsia" w:ascii="新宋体" w:hAnsi="新宋体" w:eastAsia="新宋体" w:cs="新宋体"/>
          <w:color w:val="auto"/>
          <w:sz w:val="22"/>
          <w:szCs w:val="22"/>
          <w:highlight w:val="none"/>
          <w:lang w:eastAsia="zh-CN"/>
        </w:rPr>
      </w:pPr>
    </w:p>
    <w:p w14:paraId="7ABDD871">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温州市儿童福利院（温州市未成年人救助保护中心）、</w:t>
      </w:r>
      <w:r>
        <w:rPr>
          <w:rFonts w:hint="eastAsia" w:ascii="新宋体" w:hAnsi="新宋体" w:eastAsia="新宋体" w:cs="新宋体"/>
          <w:color w:val="auto"/>
          <w:sz w:val="22"/>
          <w:szCs w:val="22"/>
          <w:highlight w:val="none"/>
          <w:lang w:val="en-US" w:eastAsia="zh-CN"/>
        </w:rPr>
        <w:t>温州历程招标有限公司</w:t>
      </w:r>
      <w:r>
        <w:rPr>
          <w:rFonts w:hint="eastAsia" w:ascii="新宋体" w:hAnsi="新宋体" w:eastAsia="新宋体" w:cs="新宋体"/>
          <w:color w:val="auto"/>
          <w:sz w:val="22"/>
          <w:szCs w:val="22"/>
          <w:highlight w:val="none"/>
        </w:rPr>
        <w:t>：</w:t>
      </w:r>
    </w:p>
    <w:p w14:paraId="1A7E92A0">
      <w:pPr>
        <w:spacing w:line="460" w:lineRule="exact"/>
        <w:rPr>
          <w:rFonts w:hint="eastAsia" w:ascii="新宋体" w:hAnsi="新宋体" w:eastAsia="新宋体" w:cs="新宋体"/>
          <w:color w:val="auto"/>
          <w:sz w:val="22"/>
          <w:szCs w:val="22"/>
          <w:highlight w:val="none"/>
          <w:u w:val="single"/>
        </w:rPr>
      </w:pPr>
    </w:p>
    <w:p w14:paraId="31F8437F">
      <w:pPr>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（投标人全称）法定代表人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（全权代表姓名）为全权代表，参加贵处组织的（项目名称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）的招标活动，全权代表我方处理招标活动中的一切事宜。</w:t>
      </w:r>
    </w:p>
    <w:p w14:paraId="5E01DE01">
      <w:pPr>
        <w:spacing w:line="460" w:lineRule="exact"/>
        <w:ind w:firstLine="2955"/>
        <w:rPr>
          <w:rFonts w:hint="eastAsia" w:ascii="新宋体" w:hAnsi="新宋体" w:eastAsia="新宋体" w:cs="新宋体"/>
          <w:color w:val="auto"/>
          <w:sz w:val="22"/>
          <w:szCs w:val="22"/>
          <w:highlight w:val="none"/>
        </w:rPr>
      </w:pPr>
    </w:p>
    <w:p w14:paraId="0B08F4C8">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2A269EFC">
      <w:pPr>
        <w:spacing w:line="460" w:lineRule="exact"/>
        <w:ind w:firstLine="4081" w:firstLineChars="18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签字或盖章</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t>
      </w:r>
    </w:p>
    <w:p w14:paraId="21069749">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投标人全称（公章）：</w:t>
      </w:r>
    </w:p>
    <w:p w14:paraId="1FBCD10C">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日   期：  </w:t>
      </w:r>
    </w:p>
    <w:p w14:paraId="387C1153">
      <w:pPr>
        <w:spacing w:line="380" w:lineRule="exact"/>
        <w:rPr>
          <w:rFonts w:hint="eastAsia" w:ascii="新宋体" w:hAnsi="新宋体" w:eastAsia="新宋体" w:cs="新宋体"/>
          <w:color w:val="auto"/>
          <w:sz w:val="22"/>
          <w:szCs w:val="22"/>
          <w:highlight w:val="none"/>
        </w:rPr>
      </w:pPr>
    </w:p>
    <w:p w14:paraId="1106E61D">
      <w:pPr>
        <w:spacing w:line="380" w:lineRule="exact"/>
        <w:rPr>
          <w:rFonts w:hint="eastAsia" w:ascii="新宋体" w:hAnsi="新宋体" w:eastAsia="新宋体" w:cs="新宋体"/>
          <w:color w:val="auto"/>
          <w:sz w:val="22"/>
          <w:szCs w:val="22"/>
          <w:highlight w:val="none"/>
        </w:rPr>
      </w:pPr>
    </w:p>
    <w:p w14:paraId="0DD6F1E3">
      <w:pPr>
        <w:spacing w:line="380" w:lineRule="exact"/>
        <w:rPr>
          <w:rFonts w:hint="eastAsia" w:ascii="新宋体" w:hAnsi="新宋体" w:eastAsia="新宋体" w:cs="新宋体"/>
          <w:color w:val="auto"/>
          <w:sz w:val="22"/>
          <w:szCs w:val="22"/>
          <w:highlight w:val="none"/>
        </w:rPr>
      </w:pPr>
    </w:p>
    <w:p w14:paraId="71138B53">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附：</w:t>
      </w:r>
    </w:p>
    <w:p w14:paraId="6FDF60BB">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 xml:space="preserve">授权代表姓名：                               </w:t>
      </w:r>
    </w:p>
    <w:p w14:paraId="45DF7170">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职务：</w:t>
      </w:r>
    </w:p>
    <w:p w14:paraId="1599C6C2">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详细通讯地址：</w:t>
      </w:r>
    </w:p>
    <w:p w14:paraId="0314EED5">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电话：</w:t>
      </w:r>
    </w:p>
    <w:p w14:paraId="03A975CF">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传真：</w:t>
      </w:r>
    </w:p>
    <w:p w14:paraId="6B5850DA">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邮政编码:</w:t>
      </w:r>
    </w:p>
    <w:p w14:paraId="576E0B39">
      <w:pPr>
        <w:spacing w:line="380" w:lineRule="exact"/>
        <w:rPr>
          <w:rFonts w:hint="eastAsia" w:ascii="新宋体" w:hAnsi="新宋体" w:eastAsia="新宋体" w:cs="新宋体"/>
          <w:color w:val="auto"/>
          <w:sz w:val="22"/>
          <w:szCs w:val="22"/>
          <w:highlight w:val="none"/>
        </w:rPr>
      </w:pPr>
    </w:p>
    <w:p w14:paraId="2D229FE3">
      <w:pPr>
        <w:spacing w:line="460" w:lineRule="exact"/>
        <w:jc w:val="center"/>
        <w:rPr>
          <w:rFonts w:hint="eastAsia" w:ascii="新宋体" w:hAnsi="新宋体" w:eastAsia="新宋体" w:cs="新宋体"/>
          <w:b/>
          <w:bCs/>
          <w:color w:val="auto"/>
          <w:sz w:val="28"/>
          <w:szCs w:val="28"/>
          <w:highlight w:val="none"/>
        </w:rPr>
      </w:pPr>
    </w:p>
    <w:p w14:paraId="391D20A2">
      <w:pPr>
        <w:spacing w:line="460" w:lineRule="exact"/>
        <w:jc w:val="center"/>
        <w:rPr>
          <w:rFonts w:hint="eastAsia" w:ascii="新宋体" w:hAnsi="新宋体" w:eastAsia="新宋体" w:cs="新宋体"/>
          <w:b/>
          <w:bCs/>
          <w:color w:val="auto"/>
          <w:sz w:val="28"/>
          <w:szCs w:val="28"/>
          <w:highlight w:val="none"/>
        </w:rPr>
      </w:pPr>
    </w:p>
    <w:p w14:paraId="0C1F2D16">
      <w:pPr>
        <w:spacing w:line="460" w:lineRule="exact"/>
        <w:jc w:val="center"/>
        <w:rPr>
          <w:rFonts w:hint="eastAsia" w:ascii="新宋体" w:hAnsi="新宋体" w:eastAsia="新宋体" w:cs="新宋体"/>
          <w:b/>
          <w:bCs/>
          <w:color w:val="auto"/>
          <w:sz w:val="28"/>
          <w:szCs w:val="28"/>
          <w:highlight w:val="none"/>
        </w:rPr>
      </w:pPr>
    </w:p>
    <w:p w14:paraId="3CA7640C">
      <w:pPr>
        <w:spacing w:line="460" w:lineRule="exact"/>
        <w:jc w:val="center"/>
        <w:rPr>
          <w:rFonts w:hint="eastAsia" w:ascii="新宋体" w:hAnsi="新宋体" w:eastAsia="新宋体" w:cs="新宋体"/>
          <w:b/>
          <w:bCs/>
          <w:color w:val="auto"/>
          <w:sz w:val="28"/>
          <w:szCs w:val="28"/>
          <w:highlight w:val="none"/>
        </w:rPr>
      </w:pPr>
    </w:p>
    <w:p w14:paraId="2BF0E096">
      <w:pPr>
        <w:spacing w:line="460" w:lineRule="exact"/>
        <w:jc w:val="center"/>
        <w:rPr>
          <w:rFonts w:hint="eastAsia" w:ascii="新宋体" w:hAnsi="新宋体" w:eastAsia="新宋体" w:cs="新宋体"/>
          <w:b/>
          <w:bCs/>
          <w:color w:val="auto"/>
          <w:sz w:val="28"/>
          <w:szCs w:val="28"/>
          <w:highlight w:val="none"/>
        </w:rPr>
      </w:pPr>
    </w:p>
    <w:p w14:paraId="652D7FB1">
      <w:pPr>
        <w:spacing w:line="460" w:lineRule="exact"/>
        <w:jc w:val="center"/>
        <w:rPr>
          <w:rFonts w:hint="eastAsia" w:ascii="新宋体" w:hAnsi="新宋体" w:eastAsia="新宋体" w:cs="新宋体"/>
          <w:b/>
          <w:bCs/>
          <w:color w:val="auto"/>
          <w:sz w:val="28"/>
          <w:szCs w:val="28"/>
          <w:highlight w:val="none"/>
        </w:rPr>
      </w:pPr>
    </w:p>
    <w:p w14:paraId="78026F8B">
      <w:pPr>
        <w:spacing w:line="460" w:lineRule="exact"/>
        <w:jc w:val="center"/>
        <w:rPr>
          <w:rFonts w:hint="eastAsia" w:ascii="新宋体" w:hAnsi="新宋体" w:eastAsia="新宋体" w:cs="新宋体"/>
          <w:b/>
          <w:bCs/>
          <w:color w:val="auto"/>
          <w:sz w:val="28"/>
          <w:szCs w:val="28"/>
          <w:highlight w:val="none"/>
        </w:rPr>
      </w:pPr>
    </w:p>
    <w:p w14:paraId="75AB6FFD">
      <w:pPr>
        <w:spacing w:line="460" w:lineRule="exact"/>
        <w:jc w:val="center"/>
        <w:rPr>
          <w:rFonts w:hint="eastAsia" w:ascii="新宋体" w:hAnsi="新宋体" w:eastAsia="新宋体" w:cs="新宋体"/>
          <w:b/>
          <w:bCs/>
          <w:color w:val="auto"/>
          <w:sz w:val="28"/>
          <w:szCs w:val="28"/>
          <w:highlight w:val="none"/>
        </w:rPr>
      </w:pPr>
    </w:p>
    <w:p w14:paraId="55086EF3">
      <w:pPr>
        <w:spacing w:line="460" w:lineRule="exact"/>
        <w:jc w:val="center"/>
        <w:rPr>
          <w:rFonts w:hint="eastAsia" w:ascii="新宋体" w:hAnsi="新宋体" w:eastAsia="新宋体" w:cs="新宋体"/>
          <w:b/>
          <w:bCs/>
          <w:color w:val="auto"/>
          <w:sz w:val="28"/>
          <w:szCs w:val="28"/>
          <w:highlight w:val="none"/>
        </w:rPr>
      </w:pPr>
    </w:p>
    <w:p w14:paraId="34E6FC4D">
      <w:pPr>
        <w:spacing w:line="460" w:lineRule="exact"/>
        <w:jc w:val="center"/>
        <w:rPr>
          <w:rFonts w:hint="eastAsia" w:ascii="新宋体" w:hAnsi="新宋体" w:eastAsia="新宋体" w:cs="新宋体"/>
          <w:b/>
          <w:bCs/>
          <w:color w:val="auto"/>
          <w:sz w:val="28"/>
          <w:szCs w:val="28"/>
          <w:highlight w:val="none"/>
        </w:rPr>
      </w:pPr>
    </w:p>
    <w:p w14:paraId="7DF8CF37">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lang w:val="zh-CN"/>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6"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56E7F76">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CalZX0BAgAARAQAAA4AAAAAAAAAAQAgAAAAJwEAAGRy&#10;cy9lMm9Eb2MueG1sUEsFBgAAAAAGAAYAWQEAAJoFAAAAAA==&#10;">
                <v:fill on="t" focussize="0,0"/>
                <v:stroke color="#000000" joinstyle="miter"/>
                <v:imagedata o:title=""/>
                <o:lock v:ext="edit" aspectratio="f"/>
                <v:textbox>
                  <w:txbxContent>
                    <w:p w14:paraId="756E7F76">
                      <w:r>
                        <w:rPr>
                          <w:rFonts w:hint="eastAsia" w:ascii="新宋体" w:hAnsi="新宋体" w:eastAsia="新宋体"/>
                          <w:sz w:val="22"/>
                          <w:szCs w:val="22"/>
                        </w:rPr>
                        <w:t xml:space="preserve">  法定代表人身份证（正反面）：</w:t>
                      </w:r>
                    </w:p>
                  </w:txbxContent>
                </v:textbox>
              </v:shape>
            </w:pict>
          </mc:Fallback>
        </mc:AlternateContent>
      </w:r>
    </w:p>
    <w:p w14:paraId="7734EDE5">
      <w:pPr>
        <w:spacing w:line="460" w:lineRule="exact"/>
        <w:jc w:val="center"/>
        <w:rPr>
          <w:rFonts w:hint="eastAsia" w:ascii="新宋体" w:hAnsi="新宋体" w:eastAsia="新宋体" w:cs="新宋体"/>
          <w:b/>
          <w:bCs/>
          <w:color w:val="auto"/>
          <w:sz w:val="28"/>
          <w:szCs w:val="28"/>
          <w:highlight w:val="none"/>
        </w:rPr>
      </w:pPr>
    </w:p>
    <w:p w14:paraId="29D66095">
      <w:pPr>
        <w:spacing w:line="460" w:lineRule="exact"/>
        <w:jc w:val="center"/>
        <w:rPr>
          <w:rFonts w:hint="eastAsia" w:ascii="新宋体" w:hAnsi="新宋体" w:eastAsia="新宋体" w:cs="新宋体"/>
          <w:b/>
          <w:bCs/>
          <w:color w:val="auto"/>
          <w:sz w:val="28"/>
          <w:szCs w:val="28"/>
          <w:highlight w:val="none"/>
        </w:rPr>
      </w:pPr>
    </w:p>
    <w:p w14:paraId="5050692E">
      <w:pPr>
        <w:spacing w:line="460" w:lineRule="exact"/>
        <w:jc w:val="center"/>
        <w:rPr>
          <w:rFonts w:hint="eastAsia" w:ascii="新宋体" w:hAnsi="新宋体" w:eastAsia="新宋体" w:cs="新宋体"/>
          <w:b/>
          <w:bCs/>
          <w:color w:val="auto"/>
          <w:sz w:val="28"/>
          <w:szCs w:val="28"/>
          <w:highlight w:val="none"/>
        </w:rPr>
      </w:pPr>
    </w:p>
    <w:p w14:paraId="2E64B965">
      <w:pPr>
        <w:spacing w:line="460" w:lineRule="exact"/>
        <w:jc w:val="center"/>
        <w:rPr>
          <w:rFonts w:hint="eastAsia" w:ascii="新宋体" w:hAnsi="新宋体" w:eastAsia="新宋体" w:cs="新宋体"/>
          <w:b/>
          <w:bCs/>
          <w:color w:val="auto"/>
          <w:sz w:val="28"/>
          <w:szCs w:val="28"/>
          <w:highlight w:val="none"/>
        </w:rPr>
      </w:pPr>
    </w:p>
    <w:p w14:paraId="31DB51BB">
      <w:pPr>
        <w:spacing w:line="460" w:lineRule="exact"/>
        <w:jc w:val="center"/>
        <w:rPr>
          <w:rFonts w:hint="eastAsia" w:ascii="新宋体" w:hAnsi="新宋体" w:eastAsia="新宋体" w:cs="新宋体"/>
          <w:b/>
          <w:bCs/>
          <w:color w:val="auto"/>
          <w:sz w:val="28"/>
          <w:szCs w:val="28"/>
          <w:highlight w:val="none"/>
        </w:rPr>
      </w:pPr>
    </w:p>
    <w:p w14:paraId="5EBFC635">
      <w:pPr>
        <w:spacing w:line="460" w:lineRule="exact"/>
        <w:jc w:val="center"/>
        <w:rPr>
          <w:rFonts w:hint="eastAsia" w:ascii="新宋体" w:hAnsi="新宋体" w:eastAsia="新宋体" w:cs="新宋体"/>
          <w:b/>
          <w:bCs/>
          <w:color w:val="auto"/>
          <w:sz w:val="28"/>
          <w:szCs w:val="28"/>
          <w:highlight w:val="none"/>
        </w:rPr>
      </w:pPr>
    </w:p>
    <w:p w14:paraId="1CB97742">
      <w:pPr>
        <w:spacing w:line="460" w:lineRule="exact"/>
        <w:jc w:val="center"/>
        <w:rPr>
          <w:rFonts w:hint="eastAsia" w:ascii="新宋体" w:hAnsi="新宋体" w:eastAsia="新宋体" w:cs="新宋体"/>
          <w:b/>
          <w:bCs/>
          <w:color w:val="auto"/>
          <w:sz w:val="28"/>
          <w:szCs w:val="28"/>
          <w:highlight w:val="none"/>
        </w:rPr>
      </w:pPr>
    </w:p>
    <w:p w14:paraId="4904F09B">
      <w:pPr>
        <w:spacing w:line="460" w:lineRule="exact"/>
        <w:jc w:val="center"/>
        <w:rPr>
          <w:rFonts w:hint="eastAsia" w:ascii="新宋体" w:hAnsi="新宋体" w:eastAsia="新宋体" w:cs="新宋体"/>
          <w:b/>
          <w:bCs/>
          <w:color w:val="auto"/>
          <w:sz w:val="28"/>
          <w:szCs w:val="28"/>
          <w:highlight w:val="none"/>
        </w:rPr>
      </w:pPr>
    </w:p>
    <w:p w14:paraId="0738A48F">
      <w:pPr>
        <w:spacing w:line="460" w:lineRule="exact"/>
        <w:jc w:val="center"/>
        <w:rPr>
          <w:rFonts w:hint="eastAsia" w:ascii="新宋体" w:hAnsi="新宋体" w:eastAsia="新宋体" w:cs="新宋体"/>
          <w:b/>
          <w:bCs/>
          <w:color w:val="auto"/>
          <w:sz w:val="28"/>
          <w:szCs w:val="28"/>
          <w:highlight w:val="none"/>
        </w:rPr>
      </w:pPr>
    </w:p>
    <w:p w14:paraId="7DD5F9B8">
      <w:pPr>
        <w:spacing w:line="460" w:lineRule="exact"/>
        <w:jc w:val="center"/>
        <w:rPr>
          <w:rFonts w:hint="eastAsia" w:ascii="新宋体" w:hAnsi="新宋体" w:eastAsia="新宋体" w:cs="新宋体"/>
          <w:b/>
          <w:bCs/>
          <w:color w:val="auto"/>
          <w:sz w:val="28"/>
          <w:szCs w:val="28"/>
          <w:highlight w:val="none"/>
        </w:rPr>
      </w:pPr>
    </w:p>
    <w:p w14:paraId="7854C780">
      <w:pPr>
        <w:spacing w:line="460" w:lineRule="exact"/>
        <w:jc w:val="center"/>
        <w:rPr>
          <w:rFonts w:hint="eastAsia" w:ascii="新宋体" w:hAnsi="新宋体" w:eastAsia="新宋体" w:cs="新宋体"/>
          <w:b/>
          <w:bCs/>
          <w:color w:val="auto"/>
          <w:sz w:val="28"/>
          <w:szCs w:val="28"/>
          <w:highlight w:val="none"/>
        </w:rPr>
      </w:pPr>
    </w:p>
    <w:p w14:paraId="390BFFEA">
      <w:pPr>
        <w:spacing w:line="460" w:lineRule="exact"/>
        <w:jc w:val="center"/>
        <w:rPr>
          <w:rFonts w:hint="eastAsia" w:ascii="新宋体" w:hAnsi="新宋体" w:eastAsia="新宋体" w:cs="新宋体"/>
          <w:b/>
          <w:bCs/>
          <w:color w:val="auto"/>
          <w:sz w:val="28"/>
          <w:szCs w:val="28"/>
          <w:highlight w:val="none"/>
        </w:rPr>
      </w:pPr>
    </w:p>
    <w:p w14:paraId="28547CF3">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7"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AF21681">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96.35pt;z-index:251660288;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qLXdgAAAAKAQAADwAAAAAA&#10;AAABACAAAAAiAAAAZHJzL2Rvd25yZXYueG1sUEsBAhQAFAAAAAgAh07iQELca5wTAgAARgQAAA4A&#10;AAAAAAAAAQAgAAAAJwEAAGRycy9lMm9Eb2MueG1sUEsFBgAAAAAGAAYAWQEAAKwFAAAAAA==&#10;">
                <v:fill on="t" focussize="0,0"/>
                <v:stroke color="#000000" joinstyle="miter"/>
                <v:imagedata o:title=""/>
                <o:lock v:ext="edit" aspectratio="f"/>
                <v:textbox>
                  <w:txbxContent>
                    <w:p w14:paraId="0AF21681">
                      <w:r>
                        <w:rPr>
                          <w:rFonts w:hint="eastAsia" w:ascii="新宋体" w:hAnsi="新宋体" w:eastAsia="新宋体"/>
                          <w:sz w:val="22"/>
                          <w:szCs w:val="22"/>
                        </w:rPr>
                        <w:t xml:space="preserve">  授权代表身份证（正反面）：</w:t>
                      </w:r>
                    </w:p>
                  </w:txbxContent>
                </v:textbox>
              </v:shape>
            </w:pict>
          </mc:Fallback>
        </mc:AlternateContent>
      </w:r>
    </w:p>
    <w:p w14:paraId="0217B57A">
      <w:pPr>
        <w:spacing w:line="460" w:lineRule="exact"/>
        <w:jc w:val="center"/>
        <w:rPr>
          <w:rFonts w:hint="eastAsia" w:ascii="新宋体" w:hAnsi="新宋体" w:eastAsia="新宋体" w:cs="新宋体"/>
          <w:b/>
          <w:bCs/>
          <w:color w:val="auto"/>
          <w:sz w:val="28"/>
          <w:szCs w:val="28"/>
          <w:highlight w:val="none"/>
        </w:rPr>
      </w:pPr>
    </w:p>
    <w:p w14:paraId="3FF2F025">
      <w:pPr>
        <w:spacing w:line="460" w:lineRule="exact"/>
        <w:jc w:val="center"/>
        <w:rPr>
          <w:rFonts w:hint="eastAsia" w:ascii="新宋体" w:hAnsi="新宋体" w:eastAsia="新宋体" w:cs="新宋体"/>
          <w:b/>
          <w:bCs/>
          <w:color w:val="auto"/>
          <w:sz w:val="28"/>
          <w:szCs w:val="28"/>
          <w:highlight w:val="none"/>
        </w:rPr>
      </w:pPr>
    </w:p>
    <w:p w14:paraId="11B77368">
      <w:pPr>
        <w:spacing w:line="460" w:lineRule="exact"/>
        <w:jc w:val="center"/>
        <w:rPr>
          <w:rFonts w:hint="eastAsia" w:ascii="新宋体" w:hAnsi="新宋体" w:eastAsia="新宋体" w:cs="新宋体"/>
          <w:b/>
          <w:bCs/>
          <w:color w:val="auto"/>
          <w:sz w:val="28"/>
          <w:szCs w:val="28"/>
          <w:highlight w:val="none"/>
        </w:rPr>
      </w:pPr>
    </w:p>
    <w:p w14:paraId="20EDC4E9">
      <w:pPr>
        <w:spacing w:line="460" w:lineRule="exact"/>
        <w:jc w:val="center"/>
        <w:rPr>
          <w:rFonts w:hint="eastAsia" w:ascii="新宋体" w:hAnsi="新宋体" w:eastAsia="新宋体" w:cs="新宋体"/>
          <w:b/>
          <w:bCs/>
          <w:color w:val="auto"/>
          <w:sz w:val="28"/>
          <w:szCs w:val="28"/>
          <w:highlight w:val="none"/>
        </w:rPr>
      </w:pPr>
    </w:p>
    <w:p w14:paraId="6150FE00">
      <w:pPr>
        <w:spacing w:line="460" w:lineRule="exact"/>
        <w:jc w:val="center"/>
        <w:rPr>
          <w:rFonts w:hint="eastAsia" w:ascii="新宋体" w:hAnsi="新宋体" w:eastAsia="新宋体" w:cs="新宋体"/>
          <w:b/>
          <w:bCs/>
          <w:color w:val="auto"/>
          <w:sz w:val="28"/>
          <w:szCs w:val="28"/>
          <w:highlight w:val="none"/>
        </w:rPr>
      </w:pPr>
    </w:p>
    <w:p w14:paraId="698ECDC6">
      <w:pPr>
        <w:spacing w:line="460" w:lineRule="exact"/>
        <w:jc w:val="center"/>
        <w:rPr>
          <w:rFonts w:hint="eastAsia" w:ascii="新宋体" w:hAnsi="新宋体" w:eastAsia="新宋体" w:cs="新宋体"/>
          <w:b/>
          <w:bCs/>
          <w:color w:val="auto"/>
          <w:sz w:val="28"/>
          <w:szCs w:val="28"/>
          <w:highlight w:val="none"/>
        </w:rPr>
      </w:pPr>
    </w:p>
    <w:p w14:paraId="03A3CD1B">
      <w:pPr>
        <w:spacing w:line="460" w:lineRule="exact"/>
        <w:jc w:val="center"/>
        <w:rPr>
          <w:rFonts w:hint="eastAsia" w:ascii="新宋体" w:hAnsi="新宋体" w:eastAsia="新宋体" w:cs="新宋体"/>
          <w:b/>
          <w:bCs/>
          <w:color w:val="auto"/>
          <w:sz w:val="28"/>
          <w:szCs w:val="28"/>
          <w:highlight w:val="none"/>
        </w:rPr>
      </w:pPr>
    </w:p>
    <w:p w14:paraId="72197BBF">
      <w:pPr>
        <w:spacing w:line="460" w:lineRule="exact"/>
        <w:jc w:val="center"/>
        <w:rPr>
          <w:rFonts w:hint="eastAsia" w:ascii="新宋体" w:hAnsi="新宋体" w:eastAsia="新宋体" w:cs="新宋体"/>
          <w:b/>
          <w:bCs/>
          <w:color w:val="auto"/>
          <w:sz w:val="28"/>
          <w:szCs w:val="28"/>
          <w:highlight w:val="none"/>
        </w:rPr>
      </w:pPr>
    </w:p>
    <w:p w14:paraId="013806C0">
      <w:pPr>
        <w:spacing w:line="460" w:lineRule="exact"/>
        <w:jc w:val="center"/>
        <w:rPr>
          <w:rFonts w:hint="eastAsia" w:ascii="新宋体" w:hAnsi="新宋体" w:eastAsia="新宋体" w:cs="新宋体"/>
          <w:b/>
          <w:bCs/>
          <w:color w:val="auto"/>
          <w:sz w:val="28"/>
          <w:szCs w:val="28"/>
          <w:highlight w:val="none"/>
        </w:rPr>
      </w:pPr>
    </w:p>
    <w:p w14:paraId="373661D8">
      <w:pPr>
        <w:spacing w:line="460" w:lineRule="exact"/>
        <w:jc w:val="center"/>
        <w:rPr>
          <w:rFonts w:hint="eastAsia" w:ascii="新宋体" w:hAnsi="新宋体" w:eastAsia="新宋体" w:cs="新宋体"/>
          <w:b/>
          <w:bCs/>
          <w:color w:val="auto"/>
          <w:sz w:val="28"/>
          <w:szCs w:val="28"/>
          <w:highlight w:val="none"/>
        </w:rPr>
      </w:pPr>
    </w:p>
    <w:p w14:paraId="0E0562ED">
      <w:pPr>
        <w:spacing w:line="460" w:lineRule="exact"/>
        <w:jc w:val="center"/>
        <w:rPr>
          <w:rFonts w:hint="eastAsia" w:ascii="新宋体" w:hAnsi="新宋体" w:eastAsia="新宋体" w:cs="新宋体"/>
          <w:b/>
          <w:bCs/>
          <w:color w:val="auto"/>
          <w:sz w:val="28"/>
          <w:szCs w:val="28"/>
          <w:highlight w:val="none"/>
        </w:rPr>
      </w:pPr>
    </w:p>
    <w:p w14:paraId="2A5D3F28">
      <w:pPr>
        <w:spacing w:line="460" w:lineRule="exact"/>
        <w:jc w:val="center"/>
        <w:rPr>
          <w:rFonts w:hint="eastAsia" w:ascii="新宋体" w:hAnsi="新宋体" w:eastAsia="新宋体" w:cs="新宋体"/>
          <w:b/>
          <w:bCs/>
          <w:color w:val="auto"/>
          <w:sz w:val="28"/>
          <w:szCs w:val="28"/>
          <w:highlight w:val="none"/>
        </w:rPr>
      </w:pPr>
    </w:p>
    <w:p w14:paraId="5FC515DD">
      <w:pPr>
        <w:spacing w:line="460" w:lineRule="exact"/>
        <w:jc w:val="center"/>
        <w:rPr>
          <w:rFonts w:hint="eastAsia" w:ascii="新宋体" w:hAnsi="新宋体" w:eastAsia="新宋体" w:cs="新宋体"/>
          <w:b/>
          <w:bCs/>
          <w:color w:val="auto"/>
          <w:sz w:val="28"/>
          <w:szCs w:val="28"/>
          <w:highlight w:val="none"/>
        </w:rPr>
      </w:pPr>
    </w:p>
    <w:p w14:paraId="63779C70">
      <w:pPr>
        <w:spacing w:line="460" w:lineRule="exact"/>
        <w:jc w:val="center"/>
        <w:rPr>
          <w:rFonts w:hint="eastAsia" w:ascii="新宋体" w:hAnsi="新宋体" w:eastAsia="新宋体" w:cs="新宋体"/>
          <w:b/>
          <w:bCs/>
          <w:color w:val="auto"/>
          <w:sz w:val="28"/>
          <w:szCs w:val="28"/>
          <w:highlight w:val="none"/>
        </w:rPr>
      </w:pPr>
    </w:p>
    <w:p w14:paraId="31205EDD">
      <w:pPr>
        <w:spacing w:line="460" w:lineRule="exact"/>
        <w:jc w:val="center"/>
        <w:rPr>
          <w:rFonts w:hint="eastAsia" w:ascii="新宋体" w:hAnsi="新宋体" w:eastAsia="新宋体" w:cs="新宋体"/>
          <w:b/>
          <w:bCs/>
          <w:color w:val="auto"/>
          <w:sz w:val="28"/>
          <w:szCs w:val="28"/>
          <w:highlight w:val="none"/>
        </w:rPr>
      </w:pPr>
    </w:p>
    <w:p w14:paraId="3B083214">
      <w:pPr>
        <w:spacing w:line="460" w:lineRule="exact"/>
        <w:jc w:val="center"/>
        <w:outlineLvl w:val="3"/>
        <w:rPr>
          <w:rFonts w:hint="eastAsia" w:ascii="新宋体" w:hAnsi="新宋体" w:eastAsia="新宋体" w:cs="新宋体"/>
          <w:b/>
          <w:bCs/>
          <w:color w:val="auto"/>
          <w:sz w:val="22"/>
          <w:szCs w:val="22"/>
          <w:highlight w:val="none"/>
        </w:rPr>
        <w:sectPr>
          <w:footerReference r:id="rId6" w:type="first"/>
          <w:footerReference r:id="rId5" w:type="default"/>
          <w:pgSz w:w="11906" w:h="16838"/>
          <w:pgMar w:top="1134" w:right="1134" w:bottom="1134" w:left="1134" w:header="850" w:footer="992" w:gutter="0"/>
          <w:pgNumType w:fmt="decimal" w:start="2"/>
          <w:cols w:space="720" w:num="1"/>
          <w:docGrid w:type="lines" w:linePitch="312" w:charSpace="0"/>
        </w:sectPr>
      </w:pPr>
    </w:p>
    <w:p w14:paraId="64B16A84">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3、投标人情况表</w:t>
      </w:r>
    </w:p>
    <w:p w14:paraId="3942700E">
      <w:pPr>
        <w:spacing w:line="360" w:lineRule="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WZLCZB（L）-2024-07264</w:t>
      </w:r>
    </w:p>
    <w:p w14:paraId="555E294C">
      <w:pPr>
        <w:spacing w:line="360" w:lineRule="auto"/>
        <w:rPr>
          <w:rFonts w:hint="eastAsia" w:ascii="新宋体" w:hAnsi="新宋体" w:eastAsia="新宋体" w:cs="新宋体"/>
          <w:b/>
          <w:color w:val="auto"/>
          <w:sz w:val="22"/>
          <w:szCs w:val="22"/>
          <w:highlight w:val="none"/>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儿童康复器材</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14:paraId="291D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350C7883">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单位名称（盖章）</w:t>
            </w:r>
          </w:p>
        </w:tc>
        <w:tc>
          <w:tcPr>
            <w:tcW w:w="2804" w:type="dxa"/>
            <w:gridSpan w:val="2"/>
          </w:tcPr>
          <w:p w14:paraId="69F3FEBC">
            <w:pPr>
              <w:spacing w:line="480" w:lineRule="exact"/>
              <w:rPr>
                <w:rFonts w:hint="eastAsia" w:ascii="新宋体" w:hAnsi="新宋体" w:eastAsia="新宋体" w:cs="新宋体"/>
                <w:color w:val="auto"/>
                <w:sz w:val="22"/>
                <w:szCs w:val="22"/>
                <w:highlight w:val="none"/>
              </w:rPr>
            </w:pPr>
          </w:p>
        </w:tc>
        <w:tc>
          <w:tcPr>
            <w:tcW w:w="1115" w:type="dxa"/>
            <w:gridSpan w:val="2"/>
          </w:tcPr>
          <w:p w14:paraId="79607AB1">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 话</w:t>
            </w:r>
          </w:p>
        </w:tc>
        <w:tc>
          <w:tcPr>
            <w:tcW w:w="2588" w:type="dxa"/>
            <w:gridSpan w:val="2"/>
          </w:tcPr>
          <w:p w14:paraId="6661B729">
            <w:pPr>
              <w:spacing w:line="480" w:lineRule="exact"/>
              <w:rPr>
                <w:rFonts w:hint="eastAsia" w:ascii="新宋体" w:hAnsi="新宋体" w:eastAsia="新宋体" w:cs="新宋体"/>
                <w:color w:val="auto"/>
                <w:sz w:val="22"/>
                <w:szCs w:val="22"/>
                <w:highlight w:val="none"/>
              </w:rPr>
            </w:pPr>
          </w:p>
        </w:tc>
        <w:tc>
          <w:tcPr>
            <w:tcW w:w="1488" w:type="dxa"/>
          </w:tcPr>
          <w:p w14:paraId="44222A7C">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主管部门</w:t>
            </w:r>
          </w:p>
        </w:tc>
        <w:tc>
          <w:tcPr>
            <w:tcW w:w="1502" w:type="dxa"/>
          </w:tcPr>
          <w:p w14:paraId="30162DCC">
            <w:pPr>
              <w:spacing w:line="480" w:lineRule="exact"/>
              <w:rPr>
                <w:rFonts w:hint="eastAsia" w:ascii="新宋体" w:hAnsi="新宋体" w:eastAsia="新宋体" w:cs="新宋体"/>
                <w:color w:val="auto"/>
                <w:sz w:val="22"/>
                <w:szCs w:val="22"/>
                <w:highlight w:val="none"/>
              </w:rPr>
            </w:pPr>
          </w:p>
        </w:tc>
        <w:tc>
          <w:tcPr>
            <w:tcW w:w="1488" w:type="dxa"/>
          </w:tcPr>
          <w:p w14:paraId="73D08B28">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企业负责人</w:t>
            </w:r>
          </w:p>
        </w:tc>
        <w:tc>
          <w:tcPr>
            <w:tcW w:w="1115" w:type="dxa"/>
          </w:tcPr>
          <w:p w14:paraId="372B454D">
            <w:pPr>
              <w:spacing w:line="480" w:lineRule="exact"/>
              <w:rPr>
                <w:rFonts w:hint="eastAsia" w:ascii="新宋体" w:hAnsi="新宋体" w:eastAsia="新宋体" w:cs="新宋体"/>
                <w:color w:val="auto"/>
                <w:sz w:val="22"/>
                <w:szCs w:val="22"/>
                <w:highlight w:val="none"/>
              </w:rPr>
            </w:pPr>
          </w:p>
        </w:tc>
        <w:tc>
          <w:tcPr>
            <w:tcW w:w="1461" w:type="dxa"/>
            <w:gridSpan w:val="2"/>
          </w:tcPr>
          <w:p w14:paraId="0D2688CC">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tc>
      </w:tr>
      <w:tr w14:paraId="67F44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5D936F08">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w:t>
            </w:r>
          </w:p>
        </w:tc>
        <w:tc>
          <w:tcPr>
            <w:tcW w:w="2804" w:type="dxa"/>
            <w:gridSpan w:val="2"/>
          </w:tcPr>
          <w:p w14:paraId="62A69847">
            <w:pPr>
              <w:spacing w:line="480" w:lineRule="exact"/>
              <w:rPr>
                <w:rFonts w:hint="eastAsia" w:ascii="新宋体" w:hAnsi="新宋体" w:eastAsia="新宋体" w:cs="新宋体"/>
                <w:color w:val="auto"/>
                <w:sz w:val="22"/>
                <w:szCs w:val="22"/>
                <w:highlight w:val="none"/>
              </w:rPr>
            </w:pPr>
          </w:p>
        </w:tc>
        <w:tc>
          <w:tcPr>
            <w:tcW w:w="1115" w:type="dxa"/>
            <w:gridSpan w:val="2"/>
          </w:tcPr>
          <w:p w14:paraId="72635709">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w:t>
            </w:r>
          </w:p>
        </w:tc>
        <w:tc>
          <w:tcPr>
            <w:tcW w:w="2588" w:type="dxa"/>
            <w:gridSpan w:val="2"/>
          </w:tcPr>
          <w:p w14:paraId="0FD7ECFF">
            <w:pPr>
              <w:spacing w:line="480" w:lineRule="exact"/>
              <w:rPr>
                <w:rFonts w:hint="eastAsia" w:ascii="新宋体" w:hAnsi="新宋体" w:eastAsia="新宋体" w:cs="新宋体"/>
                <w:color w:val="auto"/>
                <w:sz w:val="22"/>
                <w:szCs w:val="22"/>
                <w:highlight w:val="none"/>
              </w:rPr>
            </w:pPr>
          </w:p>
        </w:tc>
        <w:tc>
          <w:tcPr>
            <w:tcW w:w="1488" w:type="dxa"/>
          </w:tcPr>
          <w:p w14:paraId="59EC03FA">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企业性质</w:t>
            </w:r>
          </w:p>
        </w:tc>
        <w:tc>
          <w:tcPr>
            <w:tcW w:w="1502" w:type="dxa"/>
          </w:tcPr>
          <w:p w14:paraId="5E04FAB9">
            <w:pPr>
              <w:spacing w:line="480" w:lineRule="exact"/>
              <w:rPr>
                <w:rFonts w:hint="eastAsia" w:ascii="新宋体" w:hAnsi="新宋体" w:eastAsia="新宋体" w:cs="新宋体"/>
                <w:color w:val="auto"/>
                <w:sz w:val="22"/>
                <w:szCs w:val="22"/>
                <w:highlight w:val="none"/>
              </w:rPr>
            </w:pPr>
          </w:p>
        </w:tc>
        <w:tc>
          <w:tcPr>
            <w:tcW w:w="1488" w:type="dxa"/>
          </w:tcPr>
          <w:p w14:paraId="11629856">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授权代表</w:t>
            </w:r>
          </w:p>
        </w:tc>
        <w:tc>
          <w:tcPr>
            <w:tcW w:w="1115" w:type="dxa"/>
          </w:tcPr>
          <w:p w14:paraId="4926B38D">
            <w:pPr>
              <w:spacing w:line="480" w:lineRule="exact"/>
              <w:rPr>
                <w:rFonts w:hint="eastAsia" w:ascii="新宋体" w:hAnsi="新宋体" w:eastAsia="新宋体" w:cs="新宋体"/>
                <w:color w:val="auto"/>
                <w:sz w:val="22"/>
                <w:szCs w:val="22"/>
                <w:highlight w:val="none"/>
              </w:rPr>
            </w:pPr>
          </w:p>
        </w:tc>
        <w:tc>
          <w:tcPr>
            <w:tcW w:w="1461" w:type="dxa"/>
            <w:gridSpan w:val="2"/>
          </w:tcPr>
          <w:p w14:paraId="4C2A0636">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tc>
      </w:tr>
      <w:tr w14:paraId="73CAB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14:paraId="78337498">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单位简介</w:t>
            </w:r>
          </w:p>
          <w:p w14:paraId="30F4CADB">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及机构</w:t>
            </w:r>
          </w:p>
        </w:tc>
        <w:tc>
          <w:tcPr>
            <w:tcW w:w="6507" w:type="dxa"/>
            <w:gridSpan w:val="6"/>
            <w:vAlign w:val="center"/>
          </w:tcPr>
          <w:p w14:paraId="126D2EA2">
            <w:pPr>
              <w:spacing w:line="480" w:lineRule="exact"/>
              <w:jc w:val="center"/>
              <w:rPr>
                <w:rFonts w:hint="eastAsia" w:ascii="新宋体" w:hAnsi="新宋体" w:eastAsia="新宋体" w:cs="新宋体"/>
                <w:color w:val="auto"/>
                <w:sz w:val="22"/>
                <w:szCs w:val="22"/>
                <w:highlight w:val="none"/>
              </w:rPr>
            </w:pPr>
          </w:p>
        </w:tc>
        <w:tc>
          <w:tcPr>
            <w:tcW w:w="1488" w:type="dxa"/>
            <w:vAlign w:val="center"/>
          </w:tcPr>
          <w:p w14:paraId="38E2B69A">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单位优势</w:t>
            </w:r>
          </w:p>
          <w:p w14:paraId="39E1B5BE">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及特长</w:t>
            </w:r>
          </w:p>
        </w:tc>
        <w:tc>
          <w:tcPr>
            <w:tcW w:w="5566" w:type="dxa"/>
            <w:gridSpan w:val="5"/>
          </w:tcPr>
          <w:p w14:paraId="7A890AE4">
            <w:pPr>
              <w:spacing w:line="480" w:lineRule="exact"/>
              <w:rPr>
                <w:rFonts w:hint="eastAsia" w:ascii="新宋体" w:hAnsi="新宋体" w:eastAsia="新宋体" w:cs="新宋体"/>
                <w:color w:val="auto"/>
                <w:sz w:val="22"/>
                <w:szCs w:val="22"/>
                <w:highlight w:val="none"/>
              </w:rPr>
            </w:pPr>
          </w:p>
        </w:tc>
      </w:tr>
      <w:tr w14:paraId="7CAA2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14:paraId="7CDC49AD">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单位概况</w:t>
            </w:r>
          </w:p>
        </w:tc>
        <w:tc>
          <w:tcPr>
            <w:tcW w:w="1115" w:type="dxa"/>
            <w:vMerge w:val="restart"/>
          </w:tcPr>
          <w:p w14:paraId="739D1EE2">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职工总数</w:t>
            </w:r>
          </w:p>
        </w:tc>
        <w:tc>
          <w:tcPr>
            <w:tcW w:w="1689" w:type="dxa"/>
            <w:vMerge w:val="restart"/>
          </w:tcPr>
          <w:p w14:paraId="34F4B9EB">
            <w:pPr>
              <w:spacing w:line="480" w:lineRule="exact"/>
              <w:ind w:firstLine="1540" w:firstLineChars="700"/>
              <w:rPr>
                <w:rFonts w:hint="eastAsia" w:ascii="新宋体" w:hAnsi="新宋体" w:eastAsia="新宋体" w:cs="新宋体"/>
                <w:color w:val="auto"/>
                <w:sz w:val="22"/>
                <w:szCs w:val="22"/>
                <w:highlight w:val="none"/>
              </w:rPr>
            </w:pPr>
          </w:p>
        </w:tc>
        <w:tc>
          <w:tcPr>
            <w:tcW w:w="3703" w:type="dxa"/>
            <w:gridSpan w:val="4"/>
            <w:vMerge w:val="restart"/>
          </w:tcPr>
          <w:p w14:paraId="65BDB330">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各人员构成情况</w:t>
            </w:r>
          </w:p>
        </w:tc>
        <w:tc>
          <w:tcPr>
            <w:tcW w:w="1488" w:type="dxa"/>
            <w:vMerge w:val="restart"/>
            <w:vAlign w:val="center"/>
          </w:tcPr>
          <w:p w14:paraId="42A390EB">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上一年主要  经济指标</w:t>
            </w:r>
          </w:p>
        </w:tc>
        <w:tc>
          <w:tcPr>
            <w:tcW w:w="1502" w:type="dxa"/>
            <w:vAlign w:val="center"/>
          </w:tcPr>
          <w:p w14:paraId="386A12C8">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指标名称</w:t>
            </w:r>
          </w:p>
        </w:tc>
        <w:tc>
          <w:tcPr>
            <w:tcW w:w="1488" w:type="dxa"/>
            <w:tcBorders>
              <w:tr2bl w:val="single" w:color="auto" w:sz="4" w:space="0"/>
            </w:tcBorders>
            <w:vAlign w:val="center"/>
          </w:tcPr>
          <w:p w14:paraId="1E567757">
            <w:pPr>
              <w:spacing w:line="480" w:lineRule="exact"/>
              <w:jc w:val="center"/>
              <w:rPr>
                <w:rFonts w:hint="eastAsia" w:ascii="新宋体" w:hAnsi="新宋体" w:eastAsia="新宋体" w:cs="新宋体"/>
                <w:color w:val="auto"/>
                <w:sz w:val="22"/>
                <w:szCs w:val="22"/>
                <w:highlight w:val="none"/>
              </w:rPr>
            </w:pPr>
          </w:p>
        </w:tc>
        <w:tc>
          <w:tcPr>
            <w:tcW w:w="1470" w:type="dxa"/>
            <w:gridSpan w:val="2"/>
            <w:vAlign w:val="center"/>
          </w:tcPr>
          <w:p w14:paraId="13EF9814">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实际完成</w:t>
            </w:r>
          </w:p>
        </w:tc>
        <w:tc>
          <w:tcPr>
            <w:tcW w:w="1106" w:type="dxa"/>
            <w:tcBorders>
              <w:tr2bl w:val="single" w:color="auto" w:sz="4" w:space="0"/>
            </w:tcBorders>
            <w:vAlign w:val="center"/>
          </w:tcPr>
          <w:p w14:paraId="5541B04F">
            <w:pPr>
              <w:spacing w:line="480" w:lineRule="exact"/>
              <w:jc w:val="center"/>
              <w:rPr>
                <w:rFonts w:hint="eastAsia" w:ascii="新宋体" w:hAnsi="新宋体" w:eastAsia="新宋体" w:cs="新宋体"/>
                <w:color w:val="auto"/>
                <w:sz w:val="22"/>
                <w:szCs w:val="22"/>
                <w:highlight w:val="none"/>
              </w:rPr>
            </w:pPr>
          </w:p>
        </w:tc>
      </w:tr>
      <w:tr w14:paraId="1101A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14:paraId="3BE6D229">
            <w:pPr>
              <w:spacing w:line="480" w:lineRule="exact"/>
              <w:rPr>
                <w:rFonts w:hint="eastAsia" w:ascii="新宋体" w:hAnsi="新宋体" w:eastAsia="新宋体" w:cs="新宋体"/>
                <w:color w:val="auto"/>
                <w:sz w:val="22"/>
                <w:szCs w:val="22"/>
                <w:highlight w:val="none"/>
              </w:rPr>
            </w:pPr>
          </w:p>
        </w:tc>
        <w:tc>
          <w:tcPr>
            <w:tcW w:w="1115" w:type="dxa"/>
            <w:vMerge w:val="continue"/>
          </w:tcPr>
          <w:p w14:paraId="3991F66B">
            <w:pPr>
              <w:spacing w:line="480" w:lineRule="exact"/>
              <w:rPr>
                <w:rFonts w:hint="eastAsia" w:ascii="新宋体" w:hAnsi="新宋体" w:eastAsia="新宋体" w:cs="新宋体"/>
                <w:color w:val="auto"/>
                <w:sz w:val="22"/>
                <w:szCs w:val="22"/>
                <w:highlight w:val="none"/>
              </w:rPr>
            </w:pPr>
          </w:p>
        </w:tc>
        <w:tc>
          <w:tcPr>
            <w:tcW w:w="1689" w:type="dxa"/>
            <w:vMerge w:val="continue"/>
          </w:tcPr>
          <w:p w14:paraId="7C0C3E86">
            <w:pPr>
              <w:spacing w:line="480" w:lineRule="exact"/>
              <w:rPr>
                <w:rFonts w:hint="eastAsia" w:ascii="新宋体" w:hAnsi="新宋体" w:eastAsia="新宋体" w:cs="新宋体"/>
                <w:color w:val="auto"/>
                <w:sz w:val="22"/>
                <w:szCs w:val="22"/>
                <w:highlight w:val="none"/>
              </w:rPr>
            </w:pPr>
          </w:p>
        </w:tc>
        <w:tc>
          <w:tcPr>
            <w:tcW w:w="3703" w:type="dxa"/>
            <w:gridSpan w:val="4"/>
            <w:vMerge w:val="continue"/>
          </w:tcPr>
          <w:p w14:paraId="30B579F0">
            <w:pPr>
              <w:spacing w:line="480" w:lineRule="exact"/>
              <w:rPr>
                <w:rFonts w:hint="eastAsia" w:ascii="新宋体" w:hAnsi="新宋体" w:eastAsia="新宋体" w:cs="新宋体"/>
                <w:color w:val="auto"/>
                <w:sz w:val="22"/>
                <w:szCs w:val="22"/>
                <w:highlight w:val="none"/>
              </w:rPr>
            </w:pPr>
          </w:p>
        </w:tc>
        <w:tc>
          <w:tcPr>
            <w:tcW w:w="1488" w:type="dxa"/>
            <w:vMerge w:val="continue"/>
          </w:tcPr>
          <w:p w14:paraId="21ABF3E9">
            <w:pPr>
              <w:spacing w:line="480" w:lineRule="exact"/>
              <w:rPr>
                <w:rFonts w:hint="eastAsia" w:ascii="新宋体" w:hAnsi="新宋体" w:eastAsia="新宋体" w:cs="新宋体"/>
                <w:color w:val="auto"/>
                <w:sz w:val="22"/>
                <w:szCs w:val="22"/>
                <w:highlight w:val="none"/>
              </w:rPr>
            </w:pPr>
          </w:p>
        </w:tc>
        <w:tc>
          <w:tcPr>
            <w:tcW w:w="1502" w:type="dxa"/>
            <w:vAlign w:val="center"/>
          </w:tcPr>
          <w:p w14:paraId="3648776E">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总产值</w:t>
            </w:r>
          </w:p>
        </w:tc>
        <w:tc>
          <w:tcPr>
            <w:tcW w:w="1488" w:type="dxa"/>
            <w:vAlign w:val="center"/>
          </w:tcPr>
          <w:p w14:paraId="5C5F9DEB">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70" w:type="dxa"/>
            <w:gridSpan w:val="2"/>
            <w:vAlign w:val="center"/>
          </w:tcPr>
          <w:p w14:paraId="62C73548">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总产值</w:t>
            </w:r>
          </w:p>
        </w:tc>
        <w:tc>
          <w:tcPr>
            <w:tcW w:w="1106" w:type="dxa"/>
            <w:vAlign w:val="center"/>
          </w:tcPr>
          <w:p w14:paraId="41D6E420">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r>
      <w:tr w14:paraId="0F82A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14:paraId="41591541">
            <w:pPr>
              <w:spacing w:line="480" w:lineRule="exact"/>
              <w:rPr>
                <w:rFonts w:hint="eastAsia" w:ascii="新宋体" w:hAnsi="新宋体" w:eastAsia="新宋体" w:cs="新宋体"/>
                <w:color w:val="auto"/>
                <w:sz w:val="22"/>
                <w:szCs w:val="22"/>
                <w:highlight w:val="none"/>
              </w:rPr>
            </w:pPr>
          </w:p>
        </w:tc>
        <w:tc>
          <w:tcPr>
            <w:tcW w:w="1115" w:type="dxa"/>
            <w:vMerge w:val="restart"/>
          </w:tcPr>
          <w:p w14:paraId="7D349D2E">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流动资金</w:t>
            </w:r>
          </w:p>
        </w:tc>
        <w:tc>
          <w:tcPr>
            <w:tcW w:w="1689" w:type="dxa"/>
            <w:vMerge w:val="restart"/>
          </w:tcPr>
          <w:p w14:paraId="3770CA18">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64330F7A">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万元 </w:t>
            </w:r>
          </w:p>
        </w:tc>
        <w:tc>
          <w:tcPr>
            <w:tcW w:w="728" w:type="dxa"/>
            <w:vMerge w:val="restart"/>
          </w:tcPr>
          <w:p w14:paraId="6855E388">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资金来源</w:t>
            </w:r>
          </w:p>
        </w:tc>
        <w:tc>
          <w:tcPr>
            <w:tcW w:w="1487" w:type="dxa"/>
            <w:gridSpan w:val="2"/>
            <w:vAlign w:val="center"/>
          </w:tcPr>
          <w:p w14:paraId="74F9F3C9">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自有资金</w:t>
            </w:r>
          </w:p>
        </w:tc>
        <w:tc>
          <w:tcPr>
            <w:tcW w:w="1488" w:type="dxa"/>
            <w:vAlign w:val="center"/>
          </w:tcPr>
          <w:p w14:paraId="564D8622">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c>
          <w:tcPr>
            <w:tcW w:w="1488" w:type="dxa"/>
            <w:vMerge w:val="continue"/>
          </w:tcPr>
          <w:p w14:paraId="20850D94">
            <w:pPr>
              <w:spacing w:line="480" w:lineRule="exact"/>
              <w:rPr>
                <w:rFonts w:hint="eastAsia" w:ascii="新宋体" w:hAnsi="新宋体" w:eastAsia="新宋体" w:cs="新宋体"/>
                <w:color w:val="auto"/>
                <w:sz w:val="22"/>
                <w:szCs w:val="22"/>
                <w:highlight w:val="none"/>
              </w:rPr>
            </w:pPr>
          </w:p>
        </w:tc>
        <w:tc>
          <w:tcPr>
            <w:tcW w:w="1502" w:type="dxa"/>
            <w:vAlign w:val="center"/>
          </w:tcPr>
          <w:p w14:paraId="6285442A">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实现利润</w:t>
            </w:r>
          </w:p>
        </w:tc>
        <w:tc>
          <w:tcPr>
            <w:tcW w:w="1488" w:type="dxa"/>
            <w:vAlign w:val="center"/>
          </w:tcPr>
          <w:p w14:paraId="47F15577">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70" w:type="dxa"/>
            <w:gridSpan w:val="2"/>
            <w:vAlign w:val="center"/>
          </w:tcPr>
          <w:p w14:paraId="06449EB6">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实现利润</w:t>
            </w:r>
          </w:p>
        </w:tc>
        <w:tc>
          <w:tcPr>
            <w:tcW w:w="1106" w:type="dxa"/>
            <w:vAlign w:val="center"/>
          </w:tcPr>
          <w:p w14:paraId="146B8907">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r>
      <w:tr w14:paraId="04347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14:paraId="7C05D23C">
            <w:pPr>
              <w:spacing w:line="480" w:lineRule="exact"/>
              <w:rPr>
                <w:rFonts w:hint="eastAsia" w:ascii="新宋体" w:hAnsi="新宋体" w:eastAsia="新宋体" w:cs="新宋体"/>
                <w:color w:val="auto"/>
                <w:sz w:val="22"/>
                <w:szCs w:val="22"/>
                <w:highlight w:val="none"/>
              </w:rPr>
            </w:pPr>
          </w:p>
        </w:tc>
        <w:tc>
          <w:tcPr>
            <w:tcW w:w="1115" w:type="dxa"/>
            <w:vMerge w:val="continue"/>
            <w:tcBorders>
              <w:bottom w:val="single" w:color="auto" w:sz="4" w:space="0"/>
            </w:tcBorders>
          </w:tcPr>
          <w:p w14:paraId="2BC2BECC">
            <w:pPr>
              <w:spacing w:line="480" w:lineRule="exact"/>
              <w:rPr>
                <w:rFonts w:hint="eastAsia" w:ascii="新宋体" w:hAnsi="新宋体" w:eastAsia="新宋体" w:cs="新宋体"/>
                <w:color w:val="auto"/>
                <w:sz w:val="22"/>
                <w:szCs w:val="22"/>
                <w:highlight w:val="none"/>
              </w:rPr>
            </w:pPr>
          </w:p>
        </w:tc>
        <w:tc>
          <w:tcPr>
            <w:tcW w:w="1689" w:type="dxa"/>
            <w:vMerge w:val="continue"/>
            <w:tcBorders>
              <w:bottom w:val="single" w:color="auto" w:sz="4" w:space="0"/>
            </w:tcBorders>
          </w:tcPr>
          <w:p w14:paraId="396A80A5">
            <w:pPr>
              <w:spacing w:line="480" w:lineRule="exact"/>
              <w:rPr>
                <w:rFonts w:hint="eastAsia" w:ascii="新宋体" w:hAnsi="新宋体" w:eastAsia="新宋体" w:cs="新宋体"/>
                <w:color w:val="auto"/>
                <w:sz w:val="22"/>
                <w:szCs w:val="22"/>
                <w:highlight w:val="none"/>
              </w:rPr>
            </w:pPr>
          </w:p>
        </w:tc>
        <w:tc>
          <w:tcPr>
            <w:tcW w:w="728" w:type="dxa"/>
            <w:vMerge w:val="continue"/>
            <w:tcBorders>
              <w:bottom w:val="single" w:color="auto" w:sz="4" w:space="0"/>
            </w:tcBorders>
          </w:tcPr>
          <w:p w14:paraId="47DE999B">
            <w:pPr>
              <w:spacing w:line="480" w:lineRule="exact"/>
              <w:rPr>
                <w:rFonts w:hint="eastAsia" w:ascii="新宋体" w:hAnsi="新宋体" w:eastAsia="新宋体" w:cs="新宋体"/>
                <w:color w:val="auto"/>
                <w:sz w:val="22"/>
                <w:szCs w:val="22"/>
                <w:highlight w:val="none"/>
              </w:rPr>
            </w:pPr>
          </w:p>
        </w:tc>
        <w:tc>
          <w:tcPr>
            <w:tcW w:w="1487" w:type="dxa"/>
            <w:gridSpan w:val="2"/>
            <w:tcBorders>
              <w:bottom w:val="single" w:color="auto" w:sz="4" w:space="0"/>
            </w:tcBorders>
          </w:tcPr>
          <w:p w14:paraId="7DD9F620">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银行贷款</w:t>
            </w:r>
          </w:p>
        </w:tc>
        <w:tc>
          <w:tcPr>
            <w:tcW w:w="1488" w:type="dxa"/>
            <w:tcBorders>
              <w:bottom w:val="single" w:color="auto" w:sz="4" w:space="0"/>
            </w:tcBorders>
          </w:tcPr>
          <w:p w14:paraId="6B384DEE">
            <w:pPr>
              <w:spacing w:line="480" w:lineRule="exact"/>
              <w:ind w:firstLine="220" w:firstLineChars="1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Borders>
              <w:bottom w:val="single" w:color="auto" w:sz="4" w:space="0"/>
            </w:tcBorders>
          </w:tcPr>
          <w:p w14:paraId="41B60630">
            <w:pPr>
              <w:spacing w:line="480" w:lineRule="exact"/>
              <w:rPr>
                <w:rFonts w:hint="eastAsia" w:ascii="新宋体" w:hAnsi="新宋体" w:eastAsia="新宋体" w:cs="新宋体"/>
                <w:color w:val="auto"/>
                <w:sz w:val="22"/>
                <w:szCs w:val="22"/>
                <w:highlight w:val="none"/>
              </w:rPr>
            </w:pPr>
          </w:p>
        </w:tc>
        <w:tc>
          <w:tcPr>
            <w:tcW w:w="1502" w:type="dxa"/>
            <w:vMerge w:val="restart"/>
            <w:tcBorders>
              <w:bottom w:val="single" w:color="auto" w:sz="4" w:space="0"/>
            </w:tcBorders>
            <w:vAlign w:val="center"/>
          </w:tcPr>
          <w:p w14:paraId="0CF2501E">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主要业绩</w:t>
            </w:r>
          </w:p>
        </w:tc>
        <w:tc>
          <w:tcPr>
            <w:tcW w:w="4064" w:type="dxa"/>
            <w:gridSpan w:val="4"/>
            <w:vMerge w:val="restart"/>
            <w:tcBorders>
              <w:bottom w:val="single" w:color="auto" w:sz="4" w:space="0"/>
            </w:tcBorders>
            <w:vAlign w:val="center"/>
          </w:tcPr>
          <w:p w14:paraId="6862A889">
            <w:pPr>
              <w:spacing w:line="480" w:lineRule="exact"/>
              <w:jc w:val="center"/>
              <w:rPr>
                <w:rFonts w:hint="eastAsia" w:ascii="新宋体" w:hAnsi="新宋体" w:eastAsia="新宋体" w:cs="新宋体"/>
                <w:color w:val="auto"/>
                <w:sz w:val="22"/>
                <w:szCs w:val="22"/>
                <w:highlight w:val="none"/>
              </w:rPr>
            </w:pPr>
          </w:p>
        </w:tc>
      </w:tr>
      <w:tr w14:paraId="6DBA1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14:paraId="37648CD4">
            <w:pPr>
              <w:spacing w:line="480" w:lineRule="exact"/>
              <w:rPr>
                <w:rFonts w:hint="eastAsia" w:ascii="新宋体" w:hAnsi="新宋体" w:eastAsia="新宋体" w:cs="新宋体"/>
                <w:color w:val="auto"/>
                <w:sz w:val="22"/>
                <w:szCs w:val="22"/>
                <w:highlight w:val="none"/>
              </w:rPr>
            </w:pPr>
          </w:p>
        </w:tc>
        <w:tc>
          <w:tcPr>
            <w:tcW w:w="1115" w:type="dxa"/>
            <w:vMerge w:val="restart"/>
          </w:tcPr>
          <w:p w14:paraId="5D721F95">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固定资产</w:t>
            </w:r>
          </w:p>
        </w:tc>
        <w:tc>
          <w:tcPr>
            <w:tcW w:w="1689" w:type="dxa"/>
            <w:vMerge w:val="restart"/>
          </w:tcPr>
          <w:p w14:paraId="4B9D0D33">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原值   万元</w:t>
            </w:r>
          </w:p>
          <w:p w14:paraId="5868C006">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净值   万元</w:t>
            </w:r>
          </w:p>
        </w:tc>
        <w:tc>
          <w:tcPr>
            <w:tcW w:w="728" w:type="dxa"/>
            <w:vMerge w:val="restart"/>
          </w:tcPr>
          <w:p w14:paraId="4D1A589F">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资金性质</w:t>
            </w:r>
          </w:p>
        </w:tc>
        <w:tc>
          <w:tcPr>
            <w:tcW w:w="1487" w:type="dxa"/>
            <w:gridSpan w:val="2"/>
          </w:tcPr>
          <w:p w14:paraId="53915176">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生产性</w:t>
            </w:r>
          </w:p>
        </w:tc>
        <w:tc>
          <w:tcPr>
            <w:tcW w:w="1488" w:type="dxa"/>
          </w:tcPr>
          <w:p w14:paraId="672CF7EE">
            <w:pPr>
              <w:spacing w:line="480" w:lineRule="exact"/>
              <w:ind w:left="220" w:hanging="220" w:hangingChars="1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c>
          <w:tcPr>
            <w:tcW w:w="1488" w:type="dxa"/>
            <w:vMerge w:val="continue"/>
          </w:tcPr>
          <w:p w14:paraId="06C4FE79">
            <w:pPr>
              <w:spacing w:line="480" w:lineRule="exact"/>
              <w:rPr>
                <w:rFonts w:hint="eastAsia" w:ascii="新宋体" w:hAnsi="新宋体" w:eastAsia="新宋体" w:cs="新宋体"/>
                <w:color w:val="auto"/>
                <w:sz w:val="22"/>
                <w:szCs w:val="22"/>
                <w:highlight w:val="none"/>
              </w:rPr>
            </w:pPr>
          </w:p>
        </w:tc>
        <w:tc>
          <w:tcPr>
            <w:tcW w:w="1502" w:type="dxa"/>
            <w:vMerge w:val="continue"/>
          </w:tcPr>
          <w:p w14:paraId="78486E35">
            <w:pPr>
              <w:spacing w:line="480" w:lineRule="exact"/>
              <w:rPr>
                <w:rFonts w:hint="eastAsia" w:ascii="新宋体" w:hAnsi="新宋体" w:eastAsia="新宋体" w:cs="新宋体"/>
                <w:color w:val="auto"/>
                <w:sz w:val="22"/>
                <w:szCs w:val="22"/>
                <w:highlight w:val="none"/>
              </w:rPr>
            </w:pPr>
          </w:p>
        </w:tc>
        <w:tc>
          <w:tcPr>
            <w:tcW w:w="4064" w:type="dxa"/>
            <w:gridSpan w:val="4"/>
            <w:vMerge w:val="continue"/>
          </w:tcPr>
          <w:p w14:paraId="3B8F224E">
            <w:pPr>
              <w:spacing w:line="480" w:lineRule="exact"/>
              <w:rPr>
                <w:rFonts w:hint="eastAsia" w:ascii="新宋体" w:hAnsi="新宋体" w:eastAsia="新宋体" w:cs="新宋体"/>
                <w:color w:val="auto"/>
                <w:sz w:val="22"/>
                <w:szCs w:val="22"/>
                <w:highlight w:val="none"/>
              </w:rPr>
            </w:pPr>
          </w:p>
        </w:tc>
      </w:tr>
      <w:tr w14:paraId="4302F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14:paraId="309127E7">
            <w:pPr>
              <w:spacing w:line="480" w:lineRule="exact"/>
              <w:rPr>
                <w:rFonts w:hint="eastAsia" w:ascii="新宋体" w:hAnsi="新宋体" w:eastAsia="新宋体" w:cs="新宋体"/>
                <w:color w:val="auto"/>
                <w:sz w:val="22"/>
                <w:szCs w:val="22"/>
                <w:highlight w:val="none"/>
              </w:rPr>
            </w:pPr>
          </w:p>
        </w:tc>
        <w:tc>
          <w:tcPr>
            <w:tcW w:w="1115" w:type="dxa"/>
            <w:vMerge w:val="continue"/>
          </w:tcPr>
          <w:p w14:paraId="790E1E04">
            <w:pPr>
              <w:spacing w:line="480" w:lineRule="exact"/>
              <w:rPr>
                <w:rFonts w:hint="eastAsia" w:ascii="新宋体" w:hAnsi="新宋体" w:eastAsia="新宋体" w:cs="新宋体"/>
                <w:color w:val="auto"/>
                <w:sz w:val="22"/>
                <w:szCs w:val="22"/>
                <w:highlight w:val="none"/>
              </w:rPr>
            </w:pPr>
          </w:p>
        </w:tc>
        <w:tc>
          <w:tcPr>
            <w:tcW w:w="1689" w:type="dxa"/>
            <w:vMerge w:val="continue"/>
          </w:tcPr>
          <w:p w14:paraId="5735FEF6">
            <w:pPr>
              <w:spacing w:line="480" w:lineRule="exact"/>
              <w:rPr>
                <w:rFonts w:hint="eastAsia" w:ascii="新宋体" w:hAnsi="新宋体" w:eastAsia="新宋体" w:cs="新宋体"/>
                <w:color w:val="auto"/>
                <w:sz w:val="22"/>
                <w:szCs w:val="22"/>
                <w:highlight w:val="none"/>
              </w:rPr>
            </w:pPr>
          </w:p>
        </w:tc>
        <w:tc>
          <w:tcPr>
            <w:tcW w:w="728" w:type="dxa"/>
            <w:vMerge w:val="continue"/>
          </w:tcPr>
          <w:p w14:paraId="13F2B347">
            <w:pPr>
              <w:spacing w:line="480" w:lineRule="exact"/>
              <w:rPr>
                <w:rFonts w:hint="eastAsia" w:ascii="新宋体" w:hAnsi="新宋体" w:eastAsia="新宋体" w:cs="新宋体"/>
                <w:color w:val="auto"/>
                <w:sz w:val="22"/>
                <w:szCs w:val="22"/>
                <w:highlight w:val="none"/>
              </w:rPr>
            </w:pPr>
          </w:p>
        </w:tc>
        <w:tc>
          <w:tcPr>
            <w:tcW w:w="1487" w:type="dxa"/>
            <w:gridSpan w:val="2"/>
          </w:tcPr>
          <w:p w14:paraId="4938D0EA">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非生产性</w:t>
            </w:r>
          </w:p>
        </w:tc>
        <w:tc>
          <w:tcPr>
            <w:tcW w:w="1488" w:type="dxa"/>
          </w:tcPr>
          <w:p w14:paraId="2EAE6967">
            <w:pPr>
              <w:spacing w:line="480" w:lineRule="exact"/>
              <w:ind w:left="220" w:hanging="220" w:hangingChars="1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c>
          <w:tcPr>
            <w:tcW w:w="1488" w:type="dxa"/>
            <w:vMerge w:val="continue"/>
          </w:tcPr>
          <w:p w14:paraId="33732DE4">
            <w:pPr>
              <w:spacing w:line="480" w:lineRule="exact"/>
              <w:rPr>
                <w:rFonts w:hint="eastAsia" w:ascii="新宋体" w:hAnsi="新宋体" w:eastAsia="新宋体" w:cs="新宋体"/>
                <w:color w:val="auto"/>
                <w:sz w:val="22"/>
                <w:szCs w:val="22"/>
                <w:highlight w:val="none"/>
              </w:rPr>
            </w:pPr>
          </w:p>
        </w:tc>
        <w:tc>
          <w:tcPr>
            <w:tcW w:w="1502" w:type="dxa"/>
            <w:vMerge w:val="continue"/>
          </w:tcPr>
          <w:p w14:paraId="640A74AD">
            <w:pPr>
              <w:spacing w:line="480" w:lineRule="exact"/>
              <w:rPr>
                <w:rFonts w:hint="eastAsia" w:ascii="新宋体" w:hAnsi="新宋体" w:eastAsia="新宋体" w:cs="新宋体"/>
                <w:color w:val="auto"/>
                <w:sz w:val="22"/>
                <w:szCs w:val="22"/>
                <w:highlight w:val="none"/>
              </w:rPr>
            </w:pPr>
          </w:p>
        </w:tc>
        <w:tc>
          <w:tcPr>
            <w:tcW w:w="4064" w:type="dxa"/>
            <w:gridSpan w:val="4"/>
            <w:vMerge w:val="continue"/>
          </w:tcPr>
          <w:p w14:paraId="739D42D7">
            <w:pPr>
              <w:spacing w:line="480" w:lineRule="exact"/>
              <w:rPr>
                <w:rFonts w:hint="eastAsia" w:ascii="新宋体" w:hAnsi="新宋体" w:eastAsia="新宋体" w:cs="新宋体"/>
                <w:color w:val="auto"/>
                <w:sz w:val="22"/>
                <w:szCs w:val="22"/>
                <w:highlight w:val="none"/>
              </w:rPr>
            </w:pPr>
          </w:p>
        </w:tc>
      </w:tr>
    </w:tbl>
    <w:p w14:paraId="1854193C">
      <w:pPr>
        <w:spacing w:line="460" w:lineRule="exact"/>
        <w:rPr>
          <w:rFonts w:hint="eastAsia" w:ascii="新宋体" w:hAnsi="新宋体" w:eastAsia="新宋体" w:cs="新宋体"/>
          <w:color w:val="auto"/>
          <w:sz w:val="22"/>
          <w:szCs w:val="22"/>
          <w:highlight w:val="none"/>
        </w:rPr>
        <w:sectPr>
          <w:pgSz w:w="16838" w:h="11906" w:orient="landscape"/>
          <w:pgMar w:top="1134" w:right="1134" w:bottom="1134" w:left="1134" w:header="850" w:footer="992" w:gutter="0"/>
          <w:pgNumType w:fmt="decimal"/>
          <w:cols w:space="720" w:num="1"/>
          <w:docGrid w:type="lines" w:linePitch="321" w:charSpace="0"/>
        </w:sectPr>
      </w:pPr>
    </w:p>
    <w:p w14:paraId="7385DBE7">
      <w:pPr>
        <w:spacing w:line="400" w:lineRule="exact"/>
        <w:jc w:val="center"/>
        <w:outlineLvl w:val="3"/>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bCs/>
          <w:color w:val="auto"/>
          <w:sz w:val="28"/>
          <w:szCs w:val="28"/>
          <w:highlight w:val="none"/>
          <w:lang w:val="en-US" w:eastAsia="zh-CN"/>
        </w:rPr>
        <w:t>4、</w:t>
      </w:r>
      <w:r>
        <w:rPr>
          <w:rFonts w:hint="eastAsia" w:ascii="新宋体" w:hAnsi="新宋体" w:eastAsia="新宋体" w:cs="新宋体"/>
          <w:b/>
          <w:bCs/>
          <w:color w:val="auto"/>
          <w:sz w:val="28"/>
          <w:szCs w:val="28"/>
          <w:highlight w:val="none"/>
          <w:lang w:val="zh-CN" w:eastAsia="zh-CN"/>
        </w:rPr>
        <w:t>偏离表（</w:t>
      </w:r>
      <w:r>
        <w:rPr>
          <w:rFonts w:hint="eastAsia" w:ascii="新宋体" w:hAnsi="新宋体" w:eastAsia="新宋体" w:cs="新宋体"/>
          <w:b/>
          <w:bCs/>
          <w:color w:val="auto"/>
          <w:sz w:val="28"/>
          <w:szCs w:val="28"/>
          <w:highlight w:val="none"/>
          <w:lang w:val="en-US" w:eastAsia="zh-CN"/>
        </w:rPr>
        <w:t>商务、技术偏离</w:t>
      </w:r>
      <w:r>
        <w:rPr>
          <w:rFonts w:hint="eastAsia" w:ascii="新宋体" w:hAnsi="新宋体" w:eastAsia="新宋体" w:cs="新宋体"/>
          <w:b/>
          <w:bCs/>
          <w:color w:val="auto"/>
          <w:sz w:val="28"/>
          <w:szCs w:val="28"/>
          <w:highlight w:val="none"/>
          <w:lang w:val="zh-CN" w:eastAsia="zh-CN"/>
        </w:rPr>
        <w:t>）</w:t>
      </w:r>
    </w:p>
    <w:p w14:paraId="128DFF77">
      <w:pPr>
        <w:spacing w:line="360" w:lineRule="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WZLCZB（L）-2024-07264</w:t>
      </w:r>
    </w:p>
    <w:p w14:paraId="6001B0C7">
      <w:pPr>
        <w:spacing w:line="360" w:lineRule="auto"/>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儿童康复器材</w:t>
      </w:r>
    </w:p>
    <w:tbl>
      <w:tblPr>
        <w:tblStyle w:val="52"/>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687"/>
        <w:gridCol w:w="3402"/>
        <w:gridCol w:w="1580"/>
      </w:tblGrid>
      <w:tr w14:paraId="701A3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91" w:type="dxa"/>
            <w:shd w:val="clear" w:color="auto" w:fill="FFFFFF"/>
            <w:vAlign w:val="center"/>
          </w:tcPr>
          <w:p w14:paraId="62D6547D">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  号</w:t>
            </w:r>
          </w:p>
        </w:tc>
        <w:tc>
          <w:tcPr>
            <w:tcW w:w="3687" w:type="dxa"/>
            <w:shd w:val="clear" w:color="auto" w:fill="FFFFFF"/>
            <w:vAlign w:val="center"/>
          </w:tcPr>
          <w:p w14:paraId="3642351F">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招标文件</w:t>
            </w:r>
          </w:p>
          <w:p w14:paraId="1498F312">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规格要求</w:t>
            </w:r>
          </w:p>
        </w:tc>
        <w:tc>
          <w:tcPr>
            <w:tcW w:w="3402" w:type="dxa"/>
            <w:shd w:val="clear" w:color="auto" w:fill="FFFFFF"/>
            <w:vAlign w:val="center"/>
          </w:tcPr>
          <w:p w14:paraId="2E24B367">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投标文件</w:t>
            </w:r>
          </w:p>
          <w:p w14:paraId="58B386A0">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对应规格</w:t>
            </w:r>
          </w:p>
        </w:tc>
        <w:tc>
          <w:tcPr>
            <w:tcW w:w="1580" w:type="dxa"/>
            <w:shd w:val="clear" w:color="auto" w:fill="FFFFFF"/>
            <w:vAlign w:val="center"/>
          </w:tcPr>
          <w:p w14:paraId="141989F9">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   明</w:t>
            </w:r>
          </w:p>
        </w:tc>
      </w:tr>
      <w:tr w14:paraId="5CA8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91" w:type="dxa"/>
            <w:vAlign w:val="center"/>
          </w:tcPr>
          <w:p w14:paraId="4A8F4759">
            <w:pPr>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3687" w:type="dxa"/>
            <w:vAlign w:val="center"/>
          </w:tcPr>
          <w:p w14:paraId="050BA260">
            <w:pPr>
              <w:jc w:val="center"/>
              <w:rPr>
                <w:rFonts w:hint="eastAsia" w:ascii="新宋体" w:hAnsi="新宋体" w:eastAsia="新宋体" w:cs="新宋体"/>
                <w:color w:val="auto"/>
                <w:sz w:val="22"/>
                <w:szCs w:val="22"/>
                <w:highlight w:val="none"/>
              </w:rPr>
            </w:pPr>
          </w:p>
        </w:tc>
        <w:tc>
          <w:tcPr>
            <w:tcW w:w="3402" w:type="dxa"/>
            <w:vAlign w:val="center"/>
          </w:tcPr>
          <w:p w14:paraId="4E974341">
            <w:pPr>
              <w:jc w:val="center"/>
              <w:rPr>
                <w:rFonts w:hint="eastAsia" w:ascii="新宋体" w:hAnsi="新宋体" w:eastAsia="新宋体" w:cs="新宋体"/>
                <w:color w:val="auto"/>
                <w:sz w:val="22"/>
                <w:szCs w:val="22"/>
                <w:highlight w:val="none"/>
              </w:rPr>
            </w:pPr>
          </w:p>
        </w:tc>
        <w:tc>
          <w:tcPr>
            <w:tcW w:w="1580" w:type="dxa"/>
            <w:vAlign w:val="center"/>
          </w:tcPr>
          <w:p w14:paraId="71E5FC47">
            <w:pPr>
              <w:jc w:val="center"/>
              <w:rPr>
                <w:rFonts w:hint="eastAsia" w:ascii="新宋体" w:hAnsi="新宋体" w:eastAsia="新宋体" w:cs="新宋体"/>
                <w:color w:val="auto"/>
                <w:sz w:val="22"/>
                <w:szCs w:val="22"/>
                <w:highlight w:val="none"/>
              </w:rPr>
            </w:pPr>
          </w:p>
        </w:tc>
      </w:tr>
      <w:tr w14:paraId="0020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75C02656">
            <w:pPr>
              <w:jc w:val="center"/>
              <w:rPr>
                <w:rFonts w:hint="eastAsia" w:ascii="新宋体" w:hAnsi="新宋体" w:eastAsia="新宋体" w:cs="新宋体"/>
                <w:color w:val="auto"/>
                <w:sz w:val="22"/>
                <w:szCs w:val="22"/>
                <w:highlight w:val="none"/>
              </w:rPr>
            </w:pPr>
          </w:p>
        </w:tc>
        <w:tc>
          <w:tcPr>
            <w:tcW w:w="3687" w:type="dxa"/>
            <w:vAlign w:val="center"/>
          </w:tcPr>
          <w:p w14:paraId="1926AB3C">
            <w:pPr>
              <w:jc w:val="center"/>
              <w:rPr>
                <w:rFonts w:hint="eastAsia" w:ascii="新宋体" w:hAnsi="新宋体" w:eastAsia="新宋体" w:cs="新宋体"/>
                <w:color w:val="auto"/>
                <w:sz w:val="22"/>
                <w:szCs w:val="22"/>
                <w:highlight w:val="none"/>
              </w:rPr>
            </w:pPr>
          </w:p>
        </w:tc>
        <w:tc>
          <w:tcPr>
            <w:tcW w:w="3402" w:type="dxa"/>
            <w:vAlign w:val="center"/>
          </w:tcPr>
          <w:p w14:paraId="16DD05C5">
            <w:pPr>
              <w:jc w:val="center"/>
              <w:rPr>
                <w:rFonts w:hint="eastAsia" w:ascii="新宋体" w:hAnsi="新宋体" w:eastAsia="新宋体" w:cs="新宋体"/>
                <w:color w:val="auto"/>
                <w:sz w:val="22"/>
                <w:szCs w:val="22"/>
                <w:highlight w:val="none"/>
              </w:rPr>
            </w:pPr>
          </w:p>
        </w:tc>
        <w:tc>
          <w:tcPr>
            <w:tcW w:w="1580" w:type="dxa"/>
            <w:vAlign w:val="center"/>
          </w:tcPr>
          <w:p w14:paraId="5FC1C524">
            <w:pPr>
              <w:jc w:val="center"/>
              <w:rPr>
                <w:rFonts w:hint="eastAsia" w:ascii="新宋体" w:hAnsi="新宋体" w:eastAsia="新宋体" w:cs="新宋体"/>
                <w:color w:val="auto"/>
                <w:sz w:val="22"/>
                <w:szCs w:val="22"/>
                <w:highlight w:val="none"/>
              </w:rPr>
            </w:pPr>
          </w:p>
        </w:tc>
      </w:tr>
      <w:tr w14:paraId="4F23B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41BD06A8">
            <w:pPr>
              <w:jc w:val="center"/>
              <w:rPr>
                <w:rFonts w:hint="eastAsia" w:ascii="新宋体" w:hAnsi="新宋体" w:eastAsia="新宋体" w:cs="新宋体"/>
                <w:color w:val="auto"/>
                <w:sz w:val="22"/>
                <w:szCs w:val="22"/>
                <w:highlight w:val="none"/>
              </w:rPr>
            </w:pPr>
          </w:p>
        </w:tc>
        <w:tc>
          <w:tcPr>
            <w:tcW w:w="3687" w:type="dxa"/>
            <w:vAlign w:val="center"/>
          </w:tcPr>
          <w:p w14:paraId="1A6951FD">
            <w:pPr>
              <w:jc w:val="center"/>
              <w:rPr>
                <w:rFonts w:hint="eastAsia" w:ascii="新宋体" w:hAnsi="新宋体" w:eastAsia="新宋体" w:cs="新宋体"/>
                <w:color w:val="auto"/>
                <w:sz w:val="22"/>
                <w:szCs w:val="22"/>
                <w:highlight w:val="none"/>
              </w:rPr>
            </w:pPr>
          </w:p>
        </w:tc>
        <w:tc>
          <w:tcPr>
            <w:tcW w:w="3402" w:type="dxa"/>
            <w:vAlign w:val="center"/>
          </w:tcPr>
          <w:p w14:paraId="0F2AC0E1">
            <w:pPr>
              <w:jc w:val="center"/>
              <w:rPr>
                <w:rFonts w:hint="eastAsia" w:ascii="新宋体" w:hAnsi="新宋体" w:eastAsia="新宋体" w:cs="新宋体"/>
                <w:color w:val="auto"/>
                <w:sz w:val="22"/>
                <w:szCs w:val="22"/>
                <w:highlight w:val="none"/>
              </w:rPr>
            </w:pPr>
          </w:p>
        </w:tc>
        <w:tc>
          <w:tcPr>
            <w:tcW w:w="1580" w:type="dxa"/>
            <w:vAlign w:val="center"/>
          </w:tcPr>
          <w:p w14:paraId="4231DA32">
            <w:pPr>
              <w:jc w:val="center"/>
              <w:rPr>
                <w:rFonts w:hint="eastAsia" w:ascii="新宋体" w:hAnsi="新宋体" w:eastAsia="新宋体" w:cs="新宋体"/>
                <w:color w:val="auto"/>
                <w:sz w:val="22"/>
                <w:szCs w:val="22"/>
                <w:highlight w:val="none"/>
              </w:rPr>
            </w:pPr>
          </w:p>
        </w:tc>
      </w:tr>
      <w:tr w14:paraId="44AE0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4FD8DFF0">
            <w:pPr>
              <w:jc w:val="center"/>
              <w:rPr>
                <w:rFonts w:hint="eastAsia" w:ascii="新宋体" w:hAnsi="新宋体" w:eastAsia="新宋体" w:cs="新宋体"/>
                <w:color w:val="auto"/>
                <w:sz w:val="22"/>
                <w:szCs w:val="22"/>
                <w:highlight w:val="none"/>
              </w:rPr>
            </w:pPr>
          </w:p>
        </w:tc>
        <w:tc>
          <w:tcPr>
            <w:tcW w:w="3687" w:type="dxa"/>
            <w:vAlign w:val="center"/>
          </w:tcPr>
          <w:p w14:paraId="3FDC6C33">
            <w:pPr>
              <w:jc w:val="center"/>
              <w:rPr>
                <w:rFonts w:hint="eastAsia" w:ascii="新宋体" w:hAnsi="新宋体" w:eastAsia="新宋体" w:cs="新宋体"/>
                <w:color w:val="auto"/>
                <w:sz w:val="22"/>
                <w:szCs w:val="22"/>
                <w:highlight w:val="none"/>
              </w:rPr>
            </w:pPr>
          </w:p>
        </w:tc>
        <w:tc>
          <w:tcPr>
            <w:tcW w:w="3402" w:type="dxa"/>
            <w:vAlign w:val="center"/>
          </w:tcPr>
          <w:p w14:paraId="13F19AAF">
            <w:pPr>
              <w:jc w:val="center"/>
              <w:rPr>
                <w:rFonts w:hint="eastAsia" w:ascii="新宋体" w:hAnsi="新宋体" w:eastAsia="新宋体" w:cs="新宋体"/>
                <w:color w:val="auto"/>
                <w:sz w:val="22"/>
                <w:szCs w:val="22"/>
                <w:highlight w:val="none"/>
              </w:rPr>
            </w:pPr>
          </w:p>
        </w:tc>
        <w:tc>
          <w:tcPr>
            <w:tcW w:w="1580" w:type="dxa"/>
            <w:vAlign w:val="center"/>
          </w:tcPr>
          <w:p w14:paraId="59AFCEE6">
            <w:pPr>
              <w:jc w:val="center"/>
              <w:rPr>
                <w:rFonts w:hint="eastAsia" w:ascii="新宋体" w:hAnsi="新宋体" w:eastAsia="新宋体" w:cs="新宋体"/>
                <w:color w:val="auto"/>
                <w:sz w:val="22"/>
                <w:szCs w:val="22"/>
                <w:highlight w:val="none"/>
              </w:rPr>
            </w:pPr>
          </w:p>
        </w:tc>
      </w:tr>
      <w:tr w14:paraId="4A11C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34BA7C00">
            <w:pPr>
              <w:jc w:val="center"/>
              <w:rPr>
                <w:rFonts w:hint="eastAsia" w:ascii="新宋体" w:hAnsi="新宋体" w:eastAsia="新宋体" w:cs="新宋体"/>
                <w:color w:val="auto"/>
                <w:sz w:val="22"/>
                <w:szCs w:val="22"/>
                <w:highlight w:val="none"/>
              </w:rPr>
            </w:pPr>
          </w:p>
        </w:tc>
        <w:tc>
          <w:tcPr>
            <w:tcW w:w="3687" w:type="dxa"/>
            <w:vAlign w:val="center"/>
          </w:tcPr>
          <w:p w14:paraId="5D95DF00">
            <w:pPr>
              <w:jc w:val="center"/>
              <w:rPr>
                <w:rFonts w:hint="eastAsia" w:ascii="新宋体" w:hAnsi="新宋体" w:eastAsia="新宋体" w:cs="新宋体"/>
                <w:color w:val="auto"/>
                <w:sz w:val="22"/>
                <w:szCs w:val="22"/>
                <w:highlight w:val="none"/>
              </w:rPr>
            </w:pPr>
          </w:p>
        </w:tc>
        <w:tc>
          <w:tcPr>
            <w:tcW w:w="3402" w:type="dxa"/>
            <w:vAlign w:val="center"/>
          </w:tcPr>
          <w:p w14:paraId="734F2FE3">
            <w:pPr>
              <w:jc w:val="center"/>
              <w:rPr>
                <w:rFonts w:hint="eastAsia" w:ascii="新宋体" w:hAnsi="新宋体" w:eastAsia="新宋体" w:cs="新宋体"/>
                <w:color w:val="auto"/>
                <w:sz w:val="22"/>
                <w:szCs w:val="22"/>
                <w:highlight w:val="none"/>
              </w:rPr>
            </w:pPr>
          </w:p>
        </w:tc>
        <w:tc>
          <w:tcPr>
            <w:tcW w:w="1580" w:type="dxa"/>
            <w:vAlign w:val="center"/>
          </w:tcPr>
          <w:p w14:paraId="76668442">
            <w:pPr>
              <w:jc w:val="center"/>
              <w:rPr>
                <w:rFonts w:hint="eastAsia" w:ascii="新宋体" w:hAnsi="新宋体" w:eastAsia="新宋体" w:cs="新宋体"/>
                <w:color w:val="auto"/>
                <w:sz w:val="22"/>
                <w:szCs w:val="22"/>
                <w:highlight w:val="none"/>
              </w:rPr>
            </w:pPr>
          </w:p>
        </w:tc>
      </w:tr>
      <w:tr w14:paraId="6124E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064D3AC7">
            <w:pPr>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3687" w:type="dxa"/>
            <w:vAlign w:val="center"/>
          </w:tcPr>
          <w:p w14:paraId="5D5E3ADB">
            <w:pPr>
              <w:jc w:val="center"/>
              <w:rPr>
                <w:rFonts w:hint="eastAsia" w:ascii="新宋体" w:hAnsi="新宋体" w:eastAsia="新宋体" w:cs="新宋体"/>
                <w:color w:val="auto"/>
                <w:sz w:val="22"/>
                <w:szCs w:val="22"/>
                <w:highlight w:val="none"/>
              </w:rPr>
            </w:pPr>
          </w:p>
        </w:tc>
        <w:tc>
          <w:tcPr>
            <w:tcW w:w="3402" w:type="dxa"/>
            <w:vAlign w:val="center"/>
          </w:tcPr>
          <w:p w14:paraId="0F30FAD7">
            <w:pPr>
              <w:jc w:val="center"/>
              <w:rPr>
                <w:rFonts w:hint="eastAsia" w:ascii="新宋体" w:hAnsi="新宋体" w:eastAsia="新宋体" w:cs="新宋体"/>
                <w:color w:val="auto"/>
                <w:sz w:val="22"/>
                <w:szCs w:val="22"/>
                <w:highlight w:val="none"/>
              </w:rPr>
            </w:pPr>
          </w:p>
        </w:tc>
        <w:tc>
          <w:tcPr>
            <w:tcW w:w="1580" w:type="dxa"/>
            <w:vAlign w:val="center"/>
          </w:tcPr>
          <w:p w14:paraId="65095462">
            <w:pPr>
              <w:jc w:val="center"/>
              <w:rPr>
                <w:rFonts w:hint="eastAsia" w:ascii="新宋体" w:hAnsi="新宋体" w:eastAsia="新宋体" w:cs="新宋体"/>
                <w:color w:val="auto"/>
                <w:sz w:val="22"/>
                <w:szCs w:val="22"/>
                <w:highlight w:val="none"/>
              </w:rPr>
            </w:pPr>
          </w:p>
        </w:tc>
      </w:tr>
      <w:tr w14:paraId="01DF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71C22C92">
            <w:pPr>
              <w:jc w:val="center"/>
              <w:rPr>
                <w:rFonts w:hint="eastAsia" w:ascii="新宋体" w:hAnsi="新宋体" w:eastAsia="新宋体" w:cs="新宋体"/>
                <w:color w:val="auto"/>
                <w:sz w:val="22"/>
                <w:szCs w:val="22"/>
                <w:highlight w:val="none"/>
              </w:rPr>
            </w:pPr>
          </w:p>
        </w:tc>
        <w:tc>
          <w:tcPr>
            <w:tcW w:w="3687" w:type="dxa"/>
            <w:vAlign w:val="center"/>
          </w:tcPr>
          <w:p w14:paraId="0AB4AEC8">
            <w:pPr>
              <w:jc w:val="center"/>
              <w:rPr>
                <w:rFonts w:hint="eastAsia" w:ascii="新宋体" w:hAnsi="新宋体" w:eastAsia="新宋体" w:cs="新宋体"/>
                <w:color w:val="auto"/>
                <w:sz w:val="22"/>
                <w:szCs w:val="22"/>
                <w:highlight w:val="none"/>
              </w:rPr>
            </w:pPr>
          </w:p>
        </w:tc>
        <w:tc>
          <w:tcPr>
            <w:tcW w:w="3402" w:type="dxa"/>
            <w:vAlign w:val="center"/>
          </w:tcPr>
          <w:p w14:paraId="3A7BFFEF">
            <w:pPr>
              <w:jc w:val="center"/>
              <w:rPr>
                <w:rFonts w:hint="eastAsia" w:ascii="新宋体" w:hAnsi="新宋体" w:eastAsia="新宋体" w:cs="新宋体"/>
                <w:color w:val="auto"/>
                <w:sz w:val="22"/>
                <w:szCs w:val="22"/>
                <w:highlight w:val="none"/>
              </w:rPr>
            </w:pPr>
          </w:p>
        </w:tc>
        <w:tc>
          <w:tcPr>
            <w:tcW w:w="1580" w:type="dxa"/>
            <w:vAlign w:val="center"/>
          </w:tcPr>
          <w:p w14:paraId="312CBA94">
            <w:pPr>
              <w:jc w:val="center"/>
              <w:rPr>
                <w:rFonts w:hint="eastAsia" w:ascii="新宋体" w:hAnsi="新宋体" w:eastAsia="新宋体" w:cs="新宋体"/>
                <w:color w:val="auto"/>
                <w:sz w:val="22"/>
                <w:szCs w:val="22"/>
                <w:highlight w:val="none"/>
              </w:rPr>
            </w:pPr>
          </w:p>
        </w:tc>
      </w:tr>
      <w:tr w14:paraId="37193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23B98658">
            <w:pPr>
              <w:jc w:val="center"/>
              <w:rPr>
                <w:rFonts w:hint="eastAsia" w:ascii="新宋体" w:hAnsi="新宋体" w:eastAsia="新宋体" w:cs="新宋体"/>
                <w:color w:val="auto"/>
                <w:sz w:val="22"/>
                <w:szCs w:val="22"/>
                <w:highlight w:val="none"/>
              </w:rPr>
            </w:pPr>
          </w:p>
        </w:tc>
        <w:tc>
          <w:tcPr>
            <w:tcW w:w="3687" w:type="dxa"/>
            <w:vAlign w:val="center"/>
          </w:tcPr>
          <w:p w14:paraId="0E3A70E9">
            <w:pPr>
              <w:jc w:val="center"/>
              <w:rPr>
                <w:rFonts w:hint="eastAsia" w:ascii="新宋体" w:hAnsi="新宋体" w:eastAsia="新宋体" w:cs="新宋体"/>
                <w:color w:val="auto"/>
                <w:sz w:val="22"/>
                <w:szCs w:val="22"/>
                <w:highlight w:val="none"/>
              </w:rPr>
            </w:pPr>
          </w:p>
        </w:tc>
        <w:tc>
          <w:tcPr>
            <w:tcW w:w="3402" w:type="dxa"/>
            <w:vAlign w:val="center"/>
          </w:tcPr>
          <w:p w14:paraId="0F2E69DC">
            <w:pPr>
              <w:jc w:val="center"/>
              <w:rPr>
                <w:rFonts w:hint="eastAsia" w:ascii="新宋体" w:hAnsi="新宋体" w:eastAsia="新宋体" w:cs="新宋体"/>
                <w:color w:val="auto"/>
                <w:sz w:val="22"/>
                <w:szCs w:val="22"/>
                <w:highlight w:val="none"/>
              </w:rPr>
            </w:pPr>
          </w:p>
        </w:tc>
        <w:tc>
          <w:tcPr>
            <w:tcW w:w="1580" w:type="dxa"/>
            <w:vAlign w:val="center"/>
          </w:tcPr>
          <w:p w14:paraId="75BCA865">
            <w:pPr>
              <w:jc w:val="center"/>
              <w:rPr>
                <w:rFonts w:hint="eastAsia" w:ascii="新宋体" w:hAnsi="新宋体" w:eastAsia="新宋体" w:cs="新宋体"/>
                <w:color w:val="auto"/>
                <w:sz w:val="22"/>
                <w:szCs w:val="22"/>
                <w:highlight w:val="none"/>
              </w:rPr>
            </w:pPr>
          </w:p>
        </w:tc>
      </w:tr>
      <w:tr w14:paraId="7788F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2B5A8277">
            <w:pPr>
              <w:jc w:val="center"/>
              <w:rPr>
                <w:rFonts w:hint="eastAsia" w:ascii="新宋体" w:hAnsi="新宋体" w:eastAsia="新宋体" w:cs="新宋体"/>
                <w:color w:val="auto"/>
                <w:sz w:val="22"/>
                <w:szCs w:val="22"/>
                <w:highlight w:val="none"/>
              </w:rPr>
            </w:pPr>
          </w:p>
        </w:tc>
        <w:tc>
          <w:tcPr>
            <w:tcW w:w="3687" w:type="dxa"/>
            <w:vAlign w:val="center"/>
          </w:tcPr>
          <w:p w14:paraId="48F5D35B">
            <w:pPr>
              <w:jc w:val="center"/>
              <w:rPr>
                <w:rFonts w:hint="eastAsia" w:ascii="新宋体" w:hAnsi="新宋体" w:eastAsia="新宋体" w:cs="新宋体"/>
                <w:color w:val="auto"/>
                <w:sz w:val="22"/>
                <w:szCs w:val="22"/>
                <w:highlight w:val="none"/>
              </w:rPr>
            </w:pPr>
          </w:p>
        </w:tc>
        <w:tc>
          <w:tcPr>
            <w:tcW w:w="3402" w:type="dxa"/>
            <w:vAlign w:val="center"/>
          </w:tcPr>
          <w:p w14:paraId="2F24E058">
            <w:pPr>
              <w:jc w:val="center"/>
              <w:rPr>
                <w:rFonts w:hint="eastAsia" w:ascii="新宋体" w:hAnsi="新宋体" w:eastAsia="新宋体" w:cs="新宋体"/>
                <w:color w:val="auto"/>
                <w:sz w:val="22"/>
                <w:szCs w:val="22"/>
                <w:highlight w:val="none"/>
              </w:rPr>
            </w:pPr>
          </w:p>
        </w:tc>
        <w:tc>
          <w:tcPr>
            <w:tcW w:w="1580" w:type="dxa"/>
            <w:vAlign w:val="center"/>
          </w:tcPr>
          <w:p w14:paraId="683E9A8D">
            <w:pPr>
              <w:jc w:val="center"/>
              <w:rPr>
                <w:rFonts w:hint="eastAsia" w:ascii="新宋体" w:hAnsi="新宋体" w:eastAsia="新宋体" w:cs="新宋体"/>
                <w:color w:val="auto"/>
                <w:sz w:val="22"/>
                <w:szCs w:val="22"/>
                <w:highlight w:val="none"/>
              </w:rPr>
            </w:pPr>
          </w:p>
        </w:tc>
      </w:tr>
      <w:tr w14:paraId="205C8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192DD064">
            <w:pPr>
              <w:jc w:val="center"/>
              <w:rPr>
                <w:rFonts w:hint="eastAsia" w:ascii="新宋体" w:hAnsi="新宋体" w:eastAsia="新宋体" w:cs="新宋体"/>
                <w:color w:val="auto"/>
                <w:sz w:val="22"/>
                <w:szCs w:val="22"/>
                <w:highlight w:val="none"/>
              </w:rPr>
            </w:pPr>
          </w:p>
        </w:tc>
        <w:tc>
          <w:tcPr>
            <w:tcW w:w="3687" w:type="dxa"/>
            <w:vAlign w:val="center"/>
          </w:tcPr>
          <w:p w14:paraId="03213C6C">
            <w:pPr>
              <w:jc w:val="center"/>
              <w:rPr>
                <w:rFonts w:hint="eastAsia" w:ascii="新宋体" w:hAnsi="新宋体" w:eastAsia="新宋体" w:cs="新宋体"/>
                <w:color w:val="auto"/>
                <w:sz w:val="22"/>
                <w:szCs w:val="22"/>
                <w:highlight w:val="none"/>
              </w:rPr>
            </w:pPr>
          </w:p>
        </w:tc>
        <w:tc>
          <w:tcPr>
            <w:tcW w:w="3402" w:type="dxa"/>
            <w:vAlign w:val="center"/>
          </w:tcPr>
          <w:p w14:paraId="49D479DA">
            <w:pPr>
              <w:jc w:val="center"/>
              <w:rPr>
                <w:rFonts w:hint="eastAsia" w:ascii="新宋体" w:hAnsi="新宋体" w:eastAsia="新宋体" w:cs="新宋体"/>
                <w:color w:val="auto"/>
                <w:sz w:val="22"/>
                <w:szCs w:val="22"/>
                <w:highlight w:val="none"/>
              </w:rPr>
            </w:pPr>
          </w:p>
        </w:tc>
        <w:tc>
          <w:tcPr>
            <w:tcW w:w="1580" w:type="dxa"/>
            <w:vAlign w:val="center"/>
          </w:tcPr>
          <w:p w14:paraId="6B37F9E7">
            <w:pPr>
              <w:jc w:val="center"/>
              <w:rPr>
                <w:rFonts w:hint="eastAsia" w:ascii="新宋体" w:hAnsi="新宋体" w:eastAsia="新宋体" w:cs="新宋体"/>
                <w:color w:val="auto"/>
                <w:sz w:val="22"/>
                <w:szCs w:val="22"/>
                <w:highlight w:val="none"/>
              </w:rPr>
            </w:pPr>
          </w:p>
        </w:tc>
      </w:tr>
      <w:tr w14:paraId="281A2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536140C6">
            <w:pPr>
              <w:jc w:val="center"/>
              <w:rPr>
                <w:rFonts w:hint="eastAsia" w:ascii="新宋体" w:hAnsi="新宋体" w:eastAsia="新宋体" w:cs="新宋体"/>
                <w:color w:val="auto"/>
                <w:sz w:val="22"/>
                <w:szCs w:val="22"/>
                <w:highlight w:val="none"/>
              </w:rPr>
            </w:pPr>
          </w:p>
        </w:tc>
        <w:tc>
          <w:tcPr>
            <w:tcW w:w="3687" w:type="dxa"/>
            <w:vAlign w:val="center"/>
          </w:tcPr>
          <w:p w14:paraId="1B2E1053">
            <w:pPr>
              <w:jc w:val="center"/>
              <w:rPr>
                <w:rFonts w:hint="eastAsia" w:ascii="新宋体" w:hAnsi="新宋体" w:eastAsia="新宋体" w:cs="新宋体"/>
                <w:color w:val="auto"/>
                <w:sz w:val="22"/>
                <w:szCs w:val="22"/>
                <w:highlight w:val="none"/>
              </w:rPr>
            </w:pPr>
          </w:p>
        </w:tc>
        <w:tc>
          <w:tcPr>
            <w:tcW w:w="3402" w:type="dxa"/>
            <w:vAlign w:val="center"/>
          </w:tcPr>
          <w:p w14:paraId="2DC2DF62">
            <w:pPr>
              <w:jc w:val="center"/>
              <w:rPr>
                <w:rFonts w:hint="eastAsia" w:ascii="新宋体" w:hAnsi="新宋体" w:eastAsia="新宋体" w:cs="新宋体"/>
                <w:color w:val="auto"/>
                <w:sz w:val="22"/>
                <w:szCs w:val="22"/>
                <w:highlight w:val="none"/>
              </w:rPr>
            </w:pPr>
          </w:p>
        </w:tc>
        <w:tc>
          <w:tcPr>
            <w:tcW w:w="1580" w:type="dxa"/>
            <w:vAlign w:val="center"/>
          </w:tcPr>
          <w:p w14:paraId="04A3C1B0">
            <w:pPr>
              <w:jc w:val="center"/>
              <w:rPr>
                <w:rFonts w:hint="eastAsia" w:ascii="新宋体" w:hAnsi="新宋体" w:eastAsia="新宋体" w:cs="新宋体"/>
                <w:color w:val="auto"/>
                <w:sz w:val="22"/>
                <w:szCs w:val="22"/>
                <w:highlight w:val="none"/>
              </w:rPr>
            </w:pPr>
          </w:p>
        </w:tc>
      </w:tr>
    </w:tbl>
    <w:p w14:paraId="4AEEA21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注：如有偏离，必须在偏离表中进行详细对比说明并注明正偏离和负偏离，如不说明偏离情况，视为完全响应采购文件要求无偏离</w:t>
      </w:r>
    </w:p>
    <w:p w14:paraId="5E3CEFD2">
      <w:pPr>
        <w:spacing w:line="46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484968CD">
      <w:pPr>
        <w:spacing w:line="46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r>
        <w:rPr>
          <w:rFonts w:hint="eastAsia" w:ascii="新宋体" w:hAnsi="新宋体" w:eastAsia="新宋体" w:cs="新宋体"/>
          <w:color w:val="auto"/>
          <w:sz w:val="22"/>
          <w:szCs w:val="22"/>
          <w:highlight w:val="none"/>
        </w:rPr>
        <w:t>：</w:t>
      </w:r>
    </w:p>
    <w:p w14:paraId="3B005771">
      <w:pPr>
        <w:spacing w:line="46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275023AB">
      <w:pPr>
        <w:rPr>
          <w:rFonts w:hint="eastAsia" w:ascii="新宋体" w:hAnsi="新宋体" w:eastAsia="新宋体" w:cs="新宋体"/>
          <w:b/>
          <w:color w:val="auto"/>
          <w:sz w:val="24"/>
          <w:highlight w:val="none"/>
        </w:rPr>
      </w:pPr>
      <w:bookmarkStart w:id="42" w:name="_Toc415152386"/>
      <w:r>
        <w:rPr>
          <w:rFonts w:hint="eastAsia" w:ascii="新宋体" w:hAnsi="新宋体" w:eastAsia="新宋体" w:cs="新宋体"/>
          <w:b/>
          <w:color w:val="auto"/>
          <w:sz w:val="24"/>
          <w:highlight w:val="none"/>
        </w:rPr>
        <w:br w:type="page"/>
      </w:r>
    </w:p>
    <w:p w14:paraId="01E796A2">
      <w:pPr>
        <w:spacing w:line="400" w:lineRule="exact"/>
        <w:jc w:val="center"/>
        <w:outlineLvl w:val="3"/>
        <w:rPr>
          <w:rFonts w:hint="eastAsia" w:ascii="新宋体" w:hAnsi="新宋体" w:eastAsia="新宋体" w:cs="新宋体"/>
          <w:b/>
          <w:bCs/>
          <w:color w:val="auto"/>
          <w:sz w:val="28"/>
          <w:szCs w:val="28"/>
          <w:highlight w:val="none"/>
          <w:lang w:val="zh-CN" w:eastAsia="zh-CN"/>
        </w:rPr>
      </w:pPr>
      <w:r>
        <w:rPr>
          <w:rFonts w:hint="eastAsia" w:ascii="新宋体" w:hAnsi="新宋体" w:eastAsia="新宋体" w:cs="新宋体"/>
          <w:b/>
          <w:bCs/>
          <w:color w:val="auto"/>
          <w:sz w:val="28"/>
          <w:szCs w:val="28"/>
          <w:highlight w:val="none"/>
          <w:lang w:val="en-US" w:eastAsia="zh-CN"/>
        </w:rPr>
        <w:t>5、</w:t>
      </w:r>
      <w:r>
        <w:rPr>
          <w:rFonts w:hint="eastAsia" w:ascii="新宋体" w:hAnsi="新宋体" w:eastAsia="新宋体" w:cs="新宋体"/>
          <w:b/>
          <w:bCs/>
          <w:color w:val="auto"/>
          <w:sz w:val="28"/>
          <w:szCs w:val="28"/>
          <w:highlight w:val="none"/>
          <w:lang w:val="zh-CN" w:eastAsia="zh-CN"/>
        </w:rPr>
        <w:t>详细供货清单说明一览表</w:t>
      </w:r>
    </w:p>
    <w:p w14:paraId="7FCDBC58">
      <w:pPr>
        <w:spacing w:line="360" w:lineRule="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WZLCZB（L）-2024-07264</w:t>
      </w:r>
    </w:p>
    <w:p w14:paraId="2D979132">
      <w:pPr>
        <w:spacing w:line="360" w:lineRule="auto"/>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儿童康复器材</w:t>
      </w:r>
    </w:p>
    <w:tbl>
      <w:tblPr>
        <w:tblStyle w:val="52"/>
        <w:tblpPr w:leftFromText="180" w:rightFromText="180" w:vertAnchor="text" w:horzAnchor="margin" w:tblpY="1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2"/>
        <w:gridCol w:w="2880"/>
        <w:gridCol w:w="1661"/>
        <w:gridCol w:w="1260"/>
        <w:gridCol w:w="1219"/>
      </w:tblGrid>
      <w:tr w14:paraId="7966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828" w:type="dxa"/>
            <w:shd w:val="clear" w:color="auto" w:fill="FFFFFF"/>
            <w:noWrap w:val="0"/>
            <w:vAlign w:val="center"/>
          </w:tcPr>
          <w:p w14:paraId="1C138031">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692" w:type="dxa"/>
            <w:shd w:val="clear" w:color="auto" w:fill="FFFFFF"/>
            <w:noWrap w:val="0"/>
            <w:vAlign w:val="center"/>
          </w:tcPr>
          <w:p w14:paraId="5CF21BC8">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设备名称</w:t>
            </w:r>
          </w:p>
        </w:tc>
        <w:tc>
          <w:tcPr>
            <w:tcW w:w="2880" w:type="dxa"/>
            <w:shd w:val="clear" w:color="auto" w:fill="FFFFFF"/>
            <w:noWrap w:val="0"/>
            <w:vAlign w:val="center"/>
          </w:tcPr>
          <w:p w14:paraId="273DAA5E">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规格及技术参数</w:t>
            </w:r>
          </w:p>
        </w:tc>
        <w:tc>
          <w:tcPr>
            <w:tcW w:w="1661" w:type="dxa"/>
            <w:shd w:val="clear" w:color="auto" w:fill="FFFFFF"/>
            <w:noWrap w:val="0"/>
            <w:vAlign w:val="center"/>
          </w:tcPr>
          <w:p w14:paraId="04A0708A">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w:t>
            </w:r>
          </w:p>
          <w:p w14:paraId="30E62E9D">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（生产厂家）</w:t>
            </w:r>
          </w:p>
        </w:tc>
        <w:tc>
          <w:tcPr>
            <w:tcW w:w="1260" w:type="dxa"/>
            <w:shd w:val="clear" w:color="auto" w:fill="FFFFFF"/>
            <w:noWrap w:val="0"/>
            <w:vAlign w:val="center"/>
          </w:tcPr>
          <w:p w14:paraId="2227953F">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1219" w:type="dxa"/>
            <w:shd w:val="clear" w:color="auto" w:fill="FFFFFF"/>
            <w:noWrap w:val="0"/>
            <w:vAlign w:val="center"/>
          </w:tcPr>
          <w:p w14:paraId="24A30784">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质保期</w:t>
            </w:r>
          </w:p>
        </w:tc>
      </w:tr>
      <w:tr w14:paraId="232B1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38D33CAD">
            <w:pPr>
              <w:spacing w:line="360" w:lineRule="auto"/>
              <w:jc w:val="center"/>
              <w:rPr>
                <w:rFonts w:hint="eastAsia" w:ascii="新宋体" w:hAnsi="新宋体" w:eastAsia="新宋体" w:cs="新宋体"/>
                <w:color w:val="auto"/>
                <w:sz w:val="22"/>
                <w:szCs w:val="22"/>
                <w:highlight w:val="none"/>
              </w:rPr>
            </w:pPr>
          </w:p>
        </w:tc>
        <w:tc>
          <w:tcPr>
            <w:tcW w:w="1692" w:type="dxa"/>
            <w:noWrap w:val="0"/>
            <w:vAlign w:val="center"/>
          </w:tcPr>
          <w:p w14:paraId="3639C919">
            <w:pPr>
              <w:spacing w:line="360" w:lineRule="auto"/>
              <w:jc w:val="center"/>
              <w:rPr>
                <w:rFonts w:hint="eastAsia" w:ascii="新宋体" w:hAnsi="新宋体" w:eastAsia="新宋体" w:cs="新宋体"/>
                <w:b/>
                <w:bCs/>
                <w:color w:val="auto"/>
                <w:sz w:val="22"/>
                <w:szCs w:val="22"/>
                <w:highlight w:val="none"/>
              </w:rPr>
            </w:pPr>
          </w:p>
        </w:tc>
        <w:tc>
          <w:tcPr>
            <w:tcW w:w="2880" w:type="dxa"/>
            <w:noWrap w:val="0"/>
            <w:vAlign w:val="center"/>
          </w:tcPr>
          <w:p w14:paraId="22107CA0">
            <w:pPr>
              <w:spacing w:line="360" w:lineRule="auto"/>
              <w:jc w:val="center"/>
              <w:rPr>
                <w:rFonts w:hint="eastAsia" w:ascii="新宋体" w:hAnsi="新宋体" w:eastAsia="新宋体" w:cs="新宋体"/>
                <w:b/>
                <w:bCs/>
                <w:color w:val="auto"/>
                <w:sz w:val="22"/>
                <w:szCs w:val="22"/>
                <w:highlight w:val="none"/>
              </w:rPr>
            </w:pPr>
          </w:p>
        </w:tc>
        <w:tc>
          <w:tcPr>
            <w:tcW w:w="1661" w:type="dxa"/>
            <w:noWrap w:val="0"/>
            <w:vAlign w:val="center"/>
          </w:tcPr>
          <w:p w14:paraId="5BA3CB51">
            <w:pPr>
              <w:spacing w:line="360" w:lineRule="auto"/>
              <w:jc w:val="center"/>
              <w:rPr>
                <w:rFonts w:hint="eastAsia" w:ascii="新宋体" w:hAnsi="新宋体" w:eastAsia="新宋体" w:cs="新宋体"/>
                <w:b/>
                <w:bCs/>
                <w:color w:val="auto"/>
                <w:sz w:val="22"/>
                <w:szCs w:val="22"/>
                <w:highlight w:val="none"/>
              </w:rPr>
            </w:pPr>
          </w:p>
        </w:tc>
        <w:tc>
          <w:tcPr>
            <w:tcW w:w="1260" w:type="dxa"/>
            <w:noWrap w:val="0"/>
            <w:vAlign w:val="center"/>
          </w:tcPr>
          <w:p w14:paraId="77D20B8C">
            <w:pPr>
              <w:spacing w:line="360" w:lineRule="auto"/>
              <w:jc w:val="center"/>
              <w:rPr>
                <w:rFonts w:hint="eastAsia" w:ascii="新宋体" w:hAnsi="新宋体" w:eastAsia="新宋体" w:cs="新宋体"/>
                <w:b/>
                <w:bCs/>
                <w:color w:val="auto"/>
                <w:sz w:val="22"/>
                <w:szCs w:val="22"/>
                <w:highlight w:val="none"/>
              </w:rPr>
            </w:pPr>
          </w:p>
        </w:tc>
        <w:tc>
          <w:tcPr>
            <w:tcW w:w="1219" w:type="dxa"/>
            <w:noWrap w:val="0"/>
            <w:vAlign w:val="top"/>
          </w:tcPr>
          <w:p w14:paraId="6BD86244">
            <w:pPr>
              <w:rPr>
                <w:rFonts w:hint="eastAsia" w:ascii="新宋体" w:hAnsi="新宋体" w:eastAsia="新宋体" w:cs="新宋体"/>
                <w:color w:val="auto"/>
                <w:sz w:val="22"/>
                <w:szCs w:val="22"/>
                <w:highlight w:val="none"/>
              </w:rPr>
            </w:pPr>
          </w:p>
        </w:tc>
      </w:tr>
      <w:tr w14:paraId="7117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03184359">
            <w:pPr>
              <w:spacing w:line="360" w:lineRule="auto"/>
              <w:jc w:val="center"/>
              <w:rPr>
                <w:rFonts w:hint="eastAsia" w:ascii="新宋体" w:hAnsi="新宋体" w:eastAsia="新宋体" w:cs="新宋体"/>
                <w:color w:val="auto"/>
                <w:sz w:val="22"/>
                <w:szCs w:val="22"/>
                <w:highlight w:val="none"/>
              </w:rPr>
            </w:pPr>
          </w:p>
        </w:tc>
        <w:tc>
          <w:tcPr>
            <w:tcW w:w="1692" w:type="dxa"/>
            <w:noWrap w:val="0"/>
            <w:vAlign w:val="center"/>
          </w:tcPr>
          <w:p w14:paraId="5C972DBF">
            <w:pPr>
              <w:spacing w:line="360" w:lineRule="auto"/>
              <w:jc w:val="center"/>
              <w:rPr>
                <w:rFonts w:hint="eastAsia" w:ascii="新宋体" w:hAnsi="新宋体" w:eastAsia="新宋体" w:cs="新宋体"/>
                <w:b/>
                <w:bCs/>
                <w:color w:val="auto"/>
                <w:sz w:val="22"/>
                <w:szCs w:val="22"/>
                <w:highlight w:val="none"/>
              </w:rPr>
            </w:pPr>
          </w:p>
        </w:tc>
        <w:tc>
          <w:tcPr>
            <w:tcW w:w="2880" w:type="dxa"/>
            <w:noWrap w:val="0"/>
            <w:vAlign w:val="center"/>
          </w:tcPr>
          <w:p w14:paraId="0E1C43C8">
            <w:pPr>
              <w:spacing w:line="360" w:lineRule="auto"/>
              <w:jc w:val="center"/>
              <w:rPr>
                <w:rFonts w:hint="eastAsia" w:ascii="新宋体" w:hAnsi="新宋体" w:eastAsia="新宋体" w:cs="新宋体"/>
                <w:b/>
                <w:bCs/>
                <w:color w:val="auto"/>
                <w:sz w:val="22"/>
                <w:szCs w:val="22"/>
                <w:highlight w:val="none"/>
              </w:rPr>
            </w:pPr>
          </w:p>
        </w:tc>
        <w:tc>
          <w:tcPr>
            <w:tcW w:w="1661" w:type="dxa"/>
            <w:noWrap w:val="0"/>
            <w:vAlign w:val="center"/>
          </w:tcPr>
          <w:p w14:paraId="1C5A9122">
            <w:pPr>
              <w:spacing w:line="360" w:lineRule="auto"/>
              <w:jc w:val="center"/>
              <w:rPr>
                <w:rFonts w:hint="eastAsia" w:ascii="新宋体" w:hAnsi="新宋体" w:eastAsia="新宋体" w:cs="新宋体"/>
                <w:b/>
                <w:bCs/>
                <w:color w:val="auto"/>
                <w:sz w:val="22"/>
                <w:szCs w:val="22"/>
                <w:highlight w:val="none"/>
              </w:rPr>
            </w:pPr>
          </w:p>
        </w:tc>
        <w:tc>
          <w:tcPr>
            <w:tcW w:w="1260" w:type="dxa"/>
            <w:noWrap w:val="0"/>
            <w:vAlign w:val="center"/>
          </w:tcPr>
          <w:p w14:paraId="1FC89C4C">
            <w:pPr>
              <w:spacing w:line="360" w:lineRule="auto"/>
              <w:jc w:val="center"/>
              <w:rPr>
                <w:rFonts w:hint="eastAsia" w:ascii="新宋体" w:hAnsi="新宋体" w:eastAsia="新宋体" w:cs="新宋体"/>
                <w:b/>
                <w:bCs/>
                <w:color w:val="auto"/>
                <w:sz w:val="22"/>
                <w:szCs w:val="22"/>
                <w:highlight w:val="none"/>
              </w:rPr>
            </w:pPr>
          </w:p>
        </w:tc>
        <w:tc>
          <w:tcPr>
            <w:tcW w:w="1219" w:type="dxa"/>
            <w:noWrap w:val="0"/>
            <w:vAlign w:val="top"/>
          </w:tcPr>
          <w:p w14:paraId="3604A475">
            <w:pPr>
              <w:rPr>
                <w:rFonts w:hint="eastAsia" w:ascii="新宋体" w:hAnsi="新宋体" w:eastAsia="新宋体" w:cs="新宋体"/>
                <w:color w:val="auto"/>
                <w:sz w:val="22"/>
                <w:szCs w:val="22"/>
                <w:highlight w:val="none"/>
              </w:rPr>
            </w:pPr>
          </w:p>
        </w:tc>
      </w:tr>
      <w:tr w14:paraId="15EA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21DDFFF6">
            <w:pPr>
              <w:spacing w:line="360" w:lineRule="auto"/>
              <w:jc w:val="center"/>
              <w:rPr>
                <w:rFonts w:hint="eastAsia" w:ascii="新宋体" w:hAnsi="新宋体" w:eastAsia="新宋体" w:cs="新宋体"/>
                <w:color w:val="auto"/>
                <w:sz w:val="22"/>
                <w:szCs w:val="22"/>
                <w:highlight w:val="none"/>
              </w:rPr>
            </w:pPr>
          </w:p>
        </w:tc>
        <w:tc>
          <w:tcPr>
            <w:tcW w:w="1692" w:type="dxa"/>
            <w:noWrap w:val="0"/>
            <w:vAlign w:val="center"/>
          </w:tcPr>
          <w:p w14:paraId="41838FF5">
            <w:pPr>
              <w:spacing w:line="360" w:lineRule="auto"/>
              <w:jc w:val="center"/>
              <w:rPr>
                <w:rFonts w:hint="eastAsia" w:ascii="新宋体" w:hAnsi="新宋体" w:eastAsia="新宋体" w:cs="新宋体"/>
                <w:b/>
                <w:bCs/>
                <w:color w:val="auto"/>
                <w:sz w:val="22"/>
                <w:szCs w:val="22"/>
                <w:highlight w:val="none"/>
              </w:rPr>
            </w:pPr>
          </w:p>
        </w:tc>
        <w:tc>
          <w:tcPr>
            <w:tcW w:w="2880" w:type="dxa"/>
            <w:noWrap w:val="0"/>
            <w:vAlign w:val="center"/>
          </w:tcPr>
          <w:p w14:paraId="295A1410">
            <w:pPr>
              <w:spacing w:line="360" w:lineRule="auto"/>
              <w:jc w:val="center"/>
              <w:rPr>
                <w:rFonts w:hint="eastAsia" w:ascii="新宋体" w:hAnsi="新宋体" w:eastAsia="新宋体" w:cs="新宋体"/>
                <w:b/>
                <w:bCs/>
                <w:color w:val="auto"/>
                <w:sz w:val="22"/>
                <w:szCs w:val="22"/>
                <w:highlight w:val="none"/>
              </w:rPr>
            </w:pPr>
          </w:p>
        </w:tc>
        <w:tc>
          <w:tcPr>
            <w:tcW w:w="1661" w:type="dxa"/>
            <w:noWrap w:val="0"/>
            <w:vAlign w:val="center"/>
          </w:tcPr>
          <w:p w14:paraId="7F0AED60">
            <w:pPr>
              <w:spacing w:line="360" w:lineRule="auto"/>
              <w:jc w:val="center"/>
              <w:rPr>
                <w:rFonts w:hint="eastAsia" w:ascii="新宋体" w:hAnsi="新宋体" w:eastAsia="新宋体" w:cs="新宋体"/>
                <w:b/>
                <w:bCs/>
                <w:color w:val="auto"/>
                <w:sz w:val="22"/>
                <w:szCs w:val="22"/>
                <w:highlight w:val="none"/>
              </w:rPr>
            </w:pPr>
          </w:p>
        </w:tc>
        <w:tc>
          <w:tcPr>
            <w:tcW w:w="1260" w:type="dxa"/>
            <w:noWrap w:val="0"/>
            <w:vAlign w:val="center"/>
          </w:tcPr>
          <w:p w14:paraId="63243BA3">
            <w:pPr>
              <w:spacing w:line="360" w:lineRule="auto"/>
              <w:jc w:val="center"/>
              <w:rPr>
                <w:rFonts w:hint="eastAsia" w:ascii="新宋体" w:hAnsi="新宋体" w:eastAsia="新宋体" w:cs="新宋体"/>
                <w:b/>
                <w:bCs/>
                <w:color w:val="auto"/>
                <w:sz w:val="22"/>
                <w:szCs w:val="22"/>
                <w:highlight w:val="none"/>
              </w:rPr>
            </w:pPr>
          </w:p>
        </w:tc>
        <w:tc>
          <w:tcPr>
            <w:tcW w:w="1219" w:type="dxa"/>
            <w:noWrap w:val="0"/>
            <w:vAlign w:val="top"/>
          </w:tcPr>
          <w:p w14:paraId="352BC5FD">
            <w:pPr>
              <w:rPr>
                <w:rFonts w:hint="eastAsia" w:ascii="新宋体" w:hAnsi="新宋体" w:eastAsia="新宋体" w:cs="新宋体"/>
                <w:color w:val="auto"/>
                <w:sz w:val="22"/>
                <w:szCs w:val="22"/>
                <w:highlight w:val="none"/>
              </w:rPr>
            </w:pPr>
          </w:p>
        </w:tc>
      </w:tr>
      <w:tr w14:paraId="7DEB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09F91CE5">
            <w:pPr>
              <w:spacing w:line="360" w:lineRule="auto"/>
              <w:jc w:val="center"/>
              <w:rPr>
                <w:rFonts w:hint="eastAsia" w:ascii="新宋体" w:hAnsi="新宋体" w:eastAsia="新宋体" w:cs="新宋体"/>
                <w:color w:val="auto"/>
                <w:sz w:val="22"/>
                <w:szCs w:val="22"/>
                <w:highlight w:val="none"/>
              </w:rPr>
            </w:pPr>
          </w:p>
        </w:tc>
        <w:tc>
          <w:tcPr>
            <w:tcW w:w="1692" w:type="dxa"/>
            <w:noWrap w:val="0"/>
            <w:vAlign w:val="center"/>
          </w:tcPr>
          <w:p w14:paraId="50F723D1">
            <w:pPr>
              <w:spacing w:line="360" w:lineRule="auto"/>
              <w:jc w:val="center"/>
              <w:rPr>
                <w:rFonts w:hint="eastAsia" w:ascii="新宋体" w:hAnsi="新宋体" w:eastAsia="新宋体" w:cs="新宋体"/>
                <w:b/>
                <w:bCs/>
                <w:color w:val="auto"/>
                <w:sz w:val="22"/>
                <w:szCs w:val="22"/>
                <w:highlight w:val="none"/>
              </w:rPr>
            </w:pPr>
          </w:p>
        </w:tc>
        <w:tc>
          <w:tcPr>
            <w:tcW w:w="2880" w:type="dxa"/>
            <w:noWrap w:val="0"/>
            <w:vAlign w:val="center"/>
          </w:tcPr>
          <w:p w14:paraId="13B186CC">
            <w:pPr>
              <w:spacing w:line="360" w:lineRule="auto"/>
              <w:jc w:val="center"/>
              <w:rPr>
                <w:rFonts w:hint="eastAsia" w:ascii="新宋体" w:hAnsi="新宋体" w:eastAsia="新宋体" w:cs="新宋体"/>
                <w:b/>
                <w:bCs/>
                <w:color w:val="auto"/>
                <w:sz w:val="22"/>
                <w:szCs w:val="22"/>
                <w:highlight w:val="none"/>
              </w:rPr>
            </w:pPr>
          </w:p>
        </w:tc>
        <w:tc>
          <w:tcPr>
            <w:tcW w:w="1661" w:type="dxa"/>
            <w:noWrap w:val="0"/>
            <w:vAlign w:val="center"/>
          </w:tcPr>
          <w:p w14:paraId="41CD67E3">
            <w:pPr>
              <w:spacing w:line="360" w:lineRule="auto"/>
              <w:jc w:val="center"/>
              <w:rPr>
                <w:rFonts w:hint="eastAsia" w:ascii="新宋体" w:hAnsi="新宋体" w:eastAsia="新宋体" w:cs="新宋体"/>
                <w:b/>
                <w:bCs/>
                <w:color w:val="auto"/>
                <w:sz w:val="22"/>
                <w:szCs w:val="22"/>
                <w:highlight w:val="none"/>
              </w:rPr>
            </w:pPr>
          </w:p>
        </w:tc>
        <w:tc>
          <w:tcPr>
            <w:tcW w:w="1260" w:type="dxa"/>
            <w:noWrap w:val="0"/>
            <w:vAlign w:val="center"/>
          </w:tcPr>
          <w:p w14:paraId="23629739">
            <w:pPr>
              <w:spacing w:line="360" w:lineRule="auto"/>
              <w:jc w:val="center"/>
              <w:rPr>
                <w:rFonts w:hint="eastAsia" w:ascii="新宋体" w:hAnsi="新宋体" w:eastAsia="新宋体" w:cs="新宋体"/>
                <w:b/>
                <w:bCs/>
                <w:color w:val="auto"/>
                <w:sz w:val="22"/>
                <w:szCs w:val="22"/>
                <w:highlight w:val="none"/>
              </w:rPr>
            </w:pPr>
          </w:p>
        </w:tc>
        <w:tc>
          <w:tcPr>
            <w:tcW w:w="1219" w:type="dxa"/>
            <w:noWrap w:val="0"/>
            <w:vAlign w:val="top"/>
          </w:tcPr>
          <w:p w14:paraId="5CC17EDA">
            <w:pPr>
              <w:rPr>
                <w:rFonts w:hint="eastAsia" w:ascii="新宋体" w:hAnsi="新宋体" w:eastAsia="新宋体" w:cs="新宋体"/>
                <w:color w:val="auto"/>
                <w:sz w:val="22"/>
                <w:szCs w:val="22"/>
                <w:highlight w:val="none"/>
              </w:rPr>
            </w:pPr>
          </w:p>
        </w:tc>
      </w:tr>
      <w:tr w14:paraId="39FE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1CB760C6">
            <w:pPr>
              <w:spacing w:line="360" w:lineRule="auto"/>
              <w:jc w:val="center"/>
              <w:rPr>
                <w:rFonts w:hint="eastAsia" w:ascii="新宋体" w:hAnsi="新宋体" w:eastAsia="新宋体" w:cs="新宋体"/>
                <w:color w:val="auto"/>
                <w:sz w:val="22"/>
                <w:szCs w:val="22"/>
                <w:highlight w:val="none"/>
              </w:rPr>
            </w:pPr>
          </w:p>
        </w:tc>
        <w:tc>
          <w:tcPr>
            <w:tcW w:w="1692" w:type="dxa"/>
            <w:noWrap w:val="0"/>
            <w:vAlign w:val="center"/>
          </w:tcPr>
          <w:p w14:paraId="1C1B42D5">
            <w:pPr>
              <w:spacing w:line="360" w:lineRule="auto"/>
              <w:jc w:val="center"/>
              <w:rPr>
                <w:rFonts w:hint="eastAsia" w:ascii="新宋体" w:hAnsi="新宋体" w:eastAsia="新宋体" w:cs="新宋体"/>
                <w:b/>
                <w:bCs/>
                <w:color w:val="auto"/>
                <w:sz w:val="22"/>
                <w:szCs w:val="22"/>
                <w:highlight w:val="none"/>
              </w:rPr>
            </w:pPr>
          </w:p>
        </w:tc>
        <w:tc>
          <w:tcPr>
            <w:tcW w:w="2880" w:type="dxa"/>
            <w:noWrap w:val="0"/>
            <w:vAlign w:val="center"/>
          </w:tcPr>
          <w:p w14:paraId="2B6F8FC4">
            <w:pPr>
              <w:spacing w:line="360" w:lineRule="auto"/>
              <w:jc w:val="center"/>
              <w:rPr>
                <w:rFonts w:hint="eastAsia" w:ascii="新宋体" w:hAnsi="新宋体" w:eastAsia="新宋体" w:cs="新宋体"/>
                <w:b/>
                <w:bCs/>
                <w:color w:val="auto"/>
                <w:sz w:val="22"/>
                <w:szCs w:val="22"/>
                <w:highlight w:val="none"/>
              </w:rPr>
            </w:pPr>
          </w:p>
        </w:tc>
        <w:tc>
          <w:tcPr>
            <w:tcW w:w="1661" w:type="dxa"/>
            <w:noWrap w:val="0"/>
            <w:vAlign w:val="center"/>
          </w:tcPr>
          <w:p w14:paraId="2E6C788F">
            <w:pPr>
              <w:spacing w:line="360" w:lineRule="auto"/>
              <w:jc w:val="center"/>
              <w:rPr>
                <w:rFonts w:hint="eastAsia" w:ascii="新宋体" w:hAnsi="新宋体" w:eastAsia="新宋体" w:cs="新宋体"/>
                <w:b/>
                <w:bCs/>
                <w:color w:val="auto"/>
                <w:sz w:val="22"/>
                <w:szCs w:val="22"/>
                <w:highlight w:val="none"/>
              </w:rPr>
            </w:pPr>
          </w:p>
        </w:tc>
        <w:tc>
          <w:tcPr>
            <w:tcW w:w="1260" w:type="dxa"/>
            <w:noWrap w:val="0"/>
            <w:vAlign w:val="center"/>
          </w:tcPr>
          <w:p w14:paraId="402FA75F">
            <w:pPr>
              <w:spacing w:line="360" w:lineRule="auto"/>
              <w:jc w:val="center"/>
              <w:rPr>
                <w:rFonts w:hint="eastAsia" w:ascii="新宋体" w:hAnsi="新宋体" w:eastAsia="新宋体" w:cs="新宋体"/>
                <w:b/>
                <w:bCs/>
                <w:color w:val="auto"/>
                <w:sz w:val="22"/>
                <w:szCs w:val="22"/>
                <w:highlight w:val="none"/>
              </w:rPr>
            </w:pPr>
          </w:p>
        </w:tc>
        <w:tc>
          <w:tcPr>
            <w:tcW w:w="1219" w:type="dxa"/>
            <w:noWrap w:val="0"/>
            <w:vAlign w:val="top"/>
          </w:tcPr>
          <w:p w14:paraId="3109CC84">
            <w:pPr>
              <w:rPr>
                <w:rFonts w:hint="eastAsia" w:ascii="新宋体" w:hAnsi="新宋体" w:eastAsia="新宋体" w:cs="新宋体"/>
                <w:color w:val="auto"/>
                <w:sz w:val="22"/>
                <w:szCs w:val="22"/>
                <w:highlight w:val="none"/>
              </w:rPr>
            </w:pPr>
          </w:p>
        </w:tc>
      </w:tr>
      <w:tr w14:paraId="0B24E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6EEC4D4B">
            <w:pPr>
              <w:spacing w:line="360" w:lineRule="auto"/>
              <w:jc w:val="center"/>
              <w:rPr>
                <w:rFonts w:hint="eastAsia" w:ascii="新宋体" w:hAnsi="新宋体" w:eastAsia="新宋体" w:cs="新宋体"/>
                <w:color w:val="auto"/>
                <w:sz w:val="22"/>
                <w:szCs w:val="22"/>
                <w:highlight w:val="none"/>
              </w:rPr>
            </w:pPr>
          </w:p>
        </w:tc>
        <w:tc>
          <w:tcPr>
            <w:tcW w:w="1692" w:type="dxa"/>
            <w:noWrap w:val="0"/>
            <w:vAlign w:val="center"/>
          </w:tcPr>
          <w:p w14:paraId="61F33DF1">
            <w:pPr>
              <w:spacing w:line="360" w:lineRule="auto"/>
              <w:jc w:val="center"/>
              <w:rPr>
                <w:rFonts w:hint="eastAsia" w:ascii="新宋体" w:hAnsi="新宋体" w:eastAsia="新宋体" w:cs="新宋体"/>
                <w:b/>
                <w:bCs/>
                <w:color w:val="auto"/>
                <w:sz w:val="22"/>
                <w:szCs w:val="22"/>
                <w:highlight w:val="none"/>
              </w:rPr>
            </w:pPr>
          </w:p>
        </w:tc>
        <w:tc>
          <w:tcPr>
            <w:tcW w:w="2880" w:type="dxa"/>
            <w:noWrap w:val="0"/>
            <w:vAlign w:val="center"/>
          </w:tcPr>
          <w:p w14:paraId="17D2C07D">
            <w:pPr>
              <w:spacing w:line="360" w:lineRule="auto"/>
              <w:jc w:val="center"/>
              <w:rPr>
                <w:rFonts w:hint="eastAsia" w:ascii="新宋体" w:hAnsi="新宋体" w:eastAsia="新宋体" w:cs="新宋体"/>
                <w:b/>
                <w:bCs/>
                <w:color w:val="auto"/>
                <w:sz w:val="22"/>
                <w:szCs w:val="22"/>
                <w:highlight w:val="none"/>
              </w:rPr>
            </w:pPr>
          </w:p>
        </w:tc>
        <w:tc>
          <w:tcPr>
            <w:tcW w:w="1661" w:type="dxa"/>
            <w:noWrap w:val="0"/>
            <w:vAlign w:val="center"/>
          </w:tcPr>
          <w:p w14:paraId="2BD6ABE4">
            <w:pPr>
              <w:spacing w:line="360" w:lineRule="auto"/>
              <w:jc w:val="center"/>
              <w:rPr>
                <w:rFonts w:hint="eastAsia" w:ascii="新宋体" w:hAnsi="新宋体" w:eastAsia="新宋体" w:cs="新宋体"/>
                <w:b/>
                <w:bCs/>
                <w:color w:val="auto"/>
                <w:sz w:val="22"/>
                <w:szCs w:val="22"/>
                <w:highlight w:val="none"/>
              </w:rPr>
            </w:pPr>
          </w:p>
        </w:tc>
        <w:tc>
          <w:tcPr>
            <w:tcW w:w="1260" w:type="dxa"/>
            <w:noWrap w:val="0"/>
            <w:vAlign w:val="center"/>
          </w:tcPr>
          <w:p w14:paraId="5B120B43">
            <w:pPr>
              <w:spacing w:line="360" w:lineRule="auto"/>
              <w:jc w:val="center"/>
              <w:rPr>
                <w:rFonts w:hint="eastAsia" w:ascii="新宋体" w:hAnsi="新宋体" w:eastAsia="新宋体" w:cs="新宋体"/>
                <w:b/>
                <w:bCs/>
                <w:color w:val="auto"/>
                <w:sz w:val="22"/>
                <w:szCs w:val="22"/>
                <w:highlight w:val="none"/>
              </w:rPr>
            </w:pPr>
          </w:p>
        </w:tc>
        <w:tc>
          <w:tcPr>
            <w:tcW w:w="1219" w:type="dxa"/>
            <w:noWrap w:val="0"/>
            <w:vAlign w:val="top"/>
          </w:tcPr>
          <w:p w14:paraId="0EADF180">
            <w:pPr>
              <w:rPr>
                <w:rFonts w:hint="eastAsia" w:ascii="新宋体" w:hAnsi="新宋体" w:eastAsia="新宋体" w:cs="新宋体"/>
                <w:color w:val="auto"/>
                <w:sz w:val="22"/>
                <w:szCs w:val="22"/>
                <w:highlight w:val="none"/>
              </w:rPr>
            </w:pPr>
          </w:p>
        </w:tc>
      </w:tr>
      <w:tr w14:paraId="66221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758FF4F5">
            <w:pPr>
              <w:spacing w:line="360" w:lineRule="auto"/>
              <w:jc w:val="center"/>
              <w:rPr>
                <w:rFonts w:hint="eastAsia" w:ascii="新宋体" w:hAnsi="新宋体" w:eastAsia="新宋体" w:cs="新宋体"/>
                <w:color w:val="auto"/>
                <w:sz w:val="22"/>
                <w:szCs w:val="22"/>
                <w:highlight w:val="none"/>
              </w:rPr>
            </w:pPr>
          </w:p>
        </w:tc>
        <w:tc>
          <w:tcPr>
            <w:tcW w:w="1692" w:type="dxa"/>
            <w:noWrap w:val="0"/>
            <w:vAlign w:val="center"/>
          </w:tcPr>
          <w:p w14:paraId="742F75F6">
            <w:pPr>
              <w:spacing w:line="360" w:lineRule="auto"/>
              <w:jc w:val="center"/>
              <w:rPr>
                <w:rFonts w:hint="eastAsia" w:ascii="新宋体" w:hAnsi="新宋体" w:eastAsia="新宋体" w:cs="新宋体"/>
                <w:color w:val="auto"/>
                <w:sz w:val="22"/>
                <w:szCs w:val="22"/>
                <w:highlight w:val="none"/>
              </w:rPr>
            </w:pPr>
          </w:p>
        </w:tc>
        <w:tc>
          <w:tcPr>
            <w:tcW w:w="2880" w:type="dxa"/>
            <w:noWrap w:val="0"/>
            <w:vAlign w:val="center"/>
          </w:tcPr>
          <w:p w14:paraId="489FC166">
            <w:pPr>
              <w:spacing w:line="360" w:lineRule="auto"/>
              <w:jc w:val="center"/>
              <w:rPr>
                <w:rFonts w:hint="eastAsia" w:ascii="新宋体" w:hAnsi="新宋体" w:eastAsia="新宋体" w:cs="新宋体"/>
                <w:b/>
                <w:bCs/>
                <w:color w:val="auto"/>
                <w:sz w:val="22"/>
                <w:szCs w:val="22"/>
                <w:highlight w:val="none"/>
              </w:rPr>
            </w:pPr>
          </w:p>
        </w:tc>
        <w:tc>
          <w:tcPr>
            <w:tcW w:w="1661" w:type="dxa"/>
            <w:noWrap w:val="0"/>
            <w:vAlign w:val="center"/>
          </w:tcPr>
          <w:p w14:paraId="7AA8516E">
            <w:pPr>
              <w:spacing w:line="360" w:lineRule="auto"/>
              <w:jc w:val="center"/>
              <w:rPr>
                <w:rFonts w:hint="eastAsia" w:ascii="新宋体" w:hAnsi="新宋体" w:eastAsia="新宋体" w:cs="新宋体"/>
                <w:b/>
                <w:bCs/>
                <w:color w:val="auto"/>
                <w:sz w:val="22"/>
                <w:szCs w:val="22"/>
                <w:highlight w:val="none"/>
              </w:rPr>
            </w:pPr>
          </w:p>
        </w:tc>
        <w:tc>
          <w:tcPr>
            <w:tcW w:w="1260" w:type="dxa"/>
            <w:noWrap w:val="0"/>
            <w:vAlign w:val="center"/>
          </w:tcPr>
          <w:p w14:paraId="5900E1F1">
            <w:pPr>
              <w:spacing w:line="360" w:lineRule="auto"/>
              <w:jc w:val="center"/>
              <w:rPr>
                <w:rFonts w:hint="eastAsia" w:ascii="新宋体" w:hAnsi="新宋体" w:eastAsia="新宋体" w:cs="新宋体"/>
                <w:b/>
                <w:bCs/>
                <w:color w:val="auto"/>
                <w:sz w:val="22"/>
                <w:szCs w:val="22"/>
                <w:highlight w:val="none"/>
              </w:rPr>
            </w:pPr>
          </w:p>
        </w:tc>
        <w:tc>
          <w:tcPr>
            <w:tcW w:w="1219" w:type="dxa"/>
            <w:noWrap w:val="0"/>
            <w:vAlign w:val="top"/>
          </w:tcPr>
          <w:p w14:paraId="3167903F">
            <w:pPr>
              <w:rPr>
                <w:rFonts w:hint="eastAsia" w:ascii="新宋体" w:hAnsi="新宋体" w:eastAsia="新宋体" w:cs="新宋体"/>
                <w:color w:val="auto"/>
                <w:sz w:val="22"/>
                <w:szCs w:val="22"/>
                <w:highlight w:val="none"/>
              </w:rPr>
            </w:pPr>
          </w:p>
        </w:tc>
      </w:tr>
      <w:tr w14:paraId="34E24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1C0AA38E">
            <w:pPr>
              <w:spacing w:line="360" w:lineRule="auto"/>
              <w:jc w:val="center"/>
              <w:rPr>
                <w:rFonts w:hint="eastAsia" w:ascii="新宋体" w:hAnsi="新宋体" w:eastAsia="新宋体" w:cs="新宋体"/>
                <w:color w:val="auto"/>
                <w:sz w:val="22"/>
                <w:szCs w:val="22"/>
                <w:highlight w:val="none"/>
              </w:rPr>
            </w:pPr>
          </w:p>
        </w:tc>
        <w:tc>
          <w:tcPr>
            <w:tcW w:w="1692" w:type="dxa"/>
            <w:noWrap w:val="0"/>
            <w:vAlign w:val="center"/>
          </w:tcPr>
          <w:p w14:paraId="089CE72D">
            <w:pPr>
              <w:spacing w:line="360" w:lineRule="auto"/>
              <w:jc w:val="center"/>
              <w:rPr>
                <w:rFonts w:hint="eastAsia" w:ascii="新宋体" w:hAnsi="新宋体" w:eastAsia="新宋体" w:cs="新宋体"/>
                <w:b/>
                <w:bCs/>
                <w:color w:val="auto"/>
                <w:sz w:val="22"/>
                <w:szCs w:val="22"/>
                <w:highlight w:val="none"/>
              </w:rPr>
            </w:pPr>
          </w:p>
        </w:tc>
        <w:tc>
          <w:tcPr>
            <w:tcW w:w="2880" w:type="dxa"/>
            <w:noWrap w:val="0"/>
            <w:vAlign w:val="center"/>
          </w:tcPr>
          <w:p w14:paraId="4611208B">
            <w:pPr>
              <w:spacing w:line="360" w:lineRule="auto"/>
              <w:jc w:val="center"/>
              <w:rPr>
                <w:rFonts w:hint="eastAsia" w:ascii="新宋体" w:hAnsi="新宋体" w:eastAsia="新宋体" w:cs="新宋体"/>
                <w:color w:val="auto"/>
                <w:sz w:val="22"/>
                <w:szCs w:val="22"/>
                <w:highlight w:val="none"/>
              </w:rPr>
            </w:pPr>
          </w:p>
        </w:tc>
        <w:tc>
          <w:tcPr>
            <w:tcW w:w="1661" w:type="dxa"/>
            <w:noWrap w:val="0"/>
            <w:vAlign w:val="center"/>
          </w:tcPr>
          <w:p w14:paraId="499D2CC1">
            <w:pPr>
              <w:spacing w:line="360" w:lineRule="auto"/>
              <w:jc w:val="center"/>
              <w:rPr>
                <w:rFonts w:hint="eastAsia" w:ascii="新宋体" w:hAnsi="新宋体" w:eastAsia="新宋体" w:cs="新宋体"/>
                <w:b/>
                <w:bCs/>
                <w:color w:val="auto"/>
                <w:sz w:val="22"/>
                <w:szCs w:val="22"/>
                <w:highlight w:val="none"/>
              </w:rPr>
            </w:pPr>
          </w:p>
        </w:tc>
        <w:tc>
          <w:tcPr>
            <w:tcW w:w="1260" w:type="dxa"/>
            <w:noWrap w:val="0"/>
            <w:vAlign w:val="center"/>
          </w:tcPr>
          <w:p w14:paraId="3A4CBA54">
            <w:pPr>
              <w:spacing w:line="360" w:lineRule="auto"/>
              <w:jc w:val="center"/>
              <w:rPr>
                <w:rFonts w:hint="eastAsia" w:ascii="新宋体" w:hAnsi="新宋体" w:eastAsia="新宋体" w:cs="新宋体"/>
                <w:b/>
                <w:bCs/>
                <w:color w:val="auto"/>
                <w:sz w:val="22"/>
                <w:szCs w:val="22"/>
                <w:highlight w:val="none"/>
              </w:rPr>
            </w:pPr>
          </w:p>
        </w:tc>
        <w:tc>
          <w:tcPr>
            <w:tcW w:w="1219" w:type="dxa"/>
            <w:noWrap w:val="0"/>
            <w:vAlign w:val="top"/>
          </w:tcPr>
          <w:p w14:paraId="6719DB8C">
            <w:pPr>
              <w:rPr>
                <w:rFonts w:hint="eastAsia" w:ascii="新宋体" w:hAnsi="新宋体" w:eastAsia="新宋体" w:cs="新宋体"/>
                <w:color w:val="auto"/>
                <w:sz w:val="22"/>
                <w:szCs w:val="22"/>
                <w:highlight w:val="none"/>
              </w:rPr>
            </w:pPr>
          </w:p>
        </w:tc>
      </w:tr>
      <w:tr w14:paraId="50FE8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78ED86A7">
            <w:pPr>
              <w:spacing w:line="360" w:lineRule="auto"/>
              <w:jc w:val="center"/>
              <w:rPr>
                <w:rFonts w:hint="eastAsia" w:ascii="新宋体" w:hAnsi="新宋体" w:eastAsia="新宋体" w:cs="新宋体"/>
                <w:color w:val="auto"/>
                <w:sz w:val="22"/>
                <w:szCs w:val="22"/>
                <w:highlight w:val="none"/>
              </w:rPr>
            </w:pPr>
          </w:p>
        </w:tc>
        <w:tc>
          <w:tcPr>
            <w:tcW w:w="1692" w:type="dxa"/>
            <w:noWrap w:val="0"/>
            <w:vAlign w:val="center"/>
          </w:tcPr>
          <w:p w14:paraId="6FF3F44F">
            <w:pPr>
              <w:spacing w:line="360" w:lineRule="auto"/>
              <w:jc w:val="center"/>
              <w:rPr>
                <w:rFonts w:hint="eastAsia" w:ascii="新宋体" w:hAnsi="新宋体" w:eastAsia="新宋体" w:cs="新宋体"/>
                <w:color w:val="auto"/>
                <w:sz w:val="22"/>
                <w:szCs w:val="22"/>
                <w:highlight w:val="none"/>
              </w:rPr>
            </w:pPr>
          </w:p>
        </w:tc>
        <w:tc>
          <w:tcPr>
            <w:tcW w:w="2880" w:type="dxa"/>
            <w:noWrap w:val="0"/>
            <w:vAlign w:val="top"/>
          </w:tcPr>
          <w:p w14:paraId="420BD57A">
            <w:pPr>
              <w:spacing w:line="360" w:lineRule="auto"/>
              <w:rPr>
                <w:rFonts w:hint="eastAsia" w:ascii="新宋体" w:hAnsi="新宋体" w:eastAsia="新宋体" w:cs="新宋体"/>
                <w:b/>
                <w:bCs/>
                <w:color w:val="auto"/>
                <w:sz w:val="22"/>
                <w:szCs w:val="22"/>
                <w:highlight w:val="none"/>
              </w:rPr>
            </w:pPr>
          </w:p>
        </w:tc>
        <w:tc>
          <w:tcPr>
            <w:tcW w:w="1661" w:type="dxa"/>
            <w:noWrap w:val="0"/>
            <w:vAlign w:val="center"/>
          </w:tcPr>
          <w:p w14:paraId="2E1B7B24">
            <w:pPr>
              <w:spacing w:line="360" w:lineRule="auto"/>
              <w:jc w:val="center"/>
              <w:rPr>
                <w:rFonts w:hint="eastAsia" w:ascii="新宋体" w:hAnsi="新宋体" w:eastAsia="新宋体" w:cs="新宋体"/>
                <w:b/>
                <w:bCs/>
                <w:color w:val="auto"/>
                <w:sz w:val="22"/>
                <w:szCs w:val="22"/>
                <w:highlight w:val="none"/>
              </w:rPr>
            </w:pPr>
          </w:p>
        </w:tc>
        <w:tc>
          <w:tcPr>
            <w:tcW w:w="1260" w:type="dxa"/>
            <w:noWrap w:val="0"/>
            <w:vAlign w:val="center"/>
          </w:tcPr>
          <w:p w14:paraId="1552F9D4">
            <w:pPr>
              <w:spacing w:line="360" w:lineRule="auto"/>
              <w:jc w:val="center"/>
              <w:rPr>
                <w:rFonts w:hint="eastAsia" w:ascii="新宋体" w:hAnsi="新宋体" w:eastAsia="新宋体" w:cs="新宋体"/>
                <w:b/>
                <w:bCs/>
                <w:color w:val="auto"/>
                <w:sz w:val="22"/>
                <w:szCs w:val="22"/>
                <w:highlight w:val="none"/>
              </w:rPr>
            </w:pPr>
          </w:p>
        </w:tc>
        <w:tc>
          <w:tcPr>
            <w:tcW w:w="1219" w:type="dxa"/>
            <w:noWrap w:val="0"/>
            <w:vAlign w:val="top"/>
          </w:tcPr>
          <w:p w14:paraId="222E6237">
            <w:pPr>
              <w:rPr>
                <w:rFonts w:hint="eastAsia" w:ascii="新宋体" w:hAnsi="新宋体" w:eastAsia="新宋体" w:cs="新宋体"/>
                <w:color w:val="auto"/>
                <w:sz w:val="22"/>
                <w:szCs w:val="22"/>
                <w:highlight w:val="none"/>
              </w:rPr>
            </w:pPr>
          </w:p>
        </w:tc>
      </w:tr>
      <w:tr w14:paraId="7BBBD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13B0B3C6">
            <w:pPr>
              <w:spacing w:line="360" w:lineRule="auto"/>
              <w:jc w:val="center"/>
              <w:rPr>
                <w:rFonts w:hint="eastAsia" w:ascii="新宋体" w:hAnsi="新宋体" w:eastAsia="新宋体" w:cs="新宋体"/>
                <w:color w:val="auto"/>
                <w:sz w:val="22"/>
                <w:szCs w:val="22"/>
                <w:highlight w:val="none"/>
              </w:rPr>
            </w:pPr>
          </w:p>
        </w:tc>
        <w:tc>
          <w:tcPr>
            <w:tcW w:w="1692" w:type="dxa"/>
            <w:noWrap w:val="0"/>
            <w:vAlign w:val="center"/>
          </w:tcPr>
          <w:p w14:paraId="2CCC3726">
            <w:pPr>
              <w:spacing w:line="360" w:lineRule="auto"/>
              <w:jc w:val="center"/>
              <w:rPr>
                <w:rFonts w:hint="eastAsia" w:ascii="新宋体" w:hAnsi="新宋体" w:eastAsia="新宋体" w:cs="新宋体"/>
                <w:b/>
                <w:bCs/>
                <w:color w:val="auto"/>
                <w:sz w:val="22"/>
                <w:szCs w:val="22"/>
                <w:highlight w:val="none"/>
              </w:rPr>
            </w:pPr>
          </w:p>
        </w:tc>
        <w:tc>
          <w:tcPr>
            <w:tcW w:w="2880" w:type="dxa"/>
            <w:noWrap w:val="0"/>
            <w:vAlign w:val="top"/>
          </w:tcPr>
          <w:p w14:paraId="3C5B4E05">
            <w:pPr>
              <w:spacing w:line="360" w:lineRule="auto"/>
              <w:rPr>
                <w:rFonts w:hint="eastAsia" w:ascii="新宋体" w:hAnsi="新宋体" w:eastAsia="新宋体" w:cs="新宋体"/>
                <w:color w:val="auto"/>
                <w:sz w:val="22"/>
                <w:szCs w:val="22"/>
                <w:highlight w:val="none"/>
              </w:rPr>
            </w:pPr>
          </w:p>
        </w:tc>
        <w:tc>
          <w:tcPr>
            <w:tcW w:w="1661" w:type="dxa"/>
            <w:noWrap w:val="0"/>
            <w:vAlign w:val="center"/>
          </w:tcPr>
          <w:p w14:paraId="7D236407">
            <w:pPr>
              <w:spacing w:line="360" w:lineRule="auto"/>
              <w:jc w:val="center"/>
              <w:rPr>
                <w:rFonts w:hint="eastAsia" w:ascii="新宋体" w:hAnsi="新宋体" w:eastAsia="新宋体" w:cs="新宋体"/>
                <w:b/>
                <w:bCs/>
                <w:color w:val="auto"/>
                <w:sz w:val="22"/>
                <w:szCs w:val="22"/>
                <w:highlight w:val="none"/>
              </w:rPr>
            </w:pPr>
          </w:p>
        </w:tc>
        <w:tc>
          <w:tcPr>
            <w:tcW w:w="1260" w:type="dxa"/>
            <w:noWrap w:val="0"/>
            <w:vAlign w:val="center"/>
          </w:tcPr>
          <w:p w14:paraId="1000B8F2">
            <w:pPr>
              <w:spacing w:line="360" w:lineRule="auto"/>
              <w:jc w:val="center"/>
              <w:rPr>
                <w:rFonts w:hint="eastAsia" w:ascii="新宋体" w:hAnsi="新宋体" w:eastAsia="新宋体" w:cs="新宋体"/>
                <w:b/>
                <w:bCs/>
                <w:color w:val="auto"/>
                <w:sz w:val="22"/>
                <w:szCs w:val="22"/>
                <w:highlight w:val="none"/>
              </w:rPr>
            </w:pPr>
          </w:p>
        </w:tc>
        <w:tc>
          <w:tcPr>
            <w:tcW w:w="1219" w:type="dxa"/>
            <w:noWrap w:val="0"/>
            <w:vAlign w:val="top"/>
          </w:tcPr>
          <w:p w14:paraId="2167152D">
            <w:pPr>
              <w:rPr>
                <w:rFonts w:hint="eastAsia" w:ascii="新宋体" w:hAnsi="新宋体" w:eastAsia="新宋体" w:cs="新宋体"/>
                <w:color w:val="auto"/>
                <w:sz w:val="22"/>
                <w:szCs w:val="22"/>
                <w:highlight w:val="none"/>
              </w:rPr>
            </w:pPr>
          </w:p>
        </w:tc>
      </w:tr>
      <w:tr w14:paraId="7BAC0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17361777">
            <w:pPr>
              <w:spacing w:line="360" w:lineRule="auto"/>
              <w:jc w:val="center"/>
              <w:rPr>
                <w:rFonts w:hint="eastAsia" w:ascii="新宋体" w:hAnsi="新宋体" w:eastAsia="新宋体" w:cs="新宋体"/>
                <w:color w:val="auto"/>
                <w:sz w:val="22"/>
                <w:szCs w:val="22"/>
                <w:highlight w:val="none"/>
              </w:rPr>
            </w:pPr>
          </w:p>
        </w:tc>
        <w:tc>
          <w:tcPr>
            <w:tcW w:w="1692" w:type="dxa"/>
            <w:noWrap w:val="0"/>
            <w:vAlign w:val="center"/>
          </w:tcPr>
          <w:p w14:paraId="45AC148D">
            <w:pPr>
              <w:spacing w:line="360" w:lineRule="auto"/>
              <w:jc w:val="center"/>
              <w:rPr>
                <w:rFonts w:hint="eastAsia" w:ascii="新宋体" w:hAnsi="新宋体" w:eastAsia="新宋体" w:cs="新宋体"/>
                <w:color w:val="auto"/>
                <w:sz w:val="22"/>
                <w:szCs w:val="22"/>
                <w:highlight w:val="none"/>
              </w:rPr>
            </w:pPr>
          </w:p>
        </w:tc>
        <w:tc>
          <w:tcPr>
            <w:tcW w:w="2880" w:type="dxa"/>
            <w:noWrap w:val="0"/>
            <w:vAlign w:val="top"/>
          </w:tcPr>
          <w:p w14:paraId="75A0846F">
            <w:pPr>
              <w:spacing w:line="360" w:lineRule="auto"/>
              <w:rPr>
                <w:rFonts w:hint="eastAsia" w:ascii="新宋体" w:hAnsi="新宋体" w:eastAsia="新宋体" w:cs="新宋体"/>
                <w:color w:val="auto"/>
                <w:sz w:val="22"/>
                <w:szCs w:val="22"/>
                <w:highlight w:val="none"/>
              </w:rPr>
            </w:pPr>
          </w:p>
        </w:tc>
        <w:tc>
          <w:tcPr>
            <w:tcW w:w="1661" w:type="dxa"/>
            <w:noWrap w:val="0"/>
            <w:vAlign w:val="center"/>
          </w:tcPr>
          <w:p w14:paraId="50CD2B3E">
            <w:pPr>
              <w:spacing w:line="360" w:lineRule="auto"/>
              <w:jc w:val="center"/>
              <w:rPr>
                <w:rFonts w:hint="eastAsia" w:ascii="新宋体" w:hAnsi="新宋体" w:eastAsia="新宋体" w:cs="新宋体"/>
                <w:b/>
                <w:bCs/>
                <w:color w:val="auto"/>
                <w:sz w:val="22"/>
                <w:szCs w:val="22"/>
                <w:highlight w:val="none"/>
              </w:rPr>
            </w:pPr>
          </w:p>
        </w:tc>
        <w:tc>
          <w:tcPr>
            <w:tcW w:w="1260" w:type="dxa"/>
            <w:noWrap w:val="0"/>
            <w:vAlign w:val="center"/>
          </w:tcPr>
          <w:p w14:paraId="5BC31CA8">
            <w:pPr>
              <w:spacing w:line="360" w:lineRule="auto"/>
              <w:jc w:val="center"/>
              <w:rPr>
                <w:rFonts w:hint="eastAsia" w:ascii="新宋体" w:hAnsi="新宋体" w:eastAsia="新宋体" w:cs="新宋体"/>
                <w:b/>
                <w:bCs/>
                <w:color w:val="auto"/>
                <w:sz w:val="22"/>
                <w:szCs w:val="22"/>
                <w:highlight w:val="none"/>
              </w:rPr>
            </w:pPr>
          </w:p>
        </w:tc>
        <w:tc>
          <w:tcPr>
            <w:tcW w:w="1219" w:type="dxa"/>
            <w:noWrap w:val="0"/>
            <w:vAlign w:val="top"/>
          </w:tcPr>
          <w:p w14:paraId="1C23B875">
            <w:pPr>
              <w:rPr>
                <w:rFonts w:hint="eastAsia" w:ascii="新宋体" w:hAnsi="新宋体" w:eastAsia="新宋体" w:cs="新宋体"/>
                <w:color w:val="auto"/>
                <w:sz w:val="22"/>
                <w:szCs w:val="22"/>
                <w:highlight w:val="none"/>
              </w:rPr>
            </w:pPr>
          </w:p>
        </w:tc>
      </w:tr>
      <w:tr w14:paraId="24C8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50D9A155">
            <w:pPr>
              <w:spacing w:line="360" w:lineRule="auto"/>
              <w:jc w:val="center"/>
              <w:rPr>
                <w:rFonts w:hint="eastAsia" w:ascii="新宋体" w:hAnsi="新宋体" w:eastAsia="新宋体" w:cs="新宋体"/>
                <w:color w:val="auto"/>
                <w:sz w:val="22"/>
                <w:szCs w:val="22"/>
                <w:highlight w:val="none"/>
              </w:rPr>
            </w:pPr>
          </w:p>
        </w:tc>
        <w:tc>
          <w:tcPr>
            <w:tcW w:w="1692" w:type="dxa"/>
            <w:noWrap w:val="0"/>
            <w:vAlign w:val="center"/>
          </w:tcPr>
          <w:p w14:paraId="69F5C053">
            <w:pPr>
              <w:spacing w:line="360" w:lineRule="auto"/>
              <w:jc w:val="center"/>
              <w:rPr>
                <w:rFonts w:hint="eastAsia" w:ascii="新宋体" w:hAnsi="新宋体" w:eastAsia="新宋体" w:cs="新宋体"/>
                <w:color w:val="auto"/>
                <w:sz w:val="22"/>
                <w:szCs w:val="22"/>
                <w:highlight w:val="none"/>
              </w:rPr>
            </w:pPr>
          </w:p>
        </w:tc>
        <w:tc>
          <w:tcPr>
            <w:tcW w:w="2880" w:type="dxa"/>
            <w:noWrap w:val="0"/>
            <w:vAlign w:val="top"/>
          </w:tcPr>
          <w:p w14:paraId="6992780A">
            <w:pPr>
              <w:spacing w:line="360" w:lineRule="auto"/>
              <w:rPr>
                <w:rFonts w:hint="eastAsia" w:ascii="新宋体" w:hAnsi="新宋体" w:eastAsia="新宋体" w:cs="新宋体"/>
                <w:color w:val="auto"/>
                <w:sz w:val="22"/>
                <w:szCs w:val="22"/>
                <w:highlight w:val="none"/>
              </w:rPr>
            </w:pPr>
          </w:p>
        </w:tc>
        <w:tc>
          <w:tcPr>
            <w:tcW w:w="1661" w:type="dxa"/>
            <w:noWrap w:val="0"/>
            <w:vAlign w:val="center"/>
          </w:tcPr>
          <w:p w14:paraId="6007AD97">
            <w:pPr>
              <w:spacing w:line="360" w:lineRule="auto"/>
              <w:jc w:val="center"/>
              <w:rPr>
                <w:rFonts w:hint="eastAsia" w:ascii="新宋体" w:hAnsi="新宋体" w:eastAsia="新宋体" w:cs="新宋体"/>
                <w:b/>
                <w:bCs/>
                <w:color w:val="auto"/>
                <w:sz w:val="22"/>
                <w:szCs w:val="22"/>
                <w:highlight w:val="none"/>
              </w:rPr>
            </w:pPr>
          </w:p>
        </w:tc>
        <w:tc>
          <w:tcPr>
            <w:tcW w:w="1260" w:type="dxa"/>
            <w:noWrap w:val="0"/>
            <w:vAlign w:val="center"/>
          </w:tcPr>
          <w:p w14:paraId="0B789FFE">
            <w:pPr>
              <w:spacing w:line="360" w:lineRule="auto"/>
              <w:jc w:val="center"/>
              <w:rPr>
                <w:rFonts w:hint="eastAsia" w:ascii="新宋体" w:hAnsi="新宋体" w:eastAsia="新宋体" w:cs="新宋体"/>
                <w:b/>
                <w:bCs/>
                <w:color w:val="auto"/>
                <w:sz w:val="22"/>
                <w:szCs w:val="22"/>
                <w:highlight w:val="none"/>
              </w:rPr>
            </w:pPr>
          </w:p>
        </w:tc>
        <w:tc>
          <w:tcPr>
            <w:tcW w:w="1219" w:type="dxa"/>
            <w:noWrap w:val="0"/>
            <w:vAlign w:val="top"/>
          </w:tcPr>
          <w:p w14:paraId="03B83D97">
            <w:pPr>
              <w:rPr>
                <w:rFonts w:hint="eastAsia" w:ascii="新宋体" w:hAnsi="新宋体" w:eastAsia="新宋体" w:cs="新宋体"/>
                <w:color w:val="auto"/>
                <w:sz w:val="22"/>
                <w:szCs w:val="22"/>
                <w:highlight w:val="none"/>
              </w:rPr>
            </w:pPr>
          </w:p>
        </w:tc>
      </w:tr>
      <w:tr w14:paraId="31566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0608149C">
            <w:pPr>
              <w:spacing w:line="360" w:lineRule="auto"/>
              <w:jc w:val="center"/>
              <w:rPr>
                <w:rFonts w:hint="eastAsia" w:ascii="新宋体" w:hAnsi="新宋体" w:eastAsia="新宋体" w:cs="新宋体"/>
                <w:color w:val="auto"/>
                <w:sz w:val="22"/>
                <w:szCs w:val="22"/>
                <w:highlight w:val="none"/>
              </w:rPr>
            </w:pPr>
          </w:p>
        </w:tc>
        <w:tc>
          <w:tcPr>
            <w:tcW w:w="1692" w:type="dxa"/>
            <w:noWrap w:val="0"/>
            <w:vAlign w:val="center"/>
          </w:tcPr>
          <w:p w14:paraId="4D63F8D4">
            <w:pPr>
              <w:spacing w:line="360" w:lineRule="auto"/>
              <w:jc w:val="center"/>
              <w:rPr>
                <w:rFonts w:hint="eastAsia" w:ascii="新宋体" w:hAnsi="新宋体" w:eastAsia="新宋体" w:cs="新宋体"/>
                <w:b/>
                <w:bCs/>
                <w:color w:val="auto"/>
                <w:sz w:val="22"/>
                <w:szCs w:val="22"/>
                <w:highlight w:val="none"/>
              </w:rPr>
            </w:pPr>
          </w:p>
        </w:tc>
        <w:tc>
          <w:tcPr>
            <w:tcW w:w="2880" w:type="dxa"/>
            <w:noWrap w:val="0"/>
            <w:vAlign w:val="center"/>
          </w:tcPr>
          <w:p w14:paraId="29F77377">
            <w:pPr>
              <w:spacing w:line="360" w:lineRule="auto"/>
              <w:jc w:val="center"/>
              <w:rPr>
                <w:rFonts w:hint="eastAsia" w:ascii="新宋体" w:hAnsi="新宋体" w:eastAsia="新宋体" w:cs="新宋体"/>
                <w:b/>
                <w:bCs/>
                <w:color w:val="auto"/>
                <w:sz w:val="22"/>
                <w:szCs w:val="22"/>
                <w:highlight w:val="none"/>
              </w:rPr>
            </w:pPr>
          </w:p>
        </w:tc>
        <w:tc>
          <w:tcPr>
            <w:tcW w:w="1661" w:type="dxa"/>
            <w:noWrap w:val="0"/>
            <w:vAlign w:val="center"/>
          </w:tcPr>
          <w:p w14:paraId="15970747">
            <w:pPr>
              <w:spacing w:line="360" w:lineRule="auto"/>
              <w:jc w:val="center"/>
              <w:rPr>
                <w:rFonts w:hint="eastAsia" w:ascii="新宋体" w:hAnsi="新宋体" w:eastAsia="新宋体" w:cs="新宋体"/>
                <w:b/>
                <w:bCs/>
                <w:color w:val="auto"/>
                <w:sz w:val="22"/>
                <w:szCs w:val="22"/>
                <w:highlight w:val="none"/>
              </w:rPr>
            </w:pPr>
          </w:p>
        </w:tc>
        <w:tc>
          <w:tcPr>
            <w:tcW w:w="1260" w:type="dxa"/>
            <w:noWrap w:val="0"/>
            <w:vAlign w:val="center"/>
          </w:tcPr>
          <w:p w14:paraId="16652F4C">
            <w:pPr>
              <w:spacing w:line="360" w:lineRule="auto"/>
              <w:jc w:val="center"/>
              <w:rPr>
                <w:rFonts w:hint="eastAsia" w:ascii="新宋体" w:hAnsi="新宋体" w:eastAsia="新宋体" w:cs="新宋体"/>
                <w:b/>
                <w:bCs/>
                <w:color w:val="auto"/>
                <w:sz w:val="22"/>
                <w:szCs w:val="22"/>
                <w:highlight w:val="none"/>
              </w:rPr>
            </w:pPr>
          </w:p>
        </w:tc>
        <w:tc>
          <w:tcPr>
            <w:tcW w:w="1219" w:type="dxa"/>
            <w:noWrap w:val="0"/>
            <w:vAlign w:val="top"/>
          </w:tcPr>
          <w:p w14:paraId="4CFA8C77">
            <w:pPr>
              <w:rPr>
                <w:rFonts w:hint="eastAsia" w:ascii="新宋体" w:hAnsi="新宋体" w:eastAsia="新宋体" w:cs="新宋体"/>
                <w:color w:val="auto"/>
                <w:sz w:val="22"/>
                <w:szCs w:val="22"/>
                <w:highlight w:val="none"/>
              </w:rPr>
            </w:pPr>
          </w:p>
        </w:tc>
      </w:tr>
      <w:tr w14:paraId="79226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1AE94F5D">
            <w:pPr>
              <w:spacing w:line="360" w:lineRule="auto"/>
              <w:jc w:val="center"/>
              <w:rPr>
                <w:rFonts w:hint="eastAsia" w:ascii="新宋体" w:hAnsi="新宋体" w:eastAsia="新宋体" w:cs="新宋体"/>
                <w:color w:val="auto"/>
                <w:sz w:val="22"/>
                <w:szCs w:val="22"/>
                <w:highlight w:val="none"/>
              </w:rPr>
            </w:pPr>
          </w:p>
        </w:tc>
        <w:tc>
          <w:tcPr>
            <w:tcW w:w="1692" w:type="dxa"/>
            <w:noWrap w:val="0"/>
            <w:vAlign w:val="center"/>
          </w:tcPr>
          <w:p w14:paraId="1DDFAC4D">
            <w:pPr>
              <w:spacing w:line="360" w:lineRule="auto"/>
              <w:rPr>
                <w:rFonts w:hint="eastAsia" w:ascii="新宋体" w:hAnsi="新宋体" w:eastAsia="新宋体" w:cs="新宋体"/>
                <w:b/>
                <w:bCs/>
                <w:color w:val="auto"/>
                <w:sz w:val="22"/>
                <w:szCs w:val="22"/>
                <w:highlight w:val="none"/>
              </w:rPr>
            </w:pPr>
          </w:p>
        </w:tc>
        <w:tc>
          <w:tcPr>
            <w:tcW w:w="2880" w:type="dxa"/>
            <w:noWrap w:val="0"/>
            <w:vAlign w:val="center"/>
          </w:tcPr>
          <w:p w14:paraId="51B9D43F">
            <w:pPr>
              <w:spacing w:line="360" w:lineRule="auto"/>
              <w:jc w:val="center"/>
              <w:rPr>
                <w:rFonts w:hint="eastAsia" w:ascii="新宋体" w:hAnsi="新宋体" w:eastAsia="新宋体" w:cs="新宋体"/>
                <w:b/>
                <w:bCs/>
                <w:color w:val="auto"/>
                <w:sz w:val="22"/>
                <w:szCs w:val="22"/>
                <w:highlight w:val="none"/>
              </w:rPr>
            </w:pPr>
          </w:p>
        </w:tc>
        <w:tc>
          <w:tcPr>
            <w:tcW w:w="1661" w:type="dxa"/>
            <w:noWrap w:val="0"/>
            <w:vAlign w:val="center"/>
          </w:tcPr>
          <w:p w14:paraId="29B8CD3C">
            <w:pPr>
              <w:spacing w:line="360" w:lineRule="auto"/>
              <w:jc w:val="center"/>
              <w:rPr>
                <w:rFonts w:hint="eastAsia" w:ascii="新宋体" w:hAnsi="新宋体" w:eastAsia="新宋体" w:cs="新宋体"/>
                <w:b/>
                <w:bCs/>
                <w:color w:val="auto"/>
                <w:sz w:val="22"/>
                <w:szCs w:val="22"/>
                <w:highlight w:val="none"/>
              </w:rPr>
            </w:pPr>
          </w:p>
        </w:tc>
        <w:tc>
          <w:tcPr>
            <w:tcW w:w="1260" w:type="dxa"/>
            <w:noWrap w:val="0"/>
            <w:vAlign w:val="center"/>
          </w:tcPr>
          <w:p w14:paraId="3FBEA651">
            <w:pPr>
              <w:spacing w:line="360" w:lineRule="auto"/>
              <w:jc w:val="center"/>
              <w:rPr>
                <w:rFonts w:hint="eastAsia" w:ascii="新宋体" w:hAnsi="新宋体" w:eastAsia="新宋体" w:cs="新宋体"/>
                <w:b/>
                <w:bCs/>
                <w:color w:val="auto"/>
                <w:sz w:val="22"/>
                <w:szCs w:val="22"/>
                <w:highlight w:val="none"/>
              </w:rPr>
            </w:pPr>
          </w:p>
        </w:tc>
        <w:tc>
          <w:tcPr>
            <w:tcW w:w="1219" w:type="dxa"/>
            <w:noWrap w:val="0"/>
            <w:vAlign w:val="top"/>
          </w:tcPr>
          <w:p w14:paraId="62C1C523">
            <w:pPr>
              <w:rPr>
                <w:rFonts w:hint="eastAsia" w:ascii="新宋体" w:hAnsi="新宋体" w:eastAsia="新宋体" w:cs="新宋体"/>
                <w:color w:val="auto"/>
                <w:sz w:val="22"/>
                <w:szCs w:val="22"/>
                <w:highlight w:val="none"/>
              </w:rPr>
            </w:pPr>
          </w:p>
        </w:tc>
      </w:tr>
      <w:tr w14:paraId="747F7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32083979">
            <w:pPr>
              <w:spacing w:line="360" w:lineRule="auto"/>
              <w:jc w:val="center"/>
              <w:rPr>
                <w:rFonts w:hint="eastAsia" w:ascii="新宋体" w:hAnsi="新宋体" w:eastAsia="新宋体" w:cs="新宋体"/>
                <w:b/>
                <w:bCs/>
                <w:color w:val="auto"/>
                <w:sz w:val="22"/>
                <w:szCs w:val="22"/>
                <w:highlight w:val="none"/>
              </w:rPr>
            </w:pPr>
          </w:p>
        </w:tc>
        <w:tc>
          <w:tcPr>
            <w:tcW w:w="1692" w:type="dxa"/>
            <w:noWrap w:val="0"/>
            <w:vAlign w:val="center"/>
          </w:tcPr>
          <w:p w14:paraId="78066D7E">
            <w:pPr>
              <w:spacing w:line="360" w:lineRule="auto"/>
              <w:rPr>
                <w:rFonts w:hint="eastAsia" w:ascii="新宋体" w:hAnsi="新宋体" w:eastAsia="新宋体" w:cs="新宋体"/>
                <w:b/>
                <w:bCs/>
                <w:color w:val="auto"/>
                <w:sz w:val="22"/>
                <w:szCs w:val="22"/>
                <w:highlight w:val="none"/>
              </w:rPr>
            </w:pPr>
          </w:p>
        </w:tc>
        <w:tc>
          <w:tcPr>
            <w:tcW w:w="2880" w:type="dxa"/>
            <w:noWrap w:val="0"/>
            <w:vAlign w:val="center"/>
          </w:tcPr>
          <w:p w14:paraId="6A0FF94C">
            <w:pPr>
              <w:spacing w:line="360" w:lineRule="auto"/>
              <w:jc w:val="center"/>
              <w:rPr>
                <w:rFonts w:hint="eastAsia" w:ascii="新宋体" w:hAnsi="新宋体" w:eastAsia="新宋体" w:cs="新宋体"/>
                <w:b/>
                <w:bCs/>
                <w:color w:val="auto"/>
                <w:sz w:val="22"/>
                <w:szCs w:val="22"/>
                <w:highlight w:val="none"/>
              </w:rPr>
            </w:pPr>
          </w:p>
        </w:tc>
        <w:tc>
          <w:tcPr>
            <w:tcW w:w="1661" w:type="dxa"/>
            <w:noWrap w:val="0"/>
            <w:vAlign w:val="center"/>
          </w:tcPr>
          <w:p w14:paraId="53EAC09B">
            <w:pPr>
              <w:spacing w:line="360" w:lineRule="auto"/>
              <w:jc w:val="center"/>
              <w:rPr>
                <w:rFonts w:hint="eastAsia" w:ascii="新宋体" w:hAnsi="新宋体" w:eastAsia="新宋体" w:cs="新宋体"/>
                <w:b/>
                <w:bCs/>
                <w:color w:val="auto"/>
                <w:sz w:val="22"/>
                <w:szCs w:val="22"/>
                <w:highlight w:val="none"/>
              </w:rPr>
            </w:pPr>
          </w:p>
        </w:tc>
        <w:tc>
          <w:tcPr>
            <w:tcW w:w="1260" w:type="dxa"/>
            <w:noWrap w:val="0"/>
            <w:vAlign w:val="center"/>
          </w:tcPr>
          <w:p w14:paraId="12C99D70">
            <w:pPr>
              <w:spacing w:line="360" w:lineRule="auto"/>
              <w:jc w:val="center"/>
              <w:rPr>
                <w:rFonts w:hint="eastAsia" w:ascii="新宋体" w:hAnsi="新宋体" w:eastAsia="新宋体" w:cs="新宋体"/>
                <w:b/>
                <w:bCs/>
                <w:color w:val="auto"/>
                <w:sz w:val="22"/>
                <w:szCs w:val="22"/>
                <w:highlight w:val="none"/>
              </w:rPr>
            </w:pPr>
          </w:p>
        </w:tc>
        <w:tc>
          <w:tcPr>
            <w:tcW w:w="1219" w:type="dxa"/>
            <w:noWrap w:val="0"/>
            <w:vAlign w:val="top"/>
          </w:tcPr>
          <w:p w14:paraId="3BCB3C06">
            <w:pPr>
              <w:rPr>
                <w:rFonts w:hint="eastAsia" w:ascii="新宋体" w:hAnsi="新宋体" w:eastAsia="新宋体" w:cs="新宋体"/>
                <w:color w:val="auto"/>
                <w:sz w:val="22"/>
                <w:szCs w:val="22"/>
                <w:highlight w:val="none"/>
              </w:rPr>
            </w:pPr>
          </w:p>
        </w:tc>
      </w:tr>
      <w:tr w14:paraId="4686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74B04E7A">
            <w:pPr>
              <w:spacing w:line="360" w:lineRule="auto"/>
              <w:jc w:val="center"/>
              <w:rPr>
                <w:rFonts w:hint="eastAsia" w:ascii="新宋体" w:hAnsi="新宋体" w:eastAsia="新宋体" w:cs="新宋体"/>
                <w:bCs/>
                <w:color w:val="auto"/>
                <w:sz w:val="22"/>
                <w:szCs w:val="22"/>
                <w:highlight w:val="none"/>
              </w:rPr>
            </w:pPr>
          </w:p>
        </w:tc>
        <w:tc>
          <w:tcPr>
            <w:tcW w:w="1692" w:type="dxa"/>
            <w:noWrap w:val="0"/>
            <w:vAlign w:val="center"/>
          </w:tcPr>
          <w:p w14:paraId="2AA945B5">
            <w:pPr>
              <w:spacing w:line="360" w:lineRule="auto"/>
              <w:rPr>
                <w:rFonts w:hint="eastAsia" w:ascii="新宋体" w:hAnsi="新宋体" w:eastAsia="新宋体" w:cs="新宋体"/>
                <w:color w:val="auto"/>
                <w:sz w:val="22"/>
                <w:szCs w:val="22"/>
                <w:highlight w:val="none"/>
              </w:rPr>
            </w:pPr>
          </w:p>
        </w:tc>
        <w:tc>
          <w:tcPr>
            <w:tcW w:w="2880" w:type="dxa"/>
            <w:noWrap w:val="0"/>
            <w:vAlign w:val="center"/>
          </w:tcPr>
          <w:p w14:paraId="1092ADF9">
            <w:pPr>
              <w:spacing w:line="360" w:lineRule="auto"/>
              <w:jc w:val="center"/>
              <w:rPr>
                <w:rFonts w:hint="eastAsia" w:ascii="新宋体" w:hAnsi="新宋体" w:eastAsia="新宋体" w:cs="新宋体"/>
                <w:b/>
                <w:bCs/>
                <w:color w:val="auto"/>
                <w:sz w:val="22"/>
                <w:szCs w:val="22"/>
                <w:highlight w:val="none"/>
              </w:rPr>
            </w:pPr>
          </w:p>
        </w:tc>
        <w:tc>
          <w:tcPr>
            <w:tcW w:w="1661" w:type="dxa"/>
            <w:noWrap w:val="0"/>
            <w:vAlign w:val="center"/>
          </w:tcPr>
          <w:p w14:paraId="03279A78">
            <w:pPr>
              <w:spacing w:line="360" w:lineRule="auto"/>
              <w:jc w:val="center"/>
              <w:rPr>
                <w:rFonts w:hint="eastAsia" w:ascii="新宋体" w:hAnsi="新宋体" w:eastAsia="新宋体" w:cs="新宋体"/>
                <w:b/>
                <w:bCs/>
                <w:color w:val="auto"/>
                <w:sz w:val="22"/>
                <w:szCs w:val="22"/>
                <w:highlight w:val="none"/>
              </w:rPr>
            </w:pPr>
          </w:p>
        </w:tc>
        <w:tc>
          <w:tcPr>
            <w:tcW w:w="1260" w:type="dxa"/>
            <w:noWrap w:val="0"/>
            <w:vAlign w:val="center"/>
          </w:tcPr>
          <w:p w14:paraId="13F05D9B">
            <w:pPr>
              <w:spacing w:line="360" w:lineRule="auto"/>
              <w:jc w:val="center"/>
              <w:rPr>
                <w:rFonts w:hint="eastAsia" w:ascii="新宋体" w:hAnsi="新宋体" w:eastAsia="新宋体" w:cs="新宋体"/>
                <w:b/>
                <w:bCs/>
                <w:color w:val="auto"/>
                <w:sz w:val="22"/>
                <w:szCs w:val="22"/>
                <w:highlight w:val="none"/>
              </w:rPr>
            </w:pPr>
          </w:p>
        </w:tc>
        <w:tc>
          <w:tcPr>
            <w:tcW w:w="1219" w:type="dxa"/>
            <w:noWrap w:val="0"/>
            <w:vAlign w:val="top"/>
          </w:tcPr>
          <w:p w14:paraId="732C6F74">
            <w:pPr>
              <w:rPr>
                <w:rFonts w:hint="eastAsia" w:ascii="新宋体" w:hAnsi="新宋体" w:eastAsia="新宋体" w:cs="新宋体"/>
                <w:color w:val="auto"/>
                <w:sz w:val="22"/>
                <w:szCs w:val="22"/>
                <w:highlight w:val="none"/>
              </w:rPr>
            </w:pPr>
          </w:p>
        </w:tc>
      </w:tr>
      <w:tr w14:paraId="6158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2612AABC">
            <w:pPr>
              <w:spacing w:line="360" w:lineRule="auto"/>
              <w:jc w:val="center"/>
              <w:rPr>
                <w:rFonts w:hint="eastAsia" w:ascii="新宋体" w:hAnsi="新宋体" w:eastAsia="新宋体" w:cs="新宋体"/>
                <w:b/>
                <w:bCs/>
                <w:color w:val="auto"/>
                <w:sz w:val="22"/>
                <w:szCs w:val="22"/>
                <w:highlight w:val="none"/>
              </w:rPr>
            </w:pPr>
          </w:p>
        </w:tc>
        <w:tc>
          <w:tcPr>
            <w:tcW w:w="1692" w:type="dxa"/>
            <w:noWrap w:val="0"/>
            <w:vAlign w:val="center"/>
          </w:tcPr>
          <w:p w14:paraId="1FFF327F">
            <w:pPr>
              <w:spacing w:line="360" w:lineRule="auto"/>
              <w:rPr>
                <w:rFonts w:hint="eastAsia" w:ascii="新宋体" w:hAnsi="新宋体" w:eastAsia="新宋体" w:cs="新宋体"/>
                <w:b/>
                <w:bCs/>
                <w:color w:val="auto"/>
                <w:sz w:val="22"/>
                <w:szCs w:val="22"/>
                <w:highlight w:val="none"/>
              </w:rPr>
            </w:pPr>
          </w:p>
        </w:tc>
        <w:tc>
          <w:tcPr>
            <w:tcW w:w="2880" w:type="dxa"/>
            <w:noWrap w:val="0"/>
            <w:vAlign w:val="center"/>
          </w:tcPr>
          <w:p w14:paraId="1068D81A">
            <w:pPr>
              <w:spacing w:line="360" w:lineRule="auto"/>
              <w:jc w:val="center"/>
              <w:rPr>
                <w:rFonts w:hint="eastAsia" w:ascii="新宋体" w:hAnsi="新宋体" w:eastAsia="新宋体" w:cs="新宋体"/>
                <w:b/>
                <w:bCs/>
                <w:color w:val="auto"/>
                <w:sz w:val="22"/>
                <w:szCs w:val="22"/>
                <w:highlight w:val="none"/>
              </w:rPr>
            </w:pPr>
          </w:p>
        </w:tc>
        <w:tc>
          <w:tcPr>
            <w:tcW w:w="1661" w:type="dxa"/>
            <w:noWrap w:val="0"/>
            <w:vAlign w:val="center"/>
          </w:tcPr>
          <w:p w14:paraId="0DCC7464">
            <w:pPr>
              <w:spacing w:line="360" w:lineRule="auto"/>
              <w:jc w:val="center"/>
              <w:rPr>
                <w:rFonts w:hint="eastAsia" w:ascii="新宋体" w:hAnsi="新宋体" w:eastAsia="新宋体" w:cs="新宋体"/>
                <w:b/>
                <w:bCs/>
                <w:color w:val="auto"/>
                <w:sz w:val="22"/>
                <w:szCs w:val="22"/>
                <w:highlight w:val="none"/>
              </w:rPr>
            </w:pPr>
          </w:p>
        </w:tc>
        <w:tc>
          <w:tcPr>
            <w:tcW w:w="1260" w:type="dxa"/>
            <w:noWrap w:val="0"/>
            <w:vAlign w:val="center"/>
          </w:tcPr>
          <w:p w14:paraId="18D42917">
            <w:pPr>
              <w:spacing w:line="360" w:lineRule="auto"/>
              <w:jc w:val="center"/>
              <w:rPr>
                <w:rFonts w:hint="eastAsia" w:ascii="新宋体" w:hAnsi="新宋体" w:eastAsia="新宋体" w:cs="新宋体"/>
                <w:b/>
                <w:bCs/>
                <w:color w:val="auto"/>
                <w:sz w:val="22"/>
                <w:szCs w:val="22"/>
                <w:highlight w:val="none"/>
              </w:rPr>
            </w:pPr>
          </w:p>
        </w:tc>
        <w:tc>
          <w:tcPr>
            <w:tcW w:w="1219" w:type="dxa"/>
            <w:noWrap w:val="0"/>
            <w:vAlign w:val="top"/>
          </w:tcPr>
          <w:p w14:paraId="7ED0A721">
            <w:pPr>
              <w:rPr>
                <w:rFonts w:hint="eastAsia" w:ascii="新宋体" w:hAnsi="新宋体" w:eastAsia="新宋体" w:cs="新宋体"/>
                <w:color w:val="auto"/>
                <w:sz w:val="22"/>
                <w:szCs w:val="22"/>
                <w:highlight w:val="none"/>
              </w:rPr>
            </w:pPr>
          </w:p>
        </w:tc>
      </w:tr>
      <w:tr w14:paraId="65FF9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675FC0DC">
            <w:pPr>
              <w:spacing w:line="360" w:lineRule="auto"/>
              <w:jc w:val="center"/>
              <w:rPr>
                <w:rFonts w:hint="eastAsia" w:ascii="新宋体" w:hAnsi="新宋体" w:eastAsia="新宋体" w:cs="新宋体"/>
                <w:b/>
                <w:bCs/>
                <w:color w:val="auto"/>
                <w:sz w:val="22"/>
                <w:szCs w:val="22"/>
                <w:highlight w:val="none"/>
              </w:rPr>
            </w:pPr>
          </w:p>
        </w:tc>
        <w:tc>
          <w:tcPr>
            <w:tcW w:w="1692" w:type="dxa"/>
            <w:noWrap w:val="0"/>
            <w:vAlign w:val="center"/>
          </w:tcPr>
          <w:p w14:paraId="76F940C3">
            <w:pPr>
              <w:spacing w:line="360" w:lineRule="auto"/>
              <w:rPr>
                <w:rFonts w:hint="eastAsia" w:ascii="新宋体" w:hAnsi="新宋体" w:eastAsia="新宋体" w:cs="新宋体"/>
                <w:color w:val="auto"/>
                <w:sz w:val="22"/>
                <w:szCs w:val="22"/>
                <w:highlight w:val="none"/>
              </w:rPr>
            </w:pPr>
          </w:p>
        </w:tc>
        <w:tc>
          <w:tcPr>
            <w:tcW w:w="2880" w:type="dxa"/>
            <w:noWrap w:val="0"/>
            <w:vAlign w:val="center"/>
          </w:tcPr>
          <w:p w14:paraId="36696B03">
            <w:pPr>
              <w:spacing w:line="360" w:lineRule="auto"/>
              <w:jc w:val="center"/>
              <w:rPr>
                <w:rFonts w:hint="eastAsia" w:ascii="新宋体" w:hAnsi="新宋体" w:eastAsia="新宋体" w:cs="新宋体"/>
                <w:b/>
                <w:bCs/>
                <w:color w:val="auto"/>
                <w:sz w:val="22"/>
                <w:szCs w:val="22"/>
                <w:highlight w:val="none"/>
              </w:rPr>
            </w:pPr>
          </w:p>
        </w:tc>
        <w:tc>
          <w:tcPr>
            <w:tcW w:w="1661" w:type="dxa"/>
            <w:noWrap w:val="0"/>
            <w:vAlign w:val="center"/>
          </w:tcPr>
          <w:p w14:paraId="04659C19">
            <w:pPr>
              <w:spacing w:line="360" w:lineRule="auto"/>
              <w:jc w:val="center"/>
              <w:rPr>
                <w:rFonts w:hint="eastAsia" w:ascii="新宋体" w:hAnsi="新宋体" w:eastAsia="新宋体" w:cs="新宋体"/>
                <w:b/>
                <w:bCs/>
                <w:color w:val="auto"/>
                <w:sz w:val="22"/>
                <w:szCs w:val="22"/>
                <w:highlight w:val="none"/>
              </w:rPr>
            </w:pPr>
          </w:p>
        </w:tc>
        <w:tc>
          <w:tcPr>
            <w:tcW w:w="1260" w:type="dxa"/>
            <w:noWrap w:val="0"/>
            <w:vAlign w:val="center"/>
          </w:tcPr>
          <w:p w14:paraId="20F3B53D">
            <w:pPr>
              <w:spacing w:line="360" w:lineRule="auto"/>
              <w:jc w:val="center"/>
              <w:rPr>
                <w:rFonts w:hint="eastAsia" w:ascii="新宋体" w:hAnsi="新宋体" w:eastAsia="新宋体" w:cs="新宋体"/>
                <w:b/>
                <w:bCs/>
                <w:color w:val="auto"/>
                <w:sz w:val="22"/>
                <w:szCs w:val="22"/>
                <w:highlight w:val="none"/>
              </w:rPr>
            </w:pPr>
          </w:p>
        </w:tc>
        <w:tc>
          <w:tcPr>
            <w:tcW w:w="1219" w:type="dxa"/>
            <w:noWrap w:val="0"/>
            <w:vAlign w:val="top"/>
          </w:tcPr>
          <w:p w14:paraId="66D82E17">
            <w:pPr>
              <w:rPr>
                <w:rFonts w:hint="eastAsia" w:ascii="新宋体" w:hAnsi="新宋体" w:eastAsia="新宋体" w:cs="新宋体"/>
                <w:color w:val="auto"/>
                <w:sz w:val="22"/>
                <w:szCs w:val="22"/>
                <w:highlight w:val="none"/>
              </w:rPr>
            </w:pPr>
          </w:p>
        </w:tc>
      </w:tr>
      <w:tr w14:paraId="1C569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4DCCC111">
            <w:pPr>
              <w:spacing w:line="360" w:lineRule="auto"/>
              <w:jc w:val="center"/>
              <w:rPr>
                <w:rFonts w:hint="eastAsia" w:ascii="新宋体" w:hAnsi="新宋体" w:eastAsia="新宋体" w:cs="新宋体"/>
                <w:b/>
                <w:bCs/>
                <w:color w:val="auto"/>
                <w:sz w:val="22"/>
                <w:szCs w:val="22"/>
                <w:highlight w:val="none"/>
              </w:rPr>
            </w:pPr>
          </w:p>
        </w:tc>
        <w:tc>
          <w:tcPr>
            <w:tcW w:w="1692" w:type="dxa"/>
            <w:noWrap w:val="0"/>
            <w:vAlign w:val="center"/>
          </w:tcPr>
          <w:p w14:paraId="193C5633">
            <w:pPr>
              <w:spacing w:line="360" w:lineRule="auto"/>
              <w:rPr>
                <w:rFonts w:hint="eastAsia" w:ascii="新宋体" w:hAnsi="新宋体" w:eastAsia="新宋体" w:cs="新宋体"/>
                <w:b/>
                <w:bCs/>
                <w:color w:val="auto"/>
                <w:sz w:val="22"/>
                <w:szCs w:val="22"/>
                <w:highlight w:val="none"/>
              </w:rPr>
            </w:pPr>
          </w:p>
        </w:tc>
        <w:tc>
          <w:tcPr>
            <w:tcW w:w="2880" w:type="dxa"/>
            <w:noWrap w:val="0"/>
            <w:vAlign w:val="center"/>
          </w:tcPr>
          <w:p w14:paraId="1B5E746F">
            <w:pPr>
              <w:spacing w:line="360" w:lineRule="auto"/>
              <w:jc w:val="center"/>
              <w:rPr>
                <w:rFonts w:hint="eastAsia" w:ascii="新宋体" w:hAnsi="新宋体" w:eastAsia="新宋体" w:cs="新宋体"/>
                <w:b/>
                <w:bCs/>
                <w:color w:val="auto"/>
                <w:sz w:val="22"/>
                <w:szCs w:val="22"/>
                <w:highlight w:val="none"/>
              </w:rPr>
            </w:pPr>
          </w:p>
        </w:tc>
        <w:tc>
          <w:tcPr>
            <w:tcW w:w="1661" w:type="dxa"/>
            <w:noWrap w:val="0"/>
            <w:vAlign w:val="center"/>
          </w:tcPr>
          <w:p w14:paraId="33703AF4">
            <w:pPr>
              <w:spacing w:line="360" w:lineRule="auto"/>
              <w:jc w:val="center"/>
              <w:rPr>
                <w:rFonts w:hint="eastAsia" w:ascii="新宋体" w:hAnsi="新宋体" w:eastAsia="新宋体" w:cs="新宋体"/>
                <w:b/>
                <w:bCs/>
                <w:color w:val="auto"/>
                <w:sz w:val="22"/>
                <w:szCs w:val="22"/>
                <w:highlight w:val="none"/>
              </w:rPr>
            </w:pPr>
          </w:p>
        </w:tc>
        <w:tc>
          <w:tcPr>
            <w:tcW w:w="1260" w:type="dxa"/>
            <w:noWrap w:val="0"/>
            <w:vAlign w:val="center"/>
          </w:tcPr>
          <w:p w14:paraId="1FA80A25">
            <w:pPr>
              <w:spacing w:line="360" w:lineRule="auto"/>
              <w:jc w:val="center"/>
              <w:rPr>
                <w:rFonts w:hint="eastAsia" w:ascii="新宋体" w:hAnsi="新宋体" w:eastAsia="新宋体" w:cs="新宋体"/>
                <w:b/>
                <w:bCs/>
                <w:color w:val="auto"/>
                <w:sz w:val="22"/>
                <w:szCs w:val="22"/>
                <w:highlight w:val="none"/>
              </w:rPr>
            </w:pPr>
          </w:p>
        </w:tc>
        <w:tc>
          <w:tcPr>
            <w:tcW w:w="1219" w:type="dxa"/>
            <w:noWrap w:val="0"/>
            <w:vAlign w:val="top"/>
          </w:tcPr>
          <w:p w14:paraId="2E297920">
            <w:pPr>
              <w:rPr>
                <w:rFonts w:hint="eastAsia" w:ascii="新宋体" w:hAnsi="新宋体" w:eastAsia="新宋体" w:cs="新宋体"/>
                <w:color w:val="auto"/>
                <w:sz w:val="22"/>
                <w:szCs w:val="22"/>
                <w:highlight w:val="none"/>
              </w:rPr>
            </w:pPr>
          </w:p>
        </w:tc>
      </w:tr>
      <w:tr w14:paraId="34930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095DE38E">
            <w:pPr>
              <w:spacing w:line="360" w:lineRule="auto"/>
              <w:jc w:val="center"/>
              <w:rPr>
                <w:rFonts w:hint="eastAsia" w:ascii="新宋体" w:hAnsi="新宋体" w:eastAsia="新宋体" w:cs="新宋体"/>
                <w:b/>
                <w:bCs/>
                <w:color w:val="auto"/>
                <w:sz w:val="22"/>
                <w:szCs w:val="22"/>
                <w:highlight w:val="none"/>
              </w:rPr>
            </w:pPr>
          </w:p>
        </w:tc>
        <w:tc>
          <w:tcPr>
            <w:tcW w:w="1692" w:type="dxa"/>
            <w:noWrap w:val="0"/>
            <w:vAlign w:val="center"/>
          </w:tcPr>
          <w:p w14:paraId="4BD1B4F3">
            <w:pPr>
              <w:spacing w:line="360" w:lineRule="auto"/>
              <w:rPr>
                <w:rFonts w:hint="eastAsia" w:ascii="新宋体" w:hAnsi="新宋体" w:eastAsia="新宋体" w:cs="新宋体"/>
                <w:b/>
                <w:bCs/>
                <w:color w:val="auto"/>
                <w:sz w:val="22"/>
                <w:szCs w:val="22"/>
                <w:highlight w:val="none"/>
              </w:rPr>
            </w:pPr>
          </w:p>
        </w:tc>
        <w:tc>
          <w:tcPr>
            <w:tcW w:w="2880" w:type="dxa"/>
            <w:noWrap w:val="0"/>
            <w:vAlign w:val="center"/>
          </w:tcPr>
          <w:p w14:paraId="16BF9E72">
            <w:pPr>
              <w:spacing w:line="360" w:lineRule="auto"/>
              <w:jc w:val="center"/>
              <w:rPr>
                <w:rFonts w:hint="eastAsia" w:ascii="新宋体" w:hAnsi="新宋体" w:eastAsia="新宋体" w:cs="新宋体"/>
                <w:b/>
                <w:bCs/>
                <w:color w:val="auto"/>
                <w:sz w:val="22"/>
                <w:szCs w:val="22"/>
                <w:highlight w:val="none"/>
              </w:rPr>
            </w:pPr>
          </w:p>
        </w:tc>
        <w:tc>
          <w:tcPr>
            <w:tcW w:w="1661" w:type="dxa"/>
            <w:noWrap w:val="0"/>
            <w:vAlign w:val="center"/>
          </w:tcPr>
          <w:p w14:paraId="3D8F52F3">
            <w:pPr>
              <w:spacing w:line="360" w:lineRule="auto"/>
              <w:jc w:val="center"/>
              <w:rPr>
                <w:rFonts w:hint="eastAsia" w:ascii="新宋体" w:hAnsi="新宋体" w:eastAsia="新宋体" w:cs="新宋体"/>
                <w:b/>
                <w:bCs/>
                <w:color w:val="auto"/>
                <w:sz w:val="22"/>
                <w:szCs w:val="22"/>
                <w:highlight w:val="none"/>
              </w:rPr>
            </w:pPr>
          </w:p>
        </w:tc>
        <w:tc>
          <w:tcPr>
            <w:tcW w:w="1260" w:type="dxa"/>
            <w:noWrap w:val="0"/>
            <w:vAlign w:val="center"/>
          </w:tcPr>
          <w:p w14:paraId="2C09057B">
            <w:pPr>
              <w:spacing w:line="360" w:lineRule="auto"/>
              <w:jc w:val="center"/>
              <w:rPr>
                <w:rFonts w:hint="eastAsia" w:ascii="新宋体" w:hAnsi="新宋体" w:eastAsia="新宋体" w:cs="新宋体"/>
                <w:b/>
                <w:bCs/>
                <w:color w:val="auto"/>
                <w:sz w:val="22"/>
                <w:szCs w:val="22"/>
                <w:highlight w:val="none"/>
              </w:rPr>
            </w:pPr>
          </w:p>
        </w:tc>
        <w:tc>
          <w:tcPr>
            <w:tcW w:w="1219" w:type="dxa"/>
            <w:noWrap w:val="0"/>
            <w:vAlign w:val="top"/>
          </w:tcPr>
          <w:p w14:paraId="4497F993">
            <w:pPr>
              <w:rPr>
                <w:rFonts w:hint="eastAsia" w:ascii="新宋体" w:hAnsi="新宋体" w:eastAsia="新宋体" w:cs="新宋体"/>
                <w:color w:val="auto"/>
                <w:sz w:val="22"/>
                <w:szCs w:val="22"/>
                <w:highlight w:val="none"/>
              </w:rPr>
            </w:pPr>
          </w:p>
        </w:tc>
      </w:tr>
      <w:tr w14:paraId="7AED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7203A46B">
            <w:pPr>
              <w:spacing w:line="360" w:lineRule="auto"/>
              <w:jc w:val="center"/>
              <w:rPr>
                <w:rFonts w:hint="eastAsia" w:ascii="新宋体" w:hAnsi="新宋体" w:eastAsia="新宋体" w:cs="新宋体"/>
                <w:color w:val="auto"/>
                <w:sz w:val="22"/>
                <w:szCs w:val="22"/>
                <w:highlight w:val="none"/>
              </w:rPr>
            </w:pPr>
          </w:p>
        </w:tc>
        <w:tc>
          <w:tcPr>
            <w:tcW w:w="1692" w:type="dxa"/>
            <w:noWrap w:val="0"/>
            <w:vAlign w:val="center"/>
          </w:tcPr>
          <w:p w14:paraId="00A4B0F1">
            <w:pPr>
              <w:spacing w:line="360" w:lineRule="auto"/>
              <w:rPr>
                <w:rFonts w:hint="eastAsia" w:ascii="新宋体" w:hAnsi="新宋体" w:eastAsia="新宋体" w:cs="新宋体"/>
                <w:color w:val="auto"/>
                <w:sz w:val="22"/>
                <w:szCs w:val="22"/>
                <w:highlight w:val="none"/>
              </w:rPr>
            </w:pPr>
          </w:p>
        </w:tc>
        <w:tc>
          <w:tcPr>
            <w:tcW w:w="2880" w:type="dxa"/>
            <w:noWrap w:val="0"/>
            <w:vAlign w:val="center"/>
          </w:tcPr>
          <w:p w14:paraId="6AED04BE">
            <w:pPr>
              <w:spacing w:line="360" w:lineRule="auto"/>
              <w:jc w:val="center"/>
              <w:rPr>
                <w:rFonts w:hint="eastAsia" w:ascii="新宋体" w:hAnsi="新宋体" w:eastAsia="新宋体" w:cs="新宋体"/>
                <w:b/>
                <w:bCs/>
                <w:color w:val="auto"/>
                <w:sz w:val="22"/>
                <w:szCs w:val="22"/>
                <w:highlight w:val="none"/>
              </w:rPr>
            </w:pPr>
          </w:p>
        </w:tc>
        <w:tc>
          <w:tcPr>
            <w:tcW w:w="1661" w:type="dxa"/>
            <w:noWrap w:val="0"/>
            <w:vAlign w:val="center"/>
          </w:tcPr>
          <w:p w14:paraId="373C68F3">
            <w:pPr>
              <w:spacing w:line="360" w:lineRule="auto"/>
              <w:jc w:val="center"/>
              <w:rPr>
                <w:rFonts w:hint="eastAsia" w:ascii="新宋体" w:hAnsi="新宋体" w:eastAsia="新宋体" w:cs="新宋体"/>
                <w:b/>
                <w:bCs/>
                <w:color w:val="auto"/>
                <w:sz w:val="22"/>
                <w:szCs w:val="22"/>
                <w:highlight w:val="none"/>
              </w:rPr>
            </w:pPr>
          </w:p>
        </w:tc>
        <w:tc>
          <w:tcPr>
            <w:tcW w:w="1260" w:type="dxa"/>
            <w:noWrap w:val="0"/>
            <w:vAlign w:val="center"/>
          </w:tcPr>
          <w:p w14:paraId="1BEDBB05">
            <w:pPr>
              <w:spacing w:line="360" w:lineRule="auto"/>
              <w:jc w:val="center"/>
              <w:rPr>
                <w:rFonts w:hint="eastAsia" w:ascii="新宋体" w:hAnsi="新宋体" w:eastAsia="新宋体" w:cs="新宋体"/>
                <w:b/>
                <w:bCs/>
                <w:color w:val="auto"/>
                <w:sz w:val="22"/>
                <w:szCs w:val="22"/>
                <w:highlight w:val="none"/>
              </w:rPr>
            </w:pPr>
          </w:p>
        </w:tc>
        <w:tc>
          <w:tcPr>
            <w:tcW w:w="1219" w:type="dxa"/>
            <w:noWrap w:val="0"/>
            <w:vAlign w:val="top"/>
          </w:tcPr>
          <w:p w14:paraId="6927B21E">
            <w:pPr>
              <w:rPr>
                <w:rFonts w:hint="eastAsia" w:ascii="新宋体" w:hAnsi="新宋体" w:eastAsia="新宋体" w:cs="新宋体"/>
                <w:color w:val="auto"/>
                <w:sz w:val="22"/>
                <w:szCs w:val="22"/>
                <w:highlight w:val="none"/>
              </w:rPr>
            </w:pPr>
          </w:p>
        </w:tc>
      </w:tr>
      <w:tr w14:paraId="75605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5D24A086">
            <w:pPr>
              <w:spacing w:line="360" w:lineRule="auto"/>
              <w:rPr>
                <w:rFonts w:hint="eastAsia" w:ascii="新宋体" w:hAnsi="新宋体" w:eastAsia="新宋体" w:cs="新宋体"/>
                <w:color w:val="auto"/>
                <w:sz w:val="22"/>
                <w:szCs w:val="22"/>
                <w:highlight w:val="none"/>
              </w:rPr>
            </w:pPr>
          </w:p>
        </w:tc>
        <w:tc>
          <w:tcPr>
            <w:tcW w:w="1692" w:type="dxa"/>
            <w:noWrap w:val="0"/>
            <w:vAlign w:val="center"/>
          </w:tcPr>
          <w:p w14:paraId="01107C9D">
            <w:pPr>
              <w:spacing w:line="360" w:lineRule="auto"/>
              <w:rPr>
                <w:rFonts w:hint="eastAsia" w:ascii="新宋体" w:hAnsi="新宋体" w:eastAsia="新宋体" w:cs="新宋体"/>
                <w:color w:val="auto"/>
                <w:sz w:val="22"/>
                <w:szCs w:val="22"/>
                <w:highlight w:val="none"/>
              </w:rPr>
            </w:pPr>
          </w:p>
        </w:tc>
        <w:tc>
          <w:tcPr>
            <w:tcW w:w="2880" w:type="dxa"/>
            <w:noWrap w:val="0"/>
            <w:vAlign w:val="center"/>
          </w:tcPr>
          <w:p w14:paraId="29EBEE46">
            <w:pPr>
              <w:spacing w:line="360" w:lineRule="auto"/>
              <w:jc w:val="center"/>
              <w:rPr>
                <w:rFonts w:hint="eastAsia" w:ascii="新宋体" w:hAnsi="新宋体" w:eastAsia="新宋体" w:cs="新宋体"/>
                <w:b/>
                <w:bCs/>
                <w:color w:val="auto"/>
                <w:sz w:val="22"/>
                <w:szCs w:val="22"/>
                <w:highlight w:val="none"/>
              </w:rPr>
            </w:pPr>
          </w:p>
        </w:tc>
        <w:tc>
          <w:tcPr>
            <w:tcW w:w="1661" w:type="dxa"/>
            <w:noWrap w:val="0"/>
            <w:vAlign w:val="center"/>
          </w:tcPr>
          <w:p w14:paraId="146D352A">
            <w:pPr>
              <w:spacing w:line="360" w:lineRule="auto"/>
              <w:jc w:val="center"/>
              <w:rPr>
                <w:rFonts w:hint="eastAsia" w:ascii="新宋体" w:hAnsi="新宋体" w:eastAsia="新宋体" w:cs="新宋体"/>
                <w:b/>
                <w:bCs/>
                <w:color w:val="auto"/>
                <w:sz w:val="22"/>
                <w:szCs w:val="22"/>
                <w:highlight w:val="none"/>
              </w:rPr>
            </w:pPr>
          </w:p>
        </w:tc>
        <w:tc>
          <w:tcPr>
            <w:tcW w:w="1260" w:type="dxa"/>
            <w:noWrap w:val="0"/>
            <w:vAlign w:val="center"/>
          </w:tcPr>
          <w:p w14:paraId="007B59AC">
            <w:pPr>
              <w:spacing w:line="360" w:lineRule="auto"/>
              <w:jc w:val="center"/>
              <w:rPr>
                <w:rFonts w:hint="eastAsia" w:ascii="新宋体" w:hAnsi="新宋体" w:eastAsia="新宋体" w:cs="新宋体"/>
                <w:b/>
                <w:bCs/>
                <w:color w:val="auto"/>
                <w:sz w:val="22"/>
                <w:szCs w:val="22"/>
                <w:highlight w:val="none"/>
              </w:rPr>
            </w:pPr>
          </w:p>
        </w:tc>
        <w:tc>
          <w:tcPr>
            <w:tcW w:w="1219" w:type="dxa"/>
            <w:noWrap w:val="0"/>
            <w:vAlign w:val="top"/>
          </w:tcPr>
          <w:p w14:paraId="74926AB8">
            <w:pPr>
              <w:rPr>
                <w:rFonts w:hint="eastAsia" w:ascii="新宋体" w:hAnsi="新宋体" w:eastAsia="新宋体" w:cs="新宋体"/>
                <w:color w:val="auto"/>
                <w:sz w:val="22"/>
                <w:szCs w:val="22"/>
                <w:highlight w:val="none"/>
              </w:rPr>
            </w:pPr>
          </w:p>
        </w:tc>
      </w:tr>
      <w:tr w14:paraId="69CB3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5F286238">
            <w:pPr>
              <w:spacing w:line="360" w:lineRule="auto"/>
              <w:jc w:val="center"/>
              <w:rPr>
                <w:rFonts w:hint="eastAsia" w:ascii="新宋体" w:hAnsi="新宋体" w:eastAsia="新宋体" w:cs="新宋体"/>
                <w:b/>
                <w:bCs/>
                <w:color w:val="auto"/>
                <w:sz w:val="22"/>
                <w:szCs w:val="22"/>
                <w:highlight w:val="none"/>
              </w:rPr>
            </w:pPr>
          </w:p>
        </w:tc>
        <w:tc>
          <w:tcPr>
            <w:tcW w:w="1692" w:type="dxa"/>
            <w:noWrap w:val="0"/>
            <w:vAlign w:val="top"/>
          </w:tcPr>
          <w:p w14:paraId="3802AF7C">
            <w:pPr>
              <w:spacing w:line="360" w:lineRule="auto"/>
              <w:rPr>
                <w:rFonts w:hint="eastAsia" w:ascii="新宋体" w:hAnsi="新宋体" w:eastAsia="新宋体" w:cs="新宋体"/>
                <w:color w:val="auto"/>
                <w:sz w:val="22"/>
                <w:szCs w:val="22"/>
                <w:highlight w:val="none"/>
              </w:rPr>
            </w:pPr>
          </w:p>
        </w:tc>
        <w:tc>
          <w:tcPr>
            <w:tcW w:w="2880" w:type="dxa"/>
            <w:noWrap w:val="0"/>
            <w:vAlign w:val="center"/>
          </w:tcPr>
          <w:p w14:paraId="44AE60DC">
            <w:pPr>
              <w:spacing w:line="360" w:lineRule="auto"/>
              <w:jc w:val="center"/>
              <w:rPr>
                <w:rFonts w:hint="eastAsia" w:ascii="新宋体" w:hAnsi="新宋体" w:eastAsia="新宋体" w:cs="新宋体"/>
                <w:b/>
                <w:bCs/>
                <w:color w:val="auto"/>
                <w:sz w:val="22"/>
                <w:szCs w:val="22"/>
                <w:highlight w:val="none"/>
              </w:rPr>
            </w:pPr>
          </w:p>
        </w:tc>
        <w:tc>
          <w:tcPr>
            <w:tcW w:w="1661" w:type="dxa"/>
            <w:noWrap w:val="0"/>
            <w:vAlign w:val="center"/>
          </w:tcPr>
          <w:p w14:paraId="18C46C08">
            <w:pPr>
              <w:spacing w:line="360" w:lineRule="auto"/>
              <w:jc w:val="center"/>
              <w:rPr>
                <w:rFonts w:hint="eastAsia" w:ascii="新宋体" w:hAnsi="新宋体" w:eastAsia="新宋体" w:cs="新宋体"/>
                <w:b/>
                <w:bCs/>
                <w:color w:val="auto"/>
                <w:sz w:val="22"/>
                <w:szCs w:val="22"/>
                <w:highlight w:val="none"/>
              </w:rPr>
            </w:pPr>
          </w:p>
        </w:tc>
        <w:tc>
          <w:tcPr>
            <w:tcW w:w="1260" w:type="dxa"/>
            <w:noWrap w:val="0"/>
            <w:vAlign w:val="center"/>
          </w:tcPr>
          <w:p w14:paraId="1ECA6E35">
            <w:pPr>
              <w:spacing w:line="360" w:lineRule="auto"/>
              <w:jc w:val="center"/>
              <w:rPr>
                <w:rFonts w:hint="eastAsia" w:ascii="新宋体" w:hAnsi="新宋体" w:eastAsia="新宋体" w:cs="新宋体"/>
                <w:b/>
                <w:bCs/>
                <w:color w:val="auto"/>
                <w:sz w:val="22"/>
                <w:szCs w:val="22"/>
                <w:highlight w:val="none"/>
              </w:rPr>
            </w:pPr>
          </w:p>
        </w:tc>
        <w:tc>
          <w:tcPr>
            <w:tcW w:w="1219" w:type="dxa"/>
            <w:noWrap w:val="0"/>
            <w:vAlign w:val="top"/>
          </w:tcPr>
          <w:p w14:paraId="7B88514D">
            <w:pPr>
              <w:rPr>
                <w:rFonts w:hint="eastAsia" w:ascii="新宋体" w:hAnsi="新宋体" w:eastAsia="新宋体" w:cs="新宋体"/>
                <w:color w:val="auto"/>
                <w:sz w:val="22"/>
                <w:szCs w:val="22"/>
                <w:highlight w:val="none"/>
              </w:rPr>
            </w:pPr>
          </w:p>
        </w:tc>
      </w:tr>
    </w:tbl>
    <w:p w14:paraId="64B8DE9A">
      <w:pPr>
        <w:pStyle w:val="31"/>
        <w:spacing w:line="400" w:lineRule="atLeast"/>
        <w:rPr>
          <w:rFonts w:hint="eastAsia" w:ascii="新宋体" w:hAnsi="新宋体" w:eastAsia="新宋体" w:cs="新宋体"/>
          <w:color w:val="auto"/>
          <w:sz w:val="22"/>
          <w:szCs w:val="22"/>
          <w:highlight w:val="none"/>
        </w:rPr>
      </w:pPr>
    </w:p>
    <w:p w14:paraId="539B732D">
      <w:pPr>
        <w:spacing w:line="460" w:lineRule="exact"/>
        <w:ind w:firstLine="5060" w:firstLineChars="2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193E12C9">
      <w:pPr>
        <w:spacing w:line="460" w:lineRule="exact"/>
        <w:ind w:firstLine="5060" w:firstLineChars="23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r>
        <w:rPr>
          <w:rFonts w:hint="eastAsia" w:ascii="新宋体" w:hAnsi="新宋体" w:eastAsia="新宋体" w:cs="新宋体"/>
          <w:color w:val="auto"/>
          <w:sz w:val="22"/>
          <w:szCs w:val="22"/>
          <w:highlight w:val="none"/>
        </w:rPr>
        <w:t>：</w:t>
      </w:r>
    </w:p>
    <w:p w14:paraId="01A9DA7D">
      <w:pPr>
        <w:spacing w:line="460" w:lineRule="exact"/>
        <w:ind w:firstLine="5060" w:firstLineChars="2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40A522A6">
      <w:pPr>
        <w:spacing w:line="460" w:lineRule="exact"/>
        <w:ind w:firstLine="5060" w:firstLineChars="2300"/>
        <w:rPr>
          <w:rFonts w:hint="eastAsia" w:ascii="新宋体" w:hAnsi="新宋体" w:eastAsia="新宋体" w:cs="新宋体"/>
          <w:color w:val="auto"/>
          <w:sz w:val="22"/>
          <w:szCs w:val="22"/>
          <w:highlight w:val="none"/>
        </w:rPr>
      </w:pPr>
    </w:p>
    <w:p w14:paraId="7F92E2A1">
      <w:pPr>
        <w:spacing w:line="460" w:lineRule="exact"/>
        <w:ind w:firstLine="5060" w:firstLineChars="2300"/>
        <w:rPr>
          <w:rFonts w:hint="eastAsia" w:ascii="新宋体" w:hAnsi="新宋体" w:eastAsia="新宋体" w:cs="新宋体"/>
          <w:color w:val="auto"/>
          <w:sz w:val="22"/>
          <w:szCs w:val="22"/>
          <w:highlight w:val="none"/>
        </w:rPr>
      </w:pPr>
    </w:p>
    <w:p w14:paraId="2EBA6466">
      <w:pPr>
        <w:spacing w:line="460" w:lineRule="exact"/>
        <w:ind w:firstLine="5060" w:firstLineChars="2300"/>
        <w:rPr>
          <w:rFonts w:hint="eastAsia" w:ascii="新宋体" w:hAnsi="新宋体" w:eastAsia="新宋体" w:cs="新宋体"/>
          <w:color w:val="auto"/>
          <w:sz w:val="22"/>
          <w:szCs w:val="22"/>
          <w:highlight w:val="none"/>
        </w:rPr>
      </w:pPr>
    </w:p>
    <w:p w14:paraId="60E19C91">
      <w:pPr>
        <w:spacing w:line="400" w:lineRule="exact"/>
        <w:jc w:val="center"/>
        <w:outlineLvl w:val="3"/>
        <w:rPr>
          <w:rFonts w:hint="eastAsia" w:ascii="新宋体" w:hAnsi="新宋体" w:eastAsia="新宋体" w:cs="新宋体"/>
          <w:b/>
          <w:bCs/>
          <w:color w:val="auto"/>
          <w:sz w:val="28"/>
          <w:szCs w:val="28"/>
          <w:highlight w:val="none"/>
          <w:lang w:val="zh-CN" w:eastAsia="zh-CN"/>
        </w:rPr>
      </w:pPr>
      <w:r>
        <w:rPr>
          <w:rFonts w:hint="eastAsia" w:ascii="新宋体" w:hAnsi="新宋体" w:eastAsia="新宋体" w:cs="新宋体"/>
          <w:b/>
          <w:bCs/>
          <w:color w:val="auto"/>
          <w:sz w:val="28"/>
          <w:szCs w:val="28"/>
          <w:highlight w:val="none"/>
          <w:lang w:val="en-US" w:eastAsia="zh-CN"/>
        </w:rPr>
        <w:t>6、备</w:t>
      </w:r>
      <w:r>
        <w:rPr>
          <w:rFonts w:hint="eastAsia" w:ascii="新宋体" w:hAnsi="新宋体" w:eastAsia="新宋体" w:cs="新宋体"/>
          <w:b/>
          <w:bCs/>
          <w:color w:val="auto"/>
          <w:sz w:val="28"/>
          <w:szCs w:val="28"/>
          <w:highlight w:val="none"/>
          <w:lang w:val="zh-CN" w:eastAsia="zh-CN"/>
        </w:rPr>
        <w:t>品、易损件、备件、专用工具清单</w:t>
      </w:r>
    </w:p>
    <w:p w14:paraId="0FB20760">
      <w:pPr>
        <w:spacing w:line="360" w:lineRule="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WZLCZB（L）-2024-07264</w:t>
      </w:r>
    </w:p>
    <w:p w14:paraId="38417EF1">
      <w:pPr>
        <w:spacing w:line="360" w:lineRule="auto"/>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儿童康复器材</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40"/>
        <w:gridCol w:w="1404"/>
        <w:gridCol w:w="796"/>
        <w:gridCol w:w="3704"/>
        <w:gridCol w:w="1568"/>
      </w:tblGrid>
      <w:tr w14:paraId="0E89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56" w:type="dxa"/>
            <w:shd w:val="clear" w:color="auto" w:fill="FFFFFF"/>
            <w:noWrap w:val="0"/>
            <w:vAlign w:val="center"/>
          </w:tcPr>
          <w:p w14:paraId="5F0BFC52">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240" w:type="dxa"/>
            <w:shd w:val="clear" w:color="auto" w:fill="FFFFFF"/>
            <w:noWrap w:val="0"/>
            <w:vAlign w:val="center"/>
          </w:tcPr>
          <w:p w14:paraId="4D0F6F2F">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404" w:type="dxa"/>
            <w:shd w:val="clear" w:color="auto" w:fill="FFFFFF"/>
            <w:noWrap w:val="0"/>
            <w:vAlign w:val="center"/>
          </w:tcPr>
          <w:p w14:paraId="142A1868">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规格型号</w:t>
            </w:r>
          </w:p>
        </w:tc>
        <w:tc>
          <w:tcPr>
            <w:tcW w:w="796" w:type="dxa"/>
            <w:shd w:val="clear" w:color="auto" w:fill="FFFFFF"/>
            <w:noWrap w:val="0"/>
            <w:vAlign w:val="center"/>
          </w:tcPr>
          <w:p w14:paraId="27EC6EF2">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3704" w:type="dxa"/>
            <w:shd w:val="clear" w:color="auto" w:fill="FFFFFF"/>
            <w:noWrap w:val="0"/>
            <w:vAlign w:val="center"/>
          </w:tcPr>
          <w:p w14:paraId="18437AF0">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原产地/制造商</w:t>
            </w:r>
          </w:p>
        </w:tc>
        <w:tc>
          <w:tcPr>
            <w:tcW w:w="1568" w:type="dxa"/>
            <w:shd w:val="clear" w:color="auto" w:fill="FFFFFF"/>
            <w:noWrap w:val="0"/>
            <w:vAlign w:val="center"/>
          </w:tcPr>
          <w:p w14:paraId="1AE5B30B">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14:paraId="3A3F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46965CD3">
            <w:pPr>
              <w:spacing w:line="400" w:lineRule="exact"/>
              <w:jc w:val="center"/>
              <w:rPr>
                <w:rFonts w:hint="eastAsia" w:ascii="新宋体" w:hAnsi="新宋体" w:eastAsia="新宋体" w:cs="新宋体"/>
                <w:color w:val="auto"/>
                <w:sz w:val="22"/>
                <w:szCs w:val="22"/>
                <w:highlight w:val="none"/>
              </w:rPr>
            </w:pPr>
          </w:p>
        </w:tc>
        <w:tc>
          <w:tcPr>
            <w:tcW w:w="1240" w:type="dxa"/>
            <w:noWrap w:val="0"/>
            <w:vAlign w:val="top"/>
          </w:tcPr>
          <w:p w14:paraId="6D215AA3">
            <w:pPr>
              <w:spacing w:line="400" w:lineRule="exact"/>
              <w:rPr>
                <w:rFonts w:hint="eastAsia" w:ascii="新宋体" w:hAnsi="新宋体" w:eastAsia="新宋体" w:cs="新宋体"/>
                <w:color w:val="auto"/>
                <w:sz w:val="22"/>
                <w:szCs w:val="22"/>
                <w:highlight w:val="none"/>
              </w:rPr>
            </w:pPr>
          </w:p>
        </w:tc>
        <w:tc>
          <w:tcPr>
            <w:tcW w:w="1404" w:type="dxa"/>
            <w:noWrap w:val="0"/>
            <w:vAlign w:val="top"/>
          </w:tcPr>
          <w:p w14:paraId="6993EE63">
            <w:pPr>
              <w:spacing w:line="400" w:lineRule="exact"/>
              <w:rPr>
                <w:rFonts w:hint="eastAsia" w:ascii="新宋体" w:hAnsi="新宋体" w:eastAsia="新宋体" w:cs="新宋体"/>
                <w:color w:val="auto"/>
                <w:sz w:val="22"/>
                <w:szCs w:val="22"/>
                <w:highlight w:val="none"/>
              </w:rPr>
            </w:pPr>
          </w:p>
        </w:tc>
        <w:tc>
          <w:tcPr>
            <w:tcW w:w="796" w:type="dxa"/>
            <w:noWrap w:val="0"/>
            <w:vAlign w:val="top"/>
          </w:tcPr>
          <w:p w14:paraId="6489CE3E">
            <w:pPr>
              <w:spacing w:line="400" w:lineRule="exact"/>
              <w:rPr>
                <w:rFonts w:hint="eastAsia" w:ascii="新宋体" w:hAnsi="新宋体" w:eastAsia="新宋体" w:cs="新宋体"/>
                <w:color w:val="auto"/>
                <w:sz w:val="22"/>
                <w:szCs w:val="22"/>
                <w:highlight w:val="none"/>
              </w:rPr>
            </w:pPr>
          </w:p>
        </w:tc>
        <w:tc>
          <w:tcPr>
            <w:tcW w:w="3704" w:type="dxa"/>
            <w:noWrap w:val="0"/>
            <w:vAlign w:val="top"/>
          </w:tcPr>
          <w:p w14:paraId="782BB830">
            <w:pPr>
              <w:spacing w:line="400" w:lineRule="exact"/>
              <w:rPr>
                <w:rFonts w:hint="eastAsia" w:ascii="新宋体" w:hAnsi="新宋体" w:eastAsia="新宋体" w:cs="新宋体"/>
                <w:color w:val="auto"/>
                <w:sz w:val="22"/>
                <w:szCs w:val="22"/>
                <w:highlight w:val="none"/>
              </w:rPr>
            </w:pPr>
          </w:p>
        </w:tc>
        <w:tc>
          <w:tcPr>
            <w:tcW w:w="1568" w:type="dxa"/>
            <w:noWrap w:val="0"/>
            <w:vAlign w:val="top"/>
          </w:tcPr>
          <w:p w14:paraId="43E02CCF">
            <w:pPr>
              <w:spacing w:line="400" w:lineRule="exact"/>
              <w:rPr>
                <w:rFonts w:hint="eastAsia" w:ascii="新宋体" w:hAnsi="新宋体" w:eastAsia="新宋体" w:cs="新宋体"/>
                <w:color w:val="auto"/>
                <w:sz w:val="22"/>
                <w:szCs w:val="22"/>
                <w:highlight w:val="none"/>
              </w:rPr>
            </w:pPr>
          </w:p>
        </w:tc>
      </w:tr>
      <w:tr w14:paraId="76C48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56646A83">
            <w:pPr>
              <w:spacing w:line="400" w:lineRule="exact"/>
              <w:jc w:val="center"/>
              <w:rPr>
                <w:rFonts w:hint="eastAsia" w:ascii="新宋体" w:hAnsi="新宋体" w:eastAsia="新宋体" w:cs="新宋体"/>
                <w:color w:val="auto"/>
                <w:sz w:val="22"/>
                <w:szCs w:val="22"/>
                <w:highlight w:val="none"/>
              </w:rPr>
            </w:pPr>
          </w:p>
        </w:tc>
        <w:tc>
          <w:tcPr>
            <w:tcW w:w="1240" w:type="dxa"/>
            <w:noWrap w:val="0"/>
            <w:vAlign w:val="top"/>
          </w:tcPr>
          <w:p w14:paraId="4253F33B">
            <w:pPr>
              <w:spacing w:line="400" w:lineRule="exact"/>
              <w:rPr>
                <w:rFonts w:hint="eastAsia" w:ascii="新宋体" w:hAnsi="新宋体" w:eastAsia="新宋体" w:cs="新宋体"/>
                <w:color w:val="auto"/>
                <w:sz w:val="22"/>
                <w:szCs w:val="22"/>
                <w:highlight w:val="none"/>
              </w:rPr>
            </w:pPr>
          </w:p>
        </w:tc>
        <w:tc>
          <w:tcPr>
            <w:tcW w:w="1404" w:type="dxa"/>
            <w:noWrap w:val="0"/>
            <w:vAlign w:val="top"/>
          </w:tcPr>
          <w:p w14:paraId="04AF10F6">
            <w:pPr>
              <w:spacing w:line="400" w:lineRule="exact"/>
              <w:rPr>
                <w:rFonts w:hint="eastAsia" w:ascii="新宋体" w:hAnsi="新宋体" w:eastAsia="新宋体" w:cs="新宋体"/>
                <w:color w:val="auto"/>
                <w:sz w:val="22"/>
                <w:szCs w:val="22"/>
                <w:highlight w:val="none"/>
              </w:rPr>
            </w:pPr>
          </w:p>
        </w:tc>
        <w:tc>
          <w:tcPr>
            <w:tcW w:w="796" w:type="dxa"/>
            <w:noWrap w:val="0"/>
            <w:vAlign w:val="top"/>
          </w:tcPr>
          <w:p w14:paraId="1344D237">
            <w:pPr>
              <w:spacing w:line="400" w:lineRule="exact"/>
              <w:rPr>
                <w:rFonts w:hint="eastAsia" w:ascii="新宋体" w:hAnsi="新宋体" w:eastAsia="新宋体" w:cs="新宋体"/>
                <w:color w:val="auto"/>
                <w:sz w:val="22"/>
                <w:szCs w:val="22"/>
                <w:highlight w:val="none"/>
              </w:rPr>
            </w:pPr>
          </w:p>
        </w:tc>
        <w:tc>
          <w:tcPr>
            <w:tcW w:w="3704" w:type="dxa"/>
            <w:noWrap w:val="0"/>
            <w:vAlign w:val="top"/>
          </w:tcPr>
          <w:p w14:paraId="308102A6">
            <w:pPr>
              <w:spacing w:line="400" w:lineRule="exact"/>
              <w:rPr>
                <w:rFonts w:hint="eastAsia" w:ascii="新宋体" w:hAnsi="新宋体" w:eastAsia="新宋体" w:cs="新宋体"/>
                <w:color w:val="auto"/>
                <w:sz w:val="22"/>
                <w:szCs w:val="22"/>
                <w:highlight w:val="none"/>
              </w:rPr>
            </w:pPr>
          </w:p>
        </w:tc>
        <w:tc>
          <w:tcPr>
            <w:tcW w:w="1568" w:type="dxa"/>
            <w:noWrap w:val="0"/>
            <w:vAlign w:val="top"/>
          </w:tcPr>
          <w:p w14:paraId="6F43AAA2">
            <w:pPr>
              <w:spacing w:line="400" w:lineRule="exact"/>
              <w:rPr>
                <w:rFonts w:hint="eastAsia" w:ascii="新宋体" w:hAnsi="新宋体" w:eastAsia="新宋体" w:cs="新宋体"/>
                <w:color w:val="auto"/>
                <w:sz w:val="22"/>
                <w:szCs w:val="22"/>
                <w:highlight w:val="none"/>
              </w:rPr>
            </w:pPr>
          </w:p>
        </w:tc>
      </w:tr>
      <w:tr w14:paraId="46571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1BC53ECF">
            <w:pPr>
              <w:spacing w:line="400" w:lineRule="exact"/>
              <w:jc w:val="center"/>
              <w:rPr>
                <w:rFonts w:hint="eastAsia" w:ascii="新宋体" w:hAnsi="新宋体" w:eastAsia="新宋体" w:cs="新宋体"/>
                <w:color w:val="auto"/>
                <w:sz w:val="22"/>
                <w:szCs w:val="22"/>
                <w:highlight w:val="none"/>
              </w:rPr>
            </w:pPr>
          </w:p>
        </w:tc>
        <w:tc>
          <w:tcPr>
            <w:tcW w:w="1240" w:type="dxa"/>
            <w:noWrap w:val="0"/>
            <w:vAlign w:val="top"/>
          </w:tcPr>
          <w:p w14:paraId="1F8E5C67">
            <w:pPr>
              <w:spacing w:line="400" w:lineRule="exact"/>
              <w:rPr>
                <w:rFonts w:hint="eastAsia" w:ascii="新宋体" w:hAnsi="新宋体" w:eastAsia="新宋体" w:cs="新宋体"/>
                <w:color w:val="auto"/>
                <w:sz w:val="22"/>
                <w:szCs w:val="22"/>
                <w:highlight w:val="none"/>
              </w:rPr>
            </w:pPr>
          </w:p>
        </w:tc>
        <w:tc>
          <w:tcPr>
            <w:tcW w:w="1404" w:type="dxa"/>
            <w:noWrap w:val="0"/>
            <w:vAlign w:val="top"/>
          </w:tcPr>
          <w:p w14:paraId="698F0347">
            <w:pPr>
              <w:spacing w:line="400" w:lineRule="exact"/>
              <w:rPr>
                <w:rFonts w:hint="eastAsia" w:ascii="新宋体" w:hAnsi="新宋体" w:eastAsia="新宋体" w:cs="新宋体"/>
                <w:color w:val="auto"/>
                <w:sz w:val="22"/>
                <w:szCs w:val="22"/>
                <w:highlight w:val="none"/>
              </w:rPr>
            </w:pPr>
          </w:p>
        </w:tc>
        <w:tc>
          <w:tcPr>
            <w:tcW w:w="796" w:type="dxa"/>
            <w:noWrap w:val="0"/>
            <w:vAlign w:val="top"/>
          </w:tcPr>
          <w:p w14:paraId="5899165C">
            <w:pPr>
              <w:spacing w:line="400" w:lineRule="exact"/>
              <w:rPr>
                <w:rFonts w:hint="eastAsia" w:ascii="新宋体" w:hAnsi="新宋体" w:eastAsia="新宋体" w:cs="新宋体"/>
                <w:color w:val="auto"/>
                <w:sz w:val="22"/>
                <w:szCs w:val="22"/>
                <w:highlight w:val="none"/>
              </w:rPr>
            </w:pPr>
          </w:p>
        </w:tc>
        <w:tc>
          <w:tcPr>
            <w:tcW w:w="3704" w:type="dxa"/>
            <w:noWrap w:val="0"/>
            <w:vAlign w:val="top"/>
          </w:tcPr>
          <w:p w14:paraId="46B027AB">
            <w:pPr>
              <w:spacing w:line="400" w:lineRule="exact"/>
              <w:rPr>
                <w:rFonts w:hint="eastAsia" w:ascii="新宋体" w:hAnsi="新宋体" w:eastAsia="新宋体" w:cs="新宋体"/>
                <w:color w:val="auto"/>
                <w:sz w:val="22"/>
                <w:szCs w:val="22"/>
                <w:highlight w:val="none"/>
              </w:rPr>
            </w:pPr>
          </w:p>
        </w:tc>
        <w:tc>
          <w:tcPr>
            <w:tcW w:w="1568" w:type="dxa"/>
            <w:noWrap w:val="0"/>
            <w:vAlign w:val="top"/>
          </w:tcPr>
          <w:p w14:paraId="21CD5150">
            <w:pPr>
              <w:spacing w:line="400" w:lineRule="exact"/>
              <w:rPr>
                <w:rFonts w:hint="eastAsia" w:ascii="新宋体" w:hAnsi="新宋体" w:eastAsia="新宋体" w:cs="新宋体"/>
                <w:color w:val="auto"/>
                <w:sz w:val="22"/>
                <w:szCs w:val="22"/>
                <w:highlight w:val="none"/>
              </w:rPr>
            </w:pPr>
          </w:p>
        </w:tc>
      </w:tr>
      <w:tr w14:paraId="099DB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005B885F">
            <w:pPr>
              <w:spacing w:line="400" w:lineRule="exact"/>
              <w:jc w:val="center"/>
              <w:rPr>
                <w:rFonts w:hint="eastAsia" w:ascii="新宋体" w:hAnsi="新宋体" w:eastAsia="新宋体" w:cs="新宋体"/>
                <w:color w:val="auto"/>
                <w:sz w:val="22"/>
                <w:szCs w:val="22"/>
                <w:highlight w:val="none"/>
              </w:rPr>
            </w:pPr>
          </w:p>
        </w:tc>
        <w:tc>
          <w:tcPr>
            <w:tcW w:w="1240" w:type="dxa"/>
            <w:noWrap w:val="0"/>
            <w:vAlign w:val="top"/>
          </w:tcPr>
          <w:p w14:paraId="7075DFBC">
            <w:pPr>
              <w:spacing w:line="400" w:lineRule="exact"/>
              <w:rPr>
                <w:rFonts w:hint="eastAsia" w:ascii="新宋体" w:hAnsi="新宋体" w:eastAsia="新宋体" w:cs="新宋体"/>
                <w:color w:val="auto"/>
                <w:sz w:val="22"/>
                <w:szCs w:val="22"/>
                <w:highlight w:val="none"/>
              </w:rPr>
            </w:pPr>
          </w:p>
        </w:tc>
        <w:tc>
          <w:tcPr>
            <w:tcW w:w="1404" w:type="dxa"/>
            <w:noWrap w:val="0"/>
            <w:vAlign w:val="top"/>
          </w:tcPr>
          <w:p w14:paraId="0EBC61CF">
            <w:pPr>
              <w:spacing w:line="400" w:lineRule="exact"/>
              <w:rPr>
                <w:rFonts w:hint="eastAsia" w:ascii="新宋体" w:hAnsi="新宋体" w:eastAsia="新宋体" w:cs="新宋体"/>
                <w:color w:val="auto"/>
                <w:sz w:val="22"/>
                <w:szCs w:val="22"/>
                <w:highlight w:val="none"/>
              </w:rPr>
            </w:pPr>
          </w:p>
        </w:tc>
        <w:tc>
          <w:tcPr>
            <w:tcW w:w="796" w:type="dxa"/>
            <w:noWrap w:val="0"/>
            <w:vAlign w:val="top"/>
          </w:tcPr>
          <w:p w14:paraId="513BE100">
            <w:pPr>
              <w:spacing w:line="400" w:lineRule="exact"/>
              <w:rPr>
                <w:rFonts w:hint="eastAsia" w:ascii="新宋体" w:hAnsi="新宋体" w:eastAsia="新宋体" w:cs="新宋体"/>
                <w:color w:val="auto"/>
                <w:sz w:val="22"/>
                <w:szCs w:val="22"/>
                <w:highlight w:val="none"/>
              </w:rPr>
            </w:pPr>
          </w:p>
        </w:tc>
        <w:tc>
          <w:tcPr>
            <w:tcW w:w="3704" w:type="dxa"/>
            <w:noWrap w:val="0"/>
            <w:vAlign w:val="top"/>
          </w:tcPr>
          <w:p w14:paraId="19AB39D8">
            <w:pPr>
              <w:spacing w:line="400" w:lineRule="exact"/>
              <w:rPr>
                <w:rFonts w:hint="eastAsia" w:ascii="新宋体" w:hAnsi="新宋体" w:eastAsia="新宋体" w:cs="新宋体"/>
                <w:color w:val="auto"/>
                <w:sz w:val="22"/>
                <w:szCs w:val="22"/>
                <w:highlight w:val="none"/>
              </w:rPr>
            </w:pPr>
          </w:p>
        </w:tc>
        <w:tc>
          <w:tcPr>
            <w:tcW w:w="1568" w:type="dxa"/>
            <w:noWrap w:val="0"/>
            <w:vAlign w:val="top"/>
          </w:tcPr>
          <w:p w14:paraId="35178177">
            <w:pPr>
              <w:spacing w:line="400" w:lineRule="exact"/>
              <w:rPr>
                <w:rFonts w:hint="eastAsia" w:ascii="新宋体" w:hAnsi="新宋体" w:eastAsia="新宋体" w:cs="新宋体"/>
                <w:color w:val="auto"/>
                <w:sz w:val="22"/>
                <w:szCs w:val="22"/>
                <w:highlight w:val="none"/>
              </w:rPr>
            </w:pPr>
          </w:p>
        </w:tc>
      </w:tr>
      <w:tr w14:paraId="17CC1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22C2950F">
            <w:pPr>
              <w:spacing w:line="400" w:lineRule="exact"/>
              <w:jc w:val="center"/>
              <w:rPr>
                <w:rFonts w:hint="eastAsia" w:ascii="新宋体" w:hAnsi="新宋体" w:eastAsia="新宋体" w:cs="新宋体"/>
                <w:color w:val="auto"/>
                <w:sz w:val="22"/>
                <w:szCs w:val="22"/>
                <w:highlight w:val="none"/>
              </w:rPr>
            </w:pPr>
          </w:p>
        </w:tc>
        <w:tc>
          <w:tcPr>
            <w:tcW w:w="1240" w:type="dxa"/>
            <w:noWrap w:val="0"/>
            <w:vAlign w:val="top"/>
          </w:tcPr>
          <w:p w14:paraId="007A9DC2">
            <w:pPr>
              <w:spacing w:line="400" w:lineRule="exact"/>
              <w:rPr>
                <w:rFonts w:hint="eastAsia" w:ascii="新宋体" w:hAnsi="新宋体" w:eastAsia="新宋体" w:cs="新宋体"/>
                <w:color w:val="auto"/>
                <w:sz w:val="22"/>
                <w:szCs w:val="22"/>
                <w:highlight w:val="none"/>
              </w:rPr>
            </w:pPr>
          </w:p>
        </w:tc>
        <w:tc>
          <w:tcPr>
            <w:tcW w:w="1404" w:type="dxa"/>
            <w:noWrap w:val="0"/>
            <w:vAlign w:val="top"/>
          </w:tcPr>
          <w:p w14:paraId="32FE035A">
            <w:pPr>
              <w:spacing w:line="400" w:lineRule="exact"/>
              <w:rPr>
                <w:rFonts w:hint="eastAsia" w:ascii="新宋体" w:hAnsi="新宋体" w:eastAsia="新宋体" w:cs="新宋体"/>
                <w:color w:val="auto"/>
                <w:sz w:val="22"/>
                <w:szCs w:val="22"/>
                <w:highlight w:val="none"/>
              </w:rPr>
            </w:pPr>
          </w:p>
        </w:tc>
        <w:tc>
          <w:tcPr>
            <w:tcW w:w="796" w:type="dxa"/>
            <w:noWrap w:val="0"/>
            <w:vAlign w:val="top"/>
          </w:tcPr>
          <w:p w14:paraId="3CA32FCF">
            <w:pPr>
              <w:spacing w:line="400" w:lineRule="exact"/>
              <w:rPr>
                <w:rFonts w:hint="eastAsia" w:ascii="新宋体" w:hAnsi="新宋体" w:eastAsia="新宋体" w:cs="新宋体"/>
                <w:color w:val="auto"/>
                <w:sz w:val="22"/>
                <w:szCs w:val="22"/>
                <w:highlight w:val="none"/>
              </w:rPr>
            </w:pPr>
          </w:p>
        </w:tc>
        <w:tc>
          <w:tcPr>
            <w:tcW w:w="3704" w:type="dxa"/>
            <w:noWrap w:val="0"/>
            <w:vAlign w:val="top"/>
          </w:tcPr>
          <w:p w14:paraId="63E752C1">
            <w:pPr>
              <w:spacing w:line="400" w:lineRule="exact"/>
              <w:rPr>
                <w:rFonts w:hint="eastAsia" w:ascii="新宋体" w:hAnsi="新宋体" w:eastAsia="新宋体" w:cs="新宋体"/>
                <w:color w:val="auto"/>
                <w:sz w:val="22"/>
                <w:szCs w:val="22"/>
                <w:highlight w:val="none"/>
              </w:rPr>
            </w:pPr>
          </w:p>
        </w:tc>
        <w:tc>
          <w:tcPr>
            <w:tcW w:w="1568" w:type="dxa"/>
            <w:noWrap w:val="0"/>
            <w:vAlign w:val="top"/>
          </w:tcPr>
          <w:p w14:paraId="21464904">
            <w:pPr>
              <w:spacing w:line="400" w:lineRule="exact"/>
              <w:rPr>
                <w:rFonts w:hint="eastAsia" w:ascii="新宋体" w:hAnsi="新宋体" w:eastAsia="新宋体" w:cs="新宋体"/>
                <w:color w:val="auto"/>
                <w:sz w:val="22"/>
                <w:szCs w:val="22"/>
                <w:highlight w:val="none"/>
              </w:rPr>
            </w:pPr>
          </w:p>
        </w:tc>
      </w:tr>
      <w:tr w14:paraId="52E8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4765DE3E">
            <w:pPr>
              <w:spacing w:line="400" w:lineRule="exact"/>
              <w:jc w:val="center"/>
              <w:rPr>
                <w:rFonts w:hint="eastAsia" w:ascii="新宋体" w:hAnsi="新宋体" w:eastAsia="新宋体" w:cs="新宋体"/>
                <w:color w:val="auto"/>
                <w:sz w:val="22"/>
                <w:szCs w:val="22"/>
                <w:highlight w:val="none"/>
              </w:rPr>
            </w:pPr>
          </w:p>
        </w:tc>
        <w:tc>
          <w:tcPr>
            <w:tcW w:w="1240" w:type="dxa"/>
            <w:noWrap w:val="0"/>
            <w:vAlign w:val="top"/>
          </w:tcPr>
          <w:p w14:paraId="64ED1DFA">
            <w:pPr>
              <w:spacing w:line="400" w:lineRule="exact"/>
              <w:rPr>
                <w:rFonts w:hint="eastAsia" w:ascii="新宋体" w:hAnsi="新宋体" w:eastAsia="新宋体" w:cs="新宋体"/>
                <w:color w:val="auto"/>
                <w:sz w:val="22"/>
                <w:szCs w:val="22"/>
                <w:highlight w:val="none"/>
              </w:rPr>
            </w:pPr>
          </w:p>
        </w:tc>
        <w:tc>
          <w:tcPr>
            <w:tcW w:w="1404" w:type="dxa"/>
            <w:noWrap w:val="0"/>
            <w:vAlign w:val="top"/>
          </w:tcPr>
          <w:p w14:paraId="7799ADD2">
            <w:pPr>
              <w:spacing w:line="400" w:lineRule="exact"/>
              <w:rPr>
                <w:rFonts w:hint="eastAsia" w:ascii="新宋体" w:hAnsi="新宋体" w:eastAsia="新宋体" w:cs="新宋体"/>
                <w:color w:val="auto"/>
                <w:sz w:val="22"/>
                <w:szCs w:val="22"/>
                <w:highlight w:val="none"/>
              </w:rPr>
            </w:pPr>
          </w:p>
        </w:tc>
        <w:tc>
          <w:tcPr>
            <w:tcW w:w="796" w:type="dxa"/>
            <w:noWrap w:val="0"/>
            <w:vAlign w:val="top"/>
          </w:tcPr>
          <w:p w14:paraId="43D0157F">
            <w:pPr>
              <w:spacing w:line="400" w:lineRule="exact"/>
              <w:rPr>
                <w:rFonts w:hint="eastAsia" w:ascii="新宋体" w:hAnsi="新宋体" w:eastAsia="新宋体" w:cs="新宋体"/>
                <w:color w:val="auto"/>
                <w:sz w:val="22"/>
                <w:szCs w:val="22"/>
                <w:highlight w:val="none"/>
              </w:rPr>
            </w:pPr>
          </w:p>
        </w:tc>
        <w:tc>
          <w:tcPr>
            <w:tcW w:w="3704" w:type="dxa"/>
            <w:noWrap w:val="0"/>
            <w:vAlign w:val="top"/>
          </w:tcPr>
          <w:p w14:paraId="50B0F606">
            <w:pPr>
              <w:spacing w:line="400" w:lineRule="exact"/>
              <w:rPr>
                <w:rFonts w:hint="eastAsia" w:ascii="新宋体" w:hAnsi="新宋体" w:eastAsia="新宋体" w:cs="新宋体"/>
                <w:color w:val="auto"/>
                <w:sz w:val="22"/>
                <w:szCs w:val="22"/>
                <w:highlight w:val="none"/>
              </w:rPr>
            </w:pPr>
          </w:p>
        </w:tc>
        <w:tc>
          <w:tcPr>
            <w:tcW w:w="1568" w:type="dxa"/>
            <w:noWrap w:val="0"/>
            <w:vAlign w:val="top"/>
          </w:tcPr>
          <w:p w14:paraId="4080B24B">
            <w:pPr>
              <w:spacing w:line="400" w:lineRule="exact"/>
              <w:rPr>
                <w:rFonts w:hint="eastAsia" w:ascii="新宋体" w:hAnsi="新宋体" w:eastAsia="新宋体" w:cs="新宋体"/>
                <w:color w:val="auto"/>
                <w:sz w:val="22"/>
                <w:szCs w:val="22"/>
                <w:highlight w:val="none"/>
              </w:rPr>
            </w:pPr>
          </w:p>
        </w:tc>
      </w:tr>
      <w:tr w14:paraId="23F54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70A98668">
            <w:pPr>
              <w:spacing w:line="400" w:lineRule="exact"/>
              <w:jc w:val="center"/>
              <w:rPr>
                <w:rFonts w:hint="eastAsia" w:ascii="新宋体" w:hAnsi="新宋体" w:eastAsia="新宋体" w:cs="新宋体"/>
                <w:color w:val="auto"/>
                <w:sz w:val="22"/>
                <w:szCs w:val="22"/>
                <w:highlight w:val="none"/>
              </w:rPr>
            </w:pPr>
          </w:p>
        </w:tc>
        <w:tc>
          <w:tcPr>
            <w:tcW w:w="1240" w:type="dxa"/>
            <w:noWrap w:val="0"/>
            <w:vAlign w:val="top"/>
          </w:tcPr>
          <w:p w14:paraId="0594D8E1">
            <w:pPr>
              <w:spacing w:line="400" w:lineRule="exact"/>
              <w:rPr>
                <w:rFonts w:hint="eastAsia" w:ascii="新宋体" w:hAnsi="新宋体" w:eastAsia="新宋体" w:cs="新宋体"/>
                <w:color w:val="auto"/>
                <w:sz w:val="22"/>
                <w:szCs w:val="22"/>
                <w:highlight w:val="none"/>
              </w:rPr>
            </w:pPr>
          </w:p>
        </w:tc>
        <w:tc>
          <w:tcPr>
            <w:tcW w:w="1404" w:type="dxa"/>
            <w:noWrap w:val="0"/>
            <w:vAlign w:val="top"/>
          </w:tcPr>
          <w:p w14:paraId="1C1C07AC">
            <w:pPr>
              <w:spacing w:line="400" w:lineRule="exact"/>
              <w:rPr>
                <w:rFonts w:hint="eastAsia" w:ascii="新宋体" w:hAnsi="新宋体" w:eastAsia="新宋体" w:cs="新宋体"/>
                <w:color w:val="auto"/>
                <w:sz w:val="22"/>
                <w:szCs w:val="22"/>
                <w:highlight w:val="none"/>
              </w:rPr>
            </w:pPr>
          </w:p>
        </w:tc>
        <w:tc>
          <w:tcPr>
            <w:tcW w:w="796" w:type="dxa"/>
            <w:noWrap w:val="0"/>
            <w:vAlign w:val="top"/>
          </w:tcPr>
          <w:p w14:paraId="7FA6BBEB">
            <w:pPr>
              <w:spacing w:line="400" w:lineRule="exact"/>
              <w:rPr>
                <w:rFonts w:hint="eastAsia" w:ascii="新宋体" w:hAnsi="新宋体" w:eastAsia="新宋体" w:cs="新宋体"/>
                <w:color w:val="auto"/>
                <w:sz w:val="22"/>
                <w:szCs w:val="22"/>
                <w:highlight w:val="none"/>
              </w:rPr>
            </w:pPr>
          </w:p>
        </w:tc>
        <w:tc>
          <w:tcPr>
            <w:tcW w:w="3704" w:type="dxa"/>
            <w:noWrap w:val="0"/>
            <w:vAlign w:val="top"/>
          </w:tcPr>
          <w:p w14:paraId="41700CC2">
            <w:pPr>
              <w:spacing w:line="400" w:lineRule="exact"/>
              <w:rPr>
                <w:rFonts w:hint="eastAsia" w:ascii="新宋体" w:hAnsi="新宋体" w:eastAsia="新宋体" w:cs="新宋体"/>
                <w:color w:val="auto"/>
                <w:sz w:val="22"/>
                <w:szCs w:val="22"/>
                <w:highlight w:val="none"/>
              </w:rPr>
            </w:pPr>
          </w:p>
        </w:tc>
        <w:tc>
          <w:tcPr>
            <w:tcW w:w="1568" w:type="dxa"/>
            <w:noWrap w:val="0"/>
            <w:vAlign w:val="top"/>
          </w:tcPr>
          <w:p w14:paraId="33277387">
            <w:pPr>
              <w:spacing w:line="400" w:lineRule="exact"/>
              <w:rPr>
                <w:rFonts w:hint="eastAsia" w:ascii="新宋体" w:hAnsi="新宋体" w:eastAsia="新宋体" w:cs="新宋体"/>
                <w:color w:val="auto"/>
                <w:sz w:val="22"/>
                <w:szCs w:val="22"/>
                <w:highlight w:val="none"/>
              </w:rPr>
            </w:pPr>
          </w:p>
        </w:tc>
      </w:tr>
      <w:tr w14:paraId="325B8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3C713FB7">
            <w:pPr>
              <w:spacing w:line="400" w:lineRule="exact"/>
              <w:jc w:val="center"/>
              <w:rPr>
                <w:rFonts w:hint="eastAsia" w:ascii="新宋体" w:hAnsi="新宋体" w:eastAsia="新宋体" w:cs="新宋体"/>
                <w:color w:val="auto"/>
                <w:sz w:val="22"/>
                <w:szCs w:val="22"/>
                <w:highlight w:val="none"/>
              </w:rPr>
            </w:pPr>
          </w:p>
        </w:tc>
        <w:tc>
          <w:tcPr>
            <w:tcW w:w="1240" w:type="dxa"/>
            <w:noWrap w:val="0"/>
            <w:vAlign w:val="top"/>
          </w:tcPr>
          <w:p w14:paraId="08F30C30">
            <w:pPr>
              <w:spacing w:line="400" w:lineRule="exact"/>
              <w:rPr>
                <w:rFonts w:hint="eastAsia" w:ascii="新宋体" w:hAnsi="新宋体" w:eastAsia="新宋体" w:cs="新宋体"/>
                <w:color w:val="auto"/>
                <w:sz w:val="22"/>
                <w:szCs w:val="22"/>
                <w:highlight w:val="none"/>
              </w:rPr>
            </w:pPr>
          </w:p>
        </w:tc>
        <w:tc>
          <w:tcPr>
            <w:tcW w:w="1404" w:type="dxa"/>
            <w:noWrap w:val="0"/>
            <w:vAlign w:val="top"/>
          </w:tcPr>
          <w:p w14:paraId="61BA2785">
            <w:pPr>
              <w:spacing w:line="400" w:lineRule="exact"/>
              <w:rPr>
                <w:rFonts w:hint="eastAsia" w:ascii="新宋体" w:hAnsi="新宋体" w:eastAsia="新宋体" w:cs="新宋体"/>
                <w:color w:val="auto"/>
                <w:sz w:val="22"/>
                <w:szCs w:val="22"/>
                <w:highlight w:val="none"/>
              </w:rPr>
            </w:pPr>
          </w:p>
        </w:tc>
        <w:tc>
          <w:tcPr>
            <w:tcW w:w="796" w:type="dxa"/>
            <w:noWrap w:val="0"/>
            <w:vAlign w:val="top"/>
          </w:tcPr>
          <w:p w14:paraId="60A2CA3E">
            <w:pPr>
              <w:spacing w:line="400" w:lineRule="exact"/>
              <w:rPr>
                <w:rFonts w:hint="eastAsia" w:ascii="新宋体" w:hAnsi="新宋体" w:eastAsia="新宋体" w:cs="新宋体"/>
                <w:color w:val="auto"/>
                <w:sz w:val="22"/>
                <w:szCs w:val="22"/>
                <w:highlight w:val="none"/>
              </w:rPr>
            </w:pPr>
          </w:p>
        </w:tc>
        <w:tc>
          <w:tcPr>
            <w:tcW w:w="3704" w:type="dxa"/>
            <w:noWrap w:val="0"/>
            <w:vAlign w:val="top"/>
          </w:tcPr>
          <w:p w14:paraId="05D574CD">
            <w:pPr>
              <w:spacing w:line="400" w:lineRule="exact"/>
              <w:rPr>
                <w:rFonts w:hint="eastAsia" w:ascii="新宋体" w:hAnsi="新宋体" w:eastAsia="新宋体" w:cs="新宋体"/>
                <w:color w:val="auto"/>
                <w:sz w:val="22"/>
                <w:szCs w:val="22"/>
                <w:highlight w:val="none"/>
              </w:rPr>
            </w:pPr>
          </w:p>
        </w:tc>
        <w:tc>
          <w:tcPr>
            <w:tcW w:w="1568" w:type="dxa"/>
            <w:noWrap w:val="0"/>
            <w:vAlign w:val="top"/>
          </w:tcPr>
          <w:p w14:paraId="26545D5D">
            <w:pPr>
              <w:spacing w:line="400" w:lineRule="exact"/>
              <w:rPr>
                <w:rFonts w:hint="eastAsia" w:ascii="新宋体" w:hAnsi="新宋体" w:eastAsia="新宋体" w:cs="新宋体"/>
                <w:color w:val="auto"/>
                <w:sz w:val="22"/>
                <w:szCs w:val="22"/>
                <w:highlight w:val="none"/>
              </w:rPr>
            </w:pPr>
          </w:p>
        </w:tc>
      </w:tr>
      <w:tr w14:paraId="5AD36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6A170938">
            <w:pPr>
              <w:spacing w:line="400" w:lineRule="exact"/>
              <w:jc w:val="center"/>
              <w:rPr>
                <w:rFonts w:hint="eastAsia" w:ascii="新宋体" w:hAnsi="新宋体" w:eastAsia="新宋体" w:cs="新宋体"/>
                <w:color w:val="auto"/>
                <w:sz w:val="22"/>
                <w:szCs w:val="22"/>
                <w:highlight w:val="none"/>
              </w:rPr>
            </w:pPr>
          </w:p>
        </w:tc>
        <w:tc>
          <w:tcPr>
            <w:tcW w:w="1240" w:type="dxa"/>
            <w:noWrap w:val="0"/>
            <w:vAlign w:val="top"/>
          </w:tcPr>
          <w:p w14:paraId="2AEC9834">
            <w:pPr>
              <w:spacing w:line="400" w:lineRule="exact"/>
              <w:rPr>
                <w:rFonts w:hint="eastAsia" w:ascii="新宋体" w:hAnsi="新宋体" w:eastAsia="新宋体" w:cs="新宋体"/>
                <w:color w:val="auto"/>
                <w:sz w:val="22"/>
                <w:szCs w:val="22"/>
                <w:highlight w:val="none"/>
              </w:rPr>
            </w:pPr>
          </w:p>
        </w:tc>
        <w:tc>
          <w:tcPr>
            <w:tcW w:w="1404" w:type="dxa"/>
            <w:noWrap w:val="0"/>
            <w:vAlign w:val="top"/>
          </w:tcPr>
          <w:p w14:paraId="7CFB3799">
            <w:pPr>
              <w:spacing w:line="400" w:lineRule="exact"/>
              <w:rPr>
                <w:rFonts w:hint="eastAsia" w:ascii="新宋体" w:hAnsi="新宋体" w:eastAsia="新宋体" w:cs="新宋体"/>
                <w:color w:val="auto"/>
                <w:sz w:val="22"/>
                <w:szCs w:val="22"/>
                <w:highlight w:val="none"/>
              </w:rPr>
            </w:pPr>
          </w:p>
        </w:tc>
        <w:tc>
          <w:tcPr>
            <w:tcW w:w="796" w:type="dxa"/>
            <w:noWrap w:val="0"/>
            <w:vAlign w:val="top"/>
          </w:tcPr>
          <w:p w14:paraId="7184A6CD">
            <w:pPr>
              <w:spacing w:line="400" w:lineRule="exact"/>
              <w:rPr>
                <w:rFonts w:hint="eastAsia" w:ascii="新宋体" w:hAnsi="新宋体" w:eastAsia="新宋体" w:cs="新宋体"/>
                <w:color w:val="auto"/>
                <w:sz w:val="22"/>
                <w:szCs w:val="22"/>
                <w:highlight w:val="none"/>
              </w:rPr>
            </w:pPr>
          </w:p>
        </w:tc>
        <w:tc>
          <w:tcPr>
            <w:tcW w:w="3704" w:type="dxa"/>
            <w:noWrap w:val="0"/>
            <w:vAlign w:val="top"/>
          </w:tcPr>
          <w:p w14:paraId="0432A2DB">
            <w:pPr>
              <w:spacing w:line="400" w:lineRule="exact"/>
              <w:rPr>
                <w:rFonts w:hint="eastAsia" w:ascii="新宋体" w:hAnsi="新宋体" w:eastAsia="新宋体" w:cs="新宋体"/>
                <w:color w:val="auto"/>
                <w:sz w:val="22"/>
                <w:szCs w:val="22"/>
                <w:highlight w:val="none"/>
              </w:rPr>
            </w:pPr>
          </w:p>
        </w:tc>
        <w:tc>
          <w:tcPr>
            <w:tcW w:w="1568" w:type="dxa"/>
            <w:noWrap w:val="0"/>
            <w:vAlign w:val="top"/>
          </w:tcPr>
          <w:p w14:paraId="3CC41102">
            <w:pPr>
              <w:spacing w:line="400" w:lineRule="exact"/>
              <w:rPr>
                <w:rFonts w:hint="eastAsia" w:ascii="新宋体" w:hAnsi="新宋体" w:eastAsia="新宋体" w:cs="新宋体"/>
                <w:color w:val="auto"/>
                <w:sz w:val="22"/>
                <w:szCs w:val="22"/>
                <w:highlight w:val="none"/>
              </w:rPr>
            </w:pPr>
          </w:p>
        </w:tc>
      </w:tr>
      <w:tr w14:paraId="38F2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695B8BCC">
            <w:pPr>
              <w:spacing w:line="400" w:lineRule="exact"/>
              <w:jc w:val="center"/>
              <w:rPr>
                <w:rFonts w:hint="eastAsia" w:ascii="新宋体" w:hAnsi="新宋体" w:eastAsia="新宋体" w:cs="新宋体"/>
                <w:color w:val="auto"/>
                <w:sz w:val="22"/>
                <w:szCs w:val="22"/>
                <w:highlight w:val="none"/>
              </w:rPr>
            </w:pPr>
          </w:p>
        </w:tc>
        <w:tc>
          <w:tcPr>
            <w:tcW w:w="1240" w:type="dxa"/>
            <w:noWrap w:val="0"/>
            <w:vAlign w:val="top"/>
          </w:tcPr>
          <w:p w14:paraId="19554249">
            <w:pPr>
              <w:spacing w:line="400" w:lineRule="exact"/>
              <w:rPr>
                <w:rFonts w:hint="eastAsia" w:ascii="新宋体" w:hAnsi="新宋体" w:eastAsia="新宋体" w:cs="新宋体"/>
                <w:color w:val="auto"/>
                <w:sz w:val="22"/>
                <w:szCs w:val="22"/>
                <w:highlight w:val="none"/>
              </w:rPr>
            </w:pPr>
          </w:p>
        </w:tc>
        <w:tc>
          <w:tcPr>
            <w:tcW w:w="1404" w:type="dxa"/>
            <w:noWrap w:val="0"/>
            <w:vAlign w:val="top"/>
          </w:tcPr>
          <w:p w14:paraId="2AD6FB22">
            <w:pPr>
              <w:spacing w:line="400" w:lineRule="exact"/>
              <w:rPr>
                <w:rFonts w:hint="eastAsia" w:ascii="新宋体" w:hAnsi="新宋体" w:eastAsia="新宋体" w:cs="新宋体"/>
                <w:color w:val="auto"/>
                <w:sz w:val="22"/>
                <w:szCs w:val="22"/>
                <w:highlight w:val="none"/>
              </w:rPr>
            </w:pPr>
          </w:p>
        </w:tc>
        <w:tc>
          <w:tcPr>
            <w:tcW w:w="796" w:type="dxa"/>
            <w:noWrap w:val="0"/>
            <w:vAlign w:val="top"/>
          </w:tcPr>
          <w:p w14:paraId="74F95418">
            <w:pPr>
              <w:spacing w:line="400" w:lineRule="exact"/>
              <w:rPr>
                <w:rFonts w:hint="eastAsia" w:ascii="新宋体" w:hAnsi="新宋体" w:eastAsia="新宋体" w:cs="新宋体"/>
                <w:color w:val="auto"/>
                <w:sz w:val="22"/>
                <w:szCs w:val="22"/>
                <w:highlight w:val="none"/>
              </w:rPr>
            </w:pPr>
          </w:p>
        </w:tc>
        <w:tc>
          <w:tcPr>
            <w:tcW w:w="3704" w:type="dxa"/>
            <w:noWrap w:val="0"/>
            <w:vAlign w:val="top"/>
          </w:tcPr>
          <w:p w14:paraId="239516AC">
            <w:pPr>
              <w:spacing w:line="400" w:lineRule="exact"/>
              <w:rPr>
                <w:rFonts w:hint="eastAsia" w:ascii="新宋体" w:hAnsi="新宋体" w:eastAsia="新宋体" w:cs="新宋体"/>
                <w:color w:val="auto"/>
                <w:sz w:val="22"/>
                <w:szCs w:val="22"/>
                <w:highlight w:val="none"/>
              </w:rPr>
            </w:pPr>
          </w:p>
        </w:tc>
        <w:tc>
          <w:tcPr>
            <w:tcW w:w="1568" w:type="dxa"/>
            <w:noWrap w:val="0"/>
            <w:vAlign w:val="top"/>
          </w:tcPr>
          <w:p w14:paraId="622BA02D">
            <w:pPr>
              <w:spacing w:line="400" w:lineRule="exact"/>
              <w:rPr>
                <w:rFonts w:hint="eastAsia" w:ascii="新宋体" w:hAnsi="新宋体" w:eastAsia="新宋体" w:cs="新宋体"/>
                <w:color w:val="auto"/>
                <w:sz w:val="22"/>
                <w:szCs w:val="22"/>
                <w:highlight w:val="none"/>
              </w:rPr>
            </w:pPr>
          </w:p>
        </w:tc>
      </w:tr>
      <w:tr w14:paraId="43C50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61E6AF86">
            <w:pPr>
              <w:spacing w:line="400" w:lineRule="exact"/>
              <w:jc w:val="center"/>
              <w:rPr>
                <w:rFonts w:hint="eastAsia" w:ascii="新宋体" w:hAnsi="新宋体" w:eastAsia="新宋体" w:cs="新宋体"/>
                <w:color w:val="auto"/>
                <w:sz w:val="22"/>
                <w:szCs w:val="22"/>
                <w:highlight w:val="none"/>
              </w:rPr>
            </w:pPr>
          </w:p>
        </w:tc>
        <w:tc>
          <w:tcPr>
            <w:tcW w:w="1240" w:type="dxa"/>
            <w:noWrap w:val="0"/>
            <w:vAlign w:val="top"/>
          </w:tcPr>
          <w:p w14:paraId="64D54574">
            <w:pPr>
              <w:spacing w:line="400" w:lineRule="exact"/>
              <w:rPr>
                <w:rFonts w:hint="eastAsia" w:ascii="新宋体" w:hAnsi="新宋体" w:eastAsia="新宋体" w:cs="新宋体"/>
                <w:color w:val="auto"/>
                <w:sz w:val="22"/>
                <w:szCs w:val="22"/>
                <w:highlight w:val="none"/>
              </w:rPr>
            </w:pPr>
          </w:p>
        </w:tc>
        <w:tc>
          <w:tcPr>
            <w:tcW w:w="1404" w:type="dxa"/>
            <w:noWrap w:val="0"/>
            <w:vAlign w:val="top"/>
          </w:tcPr>
          <w:p w14:paraId="7AA52211">
            <w:pPr>
              <w:spacing w:line="400" w:lineRule="exact"/>
              <w:rPr>
                <w:rFonts w:hint="eastAsia" w:ascii="新宋体" w:hAnsi="新宋体" w:eastAsia="新宋体" w:cs="新宋体"/>
                <w:color w:val="auto"/>
                <w:sz w:val="22"/>
                <w:szCs w:val="22"/>
                <w:highlight w:val="none"/>
              </w:rPr>
            </w:pPr>
          </w:p>
        </w:tc>
        <w:tc>
          <w:tcPr>
            <w:tcW w:w="796" w:type="dxa"/>
            <w:noWrap w:val="0"/>
            <w:vAlign w:val="top"/>
          </w:tcPr>
          <w:p w14:paraId="19194FCD">
            <w:pPr>
              <w:spacing w:line="400" w:lineRule="exact"/>
              <w:rPr>
                <w:rFonts w:hint="eastAsia" w:ascii="新宋体" w:hAnsi="新宋体" w:eastAsia="新宋体" w:cs="新宋体"/>
                <w:color w:val="auto"/>
                <w:sz w:val="22"/>
                <w:szCs w:val="22"/>
                <w:highlight w:val="none"/>
              </w:rPr>
            </w:pPr>
          </w:p>
        </w:tc>
        <w:tc>
          <w:tcPr>
            <w:tcW w:w="3704" w:type="dxa"/>
            <w:noWrap w:val="0"/>
            <w:vAlign w:val="top"/>
          </w:tcPr>
          <w:p w14:paraId="6B7C63FD">
            <w:pPr>
              <w:spacing w:line="400" w:lineRule="exact"/>
              <w:rPr>
                <w:rFonts w:hint="eastAsia" w:ascii="新宋体" w:hAnsi="新宋体" w:eastAsia="新宋体" w:cs="新宋体"/>
                <w:color w:val="auto"/>
                <w:sz w:val="22"/>
                <w:szCs w:val="22"/>
                <w:highlight w:val="none"/>
              </w:rPr>
            </w:pPr>
          </w:p>
        </w:tc>
        <w:tc>
          <w:tcPr>
            <w:tcW w:w="1568" w:type="dxa"/>
            <w:noWrap w:val="0"/>
            <w:vAlign w:val="top"/>
          </w:tcPr>
          <w:p w14:paraId="5C865AD0">
            <w:pPr>
              <w:spacing w:line="400" w:lineRule="exact"/>
              <w:rPr>
                <w:rFonts w:hint="eastAsia" w:ascii="新宋体" w:hAnsi="新宋体" w:eastAsia="新宋体" w:cs="新宋体"/>
                <w:color w:val="auto"/>
                <w:sz w:val="22"/>
                <w:szCs w:val="22"/>
                <w:highlight w:val="none"/>
              </w:rPr>
            </w:pPr>
          </w:p>
        </w:tc>
      </w:tr>
      <w:tr w14:paraId="46750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5E1CE34A">
            <w:pPr>
              <w:spacing w:line="400" w:lineRule="exact"/>
              <w:jc w:val="center"/>
              <w:rPr>
                <w:rFonts w:hint="eastAsia" w:ascii="新宋体" w:hAnsi="新宋体" w:eastAsia="新宋体" w:cs="新宋体"/>
                <w:color w:val="auto"/>
                <w:sz w:val="22"/>
                <w:szCs w:val="22"/>
                <w:highlight w:val="none"/>
              </w:rPr>
            </w:pPr>
          </w:p>
        </w:tc>
        <w:tc>
          <w:tcPr>
            <w:tcW w:w="1240" w:type="dxa"/>
            <w:noWrap w:val="0"/>
            <w:vAlign w:val="top"/>
          </w:tcPr>
          <w:p w14:paraId="51E2E830">
            <w:pPr>
              <w:spacing w:line="400" w:lineRule="exact"/>
              <w:rPr>
                <w:rFonts w:hint="eastAsia" w:ascii="新宋体" w:hAnsi="新宋体" w:eastAsia="新宋体" w:cs="新宋体"/>
                <w:color w:val="auto"/>
                <w:sz w:val="22"/>
                <w:szCs w:val="22"/>
                <w:highlight w:val="none"/>
              </w:rPr>
            </w:pPr>
          </w:p>
        </w:tc>
        <w:tc>
          <w:tcPr>
            <w:tcW w:w="1404" w:type="dxa"/>
            <w:noWrap w:val="0"/>
            <w:vAlign w:val="top"/>
          </w:tcPr>
          <w:p w14:paraId="159A5FAC">
            <w:pPr>
              <w:spacing w:line="400" w:lineRule="exact"/>
              <w:rPr>
                <w:rFonts w:hint="eastAsia" w:ascii="新宋体" w:hAnsi="新宋体" w:eastAsia="新宋体" w:cs="新宋体"/>
                <w:color w:val="auto"/>
                <w:sz w:val="22"/>
                <w:szCs w:val="22"/>
                <w:highlight w:val="none"/>
              </w:rPr>
            </w:pPr>
          </w:p>
        </w:tc>
        <w:tc>
          <w:tcPr>
            <w:tcW w:w="796" w:type="dxa"/>
            <w:noWrap w:val="0"/>
            <w:vAlign w:val="top"/>
          </w:tcPr>
          <w:p w14:paraId="7AEFB50B">
            <w:pPr>
              <w:spacing w:line="400" w:lineRule="exact"/>
              <w:rPr>
                <w:rFonts w:hint="eastAsia" w:ascii="新宋体" w:hAnsi="新宋体" w:eastAsia="新宋体" w:cs="新宋体"/>
                <w:color w:val="auto"/>
                <w:sz w:val="22"/>
                <w:szCs w:val="22"/>
                <w:highlight w:val="none"/>
              </w:rPr>
            </w:pPr>
          </w:p>
        </w:tc>
        <w:tc>
          <w:tcPr>
            <w:tcW w:w="3704" w:type="dxa"/>
            <w:noWrap w:val="0"/>
            <w:vAlign w:val="top"/>
          </w:tcPr>
          <w:p w14:paraId="0E1CD46D">
            <w:pPr>
              <w:spacing w:line="400" w:lineRule="exact"/>
              <w:rPr>
                <w:rFonts w:hint="eastAsia" w:ascii="新宋体" w:hAnsi="新宋体" w:eastAsia="新宋体" w:cs="新宋体"/>
                <w:color w:val="auto"/>
                <w:sz w:val="22"/>
                <w:szCs w:val="22"/>
                <w:highlight w:val="none"/>
              </w:rPr>
            </w:pPr>
          </w:p>
        </w:tc>
        <w:tc>
          <w:tcPr>
            <w:tcW w:w="1568" w:type="dxa"/>
            <w:noWrap w:val="0"/>
            <w:vAlign w:val="top"/>
          </w:tcPr>
          <w:p w14:paraId="755F221E">
            <w:pPr>
              <w:spacing w:line="400" w:lineRule="exact"/>
              <w:rPr>
                <w:rFonts w:hint="eastAsia" w:ascii="新宋体" w:hAnsi="新宋体" w:eastAsia="新宋体" w:cs="新宋体"/>
                <w:color w:val="auto"/>
                <w:sz w:val="22"/>
                <w:szCs w:val="22"/>
                <w:highlight w:val="none"/>
              </w:rPr>
            </w:pPr>
          </w:p>
        </w:tc>
      </w:tr>
      <w:tr w14:paraId="5865E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5A9916BE">
            <w:pPr>
              <w:spacing w:line="400" w:lineRule="exact"/>
              <w:jc w:val="center"/>
              <w:rPr>
                <w:rFonts w:hint="eastAsia" w:ascii="新宋体" w:hAnsi="新宋体" w:eastAsia="新宋体" w:cs="新宋体"/>
                <w:color w:val="auto"/>
                <w:sz w:val="22"/>
                <w:szCs w:val="22"/>
                <w:highlight w:val="none"/>
              </w:rPr>
            </w:pPr>
          </w:p>
        </w:tc>
        <w:tc>
          <w:tcPr>
            <w:tcW w:w="1240" w:type="dxa"/>
            <w:noWrap w:val="0"/>
            <w:vAlign w:val="top"/>
          </w:tcPr>
          <w:p w14:paraId="7A54C23F">
            <w:pPr>
              <w:spacing w:line="400" w:lineRule="exact"/>
              <w:rPr>
                <w:rFonts w:hint="eastAsia" w:ascii="新宋体" w:hAnsi="新宋体" w:eastAsia="新宋体" w:cs="新宋体"/>
                <w:color w:val="auto"/>
                <w:sz w:val="22"/>
                <w:szCs w:val="22"/>
                <w:highlight w:val="none"/>
              </w:rPr>
            </w:pPr>
          </w:p>
        </w:tc>
        <w:tc>
          <w:tcPr>
            <w:tcW w:w="1404" w:type="dxa"/>
            <w:noWrap w:val="0"/>
            <w:vAlign w:val="top"/>
          </w:tcPr>
          <w:p w14:paraId="356E246D">
            <w:pPr>
              <w:spacing w:line="400" w:lineRule="exact"/>
              <w:rPr>
                <w:rFonts w:hint="eastAsia" w:ascii="新宋体" w:hAnsi="新宋体" w:eastAsia="新宋体" w:cs="新宋体"/>
                <w:color w:val="auto"/>
                <w:sz w:val="22"/>
                <w:szCs w:val="22"/>
                <w:highlight w:val="none"/>
              </w:rPr>
            </w:pPr>
          </w:p>
        </w:tc>
        <w:tc>
          <w:tcPr>
            <w:tcW w:w="796" w:type="dxa"/>
            <w:noWrap w:val="0"/>
            <w:vAlign w:val="top"/>
          </w:tcPr>
          <w:p w14:paraId="2832B896">
            <w:pPr>
              <w:spacing w:line="400" w:lineRule="exact"/>
              <w:rPr>
                <w:rFonts w:hint="eastAsia" w:ascii="新宋体" w:hAnsi="新宋体" w:eastAsia="新宋体" w:cs="新宋体"/>
                <w:color w:val="auto"/>
                <w:sz w:val="22"/>
                <w:szCs w:val="22"/>
                <w:highlight w:val="none"/>
              </w:rPr>
            </w:pPr>
          </w:p>
        </w:tc>
        <w:tc>
          <w:tcPr>
            <w:tcW w:w="3704" w:type="dxa"/>
            <w:noWrap w:val="0"/>
            <w:vAlign w:val="top"/>
          </w:tcPr>
          <w:p w14:paraId="340E221E">
            <w:pPr>
              <w:spacing w:line="400" w:lineRule="exact"/>
              <w:rPr>
                <w:rFonts w:hint="eastAsia" w:ascii="新宋体" w:hAnsi="新宋体" w:eastAsia="新宋体" w:cs="新宋体"/>
                <w:color w:val="auto"/>
                <w:sz w:val="22"/>
                <w:szCs w:val="22"/>
                <w:highlight w:val="none"/>
              </w:rPr>
            </w:pPr>
          </w:p>
        </w:tc>
        <w:tc>
          <w:tcPr>
            <w:tcW w:w="1568" w:type="dxa"/>
            <w:noWrap w:val="0"/>
            <w:vAlign w:val="top"/>
          </w:tcPr>
          <w:p w14:paraId="1A8D6E47">
            <w:pPr>
              <w:spacing w:line="400" w:lineRule="exact"/>
              <w:rPr>
                <w:rFonts w:hint="eastAsia" w:ascii="新宋体" w:hAnsi="新宋体" w:eastAsia="新宋体" w:cs="新宋体"/>
                <w:color w:val="auto"/>
                <w:sz w:val="22"/>
                <w:szCs w:val="22"/>
                <w:highlight w:val="none"/>
              </w:rPr>
            </w:pPr>
          </w:p>
        </w:tc>
      </w:tr>
      <w:tr w14:paraId="69D85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78D6E5E6">
            <w:pPr>
              <w:spacing w:line="400" w:lineRule="exact"/>
              <w:jc w:val="center"/>
              <w:rPr>
                <w:rFonts w:hint="eastAsia" w:ascii="新宋体" w:hAnsi="新宋体" w:eastAsia="新宋体" w:cs="新宋体"/>
                <w:color w:val="auto"/>
                <w:sz w:val="22"/>
                <w:szCs w:val="22"/>
                <w:highlight w:val="none"/>
              </w:rPr>
            </w:pPr>
          </w:p>
        </w:tc>
        <w:tc>
          <w:tcPr>
            <w:tcW w:w="1240" w:type="dxa"/>
            <w:noWrap w:val="0"/>
            <w:vAlign w:val="top"/>
          </w:tcPr>
          <w:p w14:paraId="54E1E482">
            <w:pPr>
              <w:spacing w:line="400" w:lineRule="exact"/>
              <w:rPr>
                <w:rFonts w:hint="eastAsia" w:ascii="新宋体" w:hAnsi="新宋体" w:eastAsia="新宋体" w:cs="新宋体"/>
                <w:color w:val="auto"/>
                <w:sz w:val="22"/>
                <w:szCs w:val="22"/>
                <w:highlight w:val="none"/>
              </w:rPr>
            </w:pPr>
          </w:p>
        </w:tc>
        <w:tc>
          <w:tcPr>
            <w:tcW w:w="1404" w:type="dxa"/>
            <w:noWrap w:val="0"/>
            <w:vAlign w:val="top"/>
          </w:tcPr>
          <w:p w14:paraId="7C2C4F6D">
            <w:pPr>
              <w:spacing w:line="400" w:lineRule="exact"/>
              <w:rPr>
                <w:rFonts w:hint="eastAsia" w:ascii="新宋体" w:hAnsi="新宋体" w:eastAsia="新宋体" w:cs="新宋体"/>
                <w:color w:val="auto"/>
                <w:sz w:val="22"/>
                <w:szCs w:val="22"/>
                <w:highlight w:val="none"/>
              </w:rPr>
            </w:pPr>
          </w:p>
        </w:tc>
        <w:tc>
          <w:tcPr>
            <w:tcW w:w="796" w:type="dxa"/>
            <w:noWrap w:val="0"/>
            <w:vAlign w:val="top"/>
          </w:tcPr>
          <w:p w14:paraId="140AED59">
            <w:pPr>
              <w:spacing w:line="400" w:lineRule="exact"/>
              <w:rPr>
                <w:rFonts w:hint="eastAsia" w:ascii="新宋体" w:hAnsi="新宋体" w:eastAsia="新宋体" w:cs="新宋体"/>
                <w:color w:val="auto"/>
                <w:sz w:val="22"/>
                <w:szCs w:val="22"/>
                <w:highlight w:val="none"/>
              </w:rPr>
            </w:pPr>
          </w:p>
        </w:tc>
        <w:tc>
          <w:tcPr>
            <w:tcW w:w="3704" w:type="dxa"/>
            <w:noWrap w:val="0"/>
            <w:vAlign w:val="top"/>
          </w:tcPr>
          <w:p w14:paraId="5B3B2B64">
            <w:pPr>
              <w:spacing w:line="400" w:lineRule="exact"/>
              <w:rPr>
                <w:rFonts w:hint="eastAsia" w:ascii="新宋体" w:hAnsi="新宋体" w:eastAsia="新宋体" w:cs="新宋体"/>
                <w:color w:val="auto"/>
                <w:sz w:val="22"/>
                <w:szCs w:val="22"/>
                <w:highlight w:val="none"/>
              </w:rPr>
            </w:pPr>
          </w:p>
        </w:tc>
        <w:tc>
          <w:tcPr>
            <w:tcW w:w="1568" w:type="dxa"/>
            <w:noWrap w:val="0"/>
            <w:vAlign w:val="top"/>
          </w:tcPr>
          <w:p w14:paraId="76AD5E7B">
            <w:pPr>
              <w:spacing w:line="400" w:lineRule="exact"/>
              <w:rPr>
                <w:rFonts w:hint="eastAsia" w:ascii="新宋体" w:hAnsi="新宋体" w:eastAsia="新宋体" w:cs="新宋体"/>
                <w:color w:val="auto"/>
                <w:sz w:val="22"/>
                <w:szCs w:val="22"/>
                <w:highlight w:val="none"/>
              </w:rPr>
            </w:pPr>
          </w:p>
        </w:tc>
      </w:tr>
    </w:tbl>
    <w:p w14:paraId="2EAA2050">
      <w:pPr>
        <w:spacing w:line="400" w:lineRule="exact"/>
        <w:ind w:firstLine="4620" w:firstLineChars="2100"/>
        <w:rPr>
          <w:rFonts w:hint="eastAsia" w:ascii="新宋体" w:hAnsi="新宋体" w:eastAsia="新宋体" w:cs="新宋体"/>
          <w:color w:val="auto"/>
          <w:sz w:val="22"/>
          <w:szCs w:val="22"/>
          <w:highlight w:val="none"/>
        </w:rPr>
      </w:pPr>
    </w:p>
    <w:p w14:paraId="22A8C9C6">
      <w:pPr>
        <w:spacing w:line="360" w:lineRule="auto"/>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0822ADE6">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kern w:val="0"/>
          <w:sz w:val="22"/>
          <w:szCs w:val="22"/>
          <w:highlight w:val="none"/>
        </w:rPr>
        <w:t>法定代表人或其授权代表（签字或盖章）</w:t>
      </w:r>
      <w:r>
        <w:rPr>
          <w:rFonts w:hint="eastAsia" w:ascii="新宋体" w:hAnsi="新宋体" w:eastAsia="新宋体" w:cs="新宋体"/>
          <w:color w:val="auto"/>
          <w:sz w:val="22"/>
          <w:szCs w:val="22"/>
          <w:highlight w:val="none"/>
        </w:rPr>
        <w:t>：</w:t>
      </w:r>
    </w:p>
    <w:p w14:paraId="63BEA953">
      <w:pPr>
        <w:spacing w:line="360" w:lineRule="auto"/>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color w:val="auto"/>
          <w:sz w:val="22"/>
          <w:szCs w:val="22"/>
          <w:highlight w:val="none"/>
        </w:rPr>
        <w:t xml:space="preserve">                                                日    期：</w:t>
      </w:r>
    </w:p>
    <w:p w14:paraId="270B9524">
      <w:pPr>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br w:type="page"/>
      </w:r>
    </w:p>
    <w:p w14:paraId="4E1F19D1">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7、投标人业绩情况</w:t>
      </w:r>
    </w:p>
    <w:p w14:paraId="3663C0D1">
      <w:pPr>
        <w:spacing w:line="360" w:lineRule="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WZLCZB（L）-2024-07264</w:t>
      </w:r>
    </w:p>
    <w:p w14:paraId="188820C6">
      <w:pPr>
        <w:spacing w:line="360" w:lineRule="auto"/>
        <w:rPr>
          <w:rFonts w:hint="eastAsia" w:ascii="新宋体" w:hAnsi="新宋体" w:eastAsia="新宋体" w:cs="新宋体"/>
          <w:color w:val="auto"/>
          <w:highlight w:val="none"/>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儿童康复器材</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69"/>
        <w:gridCol w:w="2437"/>
        <w:gridCol w:w="1737"/>
        <w:gridCol w:w="1737"/>
        <w:gridCol w:w="926"/>
      </w:tblGrid>
      <w:tr w14:paraId="6909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06DD9433">
            <w:pPr>
              <w:spacing w:line="380" w:lineRule="exact"/>
              <w:ind w:left="442" w:hanging="442" w:hangingChars="200"/>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2069" w:type="dxa"/>
            <w:noWrap w:val="0"/>
            <w:vAlign w:val="center"/>
          </w:tcPr>
          <w:p w14:paraId="789493A9">
            <w:pPr>
              <w:spacing w:line="380" w:lineRule="exact"/>
              <w:ind w:left="442" w:hanging="442" w:hangingChars="200"/>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用户名称</w:t>
            </w:r>
          </w:p>
        </w:tc>
        <w:tc>
          <w:tcPr>
            <w:tcW w:w="2437" w:type="dxa"/>
            <w:noWrap w:val="0"/>
            <w:vAlign w:val="center"/>
          </w:tcPr>
          <w:p w14:paraId="76F62EE7">
            <w:pPr>
              <w:spacing w:line="380" w:lineRule="exact"/>
              <w:ind w:left="442" w:hanging="442" w:hangingChars="200"/>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项目名称</w:t>
            </w:r>
          </w:p>
        </w:tc>
        <w:tc>
          <w:tcPr>
            <w:tcW w:w="1737" w:type="dxa"/>
            <w:noWrap w:val="0"/>
            <w:vAlign w:val="center"/>
          </w:tcPr>
          <w:p w14:paraId="2281C0A5">
            <w:pPr>
              <w:spacing w:line="380" w:lineRule="exact"/>
              <w:ind w:left="442" w:hanging="442" w:hangingChars="200"/>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合同金额</w:t>
            </w:r>
          </w:p>
        </w:tc>
        <w:tc>
          <w:tcPr>
            <w:tcW w:w="1737" w:type="dxa"/>
            <w:noWrap w:val="0"/>
            <w:vAlign w:val="center"/>
          </w:tcPr>
          <w:p w14:paraId="14B38B8D">
            <w:pPr>
              <w:spacing w:line="380" w:lineRule="exact"/>
              <w:ind w:left="442" w:hanging="442" w:hangingChars="200"/>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联系方式</w:t>
            </w:r>
          </w:p>
        </w:tc>
        <w:tc>
          <w:tcPr>
            <w:tcW w:w="926" w:type="dxa"/>
            <w:noWrap w:val="0"/>
            <w:vAlign w:val="center"/>
          </w:tcPr>
          <w:p w14:paraId="64D40286">
            <w:pPr>
              <w:spacing w:line="380" w:lineRule="exact"/>
              <w:ind w:left="442" w:hanging="442" w:hangingChars="200"/>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14:paraId="5ABFC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7CCEE82E">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069" w:type="dxa"/>
            <w:noWrap w:val="0"/>
            <w:vAlign w:val="center"/>
          </w:tcPr>
          <w:p w14:paraId="1229AA17">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437" w:type="dxa"/>
            <w:noWrap w:val="0"/>
            <w:vAlign w:val="center"/>
          </w:tcPr>
          <w:p w14:paraId="6C1AB434">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7CEAEBAC">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386A7B73">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926" w:type="dxa"/>
            <w:noWrap w:val="0"/>
            <w:vAlign w:val="center"/>
          </w:tcPr>
          <w:p w14:paraId="29504E1E">
            <w:pPr>
              <w:spacing w:line="380" w:lineRule="exact"/>
              <w:ind w:left="442" w:hanging="442" w:hangingChars="200"/>
              <w:jc w:val="center"/>
              <w:rPr>
                <w:rFonts w:hint="eastAsia" w:ascii="新宋体" w:hAnsi="新宋体" w:eastAsia="新宋体" w:cs="新宋体"/>
                <w:b/>
                <w:bCs/>
                <w:color w:val="auto"/>
                <w:sz w:val="22"/>
                <w:szCs w:val="22"/>
                <w:highlight w:val="none"/>
              </w:rPr>
            </w:pPr>
          </w:p>
        </w:tc>
      </w:tr>
      <w:tr w14:paraId="31265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1CEE8422">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069" w:type="dxa"/>
            <w:noWrap w:val="0"/>
            <w:vAlign w:val="center"/>
          </w:tcPr>
          <w:p w14:paraId="6987F5B0">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437" w:type="dxa"/>
            <w:noWrap w:val="0"/>
            <w:vAlign w:val="center"/>
          </w:tcPr>
          <w:p w14:paraId="47273A2F">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06C3DDA2">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67CD326C">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926" w:type="dxa"/>
            <w:noWrap w:val="0"/>
            <w:vAlign w:val="center"/>
          </w:tcPr>
          <w:p w14:paraId="03DBE285">
            <w:pPr>
              <w:spacing w:line="380" w:lineRule="exact"/>
              <w:ind w:left="442" w:hanging="442" w:hangingChars="200"/>
              <w:jc w:val="center"/>
              <w:rPr>
                <w:rFonts w:hint="eastAsia" w:ascii="新宋体" w:hAnsi="新宋体" w:eastAsia="新宋体" w:cs="新宋体"/>
                <w:b/>
                <w:bCs/>
                <w:color w:val="auto"/>
                <w:sz w:val="22"/>
                <w:szCs w:val="22"/>
                <w:highlight w:val="none"/>
              </w:rPr>
            </w:pPr>
          </w:p>
        </w:tc>
      </w:tr>
      <w:tr w14:paraId="763A9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0AFFFBDF">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069" w:type="dxa"/>
            <w:noWrap w:val="0"/>
            <w:vAlign w:val="center"/>
          </w:tcPr>
          <w:p w14:paraId="2A89F72B">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437" w:type="dxa"/>
            <w:noWrap w:val="0"/>
            <w:vAlign w:val="center"/>
          </w:tcPr>
          <w:p w14:paraId="552699CB">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594168C8">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6274F35A">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926" w:type="dxa"/>
            <w:noWrap w:val="0"/>
            <w:vAlign w:val="center"/>
          </w:tcPr>
          <w:p w14:paraId="096319DC">
            <w:pPr>
              <w:spacing w:line="380" w:lineRule="exact"/>
              <w:ind w:left="442" w:hanging="442" w:hangingChars="200"/>
              <w:jc w:val="center"/>
              <w:rPr>
                <w:rFonts w:hint="eastAsia" w:ascii="新宋体" w:hAnsi="新宋体" w:eastAsia="新宋体" w:cs="新宋体"/>
                <w:b/>
                <w:bCs/>
                <w:color w:val="auto"/>
                <w:sz w:val="22"/>
                <w:szCs w:val="22"/>
                <w:highlight w:val="none"/>
              </w:rPr>
            </w:pPr>
          </w:p>
        </w:tc>
      </w:tr>
      <w:tr w14:paraId="08EC7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07C69B9B">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069" w:type="dxa"/>
            <w:noWrap w:val="0"/>
            <w:vAlign w:val="center"/>
          </w:tcPr>
          <w:p w14:paraId="2BF0B037">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437" w:type="dxa"/>
            <w:noWrap w:val="0"/>
            <w:vAlign w:val="center"/>
          </w:tcPr>
          <w:p w14:paraId="4DF6403D">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0A3C4FEC">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4E24276A">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926" w:type="dxa"/>
            <w:noWrap w:val="0"/>
            <w:vAlign w:val="center"/>
          </w:tcPr>
          <w:p w14:paraId="13B9F0DA">
            <w:pPr>
              <w:spacing w:line="380" w:lineRule="exact"/>
              <w:ind w:left="442" w:hanging="442" w:hangingChars="200"/>
              <w:jc w:val="center"/>
              <w:rPr>
                <w:rFonts w:hint="eastAsia" w:ascii="新宋体" w:hAnsi="新宋体" w:eastAsia="新宋体" w:cs="新宋体"/>
                <w:b/>
                <w:bCs/>
                <w:color w:val="auto"/>
                <w:sz w:val="22"/>
                <w:szCs w:val="22"/>
                <w:highlight w:val="none"/>
              </w:rPr>
            </w:pPr>
          </w:p>
        </w:tc>
      </w:tr>
      <w:tr w14:paraId="04369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45D9DCC8">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069" w:type="dxa"/>
            <w:noWrap w:val="0"/>
            <w:vAlign w:val="center"/>
          </w:tcPr>
          <w:p w14:paraId="4F459AA3">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437" w:type="dxa"/>
            <w:noWrap w:val="0"/>
            <w:vAlign w:val="center"/>
          </w:tcPr>
          <w:p w14:paraId="7E33A3EE">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3893FAA3">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69C6A6D0">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926" w:type="dxa"/>
            <w:noWrap w:val="0"/>
            <w:vAlign w:val="center"/>
          </w:tcPr>
          <w:p w14:paraId="2AC6AA2C">
            <w:pPr>
              <w:spacing w:line="380" w:lineRule="exact"/>
              <w:ind w:left="442" w:hanging="442" w:hangingChars="200"/>
              <w:jc w:val="center"/>
              <w:rPr>
                <w:rFonts w:hint="eastAsia" w:ascii="新宋体" w:hAnsi="新宋体" w:eastAsia="新宋体" w:cs="新宋体"/>
                <w:b/>
                <w:bCs/>
                <w:color w:val="auto"/>
                <w:sz w:val="22"/>
                <w:szCs w:val="22"/>
                <w:highlight w:val="none"/>
              </w:rPr>
            </w:pPr>
          </w:p>
        </w:tc>
      </w:tr>
      <w:tr w14:paraId="0D4A1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21B9BAE5">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069" w:type="dxa"/>
            <w:noWrap w:val="0"/>
            <w:vAlign w:val="center"/>
          </w:tcPr>
          <w:p w14:paraId="1E8DD80E">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437" w:type="dxa"/>
            <w:noWrap w:val="0"/>
            <w:vAlign w:val="center"/>
          </w:tcPr>
          <w:p w14:paraId="5278DD9C">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3CE514FA">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3FF918E6">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926" w:type="dxa"/>
            <w:noWrap w:val="0"/>
            <w:vAlign w:val="center"/>
          </w:tcPr>
          <w:p w14:paraId="0EC05ED0">
            <w:pPr>
              <w:spacing w:line="380" w:lineRule="exact"/>
              <w:ind w:left="442" w:hanging="442" w:hangingChars="200"/>
              <w:jc w:val="center"/>
              <w:rPr>
                <w:rFonts w:hint="eastAsia" w:ascii="新宋体" w:hAnsi="新宋体" w:eastAsia="新宋体" w:cs="新宋体"/>
                <w:b/>
                <w:bCs/>
                <w:color w:val="auto"/>
                <w:sz w:val="22"/>
                <w:szCs w:val="22"/>
                <w:highlight w:val="none"/>
              </w:rPr>
            </w:pPr>
          </w:p>
        </w:tc>
      </w:tr>
      <w:tr w14:paraId="60EA6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22528DC9">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069" w:type="dxa"/>
            <w:noWrap w:val="0"/>
            <w:vAlign w:val="center"/>
          </w:tcPr>
          <w:p w14:paraId="0FA1772B">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437" w:type="dxa"/>
            <w:noWrap w:val="0"/>
            <w:vAlign w:val="center"/>
          </w:tcPr>
          <w:p w14:paraId="6B39FABC">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29AF771F">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4CAB6CB0">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926" w:type="dxa"/>
            <w:noWrap w:val="0"/>
            <w:vAlign w:val="center"/>
          </w:tcPr>
          <w:p w14:paraId="4CE118AE">
            <w:pPr>
              <w:spacing w:line="380" w:lineRule="exact"/>
              <w:ind w:left="442" w:hanging="442" w:hangingChars="200"/>
              <w:jc w:val="center"/>
              <w:rPr>
                <w:rFonts w:hint="eastAsia" w:ascii="新宋体" w:hAnsi="新宋体" w:eastAsia="新宋体" w:cs="新宋体"/>
                <w:b/>
                <w:bCs/>
                <w:color w:val="auto"/>
                <w:sz w:val="22"/>
                <w:szCs w:val="22"/>
                <w:highlight w:val="none"/>
              </w:rPr>
            </w:pPr>
          </w:p>
        </w:tc>
      </w:tr>
      <w:tr w14:paraId="6D86E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1ABFA66C">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069" w:type="dxa"/>
            <w:noWrap w:val="0"/>
            <w:vAlign w:val="center"/>
          </w:tcPr>
          <w:p w14:paraId="383E8B8C">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437" w:type="dxa"/>
            <w:noWrap w:val="0"/>
            <w:vAlign w:val="center"/>
          </w:tcPr>
          <w:p w14:paraId="72320C0D">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1E5287F8">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4EDF2323">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926" w:type="dxa"/>
            <w:noWrap w:val="0"/>
            <w:vAlign w:val="center"/>
          </w:tcPr>
          <w:p w14:paraId="19705C99">
            <w:pPr>
              <w:spacing w:line="380" w:lineRule="exact"/>
              <w:ind w:left="442" w:hanging="442" w:hangingChars="200"/>
              <w:jc w:val="center"/>
              <w:rPr>
                <w:rFonts w:hint="eastAsia" w:ascii="新宋体" w:hAnsi="新宋体" w:eastAsia="新宋体" w:cs="新宋体"/>
                <w:b/>
                <w:bCs/>
                <w:color w:val="auto"/>
                <w:sz w:val="22"/>
                <w:szCs w:val="22"/>
                <w:highlight w:val="none"/>
              </w:rPr>
            </w:pPr>
          </w:p>
        </w:tc>
      </w:tr>
      <w:tr w14:paraId="3ED00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7D5DD114">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069" w:type="dxa"/>
            <w:noWrap w:val="0"/>
            <w:vAlign w:val="center"/>
          </w:tcPr>
          <w:p w14:paraId="62EE082D">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437" w:type="dxa"/>
            <w:noWrap w:val="0"/>
            <w:vAlign w:val="center"/>
          </w:tcPr>
          <w:p w14:paraId="6588804A">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0A691735">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780808F9">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926" w:type="dxa"/>
            <w:noWrap w:val="0"/>
            <w:vAlign w:val="center"/>
          </w:tcPr>
          <w:p w14:paraId="178CDDBA">
            <w:pPr>
              <w:spacing w:line="380" w:lineRule="exact"/>
              <w:ind w:left="442" w:hanging="442" w:hangingChars="200"/>
              <w:jc w:val="center"/>
              <w:rPr>
                <w:rFonts w:hint="eastAsia" w:ascii="新宋体" w:hAnsi="新宋体" w:eastAsia="新宋体" w:cs="新宋体"/>
                <w:b/>
                <w:bCs/>
                <w:color w:val="auto"/>
                <w:sz w:val="22"/>
                <w:szCs w:val="22"/>
                <w:highlight w:val="none"/>
              </w:rPr>
            </w:pPr>
          </w:p>
        </w:tc>
      </w:tr>
      <w:tr w14:paraId="784E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4A9E9973">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069" w:type="dxa"/>
            <w:noWrap w:val="0"/>
            <w:vAlign w:val="center"/>
          </w:tcPr>
          <w:p w14:paraId="1D8A3F21">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437" w:type="dxa"/>
            <w:noWrap w:val="0"/>
            <w:vAlign w:val="center"/>
          </w:tcPr>
          <w:p w14:paraId="2D1198E9">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50DA4125">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28B565AD">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926" w:type="dxa"/>
            <w:noWrap w:val="0"/>
            <w:vAlign w:val="center"/>
          </w:tcPr>
          <w:p w14:paraId="2CE0679F">
            <w:pPr>
              <w:spacing w:line="380" w:lineRule="exact"/>
              <w:ind w:left="442" w:hanging="442" w:hangingChars="200"/>
              <w:jc w:val="center"/>
              <w:rPr>
                <w:rFonts w:hint="eastAsia" w:ascii="新宋体" w:hAnsi="新宋体" w:eastAsia="新宋体" w:cs="新宋体"/>
                <w:b/>
                <w:bCs/>
                <w:color w:val="auto"/>
                <w:sz w:val="22"/>
                <w:szCs w:val="22"/>
                <w:highlight w:val="none"/>
              </w:rPr>
            </w:pPr>
          </w:p>
        </w:tc>
      </w:tr>
      <w:tr w14:paraId="1C64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2DB4047D">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069" w:type="dxa"/>
            <w:noWrap w:val="0"/>
            <w:vAlign w:val="center"/>
          </w:tcPr>
          <w:p w14:paraId="70037774">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437" w:type="dxa"/>
            <w:noWrap w:val="0"/>
            <w:vAlign w:val="center"/>
          </w:tcPr>
          <w:p w14:paraId="0B15B533">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6E30BEC5">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026FA3A1">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926" w:type="dxa"/>
            <w:noWrap w:val="0"/>
            <w:vAlign w:val="center"/>
          </w:tcPr>
          <w:p w14:paraId="75725752">
            <w:pPr>
              <w:spacing w:line="380" w:lineRule="exact"/>
              <w:ind w:left="442" w:hanging="442" w:hangingChars="200"/>
              <w:jc w:val="center"/>
              <w:rPr>
                <w:rFonts w:hint="eastAsia" w:ascii="新宋体" w:hAnsi="新宋体" w:eastAsia="新宋体" w:cs="新宋体"/>
                <w:b/>
                <w:bCs/>
                <w:color w:val="auto"/>
                <w:sz w:val="22"/>
                <w:szCs w:val="22"/>
                <w:highlight w:val="none"/>
              </w:rPr>
            </w:pPr>
          </w:p>
        </w:tc>
      </w:tr>
      <w:tr w14:paraId="592F4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5863CC3D">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069" w:type="dxa"/>
            <w:noWrap w:val="0"/>
            <w:vAlign w:val="center"/>
          </w:tcPr>
          <w:p w14:paraId="5F606397">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437" w:type="dxa"/>
            <w:noWrap w:val="0"/>
            <w:vAlign w:val="center"/>
          </w:tcPr>
          <w:p w14:paraId="518424CC">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4AA5617C">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63FB7192">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926" w:type="dxa"/>
            <w:noWrap w:val="0"/>
            <w:vAlign w:val="center"/>
          </w:tcPr>
          <w:p w14:paraId="070EAEEA">
            <w:pPr>
              <w:spacing w:line="380" w:lineRule="exact"/>
              <w:ind w:left="442" w:hanging="442" w:hangingChars="200"/>
              <w:jc w:val="center"/>
              <w:rPr>
                <w:rFonts w:hint="eastAsia" w:ascii="新宋体" w:hAnsi="新宋体" w:eastAsia="新宋体" w:cs="新宋体"/>
                <w:b/>
                <w:bCs/>
                <w:color w:val="auto"/>
                <w:sz w:val="22"/>
                <w:szCs w:val="22"/>
                <w:highlight w:val="none"/>
              </w:rPr>
            </w:pPr>
          </w:p>
        </w:tc>
      </w:tr>
      <w:tr w14:paraId="48E2E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6845F43A">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069" w:type="dxa"/>
            <w:noWrap w:val="0"/>
            <w:vAlign w:val="center"/>
          </w:tcPr>
          <w:p w14:paraId="70F7CA8C">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437" w:type="dxa"/>
            <w:noWrap w:val="0"/>
            <w:vAlign w:val="center"/>
          </w:tcPr>
          <w:p w14:paraId="42B7F7C5">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28D1A866">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3758B89F">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926" w:type="dxa"/>
            <w:noWrap w:val="0"/>
            <w:vAlign w:val="center"/>
          </w:tcPr>
          <w:p w14:paraId="02A204F1">
            <w:pPr>
              <w:spacing w:line="380" w:lineRule="exact"/>
              <w:ind w:left="442" w:hanging="442" w:hangingChars="200"/>
              <w:jc w:val="center"/>
              <w:rPr>
                <w:rFonts w:hint="eastAsia" w:ascii="新宋体" w:hAnsi="新宋体" w:eastAsia="新宋体" w:cs="新宋体"/>
                <w:b/>
                <w:bCs/>
                <w:color w:val="auto"/>
                <w:sz w:val="22"/>
                <w:szCs w:val="22"/>
                <w:highlight w:val="none"/>
              </w:rPr>
            </w:pPr>
          </w:p>
        </w:tc>
      </w:tr>
      <w:tr w14:paraId="10A2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6E0E062F">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069" w:type="dxa"/>
            <w:noWrap w:val="0"/>
            <w:vAlign w:val="center"/>
          </w:tcPr>
          <w:p w14:paraId="0659B9DB">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2437" w:type="dxa"/>
            <w:noWrap w:val="0"/>
            <w:vAlign w:val="center"/>
          </w:tcPr>
          <w:p w14:paraId="5320FA99">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201ECB63">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1737" w:type="dxa"/>
            <w:noWrap w:val="0"/>
            <w:vAlign w:val="center"/>
          </w:tcPr>
          <w:p w14:paraId="1A46DA24">
            <w:pPr>
              <w:spacing w:line="380" w:lineRule="exact"/>
              <w:ind w:left="442" w:hanging="442" w:hangingChars="200"/>
              <w:jc w:val="center"/>
              <w:rPr>
                <w:rFonts w:hint="eastAsia" w:ascii="新宋体" w:hAnsi="新宋体" w:eastAsia="新宋体" w:cs="新宋体"/>
                <w:b/>
                <w:bCs/>
                <w:color w:val="auto"/>
                <w:sz w:val="22"/>
                <w:szCs w:val="22"/>
                <w:highlight w:val="none"/>
              </w:rPr>
            </w:pPr>
          </w:p>
        </w:tc>
        <w:tc>
          <w:tcPr>
            <w:tcW w:w="926" w:type="dxa"/>
            <w:noWrap w:val="0"/>
            <w:vAlign w:val="center"/>
          </w:tcPr>
          <w:p w14:paraId="1F6E9DA0">
            <w:pPr>
              <w:spacing w:line="380" w:lineRule="exact"/>
              <w:ind w:left="442" w:hanging="442" w:hangingChars="200"/>
              <w:jc w:val="center"/>
              <w:rPr>
                <w:rFonts w:hint="eastAsia" w:ascii="新宋体" w:hAnsi="新宋体" w:eastAsia="新宋体" w:cs="新宋体"/>
                <w:b/>
                <w:bCs/>
                <w:color w:val="auto"/>
                <w:sz w:val="22"/>
                <w:szCs w:val="22"/>
                <w:highlight w:val="none"/>
              </w:rPr>
            </w:pPr>
          </w:p>
        </w:tc>
      </w:tr>
    </w:tbl>
    <w:p w14:paraId="3364DAAA">
      <w:pPr>
        <w:pStyle w:val="31"/>
        <w:spacing w:line="400" w:lineRule="atLeast"/>
        <w:ind w:left="5360" w:leftChars="2500" w:hanging="110" w:hangingChars="50"/>
        <w:rPr>
          <w:rFonts w:hint="eastAsia" w:ascii="新宋体" w:hAnsi="新宋体" w:eastAsia="新宋体" w:cs="新宋体"/>
          <w:color w:val="auto"/>
          <w:sz w:val="22"/>
          <w:szCs w:val="22"/>
          <w:highlight w:val="none"/>
        </w:rPr>
      </w:pPr>
    </w:p>
    <w:p w14:paraId="2E89C7BB">
      <w:pPr>
        <w:pStyle w:val="31"/>
        <w:spacing w:line="360" w:lineRule="auto"/>
        <w:ind w:left="5360" w:leftChars="2500" w:hanging="110" w:hangingChars="5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投标人全称（盖章）：</w:t>
      </w:r>
    </w:p>
    <w:p w14:paraId="721B35AA">
      <w:pPr>
        <w:spacing w:line="360" w:lineRule="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 xml:space="preserve">                                                </w:t>
      </w:r>
      <w:r>
        <w:rPr>
          <w:rFonts w:hint="eastAsia" w:ascii="新宋体" w:hAnsi="新宋体" w:eastAsia="新宋体" w:cs="新宋体"/>
          <w:color w:val="auto"/>
          <w:kern w:val="0"/>
          <w:sz w:val="22"/>
          <w:szCs w:val="22"/>
          <w:highlight w:val="none"/>
        </w:rPr>
        <w:t>法定代表人或其授权代表（签字或盖章）</w:t>
      </w:r>
      <w:r>
        <w:rPr>
          <w:rFonts w:hint="eastAsia" w:ascii="新宋体" w:hAnsi="新宋体" w:eastAsia="新宋体" w:cs="新宋体"/>
          <w:b w:val="0"/>
          <w:bCs/>
          <w:color w:val="auto"/>
          <w:sz w:val="22"/>
          <w:szCs w:val="22"/>
          <w:highlight w:val="none"/>
        </w:rPr>
        <w:t>：</w:t>
      </w:r>
    </w:p>
    <w:p w14:paraId="47CE6E08">
      <w:pPr>
        <w:spacing w:line="360" w:lineRule="auto"/>
        <w:ind w:firstLine="5280" w:firstLineChars="24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日    期：</w:t>
      </w:r>
    </w:p>
    <w:p w14:paraId="78B4678E">
      <w:pPr>
        <w:pStyle w:val="31"/>
        <w:spacing w:line="460" w:lineRule="exact"/>
        <w:ind w:left="663" w:hanging="663" w:hangingChars="300"/>
        <w:rPr>
          <w:rFonts w:hint="eastAsia" w:ascii="新宋体" w:hAnsi="新宋体" w:eastAsia="新宋体" w:cs="新宋体"/>
          <w:color w:val="auto"/>
          <w:sz w:val="22"/>
          <w:highlight w:val="none"/>
        </w:rPr>
      </w:pPr>
    </w:p>
    <w:p w14:paraId="670CC6F6">
      <w:pPr>
        <w:pStyle w:val="31"/>
        <w:spacing w:line="460" w:lineRule="exact"/>
        <w:ind w:left="663" w:hanging="663" w:hangingChars="300"/>
        <w:rPr>
          <w:rFonts w:hint="eastAsia" w:ascii="新宋体" w:hAnsi="新宋体" w:eastAsia="新宋体" w:cs="新宋体"/>
          <w:color w:val="auto"/>
          <w:sz w:val="22"/>
          <w:highlight w:val="none"/>
        </w:rPr>
      </w:pPr>
    </w:p>
    <w:p w14:paraId="3E60F2F3">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8、</w:t>
      </w:r>
      <w:bookmarkEnd w:id="42"/>
      <w:r>
        <w:rPr>
          <w:rFonts w:hint="eastAsia" w:ascii="新宋体" w:hAnsi="新宋体" w:eastAsia="新宋体" w:cs="新宋体"/>
          <w:b/>
          <w:bCs/>
          <w:color w:val="auto"/>
          <w:sz w:val="28"/>
          <w:szCs w:val="28"/>
          <w:highlight w:val="none"/>
          <w:lang w:val="en-US" w:eastAsia="zh-CN"/>
        </w:rPr>
        <w:t>所投产品参数与招标指标的符合性</w:t>
      </w:r>
    </w:p>
    <w:p w14:paraId="261D1CB3">
      <w:pPr>
        <w:spacing w:line="360" w:lineRule="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WZLCZB（L）-2024-07264</w:t>
      </w:r>
    </w:p>
    <w:p w14:paraId="634648CF">
      <w:pPr>
        <w:spacing w:line="360" w:lineRule="auto"/>
        <w:rPr>
          <w:rFonts w:hint="eastAsia" w:ascii="新宋体" w:hAnsi="新宋体" w:eastAsia="新宋体" w:cs="新宋体"/>
          <w:color w:val="auto"/>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儿童康复器材</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14:paraId="01DCE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14:paraId="3B3DD566">
            <w:pPr>
              <w:spacing w:line="360" w:lineRule="auto"/>
              <w:rPr>
                <w:rFonts w:hint="eastAsia" w:ascii="新宋体" w:hAnsi="新宋体" w:eastAsia="新宋体" w:cs="新宋体"/>
                <w:color w:val="auto"/>
                <w:sz w:val="22"/>
                <w:szCs w:val="22"/>
                <w:highlight w:val="none"/>
              </w:rPr>
            </w:pPr>
          </w:p>
        </w:tc>
      </w:tr>
    </w:tbl>
    <w:p w14:paraId="47500570">
      <w:pPr>
        <w:pStyle w:val="31"/>
        <w:spacing w:line="400" w:lineRule="atLeast"/>
        <w:rPr>
          <w:rFonts w:hint="eastAsia" w:ascii="新宋体" w:hAnsi="新宋体" w:eastAsia="新宋体" w:cs="新宋体"/>
          <w:color w:val="auto"/>
          <w:sz w:val="22"/>
          <w:szCs w:val="22"/>
          <w:highlight w:val="none"/>
        </w:rPr>
      </w:pPr>
    </w:p>
    <w:p w14:paraId="0F6DCECA">
      <w:pPr>
        <w:spacing w:line="460" w:lineRule="exact"/>
        <w:ind w:firstLine="5060" w:firstLineChars="2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40934021">
      <w:pPr>
        <w:spacing w:line="460" w:lineRule="exact"/>
        <w:ind w:firstLine="5060" w:firstLineChars="23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r>
        <w:rPr>
          <w:rFonts w:hint="eastAsia" w:ascii="新宋体" w:hAnsi="新宋体" w:eastAsia="新宋体" w:cs="新宋体"/>
          <w:color w:val="auto"/>
          <w:sz w:val="22"/>
          <w:szCs w:val="22"/>
          <w:highlight w:val="none"/>
        </w:rPr>
        <w:t>：</w:t>
      </w:r>
    </w:p>
    <w:p w14:paraId="338C3E2C">
      <w:pPr>
        <w:spacing w:line="460" w:lineRule="exact"/>
        <w:ind w:firstLine="5060" w:firstLineChars="2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0D64A898">
      <w:pPr>
        <w:spacing w:line="460" w:lineRule="exact"/>
        <w:ind w:firstLine="5060" w:firstLineChars="2300"/>
        <w:rPr>
          <w:rFonts w:hint="eastAsia" w:ascii="新宋体" w:hAnsi="新宋体" w:eastAsia="新宋体" w:cs="新宋体"/>
          <w:color w:val="auto"/>
          <w:sz w:val="22"/>
          <w:szCs w:val="22"/>
          <w:highlight w:val="none"/>
        </w:rPr>
      </w:pPr>
    </w:p>
    <w:p w14:paraId="7F87CF06">
      <w:pPr>
        <w:spacing w:line="460" w:lineRule="exact"/>
        <w:rPr>
          <w:rFonts w:hint="eastAsia" w:ascii="新宋体" w:hAnsi="新宋体" w:eastAsia="新宋体" w:cs="新宋体"/>
          <w:color w:val="auto"/>
          <w:sz w:val="22"/>
          <w:szCs w:val="22"/>
          <w:highlight w:val="none"/>
        </w:rPr>
      </w:pPr>
    </w:p>
    <w:p w14:paraId="011426B2">
      <w:pPr>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br w:type="page"/>
      </w:r>
    </w:p>
    <w:p w14:paraId="508CCE31">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9、项目实施方案</w:t>
      </w:r>
    </w:p>
    <w:p w14:paraId="356DCF6F">
      <w:pPr>
        <w:spacing w:line="360" w:lineRule="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WZLCZB（L）-2024-07264</w:t>
      </w:r>
    </w:p>
    <w:p w14:paraId="50680FB2">
      <w:pPr>
        <w:spacing w:line="360" w:lineRule="auto"/>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儿童康复器材</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616D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78A7CE5A">
            <w:pPr>
              <w:spacing w:line="360" w:lineRule="auto"/>
              <w:rPr>
                <w:rFonts w:hint="eastAsia" w:ascii="新宋体" w:hAnsi="新宋体" w:eastAsia="新宋体" w:cs="新宋体"/>
                <w:color w:val="auto"/>
                <w:sz w:val="22"/>
                <w:szCs w:val="22"/>
                <w:highlight w:val="none"/>
              </w:rPr>
            </w:pPr>
          </w:p>
        </w:tc>
      </w:tr>
    </w:tbl>
    <w:p w14:paraId="360A7CFC">
      <w:pPr>
        <w:pStyle w:val="31"/>
        <w:spacing w:line="400" w:lineRule="atLeast"/>
        <w:rPr>
          <w:rFonts w:hint="eastAsia" w:ascii="新宋体" w:hAnsi="新宋体" w:eastAsia="新宋体" w:cs="新宋体"/>
          <w:color w:val="auto"/>
          <w:sz w:val="22"/>
          <w:highlight w:val="none"/>
        </w:rPr>
      </w:pPr>
    </w:p>
    <w:p w14:paraId="2E641A3B">
      <w:pPr>
        <w:pStyle w:val="31"/>
        <w:spacing w:line="460" w:lineRule="atLeast"/>
        <w:ind w:left="657" w:leftChars="313" w:firstLine="3960" w:firstLineChars="1800"/>
        <w:rPr>
          <w:rFonts w:hint="eastAsia" w:ascii="新宋体" w:hAnsi="新宋体" w:eastAsia="新宋体" w:cs="新宋体"/>
          <w:b w:val="0"/>
          <w:bCs/>
          <w:color w:val="auto"/>
          <w:sz w:val="22"/>
          <w:highlight w:val="none"/>
        </w:rPr>
      </w:pPr>
      <w:r>
        <w:rPr>
          <w:rFonts w:hint="eastAsia" w:ascii="新宋体" w:hAnsi="新宋体" w:eastAsia="新宋体" w:cs="新宋体"/>
          <w:b w:val="0"/>
          <w:bCs/>
          <w:color w:val="auto"/>
          <w:sz w:val="22"/>
          <w:highlight w:val="none"/>
        </w:rPr>
        <w:t>投标人名称（盖章）：</w:t>
      </w:r>
    </w:p>
    <w:p w14:paraId="7779BFE2">
      <w:pPr>
        <w:pStyle w:val="31"/>
        <w:spacing w:line="460" w:lineRule="atLeast"/>
        <w:ind w:left="660" w:hanging="660" w:hangingChars="300"/>
        <w:rPr>
          <w:rFonts w:hint="eastAsia" w:ascii="新宋体" w:hAnsi="新宋体" w:eastAsia="新宋体" w:cs="新宋体"/>
          <w:b w:val="0"/>
          <w:bCs/>
          <w:color w:val="auto"/>
          <w:sz w:val="22"/>
          <w:highlight w:val="none"/>
        </w:rPr>
      </w:pPr>
      <w:r>
        <w:rPr>
          <w:rFonts w:hint="eastAsia" w:ascii="新宋体" w:hAnsi="新宋体" w:eastAsia="新宋体" w:cs="新宋体"/>
          <w:b w:val="0"/>
          <w:bCs/>
          <w:color w:val="auto"/>
          <w:sz w:val="22"/>
          <w:highlight w:val="none"/>
        </w:rPr>
        <w:t xml:space="preserve">                                          法定代表人或其授权代表（签字或盖章）：   </w:t>
      </w:r>
    </w:p>
    <w:p w14:paraId="710EF297">
      <w:pPr>
        <w:pStyle w:val="31"/>
        <w:spacing w:line="460" w:lineRule="atLeast"/>
        <w:ind w:left="660" w:hanging="660" w:hangingChars="300"/>
        <w:rPr>
          <w:rFonts w:hint="eastAsia" w:ascii="新宋体" w:hAnsi="新宋体" w:eastAsia="新宋体" w:cs="新宋体"/>
          <w:b w:val="0"/>
          <w:bCs/>
          <w:color w:val="auto"/>
          <w:sz w:val="22"/>
          <w:highlight w:val="none"/>
        </w:rPr>
      </w:pPr>
      <w:r>
        <w:rPr>
          <w:rFonts w:hint="eastAsia" w:ascii="新宋体" w:hAnsi="新宋体" w:eastAsia="新宋体" w:cs="新宋体"/>
          <w:b w:val="0"/>
          <w:bCs/>
          <w:color w:val="auto"/>
          <w:sz w:val="22"/>
          <w:highlight w:val="none"/>
        </w:rPr>
        <w:t xml:space="preserve">                                          日   期： </w:t>
      </w:r>
    </w:p>
    <w:p w14:paraId="715B3B68">
      <w:pPr>
        <w:jc w:val="both"/>
        <w:rPr>
          <w:rFonts w:hint="eastAsia" w:ascii="新宋体" w:hAnsi="新宋体" w:eastAsia="新宋体" w:cs="新宋体"/>
          <w:b/>
          <w:bCs/>
          <w:color w:val="auto"/>
          <w:sz w:val="22"/>
          <w:szCs w:val="22"/>
          <w:highlight w:val="none"/>
        </w:rPr>
      </w:pPr>
    </w:p>
    <w:p w14:paraId="68580C43">
      <w:pPr>
        <w:pStyle w:val="9"/>
        <w:rPr>
          <w:rFonts w:hint="eastAsia" w:ascii="新宋体" w:hAnsi="新宋体" w:eastAsia="新宋体" w:cs="新宋体"/>
          <w:bCs/>
          <w:color w:val="auto"/>
          <w:sz w:val="22"/>
          <w:szCs w:val="22"/>
          <w:highlight w:val="none"/>
        </w:rPr>
      </w:pPr>
    </w:p>
    <w:p w14:paraId="433C8F09">
      <w:pPr>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br w:type="page"/>
      </w:r>
    </w:p>
    <w:p w14:paraId="5D398287">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10、履行能力情况</w:t>
      </w:r>
    </w:p>
    <w:p w14:paraId="6B23B4BA">
      <w:pPr>
        <w:spacing w:line="360" w:lineRule="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WZLCZB（L）-2024-07264</w:t>
      </w:r>
    </w:p>
    <w:p w14:paraId="411DB17E">
      <w:pPr>
        <w:spacing w:line="360" w:lineRule="auto"/>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儿童康复器材</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0F7FC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540773AA">
            <w:pPr>
              <w:spacing w:line="360" w:lineRule="auto"/>
              <w:rPr>
                <w:rFonts w:hint="eastAsia" w:ascii="新宋体" w:hAnsi="新宋体" w:eastAsia="新宋体" w:cs="新宋体"/>
                <w:color w:val="auto"/>
                <w:sz w:val="22"/>
                <w:szCs w:val="22"/>
                <w:highlight w:val="none"/>
              </w:rPr>
            </w:pPr>
          </w:p>
        </w:tc>
      </w:tr>
    </w:tbl>
    <w:p w14:paraId="6D1685FA">
      <w:pPr>
        <w:spacing w:line="380" w:lineRule="exact"/>
        <w:rPr>
          <w:rFonts w:hint="eastAsia" w:ascii="新宋体" w:hAnsi="新宋体" w:eastAsia="新宋体" w:cs="新宋体"/>
          <w:color w:val="auto"/>
          <w:sz w:val="36"/>
          <w:szCs w:val="36"/>
          <w:highlight w:val="none"/>
        </w:rPr>
      </w:pPr>
    </w:p>
    <w:p w14:paraId="7AFE930B">
      <w:pPr>
        <w:spacing w:line="46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243F7201">
      <w:pPr>
        <w:spacing w:line="46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r>
        <w:rPr>
          <w:rFonts w:hint="eastAsia" w:ascii="新宋体" w:hAnsi="新宋体" w:eastAsia="新宋体" w:cs="新宋体"/>
          <w:color w:val="auto"/>
          <w:sz w:val="22"/>
          <w:szCs w:val="22"/>
          <w:highlight w:val="none"/>
        </w:rPr>
        <w:t>：</w:t>
      </w:r>
    </w:p>
    <w:p w14:paraId="597C7CF5">
      <w:pPr>
        <w:spacing w:line="460" w:lineRule="exact"/>
        <w:ind w:firstLine="4400" w:firstLineChars="2000"/>
        <w:rPr>
          <w:rFonts w:hint="eastAsia" w:ascii="新宋体" w:hAnsi="新宋体" w:eastAsia="新宋体" w:cs="新宋体"/>
          <w:b/>
          <w:color w:val="auto"/>
          <w:sz w:val="36"/>
          <w:szCs w:val="36"/>
          <w:highlight w:val="none"/>
        </w:rPr>
      </w:pPr>
      <w:r>
        <w:rPr>
          <w:rFonts w:hint="eastAsia" w:ascii="新宋体" w:hAnsi="新宋体" w:eastAsia="新宋体" w:cs="新宋体"/>
          <w:color w:val="auto"/>
          <w:sz w:val="22"/>
          <w:szCs w:val="22"/>
          <w:highlight w:val="none"/>
        </w:rPr>
        <w:t xml:space="preserve">日  期：   </w:t>
      </w:r>
    </w:p>
    <w:p w14:paraId="6E136502">
      <w:pPr>
        <w:spacing w:line="380" w:lineRule="exact"/>
        <w:rPr>
          <w:rFonts w:hint="eastAsia" w:ascii="新宋体" w:hAnsi="新宋体" w:eastAsia="新宋体" w:cs="新宋体"/>
          <w:b/>
          <w:color w:val="auto"/>
          <w:sz w:val="36"/>
          <w:szCs w:val="36"/>
          <w:highlight w:val="none"/>
        </w:rPr>
      </w:pPr>
    </w:p>
    <w:p w14:paraId="0DB6B7D7">
      <w:pPr>
        <w:spacing w:line="380" w:lineRule="exact"/>
        <w:rPr>
          <w:rFonts w:hint="eastAsia" w:ascii="新宋体" w:hAnsi="新宋体" w:eastAsia="新宋体" w:cs="新宋体"/>
          <w:b/>
          <w:color w:val="auto"/>
          <w:sz w:val="36"/>
          <w:szCs w:val="36"/>
          <w:highlight w:val="none"/>
        </w:rPr>
      </w:pPr>
    </w:p>
    <w:p w14:paraId="34A926C8">
      <w:pPr>
        <w:spacing w:line="380" w:lineRule="exact"/>
        <w:rPr>
          <w:rFonts w:hint="eastAsia" w:ascii="新宋体" w:hAnsi="新宋体" w:eastAsia="新宋体" w:cs="新宋体"/>
          <w:b/>
          <w:color w:val="auto"/>
          <w:sz w:val="36"/>
          <w:szCs w:val="36"/>
          <w:highlight w:val="none"/>
        </w:rPr>
      </w:pPr>
    </w:p>
    <w:p w14:paraId="4A67980B">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11、售后服务承诺与保证措施</w:t>
      </w:r>
    </w:p>
    <w:p w14:paraId="490D4DCE">
      <w:pPr>
        <w:spacing w:line="360" w:lineRule="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WZLCZB（L）-2024-07264</w:t>
      </w:r>
    </w:p>
    <w:p w14:paraId="4908E228">
      <w:pPr>
        <w:spacing w:line="360" w:lineRule="auto"/>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儿童康复器材</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5C99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3557B2E4">
            <w:pPr>
              <w:spacing w:line="360" w:lineRule="auto"/>
              <w:rPr>
                <w:rFonts w:hint="eastAsia" w:ascii="新宋体" w:hAnsi="新宋体" w:eastAsia="新宋体" w:cs="新宋体"/>
                <w:color w:val="auto"/>
                <w:sz w:val="22"/>
                <w:szCs w:val="22"/>
                <w:highlight w:val="none"/>
              </w:rPr>
            </w:pPr>
          </w:p>
        </w:tc>
      </w:tr>
    </w:tbl>
    <w:p w14:paraId="6266655C">
      <w:pPr>
        <w:spacing w:line="380" w:lineRule="exact"/>
        <w:rPr>
          <w:rFonts w:hint="eastAsia" w:ascii="新宋体" w:hAnsi="新宋体" w:eastAsia="新宋体" w:cs="新宋体"/>
          <w:color w:val="auto"/>
          <w:sz w:val="36"/>
          <w:szCs w:val="36"/>
          <w:highlight w:val="none"/>
        </w:rPr>
      </w:pPr>
    </w:p>
    <w:p w14:paraId="3ACC0AE4">
      <w:pPr>
        <w:spacing w:line="46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3636D7FA">
      <w:pPr>
        <w:spacing w:line="46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r>
        <w:rPr>
          <w:rFonts w:hint="eastAsia" w:ascii="新宋体" w:hAnsi="新宋体" w:eastAsia="新宋体" w:cs="新宋体"/>
          <w:color w:val="auto"/>
          <w:sz w:val="22"/>
          <w:szCs w:val="22"/>
          <w:highlight w:val="none"/>
        </w:rPr>
        <w:t>：</w:t>
      </w:r>
    </w:p>
    <w:p w14:paraId="0AA9ECC3">
      <w:pPr>
        <w:spacing w:line="460" w:lineRule="exact"/>
        <w:ind w:firstLine="4400" w:firstLineChars="20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日  期：</w:t>
      </w:r>
    </w:p>
    <w:p w14:paraId="04D53866">
      <w:pPr>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br w:type="page"/>
      </w:r>
    </w:p>
    <w:p w14:paraId="18F2A805">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12、培训计划</w:t>
      </w:r>
    </w:p>
    <w:p w14:paraId="5945C4D4">
      <w:pPr>
        <w:spacing w:line="360" w:lineRule="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WZLCZB（L）-2024-07264</w:t>
      </w:r>
    </w:p>
    <w:p w14:paraId="38F65B0C">
      <w:pPr>
        <w:spacing w:line="360" w:lineRule="auto"/>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儿童康复器材</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3D0F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247C5C00">
            <w:pPr>
              <w:spacing w:line="360" w:lineRule="auto"/>
              <w:rPr>
                <w:rFonts w:hint="eastAsia" w:ascii="新宋体" w:hAnsi="新宋体" w:eastAsia="新宋体" w:cs="新宋体"/>
                <w:color w:val="auto"/>
                <w:sz w:val="22"/>
                <w:szCs w:val="22"/>
                <w:highlight w:val="none"/>
              </w:rPr>
            </w:pPr>
          </w:p>
        </w:tc>
      </w:tr>
    </w:tbl>
    <w:p w14:paraId="6AC17C4E">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1ED9A9C2">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 xml:space="preserve">                                        </w:t>
      </w:r>
      <w:r>
        <w:rPr>
          <w:rFonts w:hint="eastAsia" w:ascii="新宋体" w:hAnsi="新宋体" w:eastAsia="新宋体" w:cs="新宋体"/>
          <w:color w:val="auto"/>
          <w:sz w:val="22"/>
          <w:szCs w:val="22"/>
          <w:highlight w:val="none"/>
        </w:rPr>
        <w:t>投标人全称（盖章）：</w:t>
      </w:r>
    </w:p>
    <w:p w14:paraId="19DD5D3B">
      <w:pPr>
        <w:spacing w:line="46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r>
        <w:rPr>
          <w:rFonts w:hint="eastAsia" w:ascii="新宋体" w:hAnsi="新宋体" w:eastAsia="新宋体" w:cs="新宋体"/>
          <w:color w:val="auto"/>
          <w:sz w:val="22"/>
          <w:szCs w:val="22"/>
          <w:highlight w:val="none"/>
        </w:rPr>
        <w:t>：</w:t>
      </w:r>
    </w:p>
    <w:p w14:paraId="67A02387">
      <w:pPr>
        <w:pStyle w:val="31"/>
        <w:spacing w:line="460" w:lineRule="atLeast"/>
        <w:ind w:left="659" w:leftChars="314" w:firstLine="3740" w:firstLineChars="1700"/>
        <w:rPr>
          <w:rFonts w:hint="eastAsia" w:ascii="新宋体" w:hAnsi="新宋体" w:eastAsia="新宋体" w:cs="新宋体"/>
          <w:b w:val="0"/>
          <w:bCs/>
          <w:color w:val="auto"/>
          <w:sz w:val="22"/>
          <w:highlight w:val="none"/>
        </w:rPr>
      </w:pPr>
      <w:r>
        <w:rPr>
          <w:rFonts w:hint="eastAsia" w:ascii="新宋体" w:hAnsi="新宋体" w:eastAsia="新宋体" w:cs="新宋体"/>
          <w:b w:val="0"/>
          <w:color w:val="auto"/>
          <w:kern w:val="2"/>
          <w:sz w:val="22"/>
          <w:szCs w:val="22"/>
          <w:highlight w:val="none"/>
        </w:rPr>
        <w:t>日  期：</w:t>
      </w:r>
      <w:r>
        <w:rPr>
          <w:rFonts w:hint="eastAsia" w:ascii="新宋体" w:hAnsi="新宋体" w:eastAsia="新宋体" w:cs="新宋体"/>
          <w:b w:val="0"/>
          <w:bCs/>
          <w:color w:val="auto"/>
          <w:sz w:val="22"/>
          <w:highlight w:val="none"/>
        </w:rPr>
        <w:t xml:space="preserve"> </w:t>
      </w:r>
    </w:p>
    <w:p w14:paraId="3F6454DA">
      <w:pPr>
        <w:pStyle w:val="31"/>
        <w:spacing w:line="400" w:lineRule="atLeast"/>
        <w:ind w:left="663" w:hanging="663" w:hangingChars="300"/>
        <w:rPr>
          <w:rFonts w:hint="eastAsia" w:ascii="新宋体" w:hAnsi="新宋体" w:eastAsia="新宋体" w:cs="新宋体"/>
          <w:color w:val="auto"/>
          <w:sz w:val="22"/>
          <w:highlight w:val="none"/>
        </w:rPr>
      </w:pPr>
    </w:p>
    <w:p w14:paraId="3AE48BE2">
      <w:pPr>
        <w:pStyle w:val="31"/>
        <w:spacing w:line="400" w:lineRule="atLeast"/>
        <w:ind w:left="663" w:hanging="663" w:hangingChars="300"/>
        <w:rPr>
          <w:rFonts w:hint="eastAsia" w:ascii="新宋体" w:hAnsi="新宋体" w:eastAsia="新宋体" w:cs="新宋体"/>
          <w:color w:val="auto"/>
          <w:sz w:val="22"/>
          <w:highlight w:val="none"/>
        </w:rPr>
      </w:pPr>
    </w:p>
    <w:p w14:paraId="363CE038">
      <w:pPr>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br w:type="page"/>
      </w:r>
    </w:p>
    <w:p w14:paraId="3B374DA2">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13、运行成本</w:t>
      </w:r>
    </w:p>
    <w:p w14:paraId="3BA64E55">
      <w:pPr>
        <w:spacing w:line="360" w:lineRule="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WZLCZB（L）-2024-07264</w:t>
      </w:r>
    </w:p>
    <w:p w14:paraId="41F26187">
      <w:pPr>
        <w:spacing w:line="360" w:lineRule="auto"/>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儿童康复器材</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7B0C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178FD40B">
            <w:pPr>
              <w:spacing w:line="360" w:lineRule="auto"/>
              <w:rPr>
                <w:rFonts w:hint="eastAsia" w:ascii="新宋体" w:hAnsi="新宋体" w:eastAsia="新宋体" w:cs="新宋体"/>
                <w:color w:val="auto"/>
                <w:sz w:val="22"/>
                <w:szCs w:val="22"/>
                <w:highlight w:val="none"/>
              </w:rPr>
            </w:pPr>
          </w:p>
        </w:tc>
      </w:tr>
    </w:tbl>
    <w:p w14:paraId="4DA93F7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5ACE5CB9">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 xml:space="preserve">                                        </w:t>
      </w:r>
      <w:r>
        <w:rPr>
          <w:rFonts w:hint="eastAsia" w:ascii="新宋体" w:hAnsi="新宋体" w:eastAsia="新宋体" w:cs="新宋体"/>
          <w:color w:val="auto"/>
          <w:sz w:val="22"/>
          <w:szCs w:val="22"/>
          <w:highlight w:val="none"/>
        </w:rPr>
        <w:t>投标人全称（盖章）：</w:t>
      </w:r>
    </w:p>
    <w:p w14:paraId="58A1FFA6">
      <w:pPr>
        <w:spacing w:line="46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r>
        <w:rPr>
          <w:rFonts w:hint="eastAsia" w:ascii="新宋体" w:hAnsi="新宋体" w:eastAsia="新宋体" w:cs="新宋体"/>
          <w:color w:val="auto"/>
          <w:sz w:val="22"/>
          <w:szCs w:val="22"/>
          <w:highlight w:val="none"/>
        </w:rPr>
        <w:t>：</w:t>
      </w:r>
    </w:p>
    <w:p w14:paraId="1D813509">
      <w:pPr>
        <w:pStyle w:val="31"/>
        <w:spacing w:line="460" w:lineRule="atLeast"/>
        <w:ind w:left="659" w:leftChars="314" w:firstLine="3740" w:firstLineChars="1700"/>
        <w:rPr>
          <w:rFonts w:hint="eastAsia" w:ascii="新宋体" w:hAnsi="新宋体" w:eastAsia="新宋体" w:cs="新宋体"/>
          <w:b w:val="0"/>
          <w:bCs/>
          <w:color w:val="auto"/>
          <w:sz w:val="22"/>
          <w:highlight w:val="none"/>
        </w:rPr>
      </w:pPr>
      <w:r>
        <w:rPr>
          <w:rFonts w:hint="eastAsia" w:ascii="新宋体" w:hAnsi="新宋体" w:eastAsia="新宋体" w:cs="新宋体"/>
          <w:b w:val="0"/>
          <w:color w:val="auto"/>
          <w:kern w:val="2"/>
          <w:sz w:val="22"/>
          <w:szCs w:val="22"/>
          <w:highlight w:val="none"/>
        </w:rPr>
        <w:t>日  期：</w:t>
      </w:r>
      <w:r>
        <w:rPr>
          <w:rFonts w:hint="eastAsia" w:ascii="新宋体" w:hAnsi="新宋体" w:eastAsia="新宋体" w:cs="新宋体"/>
          <w:b w:val="0"/>
          <w:bCs/>
          <w:color w:val="auto"/>
          <w:sz w:val="22"/>
          <w:highlight w:val="none"/>
        </w:rPr>
        <w:t xml:space="preserve"> </w:t>
      </w:r>
    </w:p>
    <w:p w14:paraId="04BDCD5E">
      <w:pPr>
        <w:pStyle w:val="31"/>
        <w:spacing w:line="400" w:lineRule="atLeast"/>
        <w:ind w:left="663" w:hanging="663" w:hangingChars="300"/>
        <w:rPr>
          <w:rFonts w:hint="eastAsia" w:ascii="新宋体" w:hAnsi="新宋体" w:eastAsia="新宋体" w:cs="新宋体"/>
          <w:color w:val="auto"/>
          <w:sz w:val="22"/>
          <w:highlight w:val="none"/>
        </w:rPr>
      </w:pPr>
    </w:p>
    <w:p w14:paraId="3D6854AF">
      <w:pPr>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br w:type="page"/>
      </w:r>
    </w:p>
    <w:p w14:paraId="22B45150">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14、维修成本</w:t>
      </w:r>
    </w:p>
    <w:p w14:paraId="0FDB1F70">
      <w:pPr>
        <w:spacing w:line="360" w:lineRule="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WZLCZB（L）-2024-07264</w:t>
      </w:r>
    </w:p>
    <w:p w14:paraId="58BAB5AD">
      <w:pPr>
        <w:spacing w:line="360" w:lineRule="auto"/>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儿童康复器材</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0A7F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4881C7E9">
            <w:pPr>
              <w:spacing w:line="360" w:lineRule="auto"/>
              <w:rPr>
                <w:rFonts w:hint="eastAsia" w:ascii="新宋体" w:hAnsi="新宋体" w:eastAsia="新宋体" w:cs="新宋体"/>
                <w:color w:val="auto"/>
                <w:sz w:val="22"/>
                <w:szCs w:val="22"/>
                <w:highlight w:val="none"/>
              </w:rPr>
            </w:pPr>
          </w:p>
        </w:tc>
      </w:tr>
    </w:tbl>
    <w:p w14:paraId="4F56F92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4EDEF07C">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 xml:space="preserve">                                        </w:t>
      </w:r>
      <w:r>
        <w:rPr>
          <w:rFonts w:hint="eastAsia" w:ascii="新宋体" w:hAnsi="新宋体" w:eastAsia="新宋体" w:cs="新宋体"/>
          <w:color w:val="auto"/>
          <w:sz w:val="22"/>
          <w:szCs w:val="22"/>
          <w:highlight w:val="none"/>
        </w:rPr>
        <w:t>投标人全称（盖章）：</w:t>
      </w:r>
    </w:p>
    <w:p w14:paraId="2F94A670">
      <w:pPr>
        <w:spacing w:line="46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r>
        <w:rPr>
          <w:rFonts w:hint="eastAsia" w:ascii="新宋体" w:hAnsi="新宋体" w:eastAsia="新宋体" w:cs="新宋体"/>
          <w:color w:val="auto"/>
          <w:sz w:val="22"/>
          <w:szCs w:val="22"/>
          <w:highlight w:val="none"/>
        </w:rPr>
        <w:t>：</w:t>
      </w:r>
    </w:p>
    <w:p w14:paraId="39D6C6F8">
      <w:pPr>
        <w:pStyle w:val="31"/>
        <w:spacing w:line="460" w:lineRule="atLeast"/>
        <w:ind w:left="659" w:leftChars="314" w:firstLine="3740" w:firstLineChars="1700"/>
        <w:rPr>
          <w:rFonts w:hint="eastAsia" w:ascii="新宋体" w:hAnsi="新宋体" w:eastAsia="新宋体" w:cs="新宋体"/>
          <w:b w:val="0"/>
          <w:bCs/>
          <w:color w:val="auto"/>
          <w:sz w:val="22"/>
          <w:highlight w:val="none"/>
        </w:rPr>
      </w:pPr>
      <w:r>
        <w:rPr>
          <w:rFonts w:hint="eastAsia" w:ascii="新宋体" w:hAnsi="新宋体" w:eastAsia="新宋体" w:cs="新宋体"/>
          <w:b w:val="0"/>
          <w:color w:val="auto"/>
          <w:kern w:val="2"/>
          <w:sz w:val="22"/>
          <w:szCs w:val="22"/>
          <w:highlight w:val="none"/>
        </w:rPr>
        <w:t>日  期：</w:t>
      </w:r>
      <w:r>
        <w:rPr>
          <w:rFonts w:hint="eastAsia" w:ascii="新宋体" w:hAnsi="新宋体" w:eastAsia="新宋体" w:cs="新宋体"/>
          <w:b w:val="0"/>
          <w:bCs/>
          <w:color w:val="auto"/>
          <w:sz w:val="22"/>
          <w:highlight w:val="none"/>
        </w:rPr>
        <w:t xml:space="preserve"> </w:t>
      </w:r>
    </w:p>
    <w:p w14:paraId="19BEF495">
      <w:pPr>
        <w:pStyle w:val="31"/>
        <w:spacing w:line="400" w:lineRule="atLeast"/>
        <w:ind w:left="663" w:hanging="663" w:hangingChars="300"/>
        <w:rPr>
          <w:rFonts w:hint="eastAsia" w:ascii="新宋体" w:hAnsi="新宋体" w:eastAsia="新宋体" w:cs="新宋体"/>
          <w:color w:val="auto"/>
          <w:sz w:val="22"/>
          <w:highlight w:val="none"/>
        </w:rPr>
      </w:pPr>
    </w:p>
    <w:p w14:paraId="5AA875F2">
      <w:pPr>
        <w:pStyle w:val="31"/>
        <w:spacing w:line="400" w:lineRule="atLeast"/>
        <w:rPr>
          <w:rFonts w:hint="eastAsia" w:ascii="新宋体" w:hAnsi="新宋体" w:eastAsia="新宋体" w:cs="新宋体"/>
          <w:color w:val="auto"/>
          <w:sz w:val="22"/>
          <w:highlight w:val="none"/>
        </w:rPr>
      </w:pPr>
    </w:p>
    <w:p w14:paraId="4B7C6FEE">
      <w:pPr>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br w:type="page"/>
      </w:r>
    </w:p>
    <w:p w14:paraId="22EC5373">
      <w:pPr>
        <w:spacing w:line="400" w:lineRule="exact"/>
        <w:jc w:val="center"/>
        <w:outlineLvl w:val="3"/>
        <w:rPr>
          <w:rFonts w:hint="eastAsia" w:ascii="新宋体" w:hAnsi="新宋体" w:eastAsia="新宋体" w:cs="新宋体"/>
          <w:b/>
          <w:bCs/>
          <w:color w:val="auto"/>
          <w:sz w:val="28"/>
          <w:szCs w:val="28"/>
          <w:highlight w:val="none"/>
          <w:lang w:val="zh-CN" w:eastAsia="zh-CN"/>
        </w:rPr>
      </w:pPr>
      <w:r>
        <w:rPr>
          <w:rFonts w:hint="eastAsia" w:ascii="新宋体" w:hAnsi="新宋体" w:eastAsia="新宋体" w:cs="新宋体"/>
          <w:b/>
          <w:bCs/>
          <w:color w:val="auto"/>
          <w:sz w:val="28"/>
          <w:szCs w:val="28"/>
          <w:highlight w:val="none"/>
          <w:lang w:val="en-US" w:eastAsia="zh-CN"/>
        </w:rPr>
        <w:t>15、节能环保</w:t>
      </w:r>
    </w:p>
    <w:p w14:paraId="529C35C4">
      <w:pPr>
        <w:spacing w:line="360" w:lineRule="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WZLCZB（L）-2024-07264</w:t>
      </w:r>
    </w:p>
    <w:p w14:paraId="6240C5FF">
      <w:pPr>
        <w:spacing w:line="360" w:lineRule="auto"/>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儿童康复器材</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4E919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24B0B2DA">
            <w:pPr>
              <w:spacing w:line="360" w:lineRule="auto"/>
              <w:rPr>
                <w:rFonts w:hint="eastAsia" w:ascii="新宋体" w:hAnsi="新宋体" w:eastAsia="新宋体" w:cs="新宋体"/>
                <w:color w:val="auto"/>
                <w:sz w:val="22"/>
                <w:szCs w:val="22"/>
                <w:highlight w:val="none"/>
              </w:rPr>
            </w:pPr>
          </w:p>
        </w:tc>
      </w:tr>
    </w:tbl>
    <w:p w14:paraId="28021E2D">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6750208B">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 xml:space="preserve">                                        </w:t>
      </w:r>
      <w:r>
        <w:rPr>
          <w:rFonts w:hint="eastAsia" w:ascii="新宋体" w:hAnsi="新宋体" w:eastAsia="新宋体" w:cs="新宋体"/>
          <w:color w:val="auto"/>
          <w:sz w:val="22"/>
          <w:szCs w:val="22"/>
          <w:highlight w:val="none"/>
        </w:rPr>
        <w:t>投标人全称（盖章）：</w:t>
      </w:r>
    </w:p>
    <w:p w14:paraId="61DE3BB9">
      <w:pPr>
        <w:spacing w:line="46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r>
        <w:rPr>
          <w:rFonts w:hint="eastAsia" w:ascii="新宋体" w:hAnsi="新宋体" w:eastAsia="新宋体" w:cs="新宋体"/>
          <w:color w:val="auto"/>
          <w:sz w:val="22"/>
          <w:szCs w:val="22"/>
          <w:highlight w:val="none"/>
        </w:rPr>
        <w:t>：</w:t>
      </w:r>
    </w:p>
    <w:p w14:paraId="4E558B1D">
      <w:pPr>
        <w:pStyle w:val="31"/>
        <w:spacing w:line="460" w:lineRule="atLeast"/>
        <w:ind w:left="659" w:leftChars="314" w:firstLine="3740" w:firstLineChars="1700"/>
        <w:rPr>
          <w:rFonts w:hint="eastAsia" w:ascii="新宋体" w:hAnsi="新宋体" w:eastAsia="新宋体" w:cs="新宋体"/>
          <w:b w:val="0"/>
          <w:bCs/>
          <w:color w:val="auto"/>
          <w:sz w:val="22"/>
          <w:highlight w:val="none"/>
        </w:rPr>
      </w:pPr>
      <w:r>
        <w:rPr>
          <w:rFonts w:hint="eastAsia" w:ascii="新宋体" w:hAnsi="新宋体" w:eastAsia="新宋体" w:cs="新宋体"/>
          <w:b w:val="0"/>
          <w:color w:val="auto"/>
          <w:kern w:val="2"/>
          <w:sz w:val="22"/>
          <w:szCs w:val="22"/>
          <w:highlight w:val="none"/>
        </w:rPr>
        <w:t>日  期：</w:t>
      </w:r>
      <w:r>
        <w:rPr>
          <w:rFonts w:hint="eastAsia" w:ascii="新宋体" w:hAnsi="新宋体" w:eastAsia="新宋体" w:cs="新宋体"/>
          <w:b w:val="0"/>
          <w:bCs/>
          <w:color w:val="auto"/>
          <w:sz w:val="22"/>
          <w:highlight w:val="none"/>
        </w:rPr>
        <w:t xml:space="preserve"> </w:t>
      </w:r>
    </w:p>
    <w:p w14:paraId="33915F4C">
      <w:pPr>
        <w:spacing w:line="460" w:lineRule="exact"/>
        <w:ind w:firstLine="4400" w:firstLineChars="2000"/>
        <w:rPr>
          <w:rFonts w:hint="eastAsia" w:ascii="新宋体" w:hAnsi="新宋体" w:eastAsia="新宋体" w:cs="新宋体"/>
          <w:color w:val="auto"/>
          <w:sz w:val="22"/>
          <w:szCs w:val="22"/>
          <w:highlight w:val="none"/>
        </w:rPr>
      </w:pPr>
    </w:p>
    <w:p w14:paraId="5C9D1228">
      <w:pPr>
        <w:spacing w:line="460" w:lineRule="exact"/>
        <w:ind w:firstLine="4400" w:firstLineChars="2000"/>
        <w:rPr>
          <w:rFonts w:hint="eastAsia" w:ascii="新宋体" w:hAnsi="新宋体" w:eastAsia="新宋体" w:cs="新宋体"/>
          <w:color w:val="auto"/>
          <w:sz w:val="22"/>
          <w:szCs w:val="22"/>
          <w:highlight w:val="none"/>
        </w:rPr>
      </w:pPr>
    </w:p>
    <w:p w14:paraId="66AC4077">
      <w:pPr>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br w:type="page"/>
      </w:r>
    </w:p>
    <w:p w14:paraId="5E35C01E">
      <w:pPr>
        <w:pStyle w:val="3"/>
        <w:numPr>
          <w:ilvl w:val="0"/>
          <w:numId w:val="0"/>
        </w:numPr>
        <w:bidi w:val="0"/>
        <w:jc w:val="center"/>
        <w:rPr>
          <w:rFonts w:hint="eastAsia" w:ascii="新宋体" w:hAnsi="新宋体" w:eastAsia="新宋体" w:cs="新宋体"/>
          <w:b/>
          <w:color w:val="auto"/>
          <w:highlight w:val="none"/>
        </w:rPr>
      </w:pPr>
      <w:bookmarkStart w:id="43" w:name="_Toc10142"/>
      <w:bookmarkStart w:id="44" w:name="_Toc25542"/>
      <w:bookmarkStart w:id="45" w:name="_Toc221356895"/>
      <w:bookmarkStart w:id="46" w:name="_Toc221356958"/>
      <w:r>
        <w:rPr>
          <w:rFonts w:hint="eastAsia" w:ascii="新宋体" w:hAnsi="新宋体" w:eastAsia="新宋体" w:cs="新宋体"/>
          <w:color w:val="auto"/>
          <w:highlight w:val="none"/>
          <w:lang w:val="en-US" w:eastAsia="zh-CN"/>
        </w:rPr>
        <w:t xml:space="preserve">第四部分   </w:t>
      </w:r>
      <w:r>
        <w:rPr>
          <w:rFonts w:hint="eastAsia" w:ascii="新宋体" w:hAnsi="新宋体" w:eastAsia="新宋体" w:cs="新宋体"/>
          <w:color w:val="auto"/>
          <w:highlight w:val="none"/>
        </w:rPr>
        <w:t>项目技术规范和服务要求</w:t>
      </w:r>
      <w:bookmarkEnd w:id="43"/>
      <w:bookmarkEnd w:id="44"/>
    </w:p>
    <w:bookmarkEnd w:id="45"/>
    <w:bookmarkEnd w:id="46"/>
    <w:p w14:paraId="69100368">
      <w:pPr>
        <w:keepNext w:val="0"/>
        <w:keepLines w:val="0"/>
        <w:pageBreakBefore w:val="0"/>
        <w:kinsoku/>
        <w:wordWrap/>
        <w:overflowPunct/>
        <w:topLinePunct w:val="0"/>
        <w:autoSpaceDE/>
        <w:autoSpaceDN/>
        <w:bidi w:val="0"/>
        <w:adjustRightInd/>
        <w:snapToGrid/>
        <w:spacing w:line="460" w:lineRule="exact"/>
        <w:ind w:firstLine="442" w:firstLineChars="200"/>
        <w:outlineLvl w:val="9"/>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本项目预算金额人民币玖拾陆万元整（¥960000.00），若投标人报价超过预算金额按无效标处理。</w:t>
      </w:r>
    </w:p>
    <w:p w14:paraId="4D61E178">
      <w:pPr>
        <w:keepNext w:val="0"/>
        <w:keepLines w:val="0"/>
        <w:pageBreakBefore w:val="0"/>
        <w:kinsoku/>
        <w:wordWrap/>
        <w:overflowPunct/>
        <w:topLinePunct w:val="0"/>
        <w:autoSpaceDE/>
        <w:autoSpaceDN/>
        <w:bidi w:val="0"/>
        <w:adjustRightInd/>
        <w:snapToGrid/>
        <w:spacing w:line="460" w:lineRule="exact"/>
        <w:outlineLvl w:val="1"/>
        <w:rPr>
          <w:rFonts w:hint="eastAsia" w:ascii="新宋体" w:hAnsi="新宋体" w:eastAsia="新宋体" w:cs="新宋体"/>
          <w:b/>
          <w:color w:val="auto"/>
          <w:sz w:val="22"/>
          <w:szCs w:val="22"/>
          <w:highlight w:val="none"/>
        </w:rPr>
      </w:pPr>
      <w:bookmarkStart w:id="47" w:name="_Toc13797"/>
      <w:r>
        <w:rPr>
          <w:rFonts w:hint="eastAsia" w:ascii="新宋体" w:hAnsi="新宋体" w:eastAsia="新宋体" w:cs="新宋体"/>
          <w:b/>
          <w:color w:val="auto"/>
          <w:sz w:val="22"/>
          <w:szCs w:val="22"/>
          <w:highlight w:val="none"/>
        </w:rPr>
        <w:t>一、总则</w:t>
      </w:r>
      <w:bookmarkEnd w:id="47"/>
    </w:p>
    <w:p w14:paraId="1C05B9E4">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1、本技术规范要求提出的是最低限度的基本技术要求，并未对所有技术细节作出规定，</w:t>
      </w:r>
      <w:r>
        <w:rPr>
          <w:rFonts w:hint="eastAsia" w:ascii="新宋体" w:hAnsi="新宋体" w:eastAsia="新宋体" w:cs="新宋体"/>
          <w:bCs/>
          <w:color w:val="auto"/>
          <w:sz w:val="22"/>
          <w:szCs w:val="22"/>
          <w:highlight w:val="none"/>
          <w:lang w:eastAsia="zh-CN"/>
        </w:rPr>
        <w:t>投标人</w:t>
      </w:r>
      <w:r>
        <w:rPr>
          <w:rFonts w:hint="eastAsia" w:ascii="新宋体" w:hAnsi="新宋体" w:eastAsia="新宋体" w:cs="新宋体"/>
          <w:bCs/>
          <w:color w:val="auto"/>
          <w:sz w:val="22"/>
          <w:szCs w:val="22"/>
          <w:highlight w:val="none"/>
        </w:rPr>
        <w:t>应提供符合本技术要求和国家标准、行业标准的优质产品。</w:t>
      </w:r>
    </w:p>
    <w:p w14:paraId="21CB0A7A">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w:t>
      </w:r>
      <w:r>
        <w:rPr>
          <w:rFonts w:hint="eastAsia" w:ascii="新宋体" w:hAnsi="新宋体" w:eastAsia="新宋体" w:cs="新宋体"/>
          <w:bCs/>
          <w:color w:val="auto"/>
          <w:sz w:val="22"/>
          <w:szCs w:val="22"/>
          <w:highlight w:val="none"/>
          <w:lang w:eastAsia="zh-CN"/>
        </w:rPr>
        <w:t>投标人</w:t>
      </w:r>
      <w:r>
        <w:rPr>
          <w:rFonts w:hint="eastAsia" w:ascii="新宋体" w:hAnsi="新宋体" w:eastAsia="新宋体" w:cs="新宋体"/>
          <w:bCs/>
          <w:color w:val="auto"/>
          <w:sz w:val="22"/>
          <w:szCs w:val="22"/>
          <w:highlight w:val="none"/>
        </w:rPr>
        <w:t>产品与本技术要求不一致时，</w:t>
      </w:r>
      <w:r>
        <w:rPr>
          <w:rFonts w:hint="eastAsia" w:ascii="新宋体" w:hAnsi="新宋体" w:eastAsia="新宋体" w:cs="新宋体"/>
          <w:bCs/>
          <w:color w:val="auto"/>
          <w:sz w:val="22"/>
          <w:szCs w:val="22"/>
          <w:highlight w:val="none"/>
          <w:lang w:eastAsia="zh-CN"/>
        </w:rPr>
        <w:t>投标人</w:t>
      </w:r>
      <w:r>
        <w:rPr>
          <w:rFonts w:hint="eastAsia" w:ascii="新宋体" w:hAnsi="新宋体" w:eastAsia="新宋体" w:cs="新宋体"/>
          <w:bCs/>
          <w:color w:val="auto"/>
          <w:sz w:val="22"/>
          <w:szCs w:val="22"/>
          <w:highlight w:val="none"/>
        </w:rPr>
        <w:t>应在投标文件中予以说明，并由评标委员会鉴定</w:t>
      </w:r>
      <w:r>
        <w:rPr>
          <w:rFonts w:hint="eastAsia" w:ascii="新宋体" w:hAnsi="新宋体" w:eastAsia="新宋体" w:cs="新宋体"/>
          <w:bCs/>
          <w:color w:val="auto"/>
          <w:sz w:val="22"/>
          <w:szCs w:val="22"/>
          <w:highlight w:val="none"/>
          <w:lang w:eastAsia="zh-CN"/>
        </w:rPr>
        <w:t>投标人</w:t>
      </w:r>
      <w:r>
        <w:rPr>
          <w:rFonts w:hint="eastAsia" w:ascii="新宋体" w:hAnsi="新宋体" w:eastAsia="新宋体" w:cs="新宋体"/>
          <w:bCs/>
          <w:color w:val="auto"/>
          <w:sz w:val="22"/>
          <w:szCs w:val="22"/>
          <w:highlight w:val="none"/>
        </w:rPr>
        <w:t>产品能否达到要求。如</w:t>
      </w:r>
      <w:r>
        <w:rPr>
          <w:rFonts w:hint="eastAsia" w:ascii="新宋体" w:hAnsi="新宋体" w:eastAsia="新宋体" w:cs="新宋体"/>
          <w:bCs/>
          <w:color w:val="auto"/>
          <w:sz w:val="22"/>
          <w:szCs w:val="22"/>
          <w:highlight w:val="none"/>
          <w:lang w:eastAsia="zh-CN"/>
        </w:rPr>
        <w:t>投标人</w:t>
      </w:r>
      <w:r>
        <w:rPr>
          <w:rFonts w:hint="eastAsia" w:ascii="新宋体" w:hAnsi="新宋体" w:eastAsia="新宋体" w:cs="新宋体"/>
          <w:bCs/>
          <w:color w:val="auto"/>
          <w:sz w:val="22"/>
          <w:szCs w:val="22"/>
          <w:highlight w:val="none"/>
        </w:rPr>
        <w:t>没有在投标文件中提出异议，则视为</w:t>
      </w:r>
      <w:r>
        <w:rPr>
          <w:rFonts w:hint="eastAsia" w:ascii="新宋体" w:hAnsi="新宋体" w:eastAsia="新宋体" w:cs="新宋体"/>
          <w:bCs/>
          <w:color w:val="auto"/>
          <w:sz w:val="22"/>
          <w:szCs w:val="22"/>
          <w:highlight w:val="none"/>
          <w:lang w:eastAsia="zh-CN"/>
        </w:rPr>
        <w:t>投标人</w:t>
      </w:r>
      <w:r>
        <w:rPr>
          <w:rFonts w:hint="eastAsia" w:ascii="新宋体" w:hAnsi="新宋体" w:eastAsia="新宋体" w:cs="新宋体"/>
          <w:bCs/>
          <w:color w:val="auto"/>
          <w:sz w:val="22"/>
          <w:szCs w:val="22"/>
          <w:highlight w:val="none"/>
        </w:rPr>
        <w:t>提供的产品完全按照本招标文件要求。</w:t>
      </w:r>
    </w:p>
    <w:p w14:paraId="060C3D42">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3、技术要求及标准的执行</w:t>
      </w:r>
    </w:p>
    <w:p w14:paraId="64071049">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eastAsia="zh-CN"/>
        </w:rPr>
        <w:t>投标人</w:t>
      </w:r>
      <w:r>
        <w:rPr>
          <w:rFonts w:hint="eastAsia" w:ascii="新宋体" w:hAnsi="新宋体" w:eastAsia="新宋体" w:cs="新宋体"/>
          <w:bCs/>
          <w:color w:val="auto"/>
          <w:sz w:val="22"/>
          <w:szCs w:val="22"/>
          <w:highlight w:val="none"/>
        </w:rPr>
        <w:t>提供的产品应标明所执行的质量标准，若同一标准已颁发新标准，则按最新标准执行。若同一产品同时有几个标准（国际标准、国家标准、行业标准、企业标准等），则按最高层次的标准执行。</w:t>
      </w:r>
    </w:p>
    <w:p w14:paraId="3A4BC4A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eastAsia="zh-CN"/>
        </w:rPr>
        <w:t>投标人</w:t>
      </w:r>
      <w:r>
        <w:rPr>
          <w:rFonts w:hint="eastAsia" w:ascii="新宋体" w:hAnsi="新宋体" w:eastAsia="新宋体" w:cs="新宋体"/>
          <w:bCs/>
          <w:color w:val="auto"/>
          <w:sz w:val="22"/>
          <w:szCs w:val="22"/>
          <w:highlight w:val="none"/>
        </w:rPr>
        <w:t>须按国家有关规定及标准完成本次采购产品的供货、运输、装卸、就位、安装、调试、技术培训、检验、通过有关部门验收、维保期服务、产品终身维修等各项工作，并保证投标产品使用的安全性能与检测结果的可靠性。如中标，中标人及制造商对中标产品使用的安全性能与可靠性负全部责任。中标人须随产品提供使用说明书与维保卡。</w:t>
      </w:r>
      <w:r>
        <w:rPr>
          <w:rFonts w:hint="eastAsia" w:ascii="新宋体" w:hAnsi="新宋体" w:eastAsia="新宋体" w:cs="新宋体"/>
          <w:bCs/>
          <w:color w:val="auto"/>
          <w:sz w:val="22"/>
          <w:szCs w:val="22"/>
          <w:highlight w:val="none"/>
          <w:lang w:eastAsia="zh-CN"/>
        </w:rPr>
        <w:t>投标人</w:t>
      </w:r>
      <w:r>
        <w:rPr>
          <w:rFonts w:hint="eastAsia" w:ascii="新宋体" w:hAnsi="新宋体" w:eastAsia="新宋体" w:cs="新宋体"/>
          <w:bCs/>
          <w:color w:val="auto"/>
          <w:sz w:val="22"/>
          <w:szCs w:val="22"/>
          <w:highlight w:val="none"/>
        </w:rPr>
        <w:t>提供相关数据与说明，投标文件须对下列要求作出实质性回应。</w:t>
      </w:r>
    </w:p>
    <w:p w14:paraId="7CB5EB8F">
      <w:pPr>
        <w:keepNext w:val="0"/>
        <w:keepLines w:val="0"/>
        <w:pageBreakBefore w:val="0"/>
        <w:kinsoku/>
        <w:wordWrap/>
        <w:overflowPunct/>
        <w:topLinePunct w:val="0"/>
        <w:autoSpaceDE/>
        <w:autoSpaceDN/>
        <w:bidi w:val="0"/>
        <w:adjustRightInd/>
        <w:snapToGrid/>
        <w:spacing w:line="460" w:lineRule="exact"/>
        <w:rPr>
          <w:rFonts w:hint="eastAsia" w:ascii="新宋体" w:hAnsi="新宋体" w:eastAsia="新宋体" w:cs="新宋体"/>
          <w:b/>
          <w:color w:val="auto"/>
          <w:sz w:val="22"/>
          <w:szCs w:val="22"/>
          <w:highlight w:val="none"/>
          <w:lang w:val="en-US" w:eastAsia="zh-CN"/>
        </w:rPr>
      </w:pPr>
      <w:bookmarkStart w:id="48" w:name="_Toc30323"/>
    </w:p>
    <w:p w14:paraId="4E3E3493">
      <w:pPr>
        <w:rPr>
          <w:rFonts w:hint="eastAsia" w:ascii="新宋体" w:hAnsi="新宋体" w:eastAsia="新宋体" w:cs="新宋体"/>
          <w:b/>
          <w:color w:val="auto"/>
          <w:sz w:val="22"/>
          <w:szCs w:val="22"/>
          <w:highlight w:val="none"/>
          <w:lang w:val="en-US" w:eastAsia="zh-CN"/>
        </w:rPr>
      </w:pPr>
      <w:bookmarkStart w:id="49" w:name="_Toc22796"/>
      <w:r>
        <w:rPr>
          <w:rFonts w:hint="eastAsia" w:ascii="新宋体" w:hAnsi="新宋体" w:eastAsia="新宋体" w:cs="新宋体"/>
          <w:b/>
          <w:color w:val="auto"/>
          <w:sz w:val="22"/>
          <w:szCs w:val="22"/>
          <w:highlight w:val="none"/>
          <w:lang w:val="en-US" w:eastAsia="zh-CN"/>
        </w:rPr>
        <w:br w:type="page"/>
      </w:r>
    </w:p>
    <w:p w14:paraId="4220A13C">
      <w:pPr>
        <w:keepNext w:val="0"/>
        <w:keepLines w:val="0"/>
        <w:pageBreakBefore w:val="0"/>
        <w:kinsoku/>
        <w:wordWrap/>
        <w:overflowPunct/>
        <w:topLinePunct w:val="0"/>
        <w:autoSpaceDE/>
        <w:autoSpaceDN/>
        <w:bidi w:val="0"/>
        <w:adjustRightInd/>
        <w:snapToGrid/>
        <w:spacing w:line="460" w:lineRule="exact"/>
        <w:outlineLvl w:val="1"/>
        <w:rPr>
          <w:rFonts w:hint="eastAsia" w:ascii="新宋体" w:hAnsi="新宋体" w:eastAsia="新宋体" w:cs="新宋体"/>
          <w:b/>
          <w:color w:val="auto"/>
          <w:sz w:val="22"/>
          <w:szCs w:val="22"/>
          <w:highlight w:val="none"/>
          <w:lang w:val="en-US" w:eastAsia="zh-CN"/>
        </w:rPr>
        <w:sectPr>
          <w:headerReference r:id="rId7" w:type="default"/>
          <w:footerReference r:id="rId8" w:type="default"/>
          <w:pgSz w:w="11906" w:h="16838"/>
          <w:pgMar w:top="1134" w:right="1134" w:bottom="1134" w:left="1134" w:header="850" w:footer="992" w:gutter="0"/>
          <w:pgNumType w:fmt="decimal"/>
          <w:cols w:space="720" w:num="1"/>
          <w:docGrid w:type="lines" w:linePitch="321" w:charSpace="0"/>
        </w:sectPr>
      </w:pPr>
    </w:p>
    <w:p w14:paraId="4C993497">
      <w:pPr>
        <w:keepNext w:val="0"/>
        <w:keepLines w:val="0"/>
        <w:pageBreakBefore w:val="0"/>
        <w:kinsoku/>
        <w:wordWrap/>
        <w:overflowPunct/>
        <w:topLinePunct w:val="0"/>
        <w:autoSpaceDE/>
        <w:autoSpaceDN/>
        <w:bidi w:val="0"/>
        <w:adjustRightInd/>
        <w:snapToGrid/>
        <w:spacing w:line="460" w:lineRule="exact"/>
        <w:outlineLvl w:val="1"/>
        <w:rPr>
          <w:rFonts w:hint="eastAsia" w:ascii="新宋体" w:hAnsi="新宋体" w:eastAsia="新宋体" w:cs="新宋体"/>
          <w:b/>
          <w:color w:val="auto"/>
          <w:sz w:val="22"/>
          <w:szCs w:val="22"/>
          <w:highlight w:val="none"/>
          <w:vertAlign w:val="baseline"/>
          <w:lang w:val="en-US" w:eastAsia="zh-CN"/>
        </w:rPr>
      </w:pPr>
      <w:r>
        <w:rPr>
          <w:rFonts w:hint="eastAsia" w:ascii="新宋体" w:hAnsi="新宋体" w:eastAsia="新宋体" w:cs="新宋体"/>
          <w:b/>
          <w:color w:val="auto"/>
          <w:sz w:val="22"/>
          <w:szCs w:val="22"/>
          <w:highlight w:val="none"/>
          <w:lang w:val="en-US" w:eastAsia="zh-CN"/>
        </w:rPr>
        <w:t>二、采购清单及技术参数要求</w:t>
      </w:r>
    </w:p>
    <w:bookmarkEnd w:id="49"/>
    <w:tbl>
      <w:tblPr>
        <w:tblStyle w:val="53"/>
        <w:tblW w:w="14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660"/>
        <w:gridCol w:w="1610"/>
        <w:gridCol w:w="763"/>
        <w:gridCol w:w="11073"/>
      </w:tblGrid>
      <w:tr w14:paraId="6A7F6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679" w:type="dxa"/>
            <w:vAlign w:val="center"/>
          </w:tcPr>
          <w:p w14:paraId="7C3240E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i w:val="0"/>
                <w:iCs w:val="0"/>
                <w:color w:val="auto"/>
                <w:kern w:val="0"/>
                <w:sz w:val="22"/>
                <w:szCs w:val="22"/>
                <w:highlight w:val="none"/>
                <w:u w:val="none"/>
                <w:lang w:val="en-US" w:eastAsia="zh-CN" w:bidi="ar"/>
              </w:rPr>
              <w:t>序号</w:t>
            </w:r>
          </w:p>
        </w:tc>
        <w:tc>
          <w:tcPr>
            <w:tcW w:w="660" w:type="dxa"/>
            <w:vAlign w:val="center"/>
          </w:tcPr>
          <w:p w14:paraId="497E6AF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bCs/>
                <w:i w:val="0"/>
                <w:iCs w:val="0"/>
                <w:color w:val="auto"/>
                <w:kern w:val="0"/>
                <w:sz w:val="22"/>
                <w:szCs w:val="22"/>
                <w:highlight w:val="none"/>
                <w:u w:val="none"/>
                <w:lang w:val="en-US" w:eastAsia="zh-CN" w:bidi="ar"/>
              </w:rPr>
            </w:pPr>
            <w:r>
              <w:rPr>
                <w:rFonts w:hint="eastAsia" w:ascii="新宋体" w:hAnsi="新宋体" w:eastAsia="新宋体" w:cs="新宋体"/>
                <w:b/>
                <w:bCs/>
                <w:i w:val="0"/>
                <w:iCs w:val="0"/>
                <w:color w:val="auto"/>
                <w:kern w:val="0"/>
                <w:sz w:val="22"/>
                <w:szCs w:val="22"/>
                <w:highlight w:val="none"/>
                <w:u w:val="none"/>
                <w:lang w:val="en-US" w:eastAsia="zh-CN" w:bidi="ar"/>
              </w:rPr>
              <w:t>房间</w:t>
            </w:r>
          </w:p>
        </w:tc>
        <w:tc>
          <w:tcPr>
            <w:tcW w:w="1610" w:type="dxa"/>
            <w:vAlign w:val="center"/>
          </w:tcPr>
          <w:p w14:paraId="700F529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i w:val="0"/>
                <w:iCs w:val="0"/>
                <w:color w:val="auto"/>
                <w:kern w:val="0"/>
                <w:sz w:val="22"/>
                <w:szCs w:val="22"/>
                <w:highlight w:val="none"/>
                <w:u w:val="none"/>
                <w:lang w:val="en-US" w:eastAsia="zh-CN" w:bidi="ar"/>
              </w:rPr>
              <w:t>设备产品名称</w:t>
            </w:r>
          </w:p>
        </w:tc>
        <w:tc>
          <w:tcPr>
            <w:tcW w:w="763" w:type="dxa"/>
            <w:vAlign w:val="center"/>
          </w:tcPr>
          <w:p w14:paraId="4E64AA2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i w:val="0"/>
                <w:iCs w:val="0"/>
                <w:color w:val="auto"/>
                <w:kern w:val="0"/>
                <w:sz w:val="22"/>
                <w:szCs w:val="22"/>
                <w:highlight w:val="none"/>
                <w:u w:val="none"/>
                <w:lang w:val="en-US" w:eastAsia="zh-CN" w:bidi="ar"/>
              </w:rPr>
              <w:t>数量</w:t>
            </w:r>
          </w:p>
        </w:tc>
        <w:tc>
          <w:tcPr>
            <w:tcW w:w="11073" w:type="dxa"/>
            <w:vAlign w:val="center"/>
          </w:tcPr>
          <w:p w14:paraId="1E2AF26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b/>
                <w:bCs/>
                <w:color w:val="auto"/>
                <w:sz w:val="22"/>
                <w:szCs w:val="22"/>
                <w:highlight w:val="none"/>
                <w:shd w:val="clear" w:color="auto" w:fill="FFFFFF"/>
                <w:vertAlign w:val="baseline"/>
                <w:lang w:val="en-US" w:eastAsia="zh-CN"/>
              </w:rPr>
            </w:pPr>
            <w:r>
              <w:rPr>
                <w:rFonts w:hint="eastAsia" w:ascii="新宋体" w:hAnsi="新宋体" w:eastAsia="新宋体" w:cs="新宋体"/>
                <w:b/>
                <w:bCs/>
                <w:color w:val="auto"/>
                <w:sz w:val="22"/>
                <w:szCs w:val="22"/>
                <w:highlight w:val="none"/>
                <w:shd w:val="clear" w:color="auto" w:fill="FFFFFF"/>
                <w:vertAlign w:val="baseline"/>
                <w:lang w:val="en-US" w:eastAsia="zh-CN"/>
              </w:rPr>
              <w:t>技术参数要求及配置要求</w:t>
            </w:r>
          </w:p>
        </w:tc>
      </w:tr>
      <w:tr w14:paraId="02A6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9" w:type="dxa"/>
            <w:vAlign w:val="center"/>
          </w:tcPr>
          <w:p w14:paraId="4B37281C">
            <w:pPr>
              <w:keepNext w:val="0"/>
              <w:keepLines w:val="0"/>
              <w:pageBreakBefore w:val="0"/>
              <w:widowControl/>
              <w:numPr>
                <w:ilvl w:val="0"/>
                <w:numId w:val="2"/>
              </w:numPr>
              <w:suppressLineNumbers w:val="0"/>
              <w:kinsoku/>
              <w:wordWrap/>
              <w:overflowPunct/>
              <w:topLinePunct w:val="0"/>
              <w:autoSpaceDE/>
              <w:autoSpaceDN/>
              <w:bidi w:val="0"/>
              <w:adjustRightInd/>
              <w:snapToGrid/>
              <w:spacing w:line="460" w:lineRule="exact"/>
              <w:ind w:left="425" w:leftChars="0" w:hanging="425" w:firstLineChars="0"/>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bookmarkStart w:id="50" w:name="_Toc19741"/>
          </w:p>
        </w:tc>
        <w:tc>
          <w:tcPr>
            <w:tcW w:w="660" w:type="dxa"/>
            <w:vMerge w:val="restart"/>
            <w:vAlign w:val="center"/>
          </w:tcPr>
          <w:p w14:paraId="27A7FFF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PT室</w:t>
            </w:r>
          </w:p>
        </w:tc>
        <w:tc>
          <w:tcPr>
            <w:tcW w:w="1610" w:type="dxa"/>
            <w:vAlign w:val="center"/>
          </w:tcPr>
          <w:p w14:paraId="68B02FA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儿童电动升降pt床</w:t>
            </w:r>
          </w:p>
        </w:tc>
        <w:tc>
          <w:tcPr>
            <w:tcW w:w="763" w:type="dxa"/>
            <w:vAlign w:val="center"/>
          </w:tcPr>
          <w:p w14:paraId="04E6136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1张</w:t>
            </w:r>
          </w:p>
        </w:tc>
        <w:tc>
          <w:tcPr>
            <w:tcW w:w="11073" w:type="dxa"/>
            <w:vAlign w:val="center"/>
          </w:tcPr>
          <w:p w14:paraId="2A9430B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功能：用于对脑中风、脑外伤、人体肌肉系统及神经系统损伤的患者进行肢体运动康复训练。</w:t>
            </w:r>
          </w:p>
          <w:p w14:paraId="3E34EEC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规格：</w:t>
            </w:r>
          </w:p>
          <w:p w14:paraId="18AB757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一、产品组成：由床架、机械支撑部件、电动控制装置、脚轮组成</w:t>
            </w:r>
          </w:p>
          <w:p w14:paraId="3A7D4C1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二、正常工作条件</w:t>
            </w:r>
          </w:p>
          <w:p w14:paraId="01924E3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1、环境温度：+5 ℃～+40 ℃；</w:t>
            </w:r>
          </w:p>
          <w:p w14:paraId="54AE354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2、相对湿度：≤80%；</w:t>
            </w:r>
          </w:p>
          <w:p w14:paraId="6BF678B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3、大气压力：860 hPa～1060 hPa；</w:t>
            </w:r>
          </w:p>
          <w:p w14:paraId="10BB3B0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4、电源：AC220 V±22 V、50 Hz±1 Hz。</w:t>
            </w:r>
          </w:p>
          <w:p w14:paraId="3FB34D8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二、主要技术指标和参数</w:t>
            </w:r>
          </w:p>
          <w:p w14:paraId="46B658F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1、外形尺寸（长×宽×高）：2000mm×1200mm×500mm ，允差10%</w:t>
            </w:r>
          </w:p>
          <w:p w14:paraId="593AB1E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2、床面高度升降范围：500mm～800mm，允差10%</w:t>
            </w:r>
          </w:p>
          <w:p w14:paraId="61A3F70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3、背板翻转角度调节范围：0°～70°</w:t>
            </w:r>
          </w:p>
          <w:p w14:paraId="5973775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4、背板尺寸（长×宽）：800mm×1200mm，允差10%</w:t>
            </w:r>
          </w:p>
          <w:p w14:paraId="305F6F9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5、座板尺寸（长×宽）：1200mm×1200mm，允差10%</w:t>
            </w:r>
          </w:p>
          <w:p w14:paraId="52C7B15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6、床板安全工作载荷/N：1500以上</w:t>
            </w:r>
          </w:p>
          <w:p w14:paraId="7432F95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7、升降床架的安全工作载荷/N：2000以上</w:t>
            </w:r>
          </w:p>
          <w:p w14:paraId="7E6E20E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bCs w:val="0"/>
                <w:color w:val="auto"/>
                <w:sz w:val="24"/>
                <w:szCs w:val="24"/>
                <w:highlight w:val="none"/>
                <w:u w:val="none"/>
                <w:shd w:val="clear" w:color="auto" w:fill="FFFFFF"/>
                <w:vertAlign w:val="baseline"/>
                <w:lang w:val="en-US" w:eastAsia="zh-CN"/>
              </w:rPr>
              <w:t>三、具有医疗器械注册证。</w:t>
            </w:r>
          </w:p>
        </w:tc>
      </w:tr>
      <w:tr w14:paraId="1B28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9" w:type="dxa"/>
            <w:vAlign w:val="center"/>
          </w:tcPr>
          <w:p w14:paraId="582BF002">
            <w:pPr>
              <w:keepNext w:val="0"/>
              <w:keepLines w:val="0"/>
              <w:pageBreakBefore w:val="0"/>
              <w:widowControl/>
              <w:numPr>
                <w:ilvl w:val="0"/>
                <w:numId w:val="2"/>
              </w:numPr>
              <w:suppressLineNumbers w:val="0"/>
              <w:kinsoku/>
              <w:wordWrap/>
              <w:overflowPunct/>
              <w:topLinePunct w:val="0"/>
              <w:autoSpaceDE/>
              <w:autoSpaceDN/>
              <w:bidi w:val="0"/>
              <w:adjustRightInd/>
              <w:snapToGrid/>
              <w:spacing w:line="460" w:lineRule="exact"/>
              <w:ind w:left="425" w:leftChars="0" w:hanging="425" w:firstLineChars="0"/>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660" w:type="dxa"/>
            <w:vMerge w:val="continue"/>
            <w:vAlign w:val="center"/>
          </w:tcPr>
          <w:p w14:paraId="110E882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1610" w:type="dxa"/>
            <w:vAlign w:val="center"/>
          </w:tcPr>
          <w:p w14:paraId="7E4887F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下肢智能反馈训练系统</w:t>
            </w:r>
          </w:p>
        </w:tc>
        <w:tc>
          <w:tcPr>
            <w:tcW w:w="763" w:type="dxa"/>
            <w:vAlign w:val="center"/>
          </w:tcPr>
          <w:p w14:paraId="6FF1D3D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1套</w:t>
            </w:r>
          </w:p>
        </w:tc>
        <w:tc>
          <w:tcPr>
            <w:tcW w:w="11073" w:type="dxa"/>
            <w:vAlign w:val="center"/>
          </w:tcPr>
          <w:p w14:paraId="57E2C3C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产品用途：是主被动、起立床功能于一体的下肢康复设备，对下肢功能障碍患者进行模拟步行训练。让患者在早期即建立正确的运动模式，为今后重新正常行走打下良好基础。</w:t>
            </w:r>
          </w:p>
          <w:p w14:paraId="17E7FAE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一、软件功能：</w:t>
            </w:r>
          </w:p>
          <w:p w14:paraId="4F9B276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1、需具有患者管理、训练报告、康复评估、康复训练、系统设置等模块；</w:t>
            </w:r>
          </w:p>
          <w:p w14:paraId="5490E5A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2、需具有2种以上基础训练模式，必须包含主动模式、被动协调模式；</w:t>
            </w:r>
          </w:p>
          <w:p w14:paraId="6746FE2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3、设备需配置≥2套不同型号的减重绑带和跨步绑带，绑带承载：≥150kg；</w:t>
            </w:r>
          </w:p>
          <w:p w14:paraId="0B141A0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4、踏步速度范围：1-80步/min；</w:t>
            </w:r>
          </w:p>
          <w:p w14:paraId="77772AF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5、踏步角度：0-50°可调节，允差±10°；</w:t>
            </w:r>
          </w:p>
          <w:p w14:paraId="1317A49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6、脚踏板角度可调节：脚踏板足跖屈最大角度≥15°；脚踏板足背屈最大角度≥10°，允差±5°。脚踏板足内翻最大角度≥15°；脚踏板足外翻最大角度≥15°，允差±5°。（提供说明书或第三方检测报告）</w:t>
            </w:r>
          </w:p>
          <w:p w14:paraId="23971E6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7、床体直立角度：0～80°符合，允差±5°。</w:t>
            </w:r>
          </w:p>
          <w:p w14:paraId="64397EB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8、腿长可调节：伸缩范围：0～150mm以上；</w:t>
            </w:r>
          </w:p>
          <w:p w14:paraId="0DAF502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9、痉挛灵敏度：调节值为20Nm～50Nm，允差±10Nm。</w:t>
            </w:r>
          </w:p>
          <w:p w14:paraId="5AF9E53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10、治疗时间：1-99min可调；痉挛休息时间：3～120s可调。（提供说明书或第三方检测报告）</w:t>
            </w:r>
          </w:p>
          <w:p w14:paraId="17457CF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11、阻力等级设定范围：1～20级；</w:t>
            </w:r>
          </w:p>
          <w:p w14:paraId="652349C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12、可测量左右侧足底压力，测量范围：0-40Kg，两侧分别显示；</w:t>
            </w:r>
          </w:p>
          <w:p w14:paraId="425D0FF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13、设备承载：100Kg以上</w:t>
            </w:r>
          </w:p>
          <w:p w14:paraId="6391B02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14、设备床体双侧需配置扶手并带有专用扶手固定带，扶手可进行上下位置调节，方便患者上机；</w:t>
            </w:r>
          </w:p>
          <w:p w14:paraId="6C8E484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15、需具有下肢活动范围评估功能：可提前评估患者的运动范围，并自动应用到康复训练中；</w:t>
            </w:r>
          </w:p>
          <w:p w14:paraId="050EB83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16、需具有步态显示，步态分析可实时曲线展示患者的足底压力变化情况；</w:t>
            </w:r>
          </w:p>
          <w:p w14:paraId="72E15D2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17、需具有两侧下肢僵硬度评估，评估训练前和训练后的下肢僵硬度，并体现在训练报告中；</w:t>
            </w:r>
          </w:p>
          <w:p w14:paraId="53259DB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18、具有痉挛保护功能，发生痉挛后反向回至初始位置，原地休息后自动重启训练 ；</w:t>
            </w:r>
          </w:p>
          <w:p w14:paraId="5A970CF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19、设备需配有速度降低值设置功能，每当痉挛解除时可自动降低步行速度，调节范围0～15步/分钟，允差±5步；</w:t>
            </w:r>
          </w:p>
          <w:p w14:paraId="7858350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20、需具有安全保护装置：具有紧急制动按钮；</w:t>
            </w:r>
          </w:p>
          <w:p w14:paraId="03F432D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21、设备软件需配有多种动画，并可自定义添加，训练过程可播放动画，可进一步促进患者认知功能恢复，提高训练的趣味性；</w:t>
            </w:r>
          </w:p>
          <w:p w14:paraId="6B8919C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22、设备需具有患者档案数据和治疗信息存储和查看功能，训练后可自动生成训练信息报告，信息查询可支持编号查询、用户名查询等快捷查询功能。</w:t>
            </w:r>
          </w:p>
          <w:p w14:paraId="0260CAA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23、需具有默认参数设置功能，可更改设备的默认参数，包括训练时长，痉挛等级等，减少每次上机重复设置参数的繁琐步骤；</w:t>
            </w:r>
          </w:p>
          <w:p w14:paraId="0BBB65F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24、可设置账户及安全密码，保护信息安全。</w:t>
            </w:r>
          </w:p>
          <w:p w14:paraId="43F0639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25、配备医务人员操作面板：18.5寸彩色互动面板操作；</w:t>
            </w:r>
          </w:p>
          <w:p w14:paraId="4384961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color w:val="auto"/>
                <w:sz w:val="24"/>
                <w:szCs w:val="24"/>
                <w:highlight w:val="none"/>
                <w:u w:val="none"/>
                <w:shd w:val="clear" w:color="auto" w:fill="FFFFFF"/>
                <w:vertAlign w:val="baseline"/>
                <w:lang w:val="en-US" w:eastAsia="zh-CN"/>
              </w:rPr>
            </w:pPr>
            <w:r>
              <w:rPr>
                <w:rFonts w:hint="eastAsia" w:ascii="新宋体" w:hAnsi="新宋体" w:eastAsia="新宋体" w:cs="新宋体"/>
                <w:b/>
                <w:bCs w:val="0"/>
                <w:color w:val="auto"/>
                <w:sz w:val="24"/>
                <w:szCs w:val="24"/>
                <w:highlight w:val="none"/>
                <w:u w:val="none"/>
                <w:shd w:val="clear" w:color="auto" w:fill="FFFFFF"/>
                <w:vertAlign w:val="baseline"/>
                <w:lang w:val="en-US" w:eastAsia="zh-CN"/>
              </w:rPr>
              <w:t>26、具有医疗器械注册证。</w:t>
            </w:r>
          </w:p>
          <w:p w14:paraId="280FBF4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bCs/>
                <w:color w:val="auto"/>
                <w:sz w:val="24"/>
                <w:szCs w:val="24"/>
                <w:highlight w:val="none"/>
                <w:u w:val="none"/>
                <w:shd w:val="clear" w:color="auto" w:fill="FFFFFF"/>
                <w:vertAlign w:val="baseline"/>
                <w:lang w:val="en-US" w:eastAsia="zh-CN"/>
              </w:rPr>
              <w:t>27、配备定制收纳工具2个</w:t>
            </w:r>
            <w:r>
              <w:rPr>
                <w:rFonts w:hint="eastAsia" w:ascii="新宋体" w:hAnsi="新宋体" w:eastAsia="新宋体" w:cs="新宋体"/>
                <w:b/>
                <w:bCs/>
                <w:color w:val="auto"/>
                <w:sz w:val="24"/>
                <w:szCs w:val="24"/>
                <w:highlight w:val="none"/>
                <w:shd w:val="clear" w:color="auto" w:fill="FFFFFF"/>
                <w:vertAlign w:val="baseline"/>
                <w:lang w:val="en-US" w:eastAsia="zh-CN"/>
              </w:rPr>
              <w:t>，</w:t>
            </w:r>
          </w:p>
          <w:p w14:paraId="3A5E2FB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规格：（长*宽*高）85（±10%）*40（±10%）*200（±10%）cm，实木柜原木色，带门。</w:t>
            </w:r>
          </w:p>
          <w:p w14:paraId="094BCF6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二、技术参数：</w:t>
            </w:r>
          </w:p>
          <w:p w14:paraId="37878AB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1、电源电压：AC220V±22V，电源频率：50Hz±1Hz；</w:t>
            </w:r>
          </w:p>
          <w:p w14:paraId="565372A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2、运行平台：</w:t>
            </w:r>
          </w:p>
          <w:p w14:paraId="5352E9A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1）CPU：十代I5或以上</w:t>
            </w:r>
          </w:p>
          <w:p w14:paraId="205C708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2) 内存：8 GB或以上</w:t>
            </w:r>
          </w:p>
          <w:p w14:paraId="20EAA16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3) 硬盘：256GB固态硬盘或以上</w:t>
            </w:r>
          </w:p>
          <w:p w14:paraId="56BDE81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4) 显卡：独立显卡GT1030或以上</w:t>
            </w:r>
          </w:p>
          <w:p w14:paraId="3848BE0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5) 操作系统支持多个系统</w:t>
            </w:r>
          </w:p>
        </w:tc>
      </w:tr>
      <w:tr w14:paraId="1CD8E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9" w:type="dxa"/>
            <w:vAlign w:val="center"/>
          </w:tcPr>
          <w:p w14:paraId="2A612ED1">
            <w:pPr>
              <w:keepNext w:val="0"/>
              <w:keepLines w:val="0"/>
              <w:pageBreakBefore w:val="0"/>
              <w:widowControl/>
              <w:numPr>
                <w:ilvl w:val="0"/>
                <w:numId w:val="2"/>
              </w:numPr>
              <w:suppressLineNumbers w:val="0"/>
              <w:kinsoku/>
              <w:wordWrap/>
              <w:overflowPunct/>
              <w:topLinePunct w:val="0"/>
              <w:autoSpaceDE/>
              <w:autoSpaceDN/>
              <w:bidi w:val="0"/>
              <w:adjustRightInd/>
              <w:snapToGrid/>
              <w:spacing w:line="460" w:lineRule="exact"/>
              <w:ind w:left="425" w:leftChars="0" w:hanging="425" w:firstLineChars="0"/>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660" w:type="dxa"/>
            <w:vMerge w:val="continue"/>
            <w:vAlign w:val="center"/>
          </w:tcPr>
          <w:p w14:paraId="43EC191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1610" w:type="dxa"/>
            <w:vAlign w:val="center"/>
          </w:tcPr>
          <w:p w14:paraId="1077799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儿童平衡功能评估与训练系统</w:t>
            </w:r>
          </w:p>
        </w:tc>
        <w:tc>
          <w:tcPr>
            <w:tcW w:w="763" w:type="dxa"/>
            <w:vAlign w:val="center"/>
          </w:tcPr>
          <w:p w14:paraId="58201D1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1套</w:t>
            </w:r>
          </w:p>
        </w:tc>
        <w:tc>
          <w:tcPr>
            <w:tcW w:w="11073" w:type="dxa"/>
            <w:vAlign w:val="center"/>
          </w:tcPr>
          <w:p w14:paraId="61E6C3F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一、系统需具有站立位、坐位姿态下的平衡能力测试评估及训练模式，操作者可以根据患者的具体情况选择不同姿态下的评估或训练。</w:t>
            </w:r>
          </w:p>
          <w:p w14:paraId="1636757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1、必须同时具有平衡评估（双脚站位、单脚站立、坐位）、对比评估（视觉影响度、本体依赖度）。（提供说明书或第三方检测报告）</w:t>
            </w:r>
          </w:p>
          <w:p w14:paraId="3D9F78D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2、系统需具有平衡重心稳定测试模式，测试患者在睁眼和闭眼状态下实时分析反馈平衡能力及重心的变化，数据直观。</w:t>
            </w:r>
          </w:p>
          <w:p w14:paraId="1561CB1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3、系统需具有单侧姿态测试模式，检测患者单腿站立的稳定情况，分析患者在睁眼和闭眼二种情况下双侧肢体稳定能力和与前庭系统的关系。</w:t>
            </w:r>
          </w:p>
          <w:p w14:paraId="3761F18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4、平衡训练方案必须包括站位、坐位和单侧负重训练，提供多种情景互动游戏，运动方向、范围及训练难易程度可设置选择。（提供说明书或第三方检测报告）</w:t>
            </w:r>
          </w:p>
          <w:p w14:paraId="71DBDC4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5、须具有四种及以上游戏训练。</w:t>
            </w:r>
          </w:p>
          <w:p w14:paraId="0BD6537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 xml:space="preserve">6、须具有三种及以上平衡训练档次。 </w:t>
            </w:r>
          </w:p>
          <w:p w14:paraId="419D990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7、需有四种及以上平衡训练方向。</w:t>
            </w:r>
          </w:p>
          <w:p w14:paraId="73D82E5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8、评估及训练结束后系统能自动生成报告。</w:t>
            </w:r>
          </w:p>
          <w:p w14:paraId="57DA180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二、产品组成：</w:t>
            </w:r>
          </w:p>
          <w:p w14:paraId="06E2D89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外观：40寸以上互动面板。</w:t>
            </w:r>
          </w:p>
          <w:p w14:paraId="29C16D7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组成：直立式检测装置、直坐式检测装置、手压式检测装置、液晶面板、定制机箱、液晶面板支架、平衡检测及训练软件组成。</w:t>
            </w:r>
          </w:p>
          <w:p w14:paraId="2693E1E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三、正常工作条件</w:t>
            </w:r>
          </w:p>
          <w:p w14:paraId="64B0564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1、环境温度：+10 ℃～+35 ℃；</w:t>
            </w:r>
          </w:p>
          <w:p w14:paraId="6CBADB0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2、相对湿度：35%～80%；</w:t>
            </w:r>
          </w:p>
          <w:p w14:paraId="59BFEC6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3、大气压力: 860 hPa～1060 hPa；</w:t>
            </w:r>
          </w:p>
          <w:p w14:paraId="0C3225D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4、电源电压：AC220 V±22 V，电源频率：50 Hz±1 Hz。</w:t>
            </w:r>
          </w:p>
          <w:p w14:paraId="0372854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5、I3及以上处理器2G内存20G硬盘</w:t>
            </w:r>
          </w:p>
          <w:p w14:paraId="5D47A0C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6、液晶面板 ：1366×768以上分辨率。</w:t>
            </w:r>
          </w:p>
          <w:p w14:paraId="05598C6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四、主要技术指标和参数</w:t>
            </w:r>
          </w:p>
          <w:p w14:paraId="3740245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1、采样频率：10-20Hz</w:t>
            </w:r>
          </w:p>
          <w:p w14:paraId="5F85854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2、承载质量：150kg以上；</w:t>
            </w:r>
          </w:p>
          <w:p w14:paraId="2FF7765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3、输入功率：250VA以下。</w:t>
            </w:r>
          </w:p>
          <w:p w14:paraId="62470EB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4、测试范围:手位：1~20kg；坐位：5~150kg；直立位：5~150kg，允差±10%。</w:t>
            </w:r>
          </w:p>
          <w:p w14:paraId="544F1A3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bCs/>
                <w:color w:val="auto"/>
                <w:sz w:val="24"/>
                <w:szCs w:val="24"/>
                <w:highlight w:val="none"/>
                <w:u w:val="none"/>
                <w:shd w:val="clear" w:color="auto" w:fill="FFFFFF"/>
                <w:vertAlign w:val="baseline"/>
                <w:lang w:val="en-US" w:eastAsia="zh-CN"/>
              </w:rPr>
              <w:t>五、配备定制收纳工具2个，</w:t>
            </w:r>
          </w:p>
          <w:p w14:paraId="5FB9653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规格一：（长*宽*高）85（±10%）*40（±10%）*200（±10%）cm，实木柜原木色，带门。</w:t>
            </w:r>
          </w:p>
          <w:p w14:paraId="531595C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规格二：（长*宽*高）150（±10%）*40（±10%）*85（±10%）cm，实木柜原木色，带门，三开门</w:t>
            </w:r>
          </w:p>
          <w:p w14:paraId="22F595C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bCs/>
                <w:color w:val="auto"/>
                <w:sz w:val="24"/>
                <w:szCs w:val="24"/>
                <w:highlight w:val="none"/>
                <w:u w:val="none"/>
                <w:shd w:val="clear" w:color="auto" w:fill="FFFFFF"/>
                <w:vertAlign w:val="baseline"/>
                <w:lang w:val="en-US" w:eastAsia="zh-CN"/>
              </w:rPr>
              <w:t>六、具有医疗器械注册证。</w:t>
            </w:r>
          </w:p>
          <w:p w14:paraId="54A29F7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七、配备其他物件：</w:t>
            </w:r>
          </w:p>
          <w:p w14:paraId="62A8F52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bCs/>
                <w:color w:val="auto"/>
                <w:sz w:val="24"/>
                <w:szCs w:val="24"/>
                <w:highlight w:val="none"/>
                <w:u w:val="none"/>
                <w:shd w:val="clear" w:color="auto" w:fill="FFFFFF"/>
                <w:vertAlign w:val="baseline"/>
                <w:lang w:val="en-US" w:eastAsia="zh-CN"/>
              </w:rPr>
              <w:t>1、分指板3个（大、中、小各一）</w:t>
            </w:r>
            <w:r>
              <w:rPr>
                <w:rFonts w:hint="eastAsia" w:ascii="新宋体" w:hAnsi="新宋体" w:eastAsia="新宋体" w:cs="新宋体"/>
                <w:b w:val="0"/>
                <w:bCs w:val="0"/>
                <w:color w:val="auto"/>
                <w:sz w:val="22"/>
                <w:szCs w:val="22"/>
                <w:highlight w:val="none"/>
                <w:u w:val="none"/>
                <w:shd w:val="clear" w:color="auto" w:fill="FFFFFF"/>
                <w:vertAlign w:val="baseline"/>
                <w:lang w:val="en-US" w:eastAsia="zh-CN"/>
              </w:rPr>
              <w:t>，</w:t>
            </w:r>
          </w:p>
          <w:p w14:paraId="7EEACD0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功能：防止和矫正手指屈肌痉挛或挛缩畸形。材质：木质，颜色：木板色，规格：大22×22×3cm, 指板间距 26mm，中 20×20×2.7cm, 指板间距 22.5mm  小 19×19×2.3cm,，指板间距 16mm；</w:t>
            </w:r>
          </w:p>
          <w:p w14:paraId="6758BB2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bCs/>
                <w:color w:val="auto"/>
                <w:sz w:val="24"/>
                <w:szCs w:val="24"/>
                <w:highlight w:val="none"/>
                <w:u w:val="none"/>
                <w:shd w:val="clear" w:color="auto" w:fill="FFFFFF"/>
                <w:vertAlign w:val="baseline"/>
                <w:lang w:val="en-US" w:eastAsia="zh-CN"/>
              </w:rPr>
              <w:t>2、花生球2个（大、小型号各一）</w:t>
            </w:r>
            <w:r>
              <w:rPr>
                <w:rFonts w:hint="eastAsia" w:ascii="新宋体" w:hAnsi="新宋体" w:eastAsia="新宋体" w:cs="新宋体"/>
                <w:b w:val="0"/>
                <w:bCs w:val="0"/>
                <w:color w:val="auto"/>
                <w:sz w:val="22"/>
                <w:szCs w:val="22"/>
                <w:highlight w:val="none"/>
                <w:shd w:val="clear" w:color="auto" w:fill="FFFFFF"/>
                <w:vertAlign w:val="baseline"/>
                <w:lang w:val="en-US" w:eastAsia="zh-CN"/>
              </w:rPr>
              <w:t>，</w:t>
            </w:r>
          </w:p>
          <w:p w14:paraId="0E11314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功能：用于脑瘫患儿的平衡感觉、反射调节、缓解肌痉挛的训练。颜色：黄色、红色、绿色、蓝色，材质：环保PVC，规格：直径≥660mm 。</w:t>
            </w:r>
          </w:p>
        </w:tc>
      </w:tr>
      <w:tr w14:paraId="0588B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9" w:type="dxa"/>
            <w:vAlign w:val="center"/>
          </w:tcPr>
          <w:p w14:paraId="41A83547">
            <w:pPr>
              <w:keepNext w:val="0"/>
              <w:keepLines w:val="0"/>
              <w:pageBreakBefore w:val="0"/>
              <w:widowControl/>
              <w:numPr>
                <w:ilvl w:val="0"/>
                <w:numId w:val="2"/>
              </w:numPr>
              <w:suppressLineNumbers w:val="0"/>
              <w:kinsoku/>
              <w:wordWrap/>
              <w:overflowPunct/>
              <w:topLinePunct w:val="0"/>
              <w:autoSpaceDE/>
              <w:autoSpaceDN/>
              <w:bidi w:val="0"/>
              <w:adjustRightInd/>
              <w:snapToGrid/>
              <w:spacing w:line="460" w:lineRule="exact"/>
              <w:ind w:left="425" w:leftChars="0" w:hanging="425" w:firstLineChars="0"/>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660" w:type="dxa"/>
            <w:vMerge w:val="continue"/>
            <w:vAlign w:val="center"/>
          </w:tcPr>
          <w:p w14:paraId="183BF8C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1610" w:type="dxa"/>
            <w:vAlign w:val="center"/>
          </w:tcPr>
          <w:p w14:paraId="3AF0A6D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电动起立床</w:t>
            </w:r>
          </w:p>
        </w:tc>
        <w:tc>
          <w:tcPr>
            <w:tcW w:w="763" w:type="dxa"/>
            <w:vAlign w:val="center"/>
          </w:tcPr>
          <w:p w14:paraId="4DC5D13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1张</w:t>
            </w:r>
          </w:p>
        </w:tc>
        <w:tc>
          <w:tcPr>
            <w:tcW w:w="11073" w:type="dxa"/>
            <w:vAlign w:val="center"/>
          </w:tcPr>
          <w:p w14:paraId="2F0AA6F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一、功能：适用于脑卒中引起的下肢功能障碍患者康复站立辅助训练。</w:t>
            </w:r>
          </w:p>
          <w:p w14:paraId="412D98F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1、床面尺寸（长×宽）1500×600mm（尺寸±50mm），</w:t>
            </w:r>
          </w:p>
          <w:p w14:paraId="64C9612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2、脚板 460×300mm（尺寸±50mm），</w:t>
            </w:r>
          </w:p>
          <w:p w14:paraId="781057B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3、带宽 100mm（尺寸±50mm），</w:t>
            </w:r>
          </w:p>
          <w:p w14:paraId="52D675F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4、床面最低高度 550mm（尺寸±50mm），</w:t>
            </w:r>
          </w:p>
          <w:p w14:paraId="0849136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5、安全工作载荷： ≥170kg。</w:t>
            </w:r>
          </w:p>
          <w:p w14:paraId="2460A82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6、床面可调节角度范围 ：0～85°</w:t>
            </w:r>
          </w:p>
          <w:p w14:paraId="2FE3845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7、产品正常使用条件</w:t>
            </w:r>
          </w:p>
          <w:p w14:paraId="70D6C5B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1)环境温度：+5℃ ～ +40℃；</w:t>
            </w:r>
          </w:p>
          <w:p w14:paraId="35E323C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2)相对湿度：20% ～ 80%（非冷凝）；</w:t>
            </w:r>
          </w:p>
          <w:p w14:paraId="4383D39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3)大气压：70 ～ 106kPa；</w:t>
            </w:r>
          </w:p>
          <w:p w14:paraId="605F3A2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4)电源频率：50Hz±1Hz，电压：AC220V±10%。</w:t>
            </w:r>
          </w:p>
          <w:p w14:paraId="2782471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二、电动直立床配置：</w:t>
            </w:r>
          </w:p>
          <w:p w14:paraId="614F30E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由脚踏板、绑带、扶手板、床面、床升降架、床架、控制器、升降脚轮。</w:t>
            </w:r>
          </w:p>
          <w:p w14:paraId="754DF79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bCs/>
                <w:color w:val="auto"/>
                <w:sz w:val="24"/>
                <w:szCs w:val="24"/>
                <w:highlight w:val="none"/>
                <w:u w:val="none"/>
                <w:shd w:val="clear" w:color="auto" w:fill="FFFFFF"/>
                <w:vertAlign w:val="baseline"/>
                <w:lang w:val="en-US" w:eastAsia="zh-CN"/>
              </w:rPr>
              <w:t>三、提供具有医疗器械注册证。</w:t>
            </w:r>
          </w:p>
          <w:p w14:paraId="041DAA5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四、需带有急停装置</w:t>
            </w:r>
          </w:p>
          <w:p w14:paraId="6A6C778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五、配备其他物件：</w:t>
            </w:r>
          </w:p>
          <w:p w14:paraId="5F9A200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bCs/>
                <w:color w:val="auto"/>
                <w:sz w:val="24"/>
                <w:szCs w:val="24"/>
                <w:highlight w:val="none"/>
                <w:u w:val="none"/>
                <w:shd w:val="clear" w:color="auto" w:fill="FFFFFF"/>
                <w:vertAlign w:val="baseline"/>
                <w:lang w:val="en-US" w:eastAsia="zh-CN"/>
              </w:rPr>
              <w:t>bobath球2个（大、小型号各一）</w:t>
            </w:r>
            <w:r>
              <w:rPr>
                <w:rFonts w:hint="eastAsia" w:ascii="新宋体" w:hAnsi="新宋体" w:eastAsia="新宋体" w:cs="新宋体"/>
                <w:b w:val="0"/>
                <w:bCs w:val="0"/>
                <w:color w:val="auto"/>
                <w:sz w:val="22"/>
                <w:szCs w:val="22"/>
                <w:highlight w:val="none"/>
                <w:shd w:val="clear" w:color="auto" w:fill="FFFFFF"/>
                <w:vertAlign w:val="baseline"/>
                <w:lang w:val="en-US" w:eastAsia="zh-CN"/>
              </w:rPr>
              <w:t>：</w:t>
            </w:r>
          </w:p>
          <w:p w14:paraId="25D5CBF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功能：用于脑瘫患儿的缓解肌痉挛、进行平衡能力、反射调节能力训练。材质：环保PVC，颜色：黄色、红色、绿色、蓝色，规格：直径≥940mm；</w:t>
            </w:r>
          </w:p>
        </w:tc>
      </w:tr>
      <w:tr w14:paraId="4133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9" w:type="dxa"/>
            <w:vAlign w:val="center"/>
          </w:tcPr>
          <w:p w14:paraId="135B380E">
            <w:pPr>
              <w:keepNext w:val="0"/>
              <w:keepLines w:val="0"/>
              <w:pageBreakBefore w:val="0"/>
              <w:widowControl/>
              <w:numPr>
                <w:ilvl w:val="0"/>
                <w:numId w:val="2"/>
              </w:numPr>
              <w:suppressLineNumbers w:val="0"/>
              <w:kinsoku/>
              <w:wordWrap/>
              <w:overflowPunct/>
              <w:topLinePunct w:val="0"/>
              <w:autoSpaceDE/>
              <w:autoSpaceDN/>
              <w:bidi w:val="0"/>
              <w:adjustRightInd/>
              <w:snapToGrid/>
              <w:spacing w:line="460" w:lineRule="exact"/>
              <w:ind w:left="425" w:leftChars="0" w:hanging="425" w:firstLineChars="0"/>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660" w:type="dxa"/>
            <w:vMerge w:val="continue"/>
            <w:vAlign w:val="center"/>
          </w:tcPr>
          <w:p w14:paraId="086FC3E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1610" w:type="dxa"/>
            <w:vAlign w:val="center"/>
          </w:tcPr>
          <w:p w14:paraId="47849A7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踝关节训练器</w:t>
            </w:r>
          </w:p>
        </w:tc>
        <w:tc>
          <w:tcPr>
            <w:tcW w:w="763" w:type="dxa"/>
            <w:vAlign w:val="center"/>
          </w:tcPr>
          <w:p w14:paraId="51B16FF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1台</w:t>
            </w:r>
          </w:p>
        </w:tc>
        <w:tc>
          <w:tcPr>
            <w:tcW w:w="11073" w:type="dxa"/>
            <w:vAlign w:val="center"/>
          </w:tcPr>
          <w:p w14:paraId="53636CD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一、功能：适用于对关节功能障碍患者进行康复训练。</w:t>
            </w:r>
          </w:p>
          <w:p w14:paraId="08A3020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二、主要技术指标和参数</w:t>
            </w:r>
          </w:p>
          <w:p w14:paraId="3CF0D1E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1、外形尺寸（（长×宽×高）（长不含脚踏）：860mm×540mm×680mm）</w:t>
            </w:r>
          </w:p>
          <w:p w14:paraId="6B1DABD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2、座位高度：340mm</w:t>
            </w:r>
          </w:p>
          <w:p w14:paraId="2E626D7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3、座面宽度：400mm</w:t>
            </w:r>
          </w:p>
          <w:p w14:paraId="16010CF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4、座垫前后可调距离：140mm</w:t>
            </w:r>
          </w:p>
          <w:p w14:paraId="29E0462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5、脚踏板调节角度：85°</w:t>
            </w:r>
          </w:p>
          <w:p w14:paraId="31117BF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6、座位垫额定承载：1200N</w:t>
            </w:r>
          </w:p>
          <w:p w14:paraId="2738750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color w:val="auto"/>
                <w:sz w:val="22"/>
                <w:szCs w:val="22"/>
                <w:highlight w:val="none"/>
                <w:shd w:val="clear" w:color="auto" w:fill="FFFFFF"/>
                <w:vertAlign w:val="baseline"/>
                <w:lang w:val="en-US" w:eastAsia="zh-CN"/>
              </w:rPr>
              <w:t>7、靠背垫额定承载：750N</w:t>
            </w:r>
          </w:p>
        </w:tc>
      </w:tr>
      <w:tr w14:paraId="5A6A8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9" w:type="dxa"/>
            <w:vAlign w:val="center"/>
          </w:tcPr>
          <w:p w14:paraId="3F0D89BA">
            <w:pPr>
              <w:keepNext w:val="0"/>
              <w:keepLines w:val="0"/>
              <w:pageBreakBefore w:val="0"/>
              <w:widowControl/>
              <w:numPr>
                <w:ilvl w:val="0"/>
                <w:numId w:val="2"/>
              </w:numPr>
              <w:suppressLineNumbers w:val="0"/>
              <w:kinsoku/>
              <w:wordWrap/>
              <w:overflowPunct/>
              <w:topLinePunct w:val="0"/>
              <w:autoSpaceDE/>
              <w:autoSpaceDN/>
              <w:bidi w:val="0"/>
              <w:adjustRightInd/>
              <w:snapToGrid/>
              <w:spacing w:line="460" w:lineRule="exact"/>
              <w:ind w:left="425" w:leftChars="0" w:hanging="425" w:firstLineChars="0"/>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660" w:type="dxa"/>
            <w:vMerge w:val="continue"/>
            <w:vAlign w:val="center"/>
          </w:tcPr>
          <w:p w14:paraId="423AF0E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1610" w:type="dxa"/>
            <w:vAlign w:val="center"/>
          </w:tcPr>
          <w:p w14:paraId="39DDC68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髋关节训练器</w:t>
            </w:r>
          </w:p>
        </w:tc>
        <w:tc>
          <w:tcPr>
            <w:tcW w:w="763" w:type="dxa"/>
            <w:vAlign w:val="center"/>
          </w:tcPr>
          <w:p w14:paraId="3472A90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1台</w:t>
            </w:r>
          </w:p>
        </w:tc>
        <w:tc>
          <w:tcPr>
            <w:tcW w:w="11073" w:type="dxa"/>
            <w:vAlign w:val="center"/>
          </w:tcPr>
          <w:p w14:paraId="29660F1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一、功能：髋关节外展内收肌力训练。</w:t>
            </w:r>
          </w:p>
          <w:p w14:paraId="5870BA8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二、主要技术指标和参数</w:t>
            </w:r>
          </w:p>
          <w:p w14:paraId="68C212D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1、外形尺寸（长×宽×高）：870mm×590mm×700mm</w:t>
            </w:r>
          </w:p>
          <w:p w14:paraId="171E92A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2、座位高：400mm</w:t>
            </w:r>
          </w:p>
          <w:p w14:paraId="1C7A20A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3、座位宽：400mm</w:t>
            </w:r>
          </w:p>
          <w:p w14:paraId="5C25EE4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4、下肢支架长度：400mm</w:t>
            </w:r>
          </w:p>
          <w:p w14:paraId="600078D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5、下肢支架展角：≥45°</w:t>
            </w:r>
          </w:p>
          <w:p w14:paraId="2DFFD99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6、座位垫额定承载：1200N</w:t>
            </w:r>
          </w:p>
          <w:p w14:paraId="0A59A67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color w:val="auto"/>
                <w:sz w:val="22"/>
                <w:szCs w:val="22"/>
                <w:highlight w:val="none"/>
                <w:shd w:val="clear" w:color="auto" w:fill="FFFFFF"/>
                <w:vertAlign w:val="baseline"/>
                <w:lang w:val="en-US" w:eastAsia="zh-CN"/>
              </w:rPr>
            </w:pPr>
            <w:r>
              <w:rPr>
                <w:rFonts w:hint="eastAsia" w:ascii="新宋体" w:hAnsi="新宋体" w:eastAsia="新宋体" w:cs="新宋体"/>
                <w:b w:val="0"/>
                <w:bCs w:val="0"/>
                <w:i w:val="0"/>
                <w:iCs w:val="0"/>
                <w:color w:val="auto"/>
                <w:kern w:val="0"/>
                <w:sz w:val="22"/>
                <w:szCs w:val="22"/>
                <w:highlight w:val="none"/>
                <w:u w:val="none"/>
                <w:lang w:val="en-US" w:eastAsia="zh-CN" w:bidi="ar"/>
              </w:rPr>
              <w:t>7、靠背垫额定承载：750N</w:t>
            </w:r>
          </w:p>
        </w:tc>
      </w:tr>
      <w:tr w14:paraId="2569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9" w:type="dxa"/>
            <w:vAlign w:val="center"/>
          </w:tcPr>
          <w:p w14:paraId="4A56EE6B">
            <w:pPr>
              <w:keepNext w:val="0"/>
              <w:keepLines w:val="0"/>
              <w:pageBreakBefore w:val="0"/>
              <w:widowControl/>
              <w:numPr>
                <w:ilvl w:val="0"/>
                <w:numId w:val="2"/>
              </w:numPr>
              <w:suppressLineNumbers w:val="0"/>
              <w:kinsoku/>
              <w:wordWrap/>
              <w:overflowPunct/>
              <w:topLinePunct w:val="0"/>
              <w:autoSpaceDE/>
              <w:autoSpaceDN/>
              <w:bidi w:val="0"/>
              <w:adjustRightInd/>
              <w:snapToGrid/>
              <w:spacing w:line="460" w:lineRule="exact"/>
              <w:ind w:left="425" w:leftChars="0" w:hanging="425" w:firstLineChars="0"/>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660" w:type="dxa"/>
            <w:vMerge w:val="continue"/>
            <w:vAlign w:val="center"/>
          </w:tcPr>
          <w:p w14:paraId="2B87377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1610" w:type="dxa"/>
            <w:vAlign w:val="center"/>
          </w:tcPr>
          <w:p w14:paraId="0ED7CE7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股四头肌训练椅</w:t>
            </w:r>
          </w:p>
        </w:tc>
        <w:tc>
          <w:tcPr>
            <w:tcW w:w="763" w:type="dxa"/>
            <w:vAlign w:val="center"/>
          </w:tcPr>
          <w:p w14:paraId="39A940E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1台</w:t>
            </w:r>
          </w:p>
        </w:tc>
        <w:tc>
          <w:tcPr>
            <w:tcW w:w="11073" w:type="dxa"/>
            <w:vAlign w:val="center"/>
          </w:tcPr>
          <w:p w14:paraId="72C37E1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一、功能：增强下肢肌力。</w:t>
            </w:r>
          </w:p>
          <w:p w14:paraId="011EB8E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二、技术参数：</w:t>
            </w:r>
          </w:p>
          <w:p w14:paraId="31AA5B3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训练椅由椅架、椅座、靠背、升降支架、配重支架、小腿支架、小腿托、配重块等组成。</w:t>
            </w:r>
          </w:p>
          <w:p w14:paraId="17DABC9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1、外形尺寸:910mm×750mm×990mm，允差±20mm；</w:t>
            </w:r>
          </w:p>
          <w:p w14:paraId="469C06E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2、座椅高度：480mm，允差±20mm；</w:t>
            </w:r>
          </w:p>
          <w:p w14:paraId="6837406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3、扶手内侧宽度：500mm，允差±20mm；</w:t>
            </w:r>
          </w:p>
          <w:p w14:paraId="6CB4222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4、升降支架调节范围：0～100mm，允差±20mm；</w:t>
            </w:r>
          </w:p>
          <w:p w14:paraId="3FDFFDB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5、小腿垫调节范围：0～300mm，允差±20mm；</w:t>
            </w:r>
          </w:p>
          <w:p w14:paraId="3D9181C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6、助力手柄调节范围：0～150mm，允差±20mm；</w:t>
            </w:r>
          </w:p>
          <w:p w14:paraId="002A136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7、小腿支架摆动角度：≥120°，允差±2°</w:t>
            </w:r>
          </w:p>
          <w:p w14:paraId="37590DC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8、靠背调节角度：97°、135°、165°，允差±2°</w:t>
            </w:r>
          </w:p>
          <w:p w14:paraId="31A9561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9、靠背及支撑板角度调节方式：手动调节</w:t>
            </w:r>
          </w:p>
          <w:p w14:paraId="389264E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10、配重块质量：7.2kg</w:t>
            </w:r>
          </w:p>
          <w:p w14:paraId="7B3EEF0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11、配重块数量 ：4块</w:t>
            </w:r>
          </w:p>
        </w:tc>
      </w:tr>
      <w:tr w14:paraId="78E80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9" w:type="dxa"/>
            <w:vAlign w:val="center"/>
          </w:tcPr>
          <w:p w14:paraId="0707F339">
            <w:pPr>
              <w:keepNext w:val="0"/>
              <w:keepLines w:val="0"/>
              <w:pageBreakBefore w:val="0"/>
              <w:widowControl/>
              <w:numPr>
                <w:ilvl w:val="0"/>
                <w:numId w:val="2"/>
              </w:numPr>
              <w:suppressLineNumbers w:val="0"/>
              <w:kinsoku/>
              <w:wordWrap/>
              <w:overflowPunct/>
              <w:topLinePunct w:val="0"/>
              <w:autoSpaceDE/>
              <w:autoSpaceDN/>
              <w:bidi w:val="0"/>
              <w:adjustRightInd/>
              <w:snapToGrid/>
              <w:spacing w:line="460" w:lineRule="exact"/>
              <w:ind w:left="425" w:leftChars="0" w:hanging="425" w:firstLineChars="0"/>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660" w:type="dxa"/>
            <w:vMerge w:val="continue"/>
            <w:vAlign w:val="center"/>
          </w:tcPr>
          <w:p w14:paraId="1C2409C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1610" w:type="dxa"/>
            <w:vAlign w:val="center"/>
          </w:tcPr>
          <w:p w14:paraId="6DF5EC7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pt凳</w:t>
            </w:r>
          </w:p>
        </w:tc>
        <w:tc>
          <w:tcPr>
            <w:tcW w:w="763" w:type="dxa"/>
            <w:vAlign w:val="center"/>
          </w:tcPr>
          <w:p w14:paraId="7165E7D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10张</w:t>
            </w:r>
          </w:p>
        </w:tc>
        <w:tc>
          <w:tcPr>
            <w:tcW w:w="11073" w:type="dxa"/>
            <w:vAlign w:val="center"/>
          </w:tcPr>
          <w:p w14:paraId="3198916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一、保护脊椎，激活核心，久坐不伤腰。</w:t>
            </w:r>
          </w:p>
          <w:p w14:paraId="55B6C31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二、主要技术指标和参数</w:t>
            </w:r>
          </w:p>
          <w:p w14:paraId="57708EA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1、外形尺寸（直径×高）：600mm×（420～560）mm</w:t>
            </w:r>
          </w:p>
          <w:p w14:paraId="5B8DD28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2、带液压油缸，360°旋转</w:t>
            </w:r>
          </w:p>
          <w:p w14:paraId="7F8E6A6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3、额定承载：2000N</w:t>
            </w:r>
          </w:p>
        </w:tc>
      </w:tr>
      <w:tr w14:paraId="4B8D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9" w:type="dxa"/>
            <w:vAlign w:val="center"/>
          </w:tcPr>
          <w:p w14:paraId="5C27A313">
            <w:pPr>
              <w:keepNext w:val="0"/>
              <w:keepLines w:val="0"/>
              <w:pageBreakBefore w:val="0"/>
              <w:widowControl/>
              <w:numPr>
                <w:ilvl w:val="0"/>
                <w:numId w:val="2"/>
              </w:numPr>
              <w:suppressLineNumbers w:val="0"/>
              <w:kinsoku/>
              <w:wordWrap/>
              <w:overflowPunct/>
              <w:topLinePunct w:val="0"/>
              <w:autoSpaceDE/>
              <w:autoSpaceDN/>
              <w:bidi w:val="0"/>
              <w:adjustRightInd/>
              <w:snapToGrid/>
              <w:spacing w:line="460" w:lineRule="exact"/>
              <w:ind w:left="425" w:leftChars="0" w:hanging="425" w:firstLineChars="0"/>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660" w:type="dxa"/>
            <w:vMerge w:val="continue"/>
            <w:vAlign w:val="center"/>
          </w:tcPr>
          <w:p w14:paraId="25E4294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1610" w:type="dxa"/>
            <w:vAlign w:val="center"/>
          </w:tcPr>
          <w:p w14:paraId="723F4A3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儿童肋木</w:t>
            </w:r>
          </w:p>
        </w:tc>
        <w:tc>
          <w:tcPr>
            <w:tcW w:w="763" w:type="dxa"/>
            <w:vAlign w:val="center"/>
          </w:tcPr>
          <w:p w14:paraId="09CE1AC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1张</w:t>
            </w:r>
          </w:p>
        </w:tc>
        <w:tc>
          <w:tcPr>
            <w:tcW w:w="11073" w:type="dxa"/>
            <w:vAlign w:val="center"/>
          </w:tcPr>
          <w:p w14:paraId="7823133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一、功能：为受训者提供不同高度的上肢协调性运动训练。</w:t>
            </w:r>
          </w:p>
          <w:p w14:paraId="74E18F7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二、规格：85×52×154cm，肋木杠直径 3.2cm，肋木杠间距离 15cm，额定载荷 80kg。</w:t>
            </w:r>
          </w:p>
          <w:p w14:paraId="64CBB3C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三、借助肋木杠进行上下肢体关节活动范围和肌力训练、坐站立训练、平衡训练、及躯干的牵伸训练</w:t>
            </w:r>
          </w:p>
        </w:tc>
      </w:tr>
      <w:tr w14:paraId="53F17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9" w:type="dxa"/>
            <w:vAlign w:val="center"/>
          </w:tcPr>
          <w:p w14:paraId="5B52E517">
            <w:pPr>
              <w:keepNext w:val="0"/>
              <w:keepLines w:val="0"/>
              <w:pageBreakBefore w:val="0"/>
              <w:widowControl/>
              <w:numPr>
                <w:ilvl w:val="0"/>
                <w:numId w:val="2"/>
              </w:numPr>
              <w:suppressLineNumbers w:val="0"/>
              <w:kinsoku/>
              <w:wordWrap/>
              <w:overflowPunct/>
              <w:topLinePunct w:val="0"/>
              <w:autoSpaceDE/>
              <w:autoSpaceDN/>
              <w:bidi w:val="0"/>
              <w:adjustRightInd/>
              <w:snapToGrid/>
              <w:spacing w:line="460" w:lineRule="exact"/>
              <w:ind w:left="425" w:leftChars="0" w:hanging="425" w:firstLineChars="0"/>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660" w:type="dxa"/>
            <w:vMerge w:val="continue"/>
            <w:vAlign w:val="center"/>
          </w:tcPr>
          <w:p w14:paraId="5BFDB23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1610" w:type="dxa"/>
            <w:vAlign w:val="center"/>
          </w:tcPr>
          <w:p w14:paraId="56B7771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motomed踩车</w:t>
            </w:r>
          </w:p>
        </w:tc>
        <w:tc>
          <w:tcPr>
            <w:tcW w:w="763" w:type="dxa"/>
            <w:vAlign w:val="center"/>
          </w:tcPr>
          <w:p w14:paraId="6481FF2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1台</w:t>
            </w:r>
          </w:p>
        </w:tc>
        <w:tc>
          <w:tcPr>
            <w:tcW w:w="11073" w:type="dxa"/>
            <w:vAlign w:val="center"/>
          </w:tcPr>
          <w:p w14:paraId="3F01024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一、产品组成</w:t>
            </w:r>
          </w:p>
          <w:p w14:paraId="699F146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由液晶互动面板、磁控、上肢训练总成、扶手、旋钮、小腿支架、下肢训练总成、前轮组成。</w:t>
            </w:r>
          </w:p>
          <w:p w14:paraId="573D087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1、能进行被动、助力、主动，三种形式自动转换；其中助力运动需要发现患者残存肌力，协助患者做主动运动，增强其肌力。（提供说明书或第三方检测报告）</w:t>
            </w:r>
          </w:p>
          <w:p w14:paraId="2474D0F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2、需具有六种及以上针对性的训练模式：神经模式、骨科模式、心肺模式、反馈模式、被动模式、游戏模式。（提供说明书或第三方检测报告）</w:t>
            </w:r>
          </w:p>
          <w:p w14:paraId="2CAAD79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3、需具有四种及以上患者训练安全保护功能：痉挛保护、声控保护、靶心率保护、磁控保护。（提供说明书或第三方检测报告）</w:t>
            </w:r>
          </w:p>
          <w:p w14:paraId="5A1C3A4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4、训练时应能显示和设置当前的定时转动方向、痉挛处理、训练速度、训练时间、阻力信息等参数，能显示训练模式、肌力对称性等信息。</w:t>
            </w:r>
          </w:p>
          <w:p w14:paraId="1CBC434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5、运动过程中需显示双侧肌力对称性情况，需具有对称性显示方式≥2种。</w:t>
            </w:r>
          </w:p>
          <w:p w14:paraId="2D50B01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6、下肢训练可以进行上下调节，满足不同年龄身高患者使用。</w:t>
            </w:r>
          </w:p>
          <w:p w14:paraId="545C2C9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7、需具有游戏训练模式。</w:t>
            </w:r>
          </w:p>
          <w:p w14:paraId="7114A66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8、设备需具备自动保护功能和急停保护功能，设备在检测到异常情况 或患者需在意识到突发状况将要发生或已经发生时，第一时间触发急停开关，防止带来二次伤害。</w:t>
            </w:r>
          </w:p>
          <w:p w14:paraId="36F02C6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9、软件可智能识别痉挛，识别到痉挛后，设备会缓慢停止下来然后自动改变运动方向，从而减轻、消除痉挛。</w:t>
            </w:r>
          </w:p>
          <w:p w14:paraId="2C5BC5A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二、主要参数：高度 100 cm 允差±10cm、宽度 55 cm  允差±10cm、深度 55 cm  允差±10cm </w:t>
            </w:r>
          </w:p>
          <w:p w14:paraId="5853B7C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1、交流电 100-240伏</w:t>
            </w:r>
          </w:p>
          <w:p w14:paraId="243DC16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2、上肢训练速度设置范围：0～60r/min</w:t>
            </w:r>
          </w:p>
          <w:p w14:paraId="158A4BE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3、下肢训练速度设置范围：0～60r/min</w:t>
            </w:r>
          </w:p>
          <w:p w14:paraId="0FB8870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4、训练时间设置范围：1～120min</w:t>
            </w:r>
          </w:p>
          <w:p w14:paraId="2811203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5、换向时间设置范围：0～30min</w:t>
            </w:r>
          </w:p>
          <w:p w14:paraId="2A7B50F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6、运动阻力调节级别：≥15个</w:t>
            </w:r>
          </w:p>
          <w:p w14:paraId="463F574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7、痉挛等级：≥3个</w:t>
            </w:r>
          </w:p>
          <w:p w14:paraId="148D419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8、电机动力级别：≥3个</w:t>
            </w:r>
          </w:p>
          <w:p w14:paraId="5AEB62D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三、使用环境要求</w:t>
            </w:r>
          </w:p>
          <w:p w14:paraId="37B8E06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1、温度 5-40度 / 41 -104°F</w:t>
            </w:r>
          </w:p>
          <w:p w14:paraId="25BFF85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2、湿度 15-95%相对湿度，非冷凝</w:t>
            </w:r>
          </w:p>
          <w:p w14:paraId="7500BC0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3、气压 700hPa - 1060hPa</w:t>
            </w:r>
          </w:p>
          <w:p w14:paraId="2E99D45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bCs w:val="0"/>
                <w:i w:val="0"/>
                <w:iCs w:val="0"/>
                <w:color w:val="auto"/>
                <w:kern w:val="0"/>
                <w:sz w:val="24"/>
                <w:szCs w:val="24"/>
                <w:highlight w:val="none"/>
                <w:u w:val="none"/>
                <w:lang w:val="en-US" w:eastAsia="zh-CN" w:bidi="ar"/>
              </w:rPr>
              <w:t>四、具有医疗器械注册证。</w:t>
            </w:r>
          </w:p>
        </w:tc>
      </w:tr>
      <w:tr w14:paraId="2F124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9" w:type="dxa"/>
            <w:vAlign w:val="center"/>
          </w:tcPr>
          <w:p w14:paraId="06D9FB95">
            <w:pPr>
              <w:keepNext w:val="0"/>
              <w:keepLines w:val="0"/>
              <w:pageBreakBefore w:val="0"/>
              <w:widowControl/>
              <w:numPr>
                <w:ilvl w:val="0"/>
                <w:numId w:val="2"/>
              </w:numPr>
              <w:suppressLineNumbers w:val="0"/>
              <w:kinsoku/>
              <w:wordWrap/>
              <w:overflowPunct/>
              <w:topLinePunct w:val="0"/>
              <w:autoSpaceDE/>
              <w:autoSpaceDN/>
              <w:bidi w:val="0"/>
              <w:adjustRightInd/>
              <w:snapToGrid/>
              <w:spacing w:line="460" w:lineRule="exact"/>
              <w:ind w:left="425" w:leftChars="0" w:hanging="425" w:firstLineChars="0"/>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660" w:type="dxa"/>
            <w:vMerge w:val="continue"/>
            <w:vAlign w:val="center"/>
          </w:tcPr>
          <w:p w14:paraId="4CDA446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1610" w:type="dxa"/>
            <w:vAlign w:val="center"/>
          </w:tcPr>
          <w:p w14:paraId="0741149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儿童楔形垫（15度、30度、45度）</w:t>
            </w:r>
          </w:p>
        </w:tc>
        <w:tc>
          <w:tcPr>
            <w:tcW w:w="763" w:type="dxa"/>
            <w:vAlign w:val="center"/>
          </w:tcPr>
          <w:p w14:paraId="33B86B9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3个（各角度各一）</w:t>
            </w:r>
          </w:p>
        </w:tc>
        <w:tc>
          <w:tcPr>
            <w:tcW w:w="11073" w:type="dxa"/>
            <w:vAlign w:val="center"/>
          </w:tcPr>
          <w:p w14:paraId="226D7B3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一、用途：卧位功能、综合基本功能、关节活动度、肌肉松弛训练。 </w:t>
            </w:r>
          </w:p>
          <w:p w14:paraId="26582BA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二、材质：高回弹海绵</w:t>
            </w:r>
          </w:p>
          <w:p w14:paraId="533C6C9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规格：55×51×11cm、55×51×21cm、55×51×24cm（灰、蓝、黄三色可定制）卧位功能、综合基本功能、关节活动度、肌肉松弛训练</w:t>
            </w:r>
          </w:p>
          <w:p w14:paraId="481870D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bCs/>
                <w:i w:val="0"/>
                <w:iCs w:val="0"/>
                <w:color w:val="auto"/>
                <w:kern w:val="0"/>
                <w:sz w:val="24"/>
                <w:szCs w:val="24"/>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三、配备定制收纳架2个，</w:t>
            </w:r>
          </w:p>
          <w:p w14:paraId="0A21CED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1、共四层，主架可单独使用，按需加减层数</w:t>
            </w:r>
          </w:p>
          <w:p w14:paraId="7B4E0B3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2、规格为：120cm*40cm*200cm</w:t>
            </w:r>
          </w:p>
          <w:p w14:paraId="0BC7FDE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3、每层承重250斤以上</w:t>
            </w:r>
          </w:p>
        </w:tc>
      </w:tr>
      <w:tr w14:paraId="5EEB3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9" w:type="dxa"/>
            <w:vAlign w:val="center"/>
          </w:tcPr>
          <w:p w14:paraId="6E797790">
            <w:pPr>
              <w:keepNext w:val="0"/>
              <w:keepLines w:val="0"/>
              <w:pageBreakBefore w:val="0"/>
              <w:widowControl/>
              <w:numPr>
                <w:ilvl w:val="0"/>
                <w:numId w:val="2"/>
              </w:numPr>
              <w:suppressLineNumbers w:val="0"/>
              <w:kinsoku/>
              <w:wordWrap/>
              <w:overflowPunct/>
              <w:topLinePunct w:val="0"/>
              <w:autoSpaceDE/>
              <w:autoSpaceDN/>
              <w:bidi w:val="0"/>
              <w:adjustRightInd/>
              <w:snapToGrid/>
              <w:spacing w:line="460" w:lineRule="exact"/>
              <w:ind w:left="425" w:leftChars="0" w:hanging="425" w:firstLineChars="0"/>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660" w:type="dxa"/>
            <w:vMerge w:val="continue"/>
            <w:vAlign w:val="center"/>
          </w:tcPr>
          <w:p w14:paraId="1F7FBC9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1610" w:type="dxa"/>
            <w:vAlign w:val="center"/>
          </w:tcPr>
          <w:p w14:paraId="5759EC3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（单人）站立架</w:t>
            </w:r>
          </w:p>
        </w:tc>
        <w:tc>
          <w:tcPr>
            <w:tcW w:w="763" w:type="dxa"/>
            <w:vAlign w:val="center"/>
          </w:tcPr>
          <w:p w14:paraId="02196DF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1个</w:t>
            </w:r>
          </w:p>
        </w:tc>
        <w:tc>
          <w:tcPr>
            <w:tcW w:w="11073" w:type="dxa"/>
            <w:vAlign w:val="center"/>
          </w:tcPr>
          <w:p w14:paraId="4500708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一、功能：用于站立功能障碍者进行站立训练</w:t>
            </w:r>
          </w:p>
          <w:p w14:paraId="312126C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二、规格：100（±10%）*90（±10%）*120（±10%）cm</w:t>
            </w:r>
          </w:p>
          <w:p w14:paraId="32E0B37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三、材质：方钢、密度板</w:t>
            </w:r>
          </w:p>
        </w:tc>
      </w:tr>
      <w:tr w14:paraId="270F3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9" w:type="dxa"/>
            <w:vAlign w:val="center"/>
          </w:tcPr>
          <w:p w14:paraId="0CFA921D">
            <w:pPr>
              <w:keepNext w:val="0"/>
              <w:keepLines w:val="0"/>
              <w:pageBreakBefore w:val="0"/>
              <w:widowControl/>
              <w:numPr>
                <w:ilvl w:val="0"/>
                <w:numId w:val="2"/>
              </w:numPr>
              <w:suppressLineNumbers w:val="0"/>
              <w:kinsoku/>
              <w:wordWrap/>
              <w:overflowPunct/>
              <w:topLinePunct w:val="0"/>
              <w:autoSpaceDE/>
              <w:autoSpaceDN/>
              <w:bidi w:val="0"/>
              <w:adjustRightInd/>
              <w:snapToGrid/>
              <w:spacing w:line="460" w:lineRule="exact"/>
              <w:ind w:left="425" w:leftChars="0" w:hanging="425" w:firstLineChars="0"/>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660" w:type="dxa"/>
            <w:vMerge w:val="restart"/>
            <w:vAlign w:val="center"/>
          </w:tcPr>
          <w:p w14:paraId="7245ED3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ST室</w:t>
            </w:r>
          </w:p>
        </w:tc>
        <w:tc>
          <w:tcPr>
            <w:tcW w:w="1610" w:type="dxa"/>
            <w:vAlign w:val="center"/>
          </w:tcPr>
          <w:p w14:paraId="32112C1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言语语言评估与康复系统项目</w:t>
            </w:r>
          </w:p>
        </w:tc>
        <w:tc>
          <w:tcPr>
            <w:tcW w:w="763" w:type="dxa"/>
            <w:vAlign w:val="center"/>
          </w:tcPr>
          <w:p w14:paraId="0F4631F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1套</w:t>
            </w:r>
          </w:p>
        </w:tc>
        <w:tc>
          <w:tcPr>
            <w:tcW w:w="11073" w:type="dxa"/>
            <w:vAlign w:val="center"/>
          </w:tcPr>
          <w:p w14:paraId="555D8D7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一、主要用途：</w:t>
            </w:r>
          </w:p>
          <w:p w14:paraId="1DBD9C0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用于早期语言障碍评估和干预。通过对实时语言信号进行基频、谐波、FFT、LPC、语谱图的检测、处理，为早期语言障碍提供评估诊断信息和康复训练。采用基频实时视听反馈言语发声康复技术，以游戏化的形式展开治疗，关注儿童情绪情感动机状态。适用于发育性语言障碍、发育性语音障碍、孤独症谱系障碍、智力发育障碍。</w:t>
            </w:r>
          </w:p>
          <w:p w14:paraId="72AD25E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二、主要功能：</w:t>
            </w:r>
          </w:p>
          <w:p w14:paraId="40C9921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1、早期语言障碍评估，包含：</w:t>
            </w:r>
          </w:p>
          <w:p w14:paraId="59B506C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1）早期语言能力测量评估：词语理解、句子理解、词语命名、句式仿说；</w:t>
            </w:r>
          </w:p>
          <w:p w14:paraId="3516FBB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2）语言韵律能力测量评估：可开展双音节词时长与基频的测量；具有实时声波（4～40毫秒）、实时基频（60～1200Hz）、实时强度（0～90dB）、实时基频和强度功能选项；</w:t>
            </w:r>
          </w:p>
          <w:p w14:paraId="7004343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2、前语言阶段的咿呀学语训练：通过视听迁移、视听统合进行沟通唤醒训练；通过常见生活主题进行前语言唤醒训练；</w:t>
            </w:r>
          </w:p>
          <w:p w14:paraId="056F36D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3、早期语言阶段的语言理解与表达能力训练（提供说明报告）；采用认识、探索、沟通、认知等方式进行核心词语、词组、句子、短文的干预训练；包括：</w:t>
            </w:r>
          </w:p>
          <w:p w14:paraId="3001D18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1）词语测试与认识、探索、沟通、认知训练，其中词语测试，包括词语理解与表达能力测试；其中词语认识支持启蒙、初级、中级、高级训练，以及应答时限、目标正确率设置；</w:t>
            </w:r>
          </w:p>
          <w:p w14:paraId="0F09A68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2）词组的认识、辅助沟通训练；</w:t>
            </w:r>
          </w:p>
          <w:p w14:paraId="4AF41A5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3）句子的认识、辅助沟通与认知训练；</w:t>
            </w:r>
          </w:p>
          <w:p w14:paraId="6593105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4）短文的认识、辅助沟通训练。</w:t>
            </w:r>
          </w:p>
          <w:p w14:paraId="44CCE48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4、综合康复支持，支持儿童言语语言综合SLI疗法，指针对语言发育迟缓，尤其在语音产生和词汇理解与表达方面存在障碍的患者，通过游戏化的视听反馈联动训练形式，将语义与语音相结合，促进儿童早期语言能力发展的核心干预技术。具体包含：</w:t>
            </w:r>
          </w:p>
          <w:p w14:paraId="7783F76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1）用户管理：用户导入、绑定、新建、编辑、删除等；以及用户评估记录、训练记录、作业记录；用户报告的保存、打印输出（含单位信息）等；</w:t>
            </w:r>
          </w:p>
          <w:p w14:paraId="22ABD81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ICF评估：提供基于ICF早期语言模块的动态功能评估表；其功能评估根据世界卫生组织WHO的ICF标准，完成基频时长实时测量数据与语言障碍损伤程度的转换，实现从无语言到功能性语言障碍：0没有损伤，1轻度损伤，2中度损伤，3重度损伤，4完全损伤；包括：ICF儿童语言指标6项（词语理解、句子理解、词语命名、句式仿说、基频、时长）；</w:t>
            </w:r>
          </w:p>
          <w:p w14:paraId="0462855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3）ICF治疗计划：提供基于ICF功能评估报告的治疗计划制定，以及智能化方案的推荐；</w:t>
            </w:r>
          </w:p>
          <w:p w14:paraId="7C6B1C5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4）专题培训：提供儿童语言ICF-ESL疗法在线课程服务，包含：语言障碍的评估与训练概述、语言能力的筛查及专项评估、基本沟通技能的训练、辅助沟通能力的训练、词语理解与命名能力的训练、句子理解与表达能力训练、语言综合能力训练、语言障碍康复方案的制定；</w:t>
            </w:r>
          </w:p>
          <w:p w14:paraId="1932A51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三、主要组成：</w:t>
            </w:r>
          </w:p>
          <w:p w14:paraId="135E94C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1、配有台车（材质：ABS工程塑料，带万向轮）、</w:t>
            </w:r>
          </w:p>
          <w:p w14:paraId="717AD93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专用主机（处理器：2GHz以上；硬盘：≥512GB；内存：≥4GB；操作系统：支持多种系统）、单通道低通滤波器、单向型专业话筒（频率响应50Hz-15KHz）、显示器（最佳分辨率：1920x1080；尺寸：20英寸以上）、USB接口，支持A4纸打印、早期语言和语言认知障碍功能检测与训练沟通仪软件（软件需提供说明书或第三方检测报告）。</w:t>
            </w:r>
          </w:p>
          <w:p w14:paraId="429C5AA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bCs/>
                <w:i w:val="0"/>
                <w:iCs w:val="0"/>
                <w:color w:val="auto"/>
                <w:kern w:val="0"/>
                <w:sz w:val="24"/>
                <w:szCs w:val="24"/>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3、另配移动智能筛查包3套、口部构音运动训练器1套、积木式语音训练器1套。</w:t>
            </w:r>
          </w:p>
          <w:p w14:paraId="2B50E4C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4、配备定制收纳工具1个</w:t>
            </w:r>
          </w:p>
          <w:p w14:paraId="5DA0482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规格：（长*宽*高）85（±10%）*40（±10%）*200（±10%）cm，实木柜原木色，带门。  </w:t>
            </w:r>
          </w:p>
          <w:p w14:paraId="6C06AE9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四、主要技术指标：</w:t>
            </w:r>
          </w:p>
          <w:p w14:paraId="1561B15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1、实时语言信号：</w:t>
            </w:r>
          </w:p>
          <w:p w14:paraId="34C7626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1）谐波频率误差：±8%；</w:t>
            </w:r>
          </w:p>
          <w:p w14:paraId="5B8A6AC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2）基频实时响应速率：≤8ms；</w:t>
            </w:r>
          </w:p>
          <w:p w14:paraId="53DB2D2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3）FFT实时响应速率：≤60ms；</w:t>
            </w:r>
          </w:p>
          <w:p w14:paraId="6487D5B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4）LPC实时响应速率：≤60ms；</w:t>
            </w:r>
          </w:p>
          <w:p w14:paraId="3D758FC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5）语谱图实时分辨率：窄带60Hz、中带120Hz、宽带240Hz：12.7ms±4% </w:t>
            </w:r>
          </w:p>
          <w:p w14:paraId="313E647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2、单通道低通滤波：</w:t>
            </w:r>
          </w:p>
          <w:p w14:paraId="798BF11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1）频响：在100Hz～700Hz频率范围内为-2.0dB～+2.0dB</w:t>
            </w:r>
          </w:p>
          <w:p w14:paraId="6658896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2）静止噪声≤3mV</w:t>
            </w:r>
          </w:p>
          <w:p w14:paraId="02FD681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 低通滤波：≥三档：，截止频率处衰减≥50dB</w:t>
            </w:r>
          </w:p>
          <w:p w14:paraId="72A282B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3、口部构音运动训练器</w:t>
            </w:r>
          </w:p>
          <w:p w14:paraId="47D9053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含有唇运动训练器、舌尖运动训练器、舌前位运动训练器、舌后位运动训练器组成，用于口部构音运动训练。</w:t>
            </w:r>
          </w:p>
          <w:p w14:paraId="7744DC6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bCs/>
                <w:i w:val="0"/>
                <w:iCs w:val="0"/>
                <w:color w:val="auto"/>
                <w:kern w:val="0"/>
                <w:sz w:val="24"/>
                <w:szCs w:val="24"/>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五、需要医疗器械注册证</w:t>
            </w:r>
          </w:p>
          <w:p w14:paraId="6F33124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六、配备其他物件：</w:t>
            </w:r>
          </w:p>
          <w:p w14:paraId="1334ACA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1）桌椅2套</w:t>
            </w:r>
          </w:p>
          <w:p w14:paraId="7A86FA9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桌子：（长*宽*高）120*60*72cm（±5%），实木柜原木色，带柜子；</w:t>
            </w:r>
          </w:p>
          <w:p w14:paraId="143EF8C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椅子:乳胶坐垫，透气网布，品质钢管，带扶手，坐垫45*45cm（±3%）,坐高42cm（±3%），总高110cm（±3%）</w:t>
            </w:r>
          </w:p>
          <w:p w14:paraId="3422FF6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bCs/>
                <w:i w:val="0"/>
                <w:iCs w:val="0"/>
                <w:color w:val="auto"/>
                <w:kern w:val="0"/>
                <w:sz w:val="24"/>
                <w:szCs w:val="24"/>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2）A3A4通用办公塑封机1个：</w:t>
            </w:r>
          </w:p>
          <w:p w14:paraId="1163965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要求：自带裁纸刀+圆角器+单个中圆打孔器（直径3mm）+A3、A4塑封膜(PET材质，厚度7.5C）规格：475（±10%）*185（±10%）*90（±10%）mm尺寸适用A3A4,热胶，可过膜厚度70-150mic，一键退膜,过塑平整，防卡卷胶，快捷预热。</w:t>
            </w:r>
          </w:p>
        </w:tc>
      </w:tr>
      <w:tr w14:paraId="596AA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9" w:type="dxa"/>
            <w:vAlign w:val="center"/>
          </w:tcPr>
          <w:p w14:paraId="4981C8CA">
            <w:pPr>
              <w:keepNext w:val="0"/>
              <w:keepLines w:val="0"/>
              <w:pageBreakBefore w:val="0"/>
              <w:widowControl/>
              <w:numPr>
                <w:ilvl w:val="0"/>
                <w:numId w:val="2"/>
              </w:numPr>
              <w:suppressLineNumbers w:val="0"/>
              <w:kinsoku/>
              <w:wordWrap/>
              <w:overflowPunct/>
              <w:topLinePunct w:val="0"/>
              <w:autoSpaceDE/>
              <w:autoSpaceDN/>
              <w:bidi w:val="0"/>
              <w:adjustRightInd/>
              <w:snapToGrid/>
              <w:spacing w:line="460" w:lineRule="exact"/>
              <w:ind w:left="425" w:leftChars="0" w:hanging="425" w:firstLineChars="0"/>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660" w:type="dxa"/>
            <w:vMerge w:val="continue"/>
            <w:vAlign w:val="center"/>
          </w:tcPr>
          <w:p w14:paraId="46A2D91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1610" w:type="dxa"/>
            <w:vAlign w:val="center"/>
          </w:tcPr>
          <w:p w14:paraId="08B3639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口部构音运动训练器</w:t>
            </w:r>
          </w:p>
        </w:tc>
        <w:tc>
          <w:tcPr>
            <w:tcW w:w="763" w:type="dxa"/>
            <w:vAlign w:val="center"/>
          </w:tcPr>
          <w:p w14:paraId="1BDA245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3套</w:t>
            </w:r>
          </w:p>
        </w:tc>
        <w:tc>
          <w:tcPr>
            <w:tcW w:w="11073" w:type="dxa"/>
            <w:vAlign w:val="center"/>
          </w:tcPr>
          <w:p w14:paraId="7AA061D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一、功能：通过专业言语治疗师的正确使用，进行构音器官的（包括下颌、唇、舌、悬雍垂等）主动、主动-辅动、被动等各种形式的训练，可辅助训练相应器官各个方位的功能运动。一套专门用于构音器官功能训练的训练器，由18种20件组成。</w:t>
            </w:r>
          </w:p>
          <w:p w14:paraId="7CD72CD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二、产品组成</w:t>
            </w:r>
          </w:p>
          <w:p w14:paraId="44006FD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1、咀嚼器</w:t>
            </w:r>
          </w:p>
          <w:p w14:paraId="660B75C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2、唇舌尖运动训练器（CS）</w:t>
            </w:r>
          </w:p>
          <w:p w14:paraId="0F2887C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3、舌上位运动训练器（SS）</w:t>
            </w:r>
          </w:p>
          <w:p w14:paraId="3308872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4、舌抗阻训练器（SK）</w:t>
            </w:r>
          </w:p>
          <w:p w14:paraId="2F022BF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5、舌根训练器（SG）</w:t>
            </w:r>
          </w:p>
          <w:p w14:paraId="72E4719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6、舌定位训练器（SD）</w:t>
            </w:r>
          </w:p>
          <w:p w14:paraId="7770737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7、下颌运动训练器</w:t>
            </w:r>
          </w:p>
          <w:p w14:paraId="4D586FA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8、深部刺激器</w:t>
            </w:r>
          </w:p>
          <w:p w14:paraId="27B6754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9、口颜面按摩器</w:t>
            </w:r>
          </w:p>
          <w:p w14:paraId="4206868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10、浅部刺激器</w:t>
            </w:r>
          </w:p>
          <w:p w14:paraId="6CC00BD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11、指套型软乳胶刺激器</w:t>
            </w:r>
          </w:p>
          <w:p w14:paraId="5D68A5E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12、压舌板</w:t>
            </w:r>
          </w:p>
          <w:p w14:paraId="5A6CF45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13、刻度压舌板（YSB）</w:t>
            </w:r>
          </w:p>
          <w:p w14:paraId="707FFB5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14、舌尖后音引导发音器（JH）</w:t>
            </w:r>
          </w:p>
          <w:p w14:paraId="24F2636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15、舌尖前音引导发音器（SJQ）</w:t>
            </w:r>
          </w:p>
          <w:p w14:paraId="0700748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16、舌根音引导发音器（GY）</w:t>
            </w:r>
          </w:p>
          <w:p w14:paraId="140FD7F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17、擦音引导发音器（CY）</w:t>
            </w:r>
          </w:p>
          <w:p w14:paraId="41322C5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18、舌面音引导发音器（SM）</w:t>
            </w:r>
          </w:p>
          <w:p w14:paraId="3A7BFE4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配备其他物件：</w:t>
            </w:r>
            <w:r>
              <w:rPr>
                <w:rFonts w:hint="eastAsia" w:ascii="新宋体" w:hAnsi="新宋体" w:eastAsia="新宋体" w:cs="新宋体"/>
                <w:b/>
                <w:bCs/>
                <w:i w:val="0"/>
                <w:iCs w:val="0"/>
                <w:color w:val="auto"/>
                <w:kern w:val="0"/>
                <w:sz w:val="24"/>
                <w:szCs w:val="24"/>
                <w:highlight w:val="none"/>
                <w:u w:val="none"/>
                <w:lang w:val="en-US" w:eastAsia="zh-CN" w:bidi="ar"/>
              </w:rPr>
              <w:t>口肌训练器10套：</w:t>
            </w:r>
          </w:p>
          <w:p w14:paraId="50CA8D1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功能：通过口肌训练增加唇肌的力量，矫正发音不清晰、不准确的情况。</w:t>
            </w:r>
          </w:p>
          <w:p w14:paraId="7963CE3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组件：（硬材质）舌肌训练器、咀嚼训练器、口腔训练器、电动按摩棒。</w:t>
            </w:r>
          </w:p>
          <w:p w14:paraId="02CE9D9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bCs/>
                <w:i w:val="0"/>
                <w:iCs w:val="0"/>
                <w:color w:val="auto"/>
                <w:kern w:val="0"/>
                <w:sz w:val="24"/>
                <w:szCs w:val="24"/>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19、口肌训练汽笛吹气口哨套12套:</w:t>
            </w:r>
          </w:p>
          <w:p w14:paraId="7982FF7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功能：利用声带发出不同的单调持续音（啊，哦，哈）等产生的气流来震动笛子上面膜而发出声音，可以训练患者的咽腭弓上抬，加强对鼻音气息音的控制。</w:t>
            </w:r>
          </w:p>
          <w:p w14:paraId="027529A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用具：吹气笛、唇笛、滑动吹气笛、风车笛、蘑菇笛、短哨笛、飘丝笛、卡祖笛、木质悬浮球（一套带2个球）、鸭嘴笛、舌笛、木质小喇叭、使用说明手册和配套光盘等。</w:t>
            </w:r>
          </w:p>
        </w:tc>
      </w:tr>
      <w:tr w14:paraId="79599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9" w:type="dxa"/>
            <w:vAlign w:val="center"/>
          </w:tcPr>
          <w:p w14:paraId="4F00885C">
            <w:pPr>
              <w:keepNext w:val="0"/>
              <w:keepLines w:val="0"/>
              <w:pageBreakBefore w:val="0"/>
              <w:widowControl/>
              <w:numPr>
                <w:ilvl w:val="0"/>
                <w:numId w:val="2"/>
              </w:numPr>
              <w:suppressLineNumbers w:val="0"/>
              <w:kinsoku/>
              <w:wordWrap/>
              <w:overflowPunct/>
              <w:topLinePunct w:val="0"/>
              <w:autoSpaceDE/>
              <w:autoSpaceDN/>
              <w:bidi w:val="0"/>
              <w:adjustRightInd/>
              <w:snapToGrid/>
              <w:spacing w:line="460" w:lineRule="exact"/>
              <w:ind w:left="425" w:leftChars="0" w:hanging="425" w:firstLineChars="0"/>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660" w:type="dxa"/>
            <w:vMerge w:val="continue"/>
            <w:vAlign w:val="center"/>
          </w:tcPr>
          <w:p w14:paraId="539A386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1610" w:type="dxa"/>
            <w:vAlign w:val="center"/>
          </w:tcPr>
          <w:p w14:paraId="3C4B0A7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语言能力评估训练卡片</w:t>
            </w:r>
          </w:p>
        </w:tc>
        <w:tc>
          <w:tcPr>
            <w:tcW w:w="763" w:type="dxa"/>
            <w:vAlign w:val="center"/>
          </w:tcPr>
          <w:p w14:paraId="7897919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3套</w:t>
            </w:r>
          </w:p>
        </w:tc>
        <w:tc>
          <w:tcPr>
            <w:tcW w:w="11073" w:type="dxa"/>
            <w:vAlign w:val="center"/>
          </w:tcPr>
          <w:p w14:paraId="13BCFAC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一、功能：用于语言理解能力评估，进行相应的词语、语法、会话和句子的简单训练。</w:t>
            </w:r>
          </w:p>
          <w:p w14:paraId="0B26B45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二、用具：语言理解能力评估（词语、词组、句子、短文）训练卡片册和记录词表、词语的简单训练卡片册、语法的简单训练卡片册、句子的简单训练卡片册、会话的简单训练卡片册、语言理解能力训练记录词表、会话的简单训练卡片册和使用手册、奖励贴纸、卡通棋子、教具骰子、使用说明和配套光盘等。</w:t>
            </w:r>
          </w:p>
          <w:p w14:paraId="4B0C16C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bCs/>
                <w:i w:val="0"/>
                <w:iCs w:val="0"/>
                <w:color w:val="auto"/>
                <w:kern w:val="0"/>
                <w:sz w:val="24"/>
                <w:szCs w:val="24"/>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三、配备定制收纳工具1个，</w:t>
            </w:r>
          </w:p>
          <w:p w14:paraId="77B616E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1、材质:生态板，宽(W)*深(D)*高(H)：100*30*100cm（±5%） </w:t>
            </w:r>
          </w:p>
          <w:p w14:paraId="50ACA36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2、结构：板式结构，仿生设计，中间储物层板格</w:t>
            </w:r>
          </w:p>
          <w:p w14:paraId="75668B7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3、板材优势：E0及环保生态板甲醛含量≤0.5mg/L，抗划耐刮，安全环保是环保性很高的板材，可以有效防止酸碱、油污等的侵蚀，表面平整度高，颜色亮丽，容易清洗维护</w:t>
            </w:r>
          </w:p>
          <w:p w14:paraId="4423C85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4、言语功能评估训练卡片3套；</w:t>
            </w:r>
          </w:p>
          <w:p w14:paraId="64F7071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功能：用于矫正呼吸、发声、共鸣障碍的强化训练，还可用于构音语音能力、构音音位对比能力的评估与训练和口部构音运动能力的训练。 用具：呼吸训练卡片册、发声训练卡片册、共鸣训练卡片册、构音语音能力评估卡片册、构音音位对比能力评估卡片册、口部构音运动能力训练卡片册、构音语音能力评估记录词表、构音音位对比能力评估记录词表、使用说明手册和配套光盘等。</w:t>
            </w:r>
          </w:p>
        </w:tc>
      </w:tr>
      <w:tr w14:paraId="0D1C9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9" w:type="dxa"/>
            <w:vAlign w:val="center"/>
          </w:tcPr>
          <w:p w14:paraId="389DF074">
            <w:pPr>
              <w:keepNext w:val="0"/>
              <w:keepLines w:val="0"/>
              <w:pageBreakBefore w:val="0"/>
              <w:widowControl/>
              <w:numPr>
                <w:ilvl w:val="0"/>
                <w:numId w:val="2"/>
              </w:numPr>
              <w:suppressLineNumbers w:val="0"/>
              <w:kinsoku/>
              <w:wordWrap/>
              <w:overflowPunct/>
              <w:topLinePunct w:val="0"/>
              <w:autoSpaceDE/>
              <w:autoSpaceDN/>
              <w:bidi w:val="0"/>
              <w:adjustRightInd/>
              <w:snapToGrid/>
              <w:spacing w:line="460" w:lineRule="exact"/>
              <w:ind w:left="425" w:leftChars="0" w:hanging="425" w:firstLineChars="0"/>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660" w:type="dxa"/>
            <w:vMerge w:val="restart"/>
            <w:vAlign w:val="center"/>
          </w:tcPr>
          <w:p w14:paraId="05DD63F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OT室（两面墙做镜子）</w:t>
            </w:r>
          </w:p>
        </w:tc>
        <w:tc>
          <w:tcPr>
            <w:tcW w:w="1610" w:type="dxa"/>
            <w:vAlign w:val="center"/>
          </w:tcPr>
          <w:p w14:paraId="6930C03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砂磨板四件套</w:t>
            </w:r>
          </w:p>
        </w:tc>
        <w:tc>
          <w:tcPr>
            <w:tcW w:w="763" w:type="dxa"/>
            <w:vAlign w:val="center"/>
          </w:tcPr>
          <w:p w14:paraId="2AA7C79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1套</w:t>
            </w:r>
          </w:p>
        </w:tc>
        <w:tc>
          <w:tcPr>
            <w:tcW w:w="11073" w:type="dxa"/>
            <w:vAlign w:val="center"/>
          </w:tcPr>
          <w:p w14:paraId="012C8EA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功能：上肢肌力协调活动能力和关节活动度的作业训练。</w:t>
            </w:r>
          </w:p>
          <w:p w14:paraId="2DD889E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尺寸：22±5%*12±5%*11±5%cm 22±5%*11.5±5%cm 11.5±5%*11.5±5%cm 15±5%*11±5%cm</w:t>
            </w:r>
          </w:p>
        </w:tc>
      </w:tr>
      <w:tr w14:paraId="2BD48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9" w:type="dxa"/>
            <w:vAlign w:val="center"/>
          </w:tcPr>
          <w:p w14:paraId="43FBD1B2">
            <w:pPr>
              <w:keepNext w:val="0"/>
              <w:keepLines w:val="0"/>
              <w:pageBreakBefore w:val="0"/>
              <w:widowControl/>
              <w:numPr>
                <w:ilvl w:val="0"/>
                <w:numId w:val="2"/>
              </w:numPr>
              <w:suppressLineNumbers w:val="0"/>
              <w:kinsoku/>
              <w:wordWrap/>
              <w:overflowPunct/>
              <w:topLinePunct w:val="0"/>
              <w:autoSpaceDE/>
              <w:autoSpaceDN/>
              <w:bidi w:val="0"/>
              <w:adjustRightInd/>
              <w:snapToGrid/>
              <w:spacing w:line="460" w:lineRule="exact"/>
              <w:ind w:left="425" w:leftChars="0" w:hanging="425" w:firstLineChars="0"/>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660" w:type="dxa"/>
            <w:vMerge w:val="continue"/>
            <w:vAlign w:val="center"/>
          </w:tcPr>
          <w:p w14:paraId="7DA4505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1610" w:type="dxa"/>
            <w:vAlign w:val="center"/>
          </w:tcPr>
          <w:p w14:paraId="489CFAD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OT 综合训练工作台</w:t>
            </w:r>
          </w:p>
        </w:tc>
        <w:tc>
          <w:tcPr>
            <w:tcW w:w="763" w:type="dxa"/>
            <w:vAlign w:val="center"/>
          </w:tcPr>
          <w:p w14:paraId="7270404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1个</w:t>
            </w:r>
          </w:p>
        </w:tc>
        <w:tc>
          <w:tcPr>
            <w:tcW w:w="11073" w:type="dxa"/>
            <w:vAlign w:val="center"/>
          </w:tcPr>
          <w:p w14:paraId="6802260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一、功能：适用于改善手指功能、提高眼手协调功能，训练感知能力及大脑对图形的识别能力，训练上肢稳定性、协调性，提高上肢日常活动能力。</w:t>
            </w:r>
          </w:p>
          <w:p w14:paraId="11C06CB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二、规格：原木色，材质实木木质</w:t>
            </w:r>
          </w:p>
          <w:p w14:paraId="77BBE0E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1、侧板展开时外形尺寸（长×宽×高）：1840mm±10%×1035mm±10%×910mm±10% ）侧板高度调节范围：345mm～725mm）侧板角度调节范围：0°～90°组件：分指板中号、上螺丝、上螺母、几何图形插板、认知图形插板、堆杯、铁棍插板、上肢协调训练器、磁性钮、立式套环、模拟作业工具。                                 </w:t>
            </w:r>
          </w:p>
          <w:p w14:paraId="2507BB2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bCs/>
                <w:i w:val="0"/>
                <w:iCs w:val="0"/>
                <w:color w:val="auto"/>
                <w:kern w:val="0"/>
                <w:sz w:val="24"/>
                <w:szCs w:val="24"/>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1）配备定制收纳工具2个，</w:t>
            </w:r>
          </w:p>
          <w:p w14:paraId="5345F3B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规格：（长*宽*高）85（±10%）*40（±10%）*200（±10%）cm，实木柜原木色，带门。                          </w:t>
            </w:r>
          </w:p>
          <w:p w14:paraId="6C05F73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bCs/>
                <w:i w:val="0"/>
                <w:iCs w:val="0"/>
                <w:color w:val="auto"/>
                <w:kern w:val="0"/>
                <w:sz w:val="24"/>
                <w:szCs w:val="24"/>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2）套彩盘1套：</w:t>
            </w:r>
          </w:p>
          <w:p w14:paraId="245B4B3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功能：适用于儿童进行手、眼协调及感知、认知功能训练。主要技术指标和参数1）外形尺寸（长×宽×高）：800mm×170mm×720mm</w:t>
            </w:r>
          </w:p>
          <w:p w14:paraId="697A2A1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2、立柱直径：28mm。</w:t>
            </w:r>
          </w:p>
          <w:p w14:paraId="0988DAA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3、配三角木块、正方形木块、圆板木块各4个；</w:t>
            </w: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   </w:t>
            </w:r>
          </w:p>
          <w:p w14:paraId="1A86DBC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bCs/>
                <w:i w:val="0"/>
                <w:iCs w:val="0"/>
                <w:color w:val="auto"/>
                <w:kern w:val="0"/>
                <w:sz w:val="24"/>
                <w:szCs w:val="24"/>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4、腕部功能训练器2套：</w:t>
            </w:r>
          </w:p>
          <w:p w14:paraId="68C4BA1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功能：适用于腕部肌肉及关节活动度的训练。规格：40±10%*22±10%*10±10%cm；                                   </w:t>
            </w:r>
          </w:p>
          <w:p w14:paraId="54AAEB1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5、镶嵌训练器2套：</w:t>
            </w:r>
          </w:p>
          <w:p w14:paraId="09BC1BD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功能：适用于对感知能力、大脑对图形、颜色的识别能力、逻辑思维能力的训练以及提高手指的灵活度及协调一致性。主要技术指标和参数:1）外形尺寸（长×宽×高）：410mm×100mm×410mm </w:t>
            </w:r>
          </w:p>
          <w:p w14:paraId="41DD4CF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6、滚珠配置：（白色：21个）、（黑色：20个）、（蓝色：9个）、（紫色：9个）、（红色：8个）、（黄色：7个）</w:t>
            </w:r>
          </w:p>
        </w:tc>
      </w:tr>
      <w:tr w14:paraId="6A80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9" w:type="dxa"/>
            <w:vAlign w:val="center"/>
          </w:tcPr>
          <w:p w14:paraId="38A8AA7B">
            <w:pPr>
              <w:keepNext w:val="0"/>
              <w:keepLines w:val="0"/>
              <w:pageBreakBefore w:val="0"/>
              <w:widowControl/>
              <w:numPr>
                <w:ilvl w:val="0"/>
                <w:numId w:val="2"/>
              </w:numPr>
              <w:suppressLineNumbers w:val="0"/>
              <w:kinsoku/>
              <w:wordWrap/>
              <w:overflowPunct/>
              <w:topLinePunct w:val="0"/>
              <w:autoSpaceDE/>
              <w:autoSpaceDN/>
              <w:bidi w:val="0"/>
              <w:adjustRightInd/>
              <w:snapToGrid/>
              <w:spacing w:line="460" w:lineRule="exact"/>
              <w:ind w:left="425" w:leftChars="0" w:hanging="425" w:firstLineChars="0"/>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660" w:type="dxa"/>
            <w:vMerge w:val="continue"/>
            <w:vAlign w:val="center"/>
          </w:tcPr>
          <w:p w14:paraId="4FE88C9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1610" w:type="dxa"/>
            <w:vAlign w:val="center"/>
          </w:tcPr>
          <w:p w14:paraId="6D5C8DA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OT桌</w:t>
            </w:r>
          </w:p>
        </w:tc>
        <w:tc>
          <w:tcPr>
            <w:tcW w:w="763" w:type="dxa"/>
            <w:vAlign w:val="center"/>
          </w:tcPr>
          <w:p w14:paraId="6BCE36A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1张</w:t>
            </w:r>
          </w:p>
        </w:tc>
        <w:tc>
          <w:tcPr>
            <w:tcW w:w="11073" w:type="dxa"/>
            <w:vAlign w:val="center"/>
          </w:tcPr>
          <w:p w14:paraId="1904672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一、功能：作业训练用桌，桌面高度可根据训练者需要进行调节。</w:t>
            </w:r>
          </w:p>
          <w:p w14:paraId="32CA37E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二、规格：喷塑钢架、实木材、手柄转动</w:t>
            </w:r>
          </w:p>
          <w:p w14:paraId="551FE67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1、外形尺寸139±10%*80±10%*（61—85）±10%cm </w:t>
            </w:r>
          </w:p>
          <w:p w14:paraId="4DB8465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2、桌面升降范围：（61—85）±10%cm </w:t>
            </w:r>
          </w:p>
          <w:p w14:paraId="2F80920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3、桌面额定承载：750N±5%</w:t>
            </w:r>
          </w:p>
          <w:p w14:paraId="4BF0738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4、桌面尺寸（长*宽）120±10%*80±10%cm  </w:t>
            </w:r>
          </w:p>
          <w:p w14:paraId="0612961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5、配备其他物件:</w:t>
            </w:r>
          </w:p>
          <w:p w14:paraId="5AA0857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bCs/>
                <w:i w:val="0"/>
                <w:iCs w:val="0"/>
                <w:color w:val="auto"/>
                <w:kern w:val="0"/>
                <w:sz w:val="24"/>
                <w:szCs w:val="24"/>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1）多功能学习车1套;</w:t>
            </w:r>
          </w:p>
          <w:p w14:paraId="57C5101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（1）规格（cm）：24*7.5*15.5允差±5%</w:t>
            </w:r>
          </w:p>
          <w:p w14:paraId="110EA54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（2）适用于3岁以上患者对形状，颜色，数字的认知，锻炼其手、眼、脑协调力，观察力与思考力; </w:t>
            </w:r>
          </w:p>
          <w:p w14:paraId="4C0147A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bCs/>
                <w:i w:val="0"/>
                <w:iCs w:val="0"/>
                <w:color w:val="auto"/>
                <w:kern w:val="0"/>
                <w:sz w:val="24"/>
                <w:szCs w:val="24"/>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2）迷宫训练器2套:</w:t>
            </w:r>
          </w:p>
          <w:p w14:paraId="6CB3FF6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用途：手眼协调功能训练,规格(cm)：29×25×6.5,</w:t>
            </w:r>
          </w:p>
          <w:p w14:paraId="502D794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bCs/>
                <w:i w:val="0"/>
                <w:iCs w:val="0"/>
                <w:color w:val="auto"/>
                <w:kern w:val="0"/>
                <w:sz w:val="24"/>
                <w:szCs w:val="24"/>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3）玻璃球数量：2件</w:t>
            </w:r>
          </w:p>
          <w:p w14:paraId="38EAB67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尺寸：1cm    质量：0.9kg用途：手眼协调功能训练； </w:t>
            </w:r>
          </w:p>
          <w:p w14:paraId="1BD5D70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bCs/>
                <w:i w:val="0"/>
                <w:iCs w:val="0"/>
                <w:color w:val="auto"/>
                <w:kern w:val="0"/>
                <w:sz w:val="24"/>
                <w:szCs w:val="24"/>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4）手功能组合训练箱1套：</w:t>
            </w:r>
          </w:p>
          <w:p w14:paraId="0620E22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功能：适用于对触觉、视觉、听觉感官刺激训练感性认知能力，也训练手指与认知的协调一致性。</w:t>
            </w:r>
          </w:p>
          <w:p w14:paraId="7C46032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规格：660mm±10%×470mm±10%×165mm±10%。  </w:t>
            </w:r>
          </w:p>
          <w:p w14:paraId="5299856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bCs/>
                <w:i w:val="0"/>
                <w:iCs w:val="0"/>
                <w:color w:val="auto"/>
                <w:kern w:val="0"/>
                <w:sz w:val="24"/>
                <w:szCs w:val="24"/>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5）评定桌椅2套：</w:t>
            </w:r>
          </w:p>
          <w:p w14:paraId="2AD0D6E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桌（长*宽*高）120*60*72cm（±5%），实木柜原木色，带柜子；</w:t>
            </w:r>
          </w:p>
          <w:p w14:paraId="16C1B15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椅子:乳胶坐垫，透气网布，品质钢管，带扶手，坐垫45*45cm（±3%）,坐高42cm（±3%），总高110cm（±3%）</w:t>
            </w:r>
          </w:p>
        </w:tc>
      </w:tr>
      <w:tr w14:paraId="56577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9" w:type="dxa"/>
            <w:vAlign w:val="center"/>
          </w:tcPr>
          <w:p w14:paraId="5E3655EF">
            <w:pPr>
              <w:keepNext w:val="0"/>
              <w:keepLines w:val="0"/>
              <w:pageBreakBefore w:val="0"/>
              <w:widowControl/>
              <w:numPr>
                <w:ilvl w:val="0"/>
                <w:numId w:val="2"/>
              </w:numPr>
              <w:suppressLineNumbers w:val="0"/>
              <w:kinsoku/>
              <w:wordWrap/>
              <w:overflowPunct/>
              <w:topLinePunct w:val="0"/>
              <w:autoSpaceDE/>
              <w:autoSpaceDN/>
              <w:bidi w:val="0"/>
              <w:adjustRightInd/>
              <w:snapToGrid/>
              <w:spacing w:line="460" w:lineRule="exact"/>
              <w:ind w:left="425" w:leftChars="0" w:hanging="425" w:firstLineChars="0"/>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660" w:type="dxa"/>
            <w:vMerge w:val="restart"/>
            <w:vAlign w:val="center"/>
          </w:tcPr>
          <w:p w14:paraId="4724378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心理治疗室</w:t>
            </w:r>
          </w:p>
        </w:tc>
        <w:tc>
          <w:tcPr>
            <w:tcW w:w="1610" w:type="dxa"/>
            <w:vAlign w:val="center"/>
          </w:tcPr>
          <w:p w14:paraId="1360C69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沙盘组合</w:t>
            </w:r>
          </w:p>
        </w:tc>
        <w:tc>
          <w:tcPr>
            <w:tcW w:w="763" w:type="dxa"/>
            <w:vAlign w:val="center"/>
          </w:tcPr>
          <w:p w14:paraId="7F4DF80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1套</w:t>
            </w:r>
          </w:p>
        </w:tc>
        <w:tc>
          <w:tcPr>
            <w:tcW w:w="11073" w:type="dxa"/>
            <w:vAlign w:val="center"/>
          </w:tcPr>
          <w:p w14:paraId="299F0BC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1、沙具600件以上</w:t>
            </w:r>
            <w:r>
              <w:rPr>
                <w:rFonts w:hint="eastAsia" w:ascii="新宋体" w:hAnsi="新宋体" w:eastAsia="新宋体" w:cs="新宋体"/>
                <w:b w:val="0"/>
                <w:bCs w:val="0"/>
                <w:i w:val="0"/>
                <w:iCs w:val="0"/>
                <w:color w:val="auto"/>
                <w:kern w:val="0"/>
                <w:sz w:val="22"/>
                <w:szCs w:val="22"/>
                <w:highlight w:val="none"/>
                <w:u w:val="none"/>
                <w:lang w:val="en-US" w:eastAsia="zh-CN" w:bidi="ar"/>
              </w:rPr>
              <w:t>(包括人物类、动物类、植物类、建筑类、家居类、交通类、水果食物类、石头贝壳及自然物质类、其他类）</w:t>
            </w:r>
          </w:p>
          <w:p w14:paraId="534F04C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2、实木标准沙盘1个</w:t>
            </w: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（尺寸：约60cm*70cm*7cm  材质：实木 颜色：外侧木本色，内侧涂蓝色 代表蓝天，底部蓝色代表大海和湖泊，是生命和能量的象征）    </w:t>
            </w:r>
          </w:p>
          <w:p w14:paraId="0B4C0A1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3、实木标准沙盘支架1个</w:t>
            </w:r>
            <w:r>
              <w:rPr>
                <w:rFonts w:hint="eastAsia" w:ascii="新宋体" w:hAnsi="新宋体" w:eastAsia="新宋体" w:cs="新宋体"/>
                <w:b w:val="0"/>
                <w:bCs w:val="0"/>
                <w:i w:val="0"/>
                <w:iCs w:val="0"/>
                <w:color w:val="auto"/>
                <w:kern w:val="0"/>
                <w:sz w:val="22"/>
                <w:szCs w:val="22"/>
                <w:highlight w:val="none"/>
                <w:u w:val="none"/>
                <w:lang w:val="en-US" w:eastAsia="zh-CN" w:bidi="ar"/>
              </w:rPr>
              <w:t>（与标准沙盘配套，材质：实木 颜色：木本色）</w:t>
            </w:r>
          </w:p>
          <w:p w14:paraId="04D2E1B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4、实木沙具陈列柜1套</w:t>
            </w:r>
            <w:r>
              <w:rPr>
                <w:rFonts w:hint="eastAsia" w:ascii="新宋体" w:hAnsi="新宋体" w:eastAsia="新宋体" w:cs="新宋体"/>
                <w:b w:val="0"/>
                <w:bCs w:val="0"/>
                <w:i w:val="0"/>
                <w:iCs w:val="0"/>
                <w:color w:val="auto"/>
                <w:kern w:val="0"/>
                <w:sz w:val="22"/>
                <w:szCs w:val="22"/>
                <w:highlight w:val="none"/>
                <w:u w:val="none"/>
                <w:lang w:val="en-US" w:eastAsia="zh-CN" w:bidi="ar"/>
              </w:rPr>
              <w:t>（5层9阶尺寸：约160cm*100cm*30cm 材质：实木 颜色：木本色）</w:t>
            </w:r>
          </w:p>
          <w:p w14:paraId="497A501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5、原色海沙10公斤以上</w:t>
            </w:r>
            <w:r>
              <w:rPr>
                <w:rFonts w:hint="eastAsia" w:ascii="新宋体" w:hAnsi="新宋体" w:eastAsia="新宋体" w:cs="新宋体"/>
                <w:b w:val="0"/>
                <w:bCs w:val="0"/>
                <w:i w:val="0"/>
                <w:iCs w:val="0"/>
                <w:color w:val="auto"/>
                <w:kern w:val="0"/>
                <w:sz w:val="22"/>
                <w:szCs w:val="22"/>
                <w:highlight w:val="none"/>
                <w:u w:val="none"/>
                <w:lang w:val="en-US" w:eastAsia="zh-CN" w:bidi="ar"/>
              </w:rPr>
              <w:t>（箱庭疗法中最基本的材料）</w:t>
            </w:r>
          </w:p>
          <w:p w14:paraId="7851415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6、沙盘游戏指导书籍1本</w:t>
            </w:r>
          </w:p>
          <w:p w14:paraId="0AA0268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7、心理沙盘档案管理系统1套</w:t>
            </w:r>
            <w:r>
              <w:rPr>
                <w:rFonts w:hint="eastAsia" w:ascii="新宋体" w:hAnsi="新宋体" w:eastAsia="新宋体" w:cs="新宋体"/>
                <w:b w:val="0"/>
                <w:bCs w:val="0"/>
                <w:i w:val="0"/>
                <w:iCs w:val="0"/>
                <w:color w:val="auto"/>
                <w:kern w:val="0"/>
                <w:sz w:val="22"/>
                <w:szCs w:val="22"/>
                <w:highlight w:val="none"/>
                <w:u w:val="none"/>
                <w:lang w:val="en-US" w:eastAsia="zh-CN" w:bidi="ar"/>
              </w:rPr>
              <w:t>：系统功能：包含沙盘介绍；来访者信息管理；沙盘档案管理；查询；沙具意象词典；沙盘记录表等功能。</w:t>
            </w:r>
          </w:p>
          <w:p w14:paraId="461EBA1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1）沙盘介绍：通过图文的方式展现沙盘功能，帮助初学者更好的理解沙盘游戏。</w:t>
            </w:r>
          </w:p>
          <w:p w14:paraId="20C8D66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2）来访者信息管理：添加来访者；批量导入来访者信息，修改来访者信息，</w:t>
            </w:r>
          </w:p>
          <w:p w14:paraId="48DB264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3）沙盘档案管理：可以添加图片加评语，视频加评语，方便心理老师后期沙盘游戏分析与档案的调取。</w:t>
            </w:r>
          </w:p>
          <w:p w14:paraId="041BDB8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4）查询：可以根据学号或者学生姓名调用档案记录。方便心理老师查询历史记录。</w:t>
            </w:r>
          </w:p>
          <w:p w14:paraId="67EFAE0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5）沙具意象词典：意象类型约10大类；总意象数量约60个。</w:t>
            </w:r>
          </w:p>
          <w:p w14:paraId="3DDA0D5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6）系统具备自主添加沙具意象功能，心理老师可以根据自己的经验添加对沙具投射意象的理解。</w:t>
            </w:r>
          </w:p>
          <w:p w14:paraId="01F901C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7）沙盘记录表：系统可以自动分析并生成沙盘记录表，系统可以根据来访者操作的沙盘游戏情况，把沙具相关数据在系统配置好即可一键自动分析，并生成团体沙盘记录表或者个体沙盘记录表。</w:t>
            </w:r>
          </w:p>
          <w:p w14:paraId="4DAB4F8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8）可与智能心理云平台管理系统实现对接，自动生成数据传输至云平台管理系统中。</w:t>
            </w:r>
          </w:p>
          <w:p w14:paraId="1B91386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8、沙具选取框1个+沙刷1个+沙扒1个</w:t>
            </w:r>
          </w:p>
          <w:p w14:paraId="63DA92A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9、配备定制收纳工具1个，</w:t>
            </w:r>
          </w:p>
          <w:p w14:paraId="21521D2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规格：（长*宽*高）85（±10%）*40（±10%）*200（±10%）cm，实木柜原木色，带门</w:t>
            </w:r>
          </w:p>
        </w:tc>
      </w:tr>
      <w:tr w14:paraId="28DFE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9" w:type="dxa"/>
            <w:vAlign w:val="center"/>
          </w:tcPr>
          <w:p w14:paraId="6F745CDD">
            <w:pPr>
              <w:keepNext w:val="0"/>
              <w:keepLines w:val="0"/>
              <w:pageBreakBefore w:val="0"/>
              <w:widowControl/>
              <w:numPr>
                <w:ilvl w:val="0"/>
                <w:numId w:val="2"/>
              </w:numPr>
              <w:suppressLineNumbers w:val="0"/>
              <w:kinsoku/>
              <w:wordWrap/>
              <w:overflowPunct/>
              <w:topLinePunct w:val="0"/>
              <w:autoSpaceDE/>
              <w:autoSpaceDN/>
              <w:bidi w:val="0"/>
              <w:adjustRightInd/>
              <w:snapToGrid/>
              <w:spacing w:line="460" w:lineRule="exact"/>
              <w:ind w:left="425" w:leftChars="0" w:hanging="425" w:firstLineChars="0"/>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660" w:type="dxa"/>
            <w:vMerge w:val="continue"/>
            <w:vAlign w:val="center"/>
          </w:tcPr>
          <w:p w14:paraId="3936BAC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1610" w:type="dxa"/>
            <w:vAlign w:val="center"/>
          </w:tcPr>
          <w:p w14:paraId="75E5850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音乐沙发及休闲沙发座椅组合</w:t>
            </w:r>
          </w:p>
        </w:tc>
        <w:tc>
          <w:tcPr>
            <w:tcW w:w="763" w:type="dxa"/>
            <w:vAlign w:val="center"/>
          </w:tcPr>
          <w:p w14:paraId="784B090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1套</w:t>
            </w:r>
          </w:p>
        </w:tc>
        <w:tc>
          <w:tcPr>
            <w:tcW w:w="11073" w:type="dxa"/>
            <w:vAlign w:val="center"/>
          </w:tcPr>
          <w:p w14:paraId="2CDFC7D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一、产品简介</w:t>
            </w:r>
          </w:p>
          <w:p w14:paraId="0DAD47D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音乐放松椅是以音乐声波的频率和声压引，勾起人心理上的反应。以心理音乐为主，提高人体大脑皮层的兴奋度。人体按摩为辅，缓解身体压力。从而达到改善情绪，激发情感，振奋精神的作用。</w:t>
            </w:r>
          </w:p>
          <w:p w14:paraId="0F2B094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二、产品规格</w:t>
            </w:r>
          </w:p>
          <w:p w14:paraId="7BD923E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产品尺寸：85*110*105（±5%）cm（长宽高）  重量：45KG；承重：100KG；电源：220V/50Hz；</w:t>
            </w:r>
          </w:p>
          <w:p w14:paraId="0502077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三、产品功能</w:t>
            </w:r>
          </w:p>
          <w:p w14:paraId="7A0DC86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1、音乐放松椅：人体工学结构设计，柔软舒适，内置超静音电机，可通过控制椅子的升降角度。满足来访者躺、仰、坐姿势。</w:t>
            </w:r>
          </w:p>
          <w:p w14:paraId="6A2754A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2、播放系统：≥13英寸播放器，配备无线遥控器1个，播放器无线遥控控制，支持心理音乐、心理图片、心理视频等各种文件格式播放。</w:t>
            </w:r>
          </w:p>
          <w:p w14:paraId="09391F6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3、万向支架：配备万向支架，可360度旋转。</w:t>
            </w:r>
          </w:p>
          <w:p w14:paraId="26E12A4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4、智能按摩功能：通过遥控器控制震动按摩，对臀部，腰部，背部，颈部震动按摩，多种智能开启模式。</w:t>
            </w:r>
          </w:p>
          <w:p w14:paraId="3EAAB1B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5、无线蓝牙播放系统：内置式无线蓝牙音箱，支持蓝牙无线连接，可直接连接电脑及手机、MP3/P4、LD、TV等具备音频传输的装备。</w:t>
            </w:r>
          </w:p>
          <w:p w14:paraId="581726D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6、定制扶手：沙发扶手定制面板10*10（±5%）cm，可插usb线、音频线。可控制音乐上下曲、音量大小和关闭音乐。更可支持无线充电。</w:t>
            </w:r>
          </w:p>
          <w:p w14:paraId="7A42070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6、音响系统：配置音频控制面板，智能调节音频重低音和音量。靠背头部两侧，配置高保真音响系统，立体声效果极佳。</w:t>
            </w:r>
          </w:p>
          <w:p w14:paraId="5D36678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7、放松训练音乐：系统提供多种音乐训练处方，可根据用户喜好自由选择。</w:t>
            </w:r>
          </w:p>
          <w:p w14:paraId="4A4B227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8、专业心理视频：系统内置视频训练教程，多个专业心理视频。</w:t>
            </w:r>
          </w:p>
          <w:p w14:paraId="4874520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9、专业心理图片：错觉图、不可能图、多角度图、多歧图等多种专业心理图片。</w:t>
            </w:r>
          </w:p>
          <w:p w14:paraId="0C214E0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10、产品组成：音乐放松椅1台；≥13播放器1台；催眠眼罩2个；音乐治疗导论1本。</w:t>
            </w:r>
          </w:p>
        </w:tc>
      </w:tr>
      <w:tr w14:paraId="646C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9" w:type="dxa"/>
            <w:vAlign w:val="center"/>
          </w:tcPr>
          <w:p w14:paraId="10EA8B36">
            <w:pPr>
              <w:keepNext w:val="0"/>
              <w:keepLines w:val="0"/>
              <w:pageBreakBefore w:val="0"/>
              <w:widowControl/>
              <w:numPr>
                <w:ilvl w:val="0"/>
                <w:numId w:val="2"/>
              </w:numPr>
              <w:suppressLineNumbers w:val="0"/>
              <w:kinsoku/>
              <w:wordWrap/>
              <w:overflowPunct/>
              <w:topLinePunct w:val="0"/>
              <w:autoSpaceDE/>
              <w:autoSpaceDN/>
              <w:bidi w:val="0"/>
              <w:adjustRightInd/>
              <w:snapToGrid/>
              <w:spacing w:line="460" w:lineRule="exact"/>
              <w:ind w:left="425" w:leftChars="0" w:hanging="425" w:firstLineChars="0"/>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660" w:type="dxa"/>
            <w:vMerge w:val="restart"/>
            <w:vAlign w:val="center"/>
          </w:tcPr>
          <w:p w14:paraId="2D57241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生活辅助用房</w:t>
            </w:r>
          </w:p>
        </w:tc>
        <w:tc>
          <w:tcPr>
            <w:tcW w:w="1610" w:type="dxa"/>
            <w:vAlign w:val="center"/>
          </w:tcPr>
          <w:p w14:paraId="659DB4D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辅助用桌+辅助用椅</w:t>
            </w:r>
          </w:p>
        </w:tc>
        <w:tc>
          <w:tcPr>
            <w:tcW w:w="763" w:type="dxa"/>
            <w:vAlign w:val="center"/>
          </w:tcPr>
          <w:p w14:paraId="0E1D7CB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2套</w:t>
            </w:r>
          </w:p>
        </w:tc>
        <w:tc>
          <w:tcPr>
            <w:tcW w:w="11073" w:type="dxa"/>
            <w:vAlign w:val="center"/>
          </w:tcPr>
          <w:p w14:paraId="68F264E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桌子：（长*宽*高）120*60*72cm（±5%），实木柜原木色，带柜子；</w:t>
            </w:r>
          </w:p>
          <w:p w14:paraId="2FDC249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椅子：乳胶坐垫，透气网布，品质钢管，带扶手，坐垫45*45cm（±3%）,坐高42cm（±3%），总高110cm（±3%）</w:t>
            </w:r>
          </w:p>
        </w:tc>
      </w:tr>
      <w:tr w14:paraId="14039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9" w:type="dxa"/>
            <w:vAlign w:val="center"/>
          </w:tcPr>
          <w:p w14:paraId="2A9F4915">
            <w:pPr>
              <w:keepNext w:val="0"/>
              <w:keepLines w:val="0"/>
              <w:pageBreakBefore w:val="0"/>
              <w:widowControl/>
              <w:numPr>
                <w:ilvl w:val="0"/>
                <w:numId w:val="2"/>
              </w:numPr>
              <w:suppressLineNumbers w:val="0"/>
              <w:kinsoku/>
              <w:wordWrap/>
              <w:overflowPunct/>
              <w:topLinePunct w:val="0"/>
              <w:autoSpaceDE/>
              <w:autoSpaceDN/>
              <w:bidi w:val="0"/>
              <w:adjustRightInd/>
              <w:snapToGrid/>
              <w:spacing w:line="460" w:lineRule="exact"/>
              <w:ind w:left="425" w:leftChars="0" w:hanging="425" w:firstLineChars="0"/>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660" w:type="dxa"/>
            <w:vMerge w:val="continue"/>
            <w:vAlign w:val="center"/>
          </w:tcPr>
          <w:p w14:paraId="1680D41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1610" w:type="dxa"/>
            <w:vAlign w:val="center"/>
          </w:tcPr>
          <w:p w14:paraId="08D0CD7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模拟厨房＋配备餐具</w:t>
            </w:r>
          </w:p>
        </w:tc>
        <w:tc>
          <w:tcPr>
            <w:tcW w:w="763" w:type="dxa"/>
            <w:vAlign w:val="center"/>
          </w:tcPr>
          <w:p w14:paraId="64B6698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1套</w:t>
            </w:r>
          </w:p>
        </w:tc>
        <w:tc>
          <w:tcPr>
            <w:tcW w:w="11073" w:type="dxa"/>
            <w:vAlign w:val="center"/>
          </w:tcPr>
          <w:p w14:paraId="1DFA672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主要材质：木质，家电根据现场实际尺寸定制。</w:t>
            </w:r>
          </w:p>
          <w:p w14:paraId="311A7D1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1、整体框架搭建，模拟环境装修，</w:t>
            </w:r>
          </w:p>
          <w:p w14:paraId="1B14279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2、墙体宣传海报。</w:t>
            </w:r>
          </w:p>
          <w:p w14:paraId="0704FBC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3、橱柜：</w:t>
            </w: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 75（±5%）*30（±5%）*50（±5%）cm，带炉盘，洗菜盆，五金件</w:t>
            </w:r>
          </w:p>
          <w:p w14:paraId="3C0018A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4、冰箱：</w:t>
            </w:r>
            <w:r>
              <w:rPr>
                <w:rFonts w:hint="eastAsia" w:ascii="新宋体" w:hAnsi="新宋体" w:eastAsia="新宋体" w:cs="新宋体"/>
                <w:b w:val="0"/>
                <w:bCs w:val="0"/>
                <w:i w:val="0"/>
                <w:iCs w:val="0"/>
                <w:color w:val="auto"/>
                <w:kern w:val="0"/>
                <w:sz w:val="22"/>
                <w:szCs w:val="22"/>
                <w:highlight w:val="none"/>
                <w:u w:val="none"/>
                <w:lang w:val="en-US" w:eastAsia="zh-CN" w:bidi="ar"/>
              </w:rPr>
              <w:t>30（±5%）*30（±5%）*90（±5%）cm，家用节能小型冰箱双门电冰箱（仿真）</w:t>
            </w:r>
          </w:p>
          <w:p w14:paraId="3E9D663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5、电饭煲：</w:t>
            </w:r>
            <w:r>
              <w:rPr>
                <w:rFonts w:hint="eastAsia" w:ascii="新宋体" w:hAnsi="新宋体" w:eastAsia="新宋体" w:cs="新宋体"/>
                <w:b w:val="0"/>
                <w:bCs w:val="0"/>
                <w:i w:val="0"/>
                <w:iCs w:val="0"/>
                <w:color w:val="auto"/>
                <w:kern w:val="0"/>
                <w:sz w:val="22"/>
                <w:szCs w:val="22"/>
                <w:highlight w:val="none"/>
                <w:u w:val="none"/>
                <w:lang w:val="en-US" w:eastAsia="zh-CN" w:bidi="ar"/>
              </w:rPr>
              <w:t>一次可煮4-8个人的米饭（仿真）</w:t>
            </w:r>
          </w:p>
          <w:p w14:paraId="4601416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6、炒锅煎锅套装：</w:t>
            </w:r>
            <w:r>
              <w:rPr>
                <w:rFonts w:hint="eastAsia" w:ascii="新宋体" w:hAnsi="新宋体" w:eastAsia="新宋体" w:cs="新宋体"/>
                <w:b w:val="0"/>
                <w:bCs w:val="0"/>
                <w:i w:val="0"/>
                <w:iCs w:val="0"/>
                <w:color w:val="auto"/>
                <w:kern w:val="0"/>
                <w:sz w:val="22"/>
                <w:szCs w:val="22"/>
                <w:highlight w:val="none"/>
                <w:u w:val="none"/>
                <w:lang w:val="en-US" w:eastAsia="zh-CN" w:bidi="ar"/>
              </w:rPr>
              <w:t>尺寸直径300mm，</w:t>
            </w:r>
            <w:r>
              <w:rPr>
                <w:rFonts w:hint="eastAsia" w:ascii="新宋体" w:hAnsi="新宋体" w:eastAsia="新宋体" w:cs="新宋体"/>
                <w:b/>
                <w:bCs/>
                <w:i w:val="0"/>
                <w:iCs w:val="0"/>
                <w:color w:val="auto"/>
                <w:kern w:val="0"/>
                <w:sz w:val="24"/>
                <w:szCs w:val="24"/>
                <w:highlight w:val="none"/>
                <w:u w:val="none"/>
                <w:lang w:val="en-US" w:eastAsia="zh-CN" w:bidi="ar"/>
              </w:rPr>
              <w:t>炒锅煎锅各一只</w:t>
            </w:r>
            <w:r>
              <w:rPr>
                <w:rFonts w:hint="eastAsia" w:ascii="新宋体" w:hAnsi="新宋体" w:eastAsia="新宋体" w:cs="新宋体"/>
                <w:b w:val="0"/>
                <w:bCs w:val="0"/>
                <w:i w:val="0"/>
                <w:iCs w:val="0"/>
                <w:color w:val="auto"/>
                <w:kern w:val="0"/>
                <w:sz w:val="22"/>
                <w:szCs w:val="22"/>
                <w:highlight w:val="none"/>
                <w:u w:val="none"/>
                <w:lang w:val="en-US" w:eastAsia="zh-CN" w:bidi="ar"/>
              </w:rPr>
              <w:t>（不锈钢材质）</w:t>
            </w:r>
          </w:p>
          <w:p w14:paraId="5F45B44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7、家用餐具套装</w:t>
            </w:r>
            <w:r>
              <w:rPr>
                <w:rFonts w:hint="eastAsia" w:ascii="新宋体" w:hAnsi="新宋体" w:eastAsia="新宋体" w:cs="新宋体"/>
                <w:b w:val="0"/>
                <w:bCs w:val="0"/>
                <w:i w:val="0"/>
                <w:iCs w:val="0"/>
                <w:color w:val="auto"/>
                <w:kern w:val="0"/>
                <w:sz w:val="22"/>
                <w:szCs w:val="22"/>
                <w:highlight w:val="none"/>
                <w:u w:val="none"/>
                <w:lang w:val="en-US" w:eastAsia="zh-CN" w:bidi="ar"/>
              </w:rPr>
              <w:t>:塑料材质，每套含饭碗菜盘汤碗汤瓢筷子等</w:t>
            </w:r>
          </w:p>
          <w:p w14:paraId="5E0512B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8、刀具套装:四件套</w:t>
            </w:r>
            <w:r>
              <w:rPr>
                <w:rFonts w:hint="eastAsia" w:ascii="新宋体" w:hAnsi="新宋体" w:eastAsia="新宋体" w:cs="新宋体"/>
                <w:b w:val="0"/>
                <w:bCs w:val="0"/>
                <w:i w:val="0"/>
                <w:iCs w:val="0"/>
                <w:color w:val="auto"/>
                <w:kern w:val="0"/>
                <w:sz w:val="22"/>
                <w:szCs w:val="22"/>
                <w:highlight w:val="none"/>
                <w:u w:val="none"/>
                <w:lang w:val="en-US" w:eastAsia="zh-CN" w:bidi="ar"/>
              </w:rPr>
              <w:t>：分别有片刀，砍刀，水果刀和剪刀各一把（仿真）</w:t>
            </w:r>
          </w:p>
          <w:p w14:paraId="2253015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9、仿真食材</w:t>
            </w:r>
            <w:r>
              <w:rPr>
                <w:rFonts w:hint="eastAsia" w:ascii="新宋体" w:hAnsi="新宋体" w:eastAsia="新宋体" w:cs="新宋体"/>
                <w:b w:val="0"/>
                <w:bCs w:val="0"/>
                <w:i w:val="0"/>
                <w:iCs w:val="0"/>
                <w:color w:val="auto"/>
                <w:kern w:val="0"/>
                <w:sz w:val="22"/>
                <w:szCs w:val="22"/>
                <w:highlight w:val="none"/>
                <w:u w:val="none"/>
                <w:lang w:val="en-US" w:eastAsia="zh-CN" w:bidi="ar"/>
              </w:rPr>
              <w:t>：有仿真蔬菜类，仿真水果类，仿真肉食类</w:t>
            </w:r>
          </w:p>
          <w:p w14:paraId="437CA8B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10、调味盒套装</w:t>
            </w:r>
            <w:r>
              <w:rPr>
                <w:rFonts w:hint="eastAsia" w:ascii="新宋体" w:hAnsi="新宋体" w:eastAsia="新宋体" w:cs="新宋体"/>
                <w:b w:val="0"/>
                <w:bCs w:val="0"/>
                <w:i w:val="0"/>
                <w:iCs w:val="0"/>
                <w:color w:val="auto"/>
                <w:kern w:val="0"/>
                <w:sz w:val="22"/>
                <w:szCs w:val="22"/>
                <w:highlight w:val="none"/>
                <w:u w:val="none"/>
                <w:lang w:val="en-US" w:eastAsia="zh-CN" w:bidi="ar"/>
              </w:rPr>
              <w:t>：一套三个有调味盒，带调味架</w:t>
            </w:r>
          </w:p>
          <w:p w14:paraId="660AADF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11、微波炉</w:t>
            </w:r>
            <w:r>
              <w:rPr>
                <w:rFonts w:hint="eastAsia" w:ascii="新宋体" w:hAnsi="新宋体" w:eastAsia="新宋体" w:cs="新宋体"/>
                <w:b w:val="0"/>
                <w:bCs w:val="0"/>
                <w:i w:val="0"/>
                <w:iCs w:val="0"/>
                <w:color w:val="auto"/>
                <w:kern w:val="0"/>
                <w:sz w:val="22"/>
                <w:szCs w:val="22"/>
                <w:highlight w:val="none"/>
                <w:u w:val="none"/>
                <w:lang w:val="en-US" w:eastAsia="zh-CN" w:bidi="ar"/>
              </w:rPr>
              <w:t>：仿真材料，带指示灯。</w:t>
            </w:r>
          </w:p>
          <w:p w14:paraId="28C2C60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12、挂钩一套、清洗用品一套、垃圾桶1个</w:t>
            </w:r>
            <w:r>
              <w:rPr>
                <w:rFonts w:hint="eastAsia" w:ascii="新宋体" w:hAnsi="新宋体" w:eastAsia="新宋体" w:cs="新宋体"/>
                <w:b w:val="0"/>
                <w:bCs w:val="0"/>
                <w:i w:val="0"/>
                <w:iCs w:val="0"/>
                <w:color w:val="auto"/>
                <w:kern w:val="0"/>
                <w:sz w:val="22"/>
                <w:szCs w:val="22"/>
                <w:highlight w:val="none"/>
                <w:u w:val="none"/>
                <w:lang w:val="en-US" w:eastAsia="zh-CN" w:bidi="ar"/>
              </w:rPr>
              <w:t>。</w:t>
            </w:r>
          </w:p>
          <w:p w14:paraId="2173D74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13、抽排烟系统</w:t>
            </w:r>
          </w:p>
          <w:p w14:paraId="0814443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14、烤箱</w:t>
            </w:r>
            <w:r>
              <w:rPr>
                <w:rFonts w:hint="eastAsia" w:ascii="新宋体" w:hAnsi="新宋体" w:eastAsia="新宋体" w:cs="新宋体"/>
                <w:b w:val="0"/>
                <w:bCs w:val="0"/>
                <w:i w:val="0"/>
                <w:iCs w:val="0"/>
                <w:color w:val="auto"/>
                <w:kern w:val="0"/>
                <w:sz w:val="22"/>
                <w:szCs w:val="22"/>
                <w:highlight w:val="none"/>
                <w:u w:val="none"/>
                <w:lang w:val="en-US" w:eastAsia="zh-CN" w:bidi="ar"/>
              </w:rPr>
              <w:t>：30（±5%）*30（±5%）*50（±5%）cm</w:t>
            </w:r>
          </w:p>
          <w:p w14:paraId="2DE157C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15、配备定制收纳工具2个</w:t>
            </w:r>
            <w:r>
              <w:rPr>
                <w:rFonts w:hint="eastAsia" w:ascii="新宋体" w:hAnsi="新宋体" w:eastAsia="新宋体" w:cs="新宋体"/>
                <w:b w:val="0"/>
                <w:bCs w:val="0"/>
                <w:i w:val="0"/>
                <w:iCs w:val="0"/>
                <w:color w:val="auto"/>
                <w:kern w:val="0"/>
                <w:sz w:val="22"/>
                <w:szCs w:val="22"/>
                <w:highlight w:val="none"/>
                <w:u w:val="none"/>
                <w:lang w:val="en-US" w:eastAsia="zh-CN" w:bidi="ar"/>
              </w:rPr>
              <w:t>，</w:t>
            </w:r>
          </w:p>
          <w:p w14:paraId="3C1760D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规格：（长*宽*高）150（±10%）*40（±10%）*85（±10%）cm，实木柜原木色，带门，三开门</w:t>
            </w:r>
          </w:p>
        </w:tc>
      </w:tr>
      <w:tr w14:paraId="4593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9" w:type="dxa"/>
            <w:vAlign w:val="center"/>
          </w:tcPr>
          <w:p w14:paraId="1BD984BA">
            <w:pPr>
              <w:keepNext w:val="0"/>
              <w:keepLines w:val="0"/>
              <w:pageBreakBefore w:val="0"/>
              <w:widowControl/>
              <w:numPr>
                <w:ilvl w:val="0"/>
                <w:numId w:val="2"/>
              </w:numPr>
              <w:suppressLineNumbers w:val="0"/>
              <w:kinsoku/>
              <w:wordWrap/>
              <w:overflowPunct/>
              <w:topLinePunct w:val="0"/>
              <w:autoSpaceDE/>
              <w:autoSpaceDN/>
              <w:bidi w:val="0"/>
              <w:adjustRightInd/>
              <w:snapToGrid/>
              <w:spacing w:line="460" w:lineRule="exact"/>
              <w:ind w:left="425" w:leftChars="0" w:hanging="425" w:firstLineChars="0"/>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660" w:type="dxa"/>
            <w:vMerge w:val="restart"/>
            <w:vAlign w:val="center"/>
          </w:tcPr>
          <w:p w14:paraId="3A4B300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评定室6301</w:t>
            </w:r>
          </w:p>
        </w:tc>
        <w:tc>
          <w:tcPr>
            <w:tcW w:w="1610" w:type="dxa"/>
            <w:vAlign w:val="center"/>
          </w:tcPr>
          <w:p w14:paraId="7A18F5E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电动升降诊疗床</w:t>
            </w:r>
          </w:p>
        </w:tc>
        <w:tc>
          <w:tcPr>
            <w:tcW w:w="763" w:type="dxa"/>
            <w:vAlign w:val="center"/>
          </w:tcPr>
          <w:p w14:paraId="06F5F1E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1张</w:t>
            </w:r>
          </w:p>
        </w:tc>
        <w:tc>
          <w:tcPr>
            <w:tcW w:w="11073" w:type="dxa"/>
            <w:vAlign w:val="center"/>
          </w:tcPr>
          <w:p w14:paraId="7E43395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一、正常工作条件</w:t>
            </w:r>
          </w:p>
          <w:p w14:paraId="2DA2EAB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1、环境温度：+5 ℃～+40 ℃；</w:t>
            </w:r>
          </w:p>
          <w:p w14:paraId="0A08EFA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2、相对湿度：≤80%；</w:t>
            </w:r>
          </w:p>
          <w:p w14:paraId="64F6D0A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3、大气压力：860 hPa～1060 hPa；</w:t>
            </w:r>
          </w:p>
          <w:p w14:paraId="046A25A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4、电源：AC220 V±22 V、50 Hz±1 Hz。</w:t>
            </w:r>
          </w:p>
          <w:p w14:paraId="1CE627A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二、主要技术指标和参数</w:t>
            </w:r>
          </w:p>
          <w:p w14:paraId="794DDB2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1、外形尺寸：2000mm×650mm×500mm，允差10%</w:t>
            </w:r>
          </w:p>
          <w:p w14:paraId="2243B8F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2、床面高度调节范围：500mm～750mm</w:t>
            </w:r>
          </w:p>
          <w:p w14:paraId="06140E7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3、头板翻转角度：-20°～40°</w:t>
            </w:r>
          </w:p>
          <w:p w14:paraId="574F481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4、腿板翻转角度：0°～40°</w:t>
            </w:r>
          </w:p>
          <w:p w14:paraId="483DB5B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5、床板总尺寸：2020mm×620mm</w:t>
            </w:r>
          </w:p>
          <w:p w14:paraId="05307D7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6、头板尺寸：360mm×620mm</w:t>
            </w:r>
          </w:p>
          <w:p w14:paraId="1A53E31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7、背板尺寸：530mm×620mm</w:t>
            </w:r>
          </w:p>
          <w:p w14:paraId="6A463BE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8、腿板尺寸：1050mm×620mm  允差10%</w:t>
            </w:r>
          </w:p>
          <w:p w14:paraId="014C81A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9、床板安全工作载荷/N：1700N</w:t>
            </w:r>
          </w:p>
          <w:p w14:paraId="3E7E8CA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10、升降床架的安全工作载荷/N：2200N</w:t>
            </w:r>
          </w:p>
          <w:p w14:paraId="19E6FD4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11、床的质量：130kg</w:t>
            </w:r>
          </w:p>
          <w:p w14:paraId="19E5667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12、输入功率：200VA                                           </w:t>
            </w:r>
          </w:p>
          <w:p w14:paraId="5233A7B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13、框架材质：铁框架加表面喷塑处理                               </w:t>
            </w:r>
          </w:p>
          <w:p w14:paraId="14032E5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14、PU面料内置高回弹海绵床面1块，固定在床架上                   </w:t>
            </w:r>
          </w:p>
          <w:p w14:paraId="21B2833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15、伸缩脚轮设计，方便床身移动</w:t>
            </w:r>
          </w:p>
        </w:tc>
      </w:tr>
      <w:tr w14:paraId="560C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9" w:type="dxa"/>
            <w:vAlign w:val="center"/>
          </w:tcPr>
          <w:p w14:paraId="2ADC73AD">
            <w:pPr>
              <w:keepNext w:val="0"/>
              <w:keepLines w:val="0"/>
              <w:pageBreakBefore w:val="0"/>
              <w:widowControl/>
              <w:numPr>
                <w:ilvl w:val="0"/>
                <w:numId w:val="2"/>
              </w:numPr>
              <w:suppressLineNumbers w:val="0"/>
              <w:kinsoku/>
              <w:wordWrap/>
              <w:overflowPunct/>
              <w:topLinePunct w:val="0"/>
              <w:autoSpaceDE/>
              <w:autoSpaceDN/>
              <w:bidi w:val="0"/>
              <w:adjustRightInd/>
              <w:snapToGrid/>
              <w:spacing w:line="460" w:lineRule="exact"/>
              <w:ind w:left="425" w:leftChars="0" w:hanging="425" w:firstLineChars="0"/>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660" w:type="dxa"/>
            <w:vMerge w:val="continue"/>
            <w:vAlign w:val="center"/>
          </w:tcPr>
          <w:p w14:paraId="79161D9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1610" w:type="dxa"/>
            <w:vAlign w:val="center"/>
          </w:tcPr>
          <w:p w14:paraId="7813C0A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peabody运动发育评估工具箱</w:t>
            </w:r>
          </w:p>
        </w:tc>
        <w:tc>
          <w:tcPr>
            <w:tcW w:w="763" w:type="dxa"/>
            <w:vAlign w:val="center"/>
          </w:tcPr>
          <w:p w14:paraId="56498E0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1套</w:t>
            </w:r>
          </w:p>
        </w:tc>
        <w:tc>
          <w:tcPr>
            <w:tcW w:w="11073" w:type="dxa"/>
            <w:vAlign w:val="center"/>
          </w:tcPr>
          <w:p w14:paraId="7A4342F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一、主要配置：</w:t>
            </w:r>
          </w:p>
          <w:p w14:paraId="3B13E7F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双层整理箱一个，需包含球类、绳、线、杯子、日常用品、积木、拼图、图片、卡片、嵌板、玩具、工具、珠、丸、扣、娃娃、盒子等100种以上，适合国内五大智能发育筛查量表。</w:t>
            </w:r>
          </w:p>
          <w:p w14:paraId="4289C53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二、技术指标：</w:t>
            </w:r>
          </w:p>
          <w:p w14:paraId="57D9E90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1、使用环境：温度：10℃-30℃,相对湿度：≤80%,大气压：70kPa-106 kPa</w:t>
            </w:r>
          </w:p>
          <w:p w14:paraId="4F016CB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2、箱子规格：约60CM×35CM×30CM ，重量：约10Kg</w:t>
            </w:r>
          </w:p>
          <w:p w14:paraId="1EC944E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3、测试要求：测试室环境整洁、安静、主试者、被试者及监护人各一个；无电磁干扰、无振动、无尘洁净                                    </w:t>
            </w:r>
          </w:p>
          <w:p w14:paraId="43D8D6C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三、配备其他物件：</w:t>
            </w:r>
          </w:p>
          <w:p w14:paraId="60CA302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新宋体" w:hAnsi="新宋体" w:eastAsia="新宋体" w:cs="新宋体"/>
                <w:b/>
                <w:bCs/>
                <w:i w:val="0"/>
                <w:iCs w:val="0"/>
                <w:color w:val="auto"/>
                <w:kern w:val="0"/>
                <w:sz w:val="24"/>
                <w:szCs w:val="24"/>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1、评定桌椅1套</w:t>
            </w:r>
          </w:p>
          <w:p w14:paraId="26D173C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桌子：（长*宽*高）120*60*72cm（±5%），实木柜原木色，带柜子；</w:t>
            </w:r>
          </w:p>
          <w:p w14:paraId="1434104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椅子:乳胶坐垫，透气网布，品质钢管，带扶手，坐垫45*45cm（±3%）,坐高42cm（±3%），总高110cm（±3%）                               </w:t>
            </w:r>
          </w:p>
          <w:p w14:paraId="60786DF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bCs/>
                <w:i w:val="0"/>
                <w:iCs w:val="0"/>
                <w:color w:val="auto"/>
                <w:kern w:val="0"/>
                <w:sz w:val="24"/>
                <w:szCs w:val="24"/>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2、握力计2个：</w:t>
            </w:r>
          </w:p>
          <w:p w14:paraId="71DF4B9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技术参数测量范围：0～99.9kg 分度值：0.1kg，示值误差：1﹪F.S，电源：一节9V叠式电池（自备）或外接式</w:t>
            </w:r>
          </w:p>
          <w:p w14:paraId="0344EE8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AC(220)∕DC∕(9V)稳压器，工作环境：0～40℃﹤90﹪RT,贮存温度-10～50℃﹤75RT，</w:t>
            </w:r>
          </w:p>
          <w:p w14:paraId="37C8323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功 能：握力峰值保持，开关∕清零定时关机，过载指示。</w:t>
            </w:r>
          </w:p>
          <w:p w14:paraId="66FFAB2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规格(cm)：19×16×5，18×14×2，质量：1.1kg，用途：测试手指抓握力量，备注：电池 ；                                                  </w:t>
            </w:r>
            <w:r>
              <w:rPr>
                <w:rFonts w:hint="eastAsia" w:ascii="新宋体" w:hAnsi="新宋体" w:eastAsia="新宋体" w:cs="新宋体"/>
                <w:b/>
                <w:bCs/>
                <w:i w:val="0"/>
                <w:iCs w:val="0"/>
                <w:color w:val="auto"/>
                <w:kern w:val="0"/>
                <w:sz w:val="24"/>
                <w:szCs w:val="24"/>
                <w:highlight w:val="none"/>
                <w:u w:val="none"/>
                <w:lang w:val="en-US" w:eastAsia="zh-CN" w:bidi="ar"/>
              </w:rPr>
              <w:t>3、秒表2个</w:t>
            </w:r>
            <w:r>
              <w:rPr>
                <w:rFonts w:hint="eastAsia" w:ascii="新宋体" w:hAnsi="新宋体" w:eastAsia="新宋体" w:cs="新宋体"/>
                <w:b w:val="0"/>
                <w:bCs w:val="0"/>
                <w:i w:val="0"/>
                <w:iCs w:val="0"/>
                <w:color w:val="auto"/>
                <w:kern w:val="0"/>
                <w:sz w:val="22"/>
                <w:szCs w:val="22"/>
                <w:highlight w:val="none"/>
                <w:u w:val="none"/>
                <w:lang w:val="en-US" w:eastAsia="zh-CN" w:bidi="ar"/>
              </w:rPr>
              <w:t>：用途：各种运动及测评计时用，规格(cm)：8×6×2，质量：0.1kg，备注：电池。</w:t>
            </w:r>
          </w:p>
        </w:tc>
      </w:tr>
      <w:tr w14:paraId="4110F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9" w:type="dxa"/>
            <w:vAlign w:val="center"/>
          </w:tcPr>
          <w:p w14:paraId="22ADFF21">
            <w:pPr>
              <w:keepNext w:val="0"/>
              <w:keepLines w:val="0"/>
              <w:pageBreakBefore w:val="0"/>
              <w:widowControl/>
              <w:numPr>
                <w:ilvl w:val="0"/>
                <w:numId w:val="2"/>
              </w:numPr>
              <w:suppressLineNumbers w:val="0"/>
              <w:kinsoku/>
              <w:wordWrap/>
              <w:overflowPunct/>
              <w:topLinePunct w:val="0"/>
              <w:autoSpaceDE/>
              <w:autoSpaceDN/>
              <w:bidi w:val="0"/>
              <w:adjustRightInd/>
              <w:snapToGrid/>
              <w:spacing w:line="460" w:lineRule="exact"/>
              <w:ind w:left="425" w:leftChars="0" w:hanging="425" w:firstLineChars="0"/>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660" w:type="dxa"/>
            <w:vMerge w:val="continue"/>
            <w:vAlign w:val="center"/>
          </w:tcPr>
          <w:p w14:paraId="7395120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1610" w:type="dxa"/>
            <w:vAlign w:val="center"/>
          </w:tcPr>
          <w:p w14:paraId="4F61829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背力计</w:t>
            </w:r>
          </w:p>
        </w:tc>
        <w:tc>
          <w:tcPr>
            <w:tcW w:w="763" w:type="dxa"/>
            <w:vAlign w:val="center"/>
          </w:tcPr>
          <w:p w14:paraId="63893D6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2个</w:t>
            </w:r>
          </w:p>
        </w:tc>
        <w:tc>
          <w:tcPr>
            <w:tcW w:w="11073" w:type="dxa"/>
            <w:vAlign w:val="center"/>
          </w:tcPr>
          <w:p w14:paraId="1250D5E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用途：测试腰背部肌肉力量</w:t>
            </w:r>
          </w:p>
          <w:p w14:paraId="518E4E6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技术参数</w:t>
            </w:r>
          </w:p>
          <w:p w14:paraId="31BDA65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测量范围：0～400kg  分度值：1kg   示值误差：1/400F.S</w:t>
            </w:r>
          </w:p>
          <w:p w14:paraId="332D877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电   源：交流220伏  工作环境：0～40℃﹤90﹪RT,贮存温度-10～50℃                </w:t>
            </w:r>
          </w:p>
          <w:p w14:paraId="6BE0057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功   能：背力峰值保持，开关/清零，定时关机 </w:t>
            </w:r>
          </w:p>
          <w:p w14:paraId="29C1969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规格（cm）：约为34×35×8，19×13×4</w:t>
            </w:r>
          </w:p>
          <w:p w14:paraId="496A180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质量：4.0kg   用途：测试腰背部肌肉力量  备注：电池</w:t>
            </w:r>
          </w:p>
        </w:tc>
      </w:tr>
      <w:tr w14:paraId="42D0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9" w:type="dxa"/>
            <w:vAlign w:val="center"/>
          </w:tcPr>
          <w:p w14:paraId="0856E85D">
            <w:pPr>
              <w:keepNext w:val="0"/>
              <w:keepLines w:val="0"/>
              <w:pageBreakBefore w:val="0"/>
              <w:widowControl/>
              <w:numPr>
                <w:ilvl w:val="0"/>
                <w:numId w:val="2"/>
              </w:numPr>
              <w:suppressLineNumbers w:val="0"/>
              <w:kinsoku/>
              <w:wordWrap/>
              <w:overflowPunct/>
              <w:topLinePunct w:val="0"/>
              <w:autoSpaceDE/>
              <w:autoSpaceDN/>
              <w:bidi w:val="0"/>
              <w:adjustRightInd/>
              <w:snapToGrid/>
              <w:spacing w:line="460" w:lineRule="exact"/>
              <w:ind w:left="425" w:leftChars="0" w:hanging="425" w:firstLineChars="0"/>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660" w:type="dxa"/>
            <w:vMerge w:val="continue"/>
            <w:vAlign w:val="center"/>
          </w:tcPr>
          <w:p w14:paraId="70261CB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1610" w:type="dxa"/>
            <w:vAlign w:val="center"/>
          </w:tcPr>
          <w:p w14:paraId="41BDE13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格里菲斯评估箱</w:t>
            </w:r>
          </w:p>
        </w:tc>
        <w:tc>
          <w:tcPr>
            <w:tcW w:w="763" w:type="dxa"/>
            <w:vAlign w:val="center"/>
          </w:tcPr>
          <w:p w14:paraId="55D7917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1套</w:t>
            </w:r>
          </w:p>
        </w:tc>
        <w:tc>
          <w:tcPr>
            <w:tcW w:w="11073" w:type="dxa"/>
            <w:vAlign w:val="center"/>
          </w:tcPr>
          <w:p w14:paraId="47AB315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1、适用于的儿童年龄段:0至8岁。具有国际儿童发育评估领域先进水平。</w:t>
            </w:r>
          </w:p>
          <w:p w14:paraId="4B27BAF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2、发育评估量表需包括6个领域:</w:t>
            </w:r>
          </w:p>
          <w:p w14:paraId="30D6EC0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1）运动</w:t>
            </w:r>
          </w:p>
          <w:p w14:paraId="42D3BF3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该领域测试孩子的运动技能，包括平衡性和协调控制动作的能力进行评估。测试项目包括与孩子年龄相对应的运动如:上下楼梯、踢球、骑自行车、小跳和跳跃等。</w:t>
            </w:r>
          </w:p>
          <w:p w14:paraId="2565AB4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2）个人-社会</w:t>
            </w:r>
          </w:p>
          <w:p w14:paraId="3091EF8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该领域评估孩子日常生活的熟练性，独立程度和与其他孩子的交往能力。测试项目包括与孩子年龄相对应的活动如:穿脱衣服、使用餐具、运用知识信息的能力，例如是否知道生日或住址等。</w:t>
            </w:r>
          </w:p>
          <w:p w14:paraId="5A68A07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3）语言</w:t>
            </w:r>
          </w:p>
          <w:p w14:paraId="16682C7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该领域测试孩子接受和表达语言的能力。测试的项目包括与孩子年龄相对应的活动如:说出物体的颜色和名称，重复话语以及描述一副图画并回答一系列关于内容的相同点/不同点的问题等。</w:t>
            </w:r>
          </w:p>
          <w:p w14:paraId="724F6D0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4）手眼协调</w:t>
            </w:r>
          </w:p>
          <w:p w14:paraId="6A29045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该领域评估孩子精细运动的技巧，手部灵巧性和视觉追踪能力。使用的项目包括与孩子年龄相对应的活动如:串珠子、用剪刀剪、复制图形、写字母和数字等。</w:t>
            </w:r>
          </w:p>
          <w:p w14:paraId="0CCA89B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5）表现</w:t>
            </w:r>
          </w:p>
          <w:p w14:paraId="1AABC0F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该领域测试孩子视觉空间能力，包括工作的速度及准确性。测试的项目包括与孩子年龄相对应的活动如:搭建桥或楼梯，完成拼图和模型制作等。</w:t>
            </w:r>
          </w:p>
          <w:p w14:paraId="2E78BD2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6）实际推理</w:t>
            </w:r>
          </w:p>
          <w:p w14:paraId="78102C7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该领域评估孩子实际解决问题的能力，对数学基本概念的理解及有关道德和顺序问题的理解。测试的项目包括与孩子年龄相对应的活动如:数数，比较大小，形状，高矮。这个领域也测试孩子对日期的理解，视觉排序能力及对错与对的认识与理解</w:t>
            </w:r>
          </w:p>
          <w:p w14:paraId="0782457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3、该测量表包括的工具及其材料对儿童安全无害，符合国家标准         </w:t>
            </w:r>
          </w:p>
          <w:p w14:paraId="75D7857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4、配备定制收纳工具1个，</w:t>
            </w:r>
          </w:p>
          <w:p w14:paraId="54E6C86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规格：（长*宽*高）85（±10%）*40（±10%）*200（±10%）cm，实木柜原木色，带门。                           </w:t>
            </w:r>
          </w:p>
          <w:p w14:paraId="1CF8D13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5、配备其他物件：</w:t>
            </w:r>
            <w:r>
              <w:rPr>
                <w:rFonts w:hint="eastAsia" w:ascii="新宋体" w:hAnsi="新宋体" w:eastAsia="新宋体" w:cs="新宋体"/>
                <w:b/>
                <w:bCs/>
                <w:i w:val="0"/>
                <w:iCs w:val="0"/>
                <w:color w:val="auto"/>
                <w:kern w:val="0"/>
                <w:sz w:val="24"/>
                <w:szCs w:val="24"/>
                <w:highlight w:val="none"/>
                <w:u w:val="none"/>
                <w:lang w:val="en-US" w:eastAsia="zh-CN" w:bidi="ar"/>
              </w:rPr>
              <w:t>多功能关节测量仪2个：</w:t>
            </w:r>
          </w:p>
          <w:p w14:paraId="20F89BC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6、主要技术指标和参数；</w:t>
            </w:r>
          </w:p>
          <w:p w14:paraId="6CC1E14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1）规格（长×宽×高）：200mm×80mm×90mm；</w:t>
            </w:r>
          </w:p>
          <w:p w14:paraId="57A34EB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2）表盘直径：≥65mm；</w:t>
            </w:r>
          </w:p>
          <w:p w14:paraId="4B781B4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3）表盘的旋转角度：0°～360°</w:t>
            </w:r>
          </w:p>
        </w:tc>
      </w:tr>
      <w:tr w14:paraId="2160B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9" w:type="dxa"/>
            <w:vAlign w:val="center"/>
          </w:tcPr>
          <w:p w14:paraId="3788EE28">
            <w:pPr>
              <w:keepNext w:val="0"/>
              <w:keepLines w:val="0"/>
              <w:pageBreakBefore w:val="0"/>
              <w:widowControl/>
              <w:numPr>
                <w:ilvl w:val="0"/>
                <w:numId w:val="2"/>
              </w:numPr>
              <w:suppressLineNumbers w:val="0"/>
              <w:kinsoku/>
              <w:wordWrap/>
              <w:overflowPunct/>
              <w:topLinePunct w:val="0"/>
              <w:autoSpaceDE/>
              <w:autoSpaceDN/>
              <w:bidi w:val="0"/>
              <w:adjustRightInd/>
              <w:snapToGrid/>
              <w:spacing w:line="460" w:lineRule="exact"/>
              <w:ind w:left="425" w:leftChars="0" w:hanging="425" w:firstLineChars="0"/>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660" w:type="dxa"/>
            <w:vMerge w:val="continue"/>
            <w:vAlign w:val="center"/>
          </w:tcPr>
          <w:p w14:paraId="0485CAC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1610" w:type="dxa"/>
            <w:vAlign w:val="center"/>
          </w:tcPr>
          <w:p w14:paraId="7446BF7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注意力评估训练仪</w:t>
            </w:r>
          </w:p>
        </w:tc>
        <w:tc>
          <w:tcPr>
            <w:tcW w:w="763" w:type="dxa"/>
            <w:vAlign w:val="center"/>
          </w:tcPr>
          <w:p w14:paraId="45F2A7B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1套</w:t>
            </w:r>
          </w:p>
        </w:tc>
        <w:tc>
          <w:tcPr>
            <w:tcW w:w="11073" w:type="dxa"/>
            <w:vAlign w:val="center"/>
          </w:tcPr>
          <w:p w14:paraId="6D6284B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共同注意力训练系统是在计算机辅助下建立的，适合孤独症谱系障碍儿童的共同注意力训练方法。</w:t>
            </w:r>
          </w:p>
          <w:p w14:paraId="3F31D10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一、观察评估：                                            </w:t>
            </w:r>
          </w:p>
          <w:p w14:paraId="333F543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1.对孤独症、发展迟缓等障碍类型的共同注意、要求、社会互动三类非言语沟通行为进测量评估，需包含测试指南、开始评估、结果记录三个步骤。</w:t>
            </w:r>
          </w:p>
          <w:p w14:paraId="078145D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测试类型至少包含：儿童生长发育测试分析、儿童动作及神经测评分析、儿童智力能力测评分析、儿童注意力多动症测评分析、儿童行为测试分析、儿童孤独-自闭症测试、儿童抽动症测试分析、儿童焦虑测试分析、儿童抑郁测试分析、儿童心理健康测评分析等相关评定工具。（提供说明书或第三方检测报告）</w:t>
            </w:r>
          </w:p>
          <w:p w14:paraId="4C88384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二、智能评估：                                             </w:t>
            </w:r>
          </w:p>
          <w:p w14:paraId="21DD27D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通过游戏化测评题目对儿童共同注意力七个阶段（对另一游戏的反应、对发出声音的游戏的反应、对展示的游戏的反应、眼神接触、跟随手视线指示、注视交替）的能力水平进行单项或多项的智能评估，自动生成评估报告，并形成训练方案，儿童档案、测试报告存储、打印于一体，可随时查询和打印历次健康档案。</w:t>
            </w:r>
          </w:p>
          <w:p w14:paraId="6514BC7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三、启蒙训练:                                                 </w:t>
            </w:r>
          </w:p>
          <w:p w14:paraId="24F242D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通过视觉追踪的游戏任务对儿童的视觉追视、追随跟踪能力进行启蒙训练，提供音乐、提示、辅助、强化、休息等功能，实现个性化的启蒙训练课程。</w:t>
            </w:r>
          </w:p>
          <w:p w14:paraId="7996DAC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四、阶段训练：                                             </w:t>
            </w:r>
          </w:p>
          <w:p w14:paraId="275AFA5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通过双任务、视觉指示等游戏化训练任务对儿童的共同注意力进行阶段性训练及拓展训练，包含对另一游戏的反应、对发出声音的游戏的反应、对展示的游戏的反应、眼神接触、跟随手\视线指示、注视交替、七个阶段以及拓展阶段等训练模块，每个阶段均提供3个及以上级别训练以及训练内容设置，提供音乐、提示、辅助、强化、休息等功能，实现个性化的阶段式康复训练课程。</w:t>
            </w:r>
          </w:p>
          <w:p w14:paraId="104C3EE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五、提高训练：                                             </w:t>
            </w:r>
          </w:p>
          <w:p w14:paraId="7888E38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通过人物模仿、社交互动等游戏任务，对儿童的共同注意力、社交技能进行提高训练，包含模仿训练、互动训练、图画书训练等模块。其中模仿训练提供上肢、下肢、脸部、发音、表情、日常以及数数等模仿训练；互动训练可进行各种动作和表情互动，以及数数、发音等简单的认知学习；图画训练提供动物图册和蔬果图册两种训练内容，可进行动物、蔬果的互动学习。   </w:t>
            </w:r>
          </w:p>
          <w:p w14:paraId="69BBB78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六、需具有互动面板功能，伴有语音提示，适合儿童测试，操作简单易懂</w:t>
            </w:r>
          </w:p>
          <w:p w14:paraId="53D4666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七、具有语音播报功能，测试时有声播报图片、词汇和语音自动提示功能。                                                            八、支持背景音乐，可以在测验或训练时聆听好听的轻音乐，便于让儿童放松心情更好的进行测验与训练，背景引用也支持自定义音乐，可以将喜欢的mp3文件放到指定文件夹进行增加或替换。</w:t>
            </w:r>
          </w:p>
          <w:p w14:paraId="31628DF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九、产品组成 </w:t>
            </w:r>
          </w:p>
          <w:p w14:paraId="205F93A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主要由定制机箱(内置麦克风)、高清摄像头、儿童注意力测试仪软件、工作台、无线键鼠、加密狗、医用台车等组成。</w:t>
            </w:r>
          </w:p>
          <w:p w14:paraId="5E2E8FF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十、软件运行环境</w:t>
            </w:r>
          </w:p>
          <w:p w14:paraId="6C56AF0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1、内存：4G或以上；</w:t>
            </w:r>
          </w:p>
          <w:p w14:paraId="6A3EE35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2、显卡：集成显卡或以上；</w:t>
            </w:r>
          </w:p>
          <w:p w14:paraId="3C92A2D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3、声卡：集成声卡</w:t>
            </w:r>
          </w:p>
          <w:p w14:paraId="01B674F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4、操作系统支持多个系统；</w:t>
            </w:r>
          </w:p>
        </w:tc>
      </w:tr>
      <w:tr w14:paraId="07EC2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9" w:type="dxa"/>
            <w:vAlign w:val="center"/>
          </w:tcPr>
          <w:p w14:paraId="3C8CF054">
            <w:pPr>
              <w:keepNext w:val="0"/>
              <w:keepLines w:val="0"/>
              <w:pageBreakBefore w:val="0"/>
              <w:widowControl/>
              <w:numPr>
                <w:ilvl w:val="0"/>
                <w:numId w:val="2"/>
              </w:numPr>
              <w:suppressLineNumbers w:val="0"/>
              <w:kinsoku/>
              <w:wordWrap/>
              <w:overflowPunct/>
              <w:topLinePunct w:val="0"/>
              <w:autoSpaceDE/>
              <w:autoSpaceDN/>
              <w:bidi w:val="0"/>
              <w:adjustRightInd/>
              <w:snapToGrid/>
              <w:spacing w:line="460" w:lineRule="exact"/>
              <w:ind w:left="425" w:leftChars="0" w:hanging="425" w:firstLineChars="0"/>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660" w:type="dxa"/>
            <w:vMerge w:val="restart"/>
            <w:vAlign w:val="center"/>
          </w:tcPr>
          <w:p w14:paraId="3A89DDC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理疗室</w:t>
            </w:r>
          </w:p>
        </w:tc>
        <w:tc>
          <w:tcPr>
            <w:tcW w:w="1610" w:type="dxa"/>
            <w:vAlign w:val="center"/>
          </w:tcPr>
          <w:p w14:paraId="42AED8D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便携式超声治疗仪</w:t>
            </w:r>
          </w:p>
        </w:tc>
        <w:tc>
          <w:tcPr>
            <w:tcW w:w="763" w:type="dxa"/>
            <w:vAlign w:val="center"/>
          </w:tcPr>
          <w:p w14:paraId="2FC687B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1台</w:t>
            </w:r>
          </w:p>
        </w:tc>
        <w:tc>
          <w:tcPr>
            <w:tcW w:w="11073" w:type="dxa"/>
            <w:vAlign w:val="center"/>
          </w:tcPr>
          <w:p w14:paraId="65C1BD7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1、便携式机型，3.5寸彩色液晶显示加一键飞梭操作。</w:t>
            </w:r>
          </w:p>
          <w:p w14:paraId="4C07AE3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2、仪器配有一个手持移动式1MHz探头。</w:t>
            </w:r>
          </w:p>
          <w:p w14:paraId="201C7C2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3、输入功率：100VA。</w:t>
            </w:r>
          </w:p>
          <w:p w14:paraId="1BD2106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4、额定输出功率：5W±20%。</w:t>
            </w:r>
          </w:p>
          <w:p w14:paraId="5A0F7A6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5、绝对最大有效声强：≤3.0W/cm2。</w:t>
            </w:r>
          </w:p>
          <w:p w14:paraId="29AABBD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6、波束类型：准直型。</w:t>
            </w:r>
          </w:p>
          <w:p w14:paraId="5426FC4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7、波束不均匀系数：≤8.0。</w:t>
            </w:r>
          </w:p>
          <w:p w14:paraId="6A0C275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8、十种占空比：10%～100%可调，步进为10%。</w:t>
            </w:r>
          </w:p>
          <w:p w14:paraId="49060BC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9、治疗时间：≤30分钟。</w:t>
            </w:r>
          </w:p>
          <w:p w14:paraId="510CF22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10、输出模式：9档脉冲模式和连续模式  </w:t>
            </w:r>
          </w:p>
          <w:p w14:paraId="2D4B56C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bCs/>
                <w:i w:val="0"/>
                <w:iCs w:val="0"/>
                <w:color w:val="auto"/>
                <w:kern w:val="0"/>
                <w:sz w:val="24"/>
                <w:szCs w:val="24"/>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11、配备定制收纳工具1个，</w:t>
            </w:r>
          </w:p>
          <w:p w14:paraId="09C745F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材质:生态板，宽(W)*深(D)*高(H)：100*30*100cm（±5%） </w:t>
            </w:r>
          </w:p>
          <w:p w14:paraId="6359A02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结构：板式结构，仿生设计，中间储物层板格</w:t>
            </w:r>
          </w:p>
          <w:p w14:paraId="3612B6E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板材优势：E0及环保生态板甲醛含量≤0.5mg/L，抗划耐刮，安全环保是环保性很高的板材，可以有效防止酸碱、油污等的侵蚀，表面平整度高，颜色亮丽，容易清洗维护  </w:t>
            </w:r>
          </w:p>
          <w:p w14:paraId="411E435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12、具有医疗器械注册证。</w:t>
            </w: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    </w:t>
            </w:r>
          </w:p>
        </w:tc>
      </w:tr>
      <w:tr w14:paraId="02955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9" w:type="dxa"/>
            <w:vAlign w:val="center"/>
          </w:tcPr>
          <w:p w14:paraId="2D9DD3DC">
            <w:pPr>
              <w:keepNext w:val="0"/>
              <w:keepLines w:val="0"/>
              <w:pageBreakBefore w:val="0"/>
              <w:widowControl/>
              <w:numPr>
                <w:ilvl w:val="0"/>
                <w:numId w:val="2"/>
              </w:numPr>
              <w:suppressLineNumbers w:val="0"/>
              <w:kinsoku/>
              <w:wordWrap/>
              <w:overflowPunct/>
              <w:topLinePunct w:val="0"/>
              <w:autoSpaceDE/>
              <w:autoSpaceDN/>
              <w:bidi w:val="0"/>
              <w:adjustRightInd/>
              <w:snapToGrid/>
              <w:spacing w:line="460" w:lineRule="exact"/>
              <w:ind w:left="425" w:leftChars="0" w:hanging="425" w:firstLineChars="0"/>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660" w:type="dxa"/>
            <w:vMerge w:val="continue"/>
            <w:vAlign w:val="center"/>
          </w:tcPr>
          <w:p w14:paraId="63F7FD2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1610" w:type="dxa"/>
            <w:vAlign w:val="center"/>
          </w:tcPr>
          <w:p w14:paraId="24F9779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理疗床</w:t>
            </w:r>
          </w:p>
        </w:tc>
        <w:tc>
          <w:tcPr>
            <w:tcW w:w="763" w:type="dxa"/>
            <w:vAlign w:val="center"/>
          </w:tcPr>
          <w:p w14:paraId="7E2D2E9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1张</w:t>
            </w:r>
          </w:p>
        </w:tc>
        <w:tc>
          <w:tcPr>
            <w:tcW w:w="11073" w:type="dxa"/>
            <w:vAlign w:val="center"/>
          </w:tcPr>
          <w:p w14:paraId="631D0C3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1、结构型式：床面、床架、垫子</w:t>
            </w:r>
          </w:p>
          <w:p w14:paraId="11A7966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2、材质：静电喷塑架、高回弹海绵、PU床面</w:t>
            </w:r>
          </w:p>
          <w:p w14:paraId="5D0036D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3、参考规格(cm)：180×70×65</w:t>
            </w:r>
          </w:p>
          <w:p w14:paraId="5D17040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4、参考床面尺寸(长×宽)cm：180×70</w:t>
            </w:r>
          </w:p>
          <w:p w14:paraId="7F017CE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5、床面高度cm：≤65</w:t>
            </w:r>
          </w:p>
          <w:p w14:paraId="614580B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6、额定载荷：≥135.0kg</w:t>
            </w:r>
          </w:p>
        </w:tc>
      </w:tr>
      <w:tr w14:paraId="5E882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9" w:type="dxa"/>
            <w:vAlign w:val="center"/>
          </w:tcPr>
          <w:p w14:paraId="43392177">
            <w:pPr>
              <w:keepNext w:val="0"/>
              <w:keepLines w:val="0"/>
              <w:pageBreakBefore w:val="0"/>
              <w:widowControl/>
              <w:numPr>
                <w:ilvl w:val="0"/>
                <w:numId w:val="2"/>
              </w:numPr>
              <w:suppressLineNumbers w:val="0"/>
              <w:kinsoku/>
              <w:wordWrap/>
              <w:overflowPunct/>
              <w:topLinePunct w:val="0"/>
              <w:autoSpaceDE/>
              <w:autoSpaceDN/>
              <w:bidi w:val="0"/>
              <w:adjustRightInd/>
              <w:snapToGrid/>
              <w:spacing w:line="460" w:lineRule="exact"/>
              <w:ind w:left="425" w:leftChars="0" w:hanging="425" w:firstLineChars="0"/>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660" w:type="dxa"/>
            <w:vMerge w:val="continue"/>
            <w:vAlign w:val="center"/>
          </w:tcPr>
          <w:p w14:paraId="2A0441C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1610" w:type="dxa"/>
            <w:vAlign w:val="center"/>
          </w:tcPr>
          <w:p w14:paraId="142C3E6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儿童专用经颅磁</w:t>
            </w:r>
          </w:p>
        </w:tc>
        <w:tc>
          <w:tcPr>
            <w:tcW w:w="763" w:type="dxa"/>
            <w:vAlign w:val="center"/>
          </w:tcPr>
          <w:p w14:paraId="57B1ADD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1套</w:t>
            </w:r>
          </w:p>
        </w:tc>
        <w:tc>
          <w:tcPr>
            <w:tcW w:w="11073" w:type="dxa"/>
            <w:vAlign w:val="center"/>
          </w:tcPr>
          <w:p w14:paraId="3186210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1、适应症：刺激人体中枢神经和外周神经,用于人体中枢神经和外周神经功能的检测、评定、改善，对脑神经及神经损伤性疾病的辅助治疗</w:t>
            </w:r>
          </w:p>
          <w:p w14:paraId="2776BD9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2、外观结构：一体式主机，脉冲源，冷却系统高度集成，可靠性更好；非堆叠结构，稳定性好，无倾覆、坠落风险。</w:t>
            </w:r>
          </w:p>
          <w:p w14:paraId="67EEEB4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3、冷却系统：具备液态冷却系统，降低噪音，节能省电（提供证明）</w:t>
            </w:r>
          </w:p>
          <w:p w14:paraId="69C0C4C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4、刺激线圈最大磁感应强度：≥5T（提供证明）</w:t>
            </w:r>
          </w:p>
          <w:p w14:paraId="6A8DB95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5、磁感应强度的最大变化率：至少包括20KT/s～80KT/s</w:t>
            </w:r>
          </w:p>
          <w:p w14:paraId="1B4E479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6、脉冲上升时间：60μs±20μs</w:t>
            </w:r>
          </w:p>
          <w:p w14:paraId="024B947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7、输出脉冲宽度：340μs±20μs</w:t>
            </w:r>
          </w:p>
          <w:p w14:paraId="3ADE476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8、输出脉冲频率最大值：≥100Hz可调（提供证明）</w:t>
            </w:r>
          </w:p>
          <w:p w14:paraId="53643D2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9、脉冲频率允差值：±3%</w:t>
            </w:r>
          </w:p>
          <w:p w14:paraId="4CDB3C3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10、电介质强度：主机内部高压储能电容安全可靠</w:t>
            </w:r>
          </w:p>
          <w:p w14:paraId="4DAC8ED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11、监控并显示流速状态，检测到流速过低，停机保护并显示停机故障原因</w:t>
            </w:r>
          </w:p>
          <w:p w14:paraId="346B1B3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12、在设备连续工作中，可以通过按下设备面板上的停止开关，仪器立即停止输出。</w:t>
            </w:r>
          </w:p>
          <w:p w14:paraId="2E80102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13、按程序程控刺激功能进行工作，产品出现脉冲源故障时，会弹出异常信息的提示文字，并自动关闭产品停止输出。</w:t>
            </w:r>
          </w:p>
          <w:p w14:paraId="3F68ACF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14、可记录电容放电次数，当电容放电次数达到上限时具有提示功能。</w:t>
            </w:r>
          </w:p>
          <w:p w14:paraId="078CB65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15、刺激线圈温度≥40℃，停机保护并显示停机故障原因。</w:t>
            </w:r>
          </w:p>
          <w:p w14:paraId="3B6D7F1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16、标配大童线圈≥2，小童线圈≥2，能实现双面双向刺激。</w:t>
            </w:r>
          </w:p>
          <w:p w14:paraId="5B874D0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17、线圈全封闭一体式工艺，无孔设计，加工一次成型</w:t>
            </w:r>
          </w:p>
          <w:p w14:paraId="7D84311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18、线圈样式：圆形，8字形、双锥（蝶）形等。</w:t>
            </w:r>
          </w:p>
          <w:p w14:paraId="169CE8B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19、可建立和储存患者的一般信息、病情信息；一般信息包括：姓名、性别、出生年月日、身高体重、联系地址、联系电话、检测日期、门诊号或住院号、就诊科室等；病情信息包括：主述病史、体检、初步诊断、操作医生签名等。</w:t>
            </w:r>
          </w:p>
          <w:p w14:paraId="525AEEE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20、可实现互联网功能，病人档案管理，专家方案，自定义治疗方案，海量储存。</w:t>
            </w:r>
          </w:p>
          <w:p w14:paraId="05BBDA0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21、实时线圈温度显示，MEP信息显示。</w:t>
            </w:r>
          </w:p>
          <w:p w14:paraId="44F3103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22、可根据病人姓名查找相关储存资料调出回放，复制粘贴。</w:t>
            </w:r>
          </w:p>
          <w:p w14:paraId="1B3F422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23、检测项目：支持运动阈值（MT）、运动诱发电位（MEP）、中枢神经传导时间（CMCT）、静息期检测等的检测功能。</w:t>
            </w:r>
          </w:p>
          <w:p w14:paraId="10594C2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24、检测记录：运动阈值与治疗方案自动记忆功能，可对保存文档中波形与数据进行复现。</w:t>
            </w:r>
          </w:p>
          <w:p w14:paraId="2160FC3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25、具备自动计算神经传导时间功能</w:t>
            </w:r>
          </w:p>
          <w:p w14:paraId="408D5A3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26、具备运动诱发电位（MEP），用于捕捉肌电信号（EMG），并可以在显示器上显示波形。</w:t>
            </w:r>
          </w:p>
          <w:p w14:paraId="6973FF9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27、通道数≥2通道</w:t>
            </w:r>
          </w:p>
          <w:p w14:paraId="31336FF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28、采样率≥100KHz</w:t>
            </w:r>
          </w:p>
          <w:p w14:paraId="65CB64E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29、传输方式：有线传输，非无线传输，确保信号稳定。</w:t>
            </w:r>
          </w:p>
          <w:p w14:paraId="2A9C71E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30、最小分辨率：≤0.2μV。</w:t>
            </w:r>
          </w:p>
          <w:p w14:paraId="7E6EBBA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31、刺激模式：单脉冲（sTMS）、重复脉冲（rTMS）、复合刺激（TBS）、成对脉冲输出（pTMS）、爆发模式等多种刺激模式自由调整。（提供证明）</w:t>
            </w:r>
          </w:p>
          <w:p w14:paraId="17B44EB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32、具有手动刺激和按程序程控刺激的功能。</w:t>
            </w:r>
          </w:p>
          <w:p w14:paraId="51A1A79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33、定时时间按照方案的需要设置，在预定时间（方案的总时间）到达后设备自动终止磁场输出，允差：±10%。</w:t>
            </w:r>
          </w:p>
          <w:p w14:paraId="4D61030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34、内置≥30个儿童专属方案，可供临床选择，治疗方案涵盖脑性瘫痪、注意力缺陷、抽动症、孤独症、智力缺陷等疾病，支持刺激方案自定义，设置刺激时间、输出频率、刺激间歇、刺激强度、刺激数量等。内置治疗保护算法，确保自定义方案安全、有效。（提供证明）</w:t>
            </w:r>
          </w:p>
          <w:p w14:paraId="0AB30AF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35、能显示阈值强度、以百分比表示相对输出强度，显示刺激序列、刺激时间、刺激数量。</w:t>
            </w:r>
          </w:p>
          <w:p w14:paraId="68CC98E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36、治疗方案提供详细图文描述，配合专利定位帽标识，刺激部位360度呈现，提供精准靶点指导。                                                        </w:t>
            </w:r>
          </w:p>
          <w:p w14:paraId="2078CC1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bCs/>
                <w:i w:val="0"/>
                <w:iCs w:val="0"/>
                <w:color w:val="auto"/>
                <w:kern w:val="0"/>
                <w:sz w:val="24"/>
                <w:szCs w:val="24"/>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37、配备诊疗桌椅一套：</w:t>
            </w:r>
          </w:p>
          <w:p w14:paraId="34A1C5E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桌子：120*60*72cm（±5%），实木柜原木色，带柜子；</w:t>
            </w:r>
          </w:p>
          <w:p w14:paraId="184E4BC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椅子:乳胶坐垫，透气网布，品质钢管，带扶手，坐垫45*45cm（±3%）,坐高42cm（±3%），总高110cm（±3%）</w:t>
            </w:r>
          </w:p>
          <w:p w14:paraId="5BF1D51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配备定制收纳工具1个</w:t>
            </w:r>
            <w:r>
              <w:rPr>
                <w:rFonts w:hint="eastAsia" w:ascii="新宋体" w:hAnsi="新宋体" w:eastAsia="新宋体" w:cs="新宋体"/>
                <w:b w:val="0"/>
                <w:bCs w:val="0"/>
                <w:i w:val="0"/>
                <w:iCs w:val="0"/>
                <w:color w:val="auto"/>
                <w:kern w:val="0"/>
                <w:sz w:val="22"/>
                <w:szCs w:val="22"/>
                <w:highlight w:val="none"/>
                <w:u w:val="none"/>
                <w:lang w:val="en-US" w:eastAsia="zh-CN" w:bidi="ar"/>
              </w:rPr>
              <w:t>，</w:t>
            </w:r>
          </w:p>
          <w:p w14:paraId="79E741F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规格：（长*宽*高）85（±10%）*40（±10%）*200（±10%）cm，实木柜原木色，带门。                        </w:t>
            </w:r>
          </w:p>
          <w:p w14:paraId="62F5125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38、具有医疗器械注册证。</w:t>
            </w: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                                                                               </w:t>
            </w:r>
          </w:p>
        </w:tc>
      </w:tr>
      <w:tr w14:paraId="20EF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9" w:type="dxa"/>
            <w:vAlign w:val="center"/>
          </w:tcPr>
          <w:p w14:paraId="5B547131">
            <w:pPr>
              <w:keepNext w:val="0"/>
              <w:keepLines w:val="0"/>
              <w:pageBreakBefore w:val="0"/>
              <w:widowControl/>
              <w:numPr>
                <w:ilvl w:val="0"/>
                <w:numId w:val="2"/>
              </w:numPr>
              <w:suppressLineNumbers w:val="0"/>
              <w:kinsoku/>
              <w:wordWrap/>
              <w:overflowPunct/>
              <w:topLinePunct w:val="0"/>
              <w:autoSpaceDE/>
              <w:autoSpaceDN/>
              <w:bidi w:val="0"/>
              <w:adjustRightInd/>
              <w:snapToGrid/>
              <w:spacing w:line="460" w:lineRule="exact"/>
              <w:ind w:left="425" w:leftChars="0" w:hanging="425" w:firstLineChars="0"/>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660" w:type="dxa"/>
            <w:vMerge w:val="continue"/>
            <w:vAlign w:val="center"/>
          </w:tcPr>
          <w:p w14:paraId="33E7AFD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1610" w:type="dxa"/>
            <w:vAlign w:val="center"/>
          </w:tcPr>
          <w:p w14:paraId="22D1518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痉挛肌低频治疗仪</w:t>
            </w:r>
          </w:p>
        </w:tc>
        <w:tc>
          <w:tcPr>
            <w:tcW w:w="763" w:type="dxa"/>
            <w:vAlign w:val="center"/>
          </w:tcPr>
          <w:p w14:paraId="53496CF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1个</w:t>
            </w:r>
          </w:p>
        </w:tc>
        <w:tc>
          <w:tcPr>
            <w:tcW w:w="11073" w:type="dxa"/>
            <w:vAlign w:val="center"/>
          </w:tcPr>
          <w:p w14:paraId="12E9334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一、技术性能</w:t>
            </w:r>
          </w:p>
          <w:p w14:paraId="6819019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1、输出脉冲周期：1S～2S连续可调，步长0.1S，允差±15%；</w:t>
            </w:r>
          </w:p>
          <w:p w14:paraId="2545EE9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2、输出脉冲宽度：0.1ms～0.5ms连续可调，步长0.1ms，允差±30%；</w:t>
            </w:r>
          </w:p>
          <w:p w14:paraId="4F31B32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3、输出强度：A、B两组输出脉冲电流峰值从0～99mA连续可调，最大输出值允差±10%；</w:t>
            </w:r>
          </w:p>
          <w:p w14:paraId="5F7F272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4、延时时间：B组输出脉冲比A组输出脉冲延时出现，延时时间T1从0.1s～1.5s连续可调，步长0.1s，允差±15%；</w:t>
            </w:r>
          </w:p>
          <w:p w14:paraId="4B57B4D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5、输出定时功能：定时时间分别从5、10、15、20、25、30min，允许偏差为±10%；</w:t>
            </w:r>
          </w:p>
          <w:p w14:paraId="35445AA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6、显示方式：液晶屏显示；</w:t>
            </w:r>
          </w:p>
          <w:p w14:paraId="642A763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7、输出脉冲能量≤300mJ，在开路条件下，最大峰值≤500V；</w:t>
            </w:r>
          </w:p>
          <w:p w14:paraId="132508B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8、痉挛肌治疗仪：利用低频电刺激触发痉挛肌及其对抗肌产生被动收缩，抑制肌肉异常兴奋，在运动肌群和对抗肌群之间重建正常的交互抑制体系，减少痉挛的发生，改善血液循环，缓解疼痛；</w:t>
            </w:r>
          </w:p>
          <w:p w14:paraId="66FF4E5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9、A、B两路输出均为双向不对称脉冲；</w:t>
            </w:r>
          </w:p>
          <w:p w14:paraId="4616EAC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10、在治疗仪内可自定义6个以上处方；</w:t>
            </w:r>
          </w:p>
          <w:p w14:paraId="71EB53D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11、治疗仪需储存4组以上机内处方；</w:t>
            </w:r>
          </w:p>
          <w:p w14:paraId="11321CB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二、仪器特点 </w:t>
            </w:r>
          </w:p>
          <w:p w14:paraId="69450B3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1、台式主机内置储物盒；</w:t>
            </w:r>
          </w:p>
          <w:p w14:paraId="64A00B0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2、属于低频脉冲治疗仪有 A 、 B 两路输出 ；</w:t>
            </w:r>
          </w:p>
          <w:p w14:paraId="5453857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3、脉冲周期、脉冲宽度、输出强度、 B 路相对 A 路的延时时间均可连续调节；</w:t>
            </w:r>
          </w:p>
          <w:p w14:paraId="54148B5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4、定时时间将 30 分钟分为六档任选有误调指示该治疗仪刺激痉挛肌和对抗肌，使二者收缩，治疗痉挛性瘫痪和开展电刺激、电体操。</w:t>
            </w:r>
          </w:p>
          <w:p w14:paraId="3D50A4D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三、主要适应症</w:t>
            </w:r>
          </w:p>
          <w:p w14:paraId="7359994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小儿脑瘫、脑血管疾病、颅脑损伤、脊髓损伤、脑血管意外后遗轻度瘫痪、产后引起的痉挛性瘫痪、多发硬化性瘫痪、脑脊髓外伤引起的痉挛性瘫痪等疾病造成的肌张力高的患者，对其缓解症状进行康复治疗。</w:t>
            </w:r>
          </w:p>
          <w:p w14:paraId="423A292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四、具有医疗器械注册证。</w:t>
            </w:r>
          </w:p>
        </w:tc>
      </w:tr>
      <w:tr w14:paraId="7D70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9" w:type="dxa"/>
            <w:vAlign w:val="center"/>
          </w:tcPr>
          <w:p w14:paraId="589C734C">
            <w:pPr>
              <w:keepNext w:val="0"/>
              <w:keepLines w:val="0"/>
              <w:pageBreakBefore w:val="0"/>
              <w:widowControl/>
              <w:numPr>
                <w:ilvl w:val="0"/>
                <w:numId w:val="2"/>
              </w:numPr>
              <w:suppressLineNumbers w:val="0"/>
              <w:kinsoku/>
              <w:wordWrap/>
              <w:overflowPunct/>
              <w:topLinePunct w:val="0"/>
              <w:autoSpaceDE/>
              <w:autoSpaceDN/>
              <w:bidi w:val="0"/>
              <w:adjustRightInd/>
              <w:snapToGrid/>
              <w:spacing w:line="460" w:lineRule="exact"/>
              <w:ind w:left="425" w:leftChars="0" w:hanging="425" w:firstLineChars="0"/>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660" w:type="dxa"/>
            <w:vMerge w:val="continue"/>
            <w:vAlign w:val="center"/>
          </w:tcPr>
          <w:p w14:paraId="66D2F73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1610" w:type="dxa"/>
            <w:vAlign w:val="center"/>
          </w:tcPr>
          <w:p w14:paraId="6C851C4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中频治疗仪</w:t>
            </w:r>
          </w:p>
        </w:tc>
        <w:tc>
          <w:tcPr>
            <w:tcW w:w="763" w:type="dxa"/>
            <w:vAlign w:val="center"/>
          </w:tcPr>
          <w:p w14:paraId="7C05CCC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1个</w:t>
            </w:r>
          </w:p>
        </w:tc>
        <w:tc>
          <w:tcPr>
            <w:tcW w:w="11073" w:type="dxa"/>
            <w:vAlign w:val="center"/>
          </w:tcPr>
          <w:p w14:paraId="6555981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1、输出方式：二通道，同步或异步输出；含两组中频电疗法，含一组干扰电疗法.</w:t>
            </w:r>
          </w:p>
          <w:p w14:paraId="0CB041B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2、需内存30个以上处方：主要临床适用范围颈椎病、肩周炎、腰椎间盘突出的康复理疗.</w:t>
            </w:r>
          </w:p>
          <w:p w14:paraId="41CD1C4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3、工作电压：交流220V±10%；50Hz±1Hz；</w:t>
            </w:r>
          </w:p>
          <w:p w14:paraId="31B5C59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4、功率：80VA；</w:t>
            </w:r>
          </w:p>
          <w:p w14:paraId="2812666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5、电疗仪输出信号的工作频率范围为：2KHz～10KHz，其允差为±10%。</w:t>
            </w:r>
          </w:p>
          <w:p w14:paraId="6F6D28C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6、电疗仪在不同负载下的输出电流变化率应不大于10%。</w:t>
            </w:r>
          </w:p>
          <w:p w14:paraId="7A5258E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7、电疗仪输出的调制频率范围为：0Hz～150Hz, 允差±10%。</w:t>
            </w:r>
          </w:p>
          <w:p w14:paraId="5F3C502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电疗仪其干扰电（干涉波）差频频率应在0～200Hz范围内的单一频率或频段, 允差在±10%或1Hz取较大值。</w:t>
            </w:r>
          </w:p>
          <w:p w14:paraId="331974B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8、电疗仪其干扰电干扰电（干涉波）动态节律为4s～10s范围内，允差±10%；动态位移应不超过动态节律的±30%。</w:t>
            </w:r>
          </w:p>
          <w:p w14:paraId="53F50F2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9、电疗仪的调制度为0%、25%、50%、75%，100%，允差±5%。</w:t>
            </w:r>
          </w:p>
          <w:p w14:paraId="30E5186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电疗仪其干扰电（干涉波）差频变化周期为15s～30s，允差±10%。</w:t>
            </w:r>
          </w:p>
          <w:p w14:paraId="40ED91F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10、电疗仪输出的调制波形需有九种以上，方波、尖波、三角波、锯齿波、指数波、正弦波、梯形波、扇形波和脉冲波及他们之间的组合，由程序设定。</w:t>
            </w:r>
          </w:p>
          <w:p w14:paraId="7D0DE4B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11、电疗仪纯交流的波形，最大输出电流应不大于100mA。</w:t>
            </w:r>
          </w:p>
          <w:p w14:paraId="6BD2CD5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电疗仪具有透热功能，六挡可调，其应用部分的最大发热温度应≤60℃。</w:t>
            </w:r>
          </w:p>
          <w:p w14:paraId="1C65F46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12、输出电流为198档连续递增/递减调节，每档递增/减量为0.5mA；</w:t>
            </w:r>
          </w:p>
          <w:p w14:paraId="534C5A9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 xml:space="preserve">13、具有医疗器械注册证。 </w:t>
            </w:r>
          </w:p>
        </w:tc>
      </w:tr>
      <w:tr w14:paraId="1C030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9" w:type="dxa"/>
            <w:vAlign w:val="center"/>
          </w:tcPr>
          <w:p w14:paraId="635C5B78">
            <w:pPr>
              <w:keepNext w:val="0"/>
              <w:keepLines w:val="0"/>
              <w:pageBreakBefore w:val="0"/>
              <w:widowControl/>
              <w:numPr>
                <w:ilvl w:val="0"/>
                <w:numId w:val="2"/>
              </w:numPr>
              <w:suppressLineNumbers w:val="0"/>
              <w:kinsoku/>
              <w:wordWrap/>
              <w:overflowPunct/>
              <w:topLinePunct w:val="0"/>
              <w:autoSpaceDE/>
              <w:autoSpaceDN/>
              <w:bidi w:val="0"/>
              <w:adjustRightInd/>
              <w:snapToGrid/>
              <w:spacing w:line="460" w:lineRule="exact"/>
              <w:ind w:left="425" w:leftChars="0" w:hanging="425" w:firstLineChars="0"/>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660" w:type="dxa"/>
            <w:vMerge w:val="continue"/>
            <w:vAlign w:val="center"/>
          </w:tcPr>
          <w:p w14:paraId="49707F2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1610" w:type="dxa"/>
            <w:vAlign w:val="center"/>
          </w:tcPr>
          <w:p w14:paraId="1BB4965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医用不锈钢治疗推车</w:t>
            </w:r>
          </w:p>
        </w:tc>
        <w:tc>
          <w:tcPr>
            <w:tcW w:w="763" w:type="dxa"/>
            <w:vAlign w:val="center"/>
          </w:tcPr>
          <w:p w14:paraId="46F45BA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2个</w:t>
            </w:r>
          </w:p>
        </w:tc>
        <w:tc>
          <w:tcPr>
            <w:tcW w:w="11073" w:type="dxa"/>
            <w:vAlign w:val="center"/>
          </w:tcPr>
          <w:p w14:paraId="03E0C71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1、尺寸：（长*宽*高）60（±10%）*50（±10%）*80（±10%）cm</w:t>
            </w:r>
          </w:p>
          <w:p w14:paraId="4143378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2、材质：不锈钢，带轮</w:t>
            </w:r>
          </w:p>
        </w:tc>
      </w:tr>
      <w:tr w14:paraId="235B4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9" w:type="dxa"/>
            <w:vAlign w:val="center"/>
          </w:tcPr>
          <w:p w14:paraId="2B7C44E8">
            <w:pPr>
              <w:keepNext w:val="0"/>
              <w:keepLines w:val="0"/>
              <w:pageBreakBefore w:val="0"/>
              <w:widowControl/>
              <w:numPr>
                <w:ilvl w:val="0"/>
                <w:numId w:val="2"/>
              </w:numPr>
              <w:suppressLineNumbers w:val="0"/>
              <w:kinsoku/>
              <w:wordWrap/>
              <w:overflowPunct/>
              <w:topLinePunct w:val="0"/>
              <w:autoSpaceDE/>
              <w:autoSpaceDN/>
              <w:bidi w:val="0"/>
              <w:adjustRightInd/>
              <w:snapToGrid/>
              <w:spacing w:line="460" w:lineRule="exact"/>
              <w:ind w:left="425" w:leftChars="0" w:hanging="425" w:firstLineChars="0"/>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660" w:type="dxa"/>
            <w:vAlign w:val="center"/>
          </w:tcPr>
          <w:p w14:paraId="1C77309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个训室6204</w:t>
            </w:r>
          </w:p>
        </w:tc>
        <w:tc>
          <w:tcPr>
            <w:tcW w:w="1610" w:type="dxa"/>
            <w:vAlign w:val="center"/>
          </w:tcPr>
          <w:p w14:paraId="1EB10FF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可移动教学互动设备</w:t>
            </w:r>
          </w:p>
        </w:tc>
        <w:tc>
          <w:tcPr>
            <w:tcW w:w="763" w:type="dxa"/>
            <w:vAlign w:val="center"/>
          </w:tcPr>
          <w:p w14:paraId="6EB357B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1个</w:t>
            </w:r>
          </w:p>
        </w:tc>
        <w:tc>
          <w:tcPr>
            <w:tcW w:w="11073" w:type="dxa"/>
            <w:vAlign w:val="center"/>
          </w:tcPr>
          <w:p w14:paraId="1E0ACA8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1、液晶面板尺寸 55寸及以上（16：9）</w:t>
            </w:r>
          </w:p>
          <w:p w14:paraId="49D527B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2、最大显示尺寸（单位：mm） 1208.6mm(H)×679.4mm(V)以上</w:t>
            </w:r>
          </w:p>
          <w:p w14:paraId="018B22F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3、显示色彩 10bit，1.07B</w:t>
            </w:r>
          </w:p>
          <w:p w14:paraId="1CAE406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4、刷新率 60HZ</w:t>
            </w:r>
          </w:p>
          <w:p w14:paraId="5E0FECA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5、分辨率 1920*1080以上</w:t>
            </w:r>
          </w:p>
          <w:p w14:paraId="362300C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6、亮度 350cd/m2</w:t>
            </w:r>
          </w:p>
          <w:p w14:paraId="268027D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7、对比度 5000:1</w:t>
            </w:r>
          </w:p>
          <w:p w14:paraId="430929F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8、可视角度 水平178度  垂直178度  </w:t>
            </w:r>
          </w:p>
          <w:p w14:paraId="74A23CE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9、寿命 ＞50000小时</w:t>
            </w:r>
          </w:p>
          <w:p w14:paraId="276AEAF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10、互动面板参数 互动面板嵌入方式 内置一体式、非外挂式</w:t>
            </w:r>
          </w:p>
          <w:p w14:paraId="14AAD8E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11、互动感应技术 红外感应互动识别技术（支持10点互动）</w:t>
            </w:r>
          </w:p>
          <w:p w14:paraId="6B50792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12、书写方式：手指、互动笔或其他不小于5mm非透明物体</w:t>
            </w:r>
          </w:p>
          <w:p w14:paraId="06D32C5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13、光标速度 120点/S</w:t>
            </w:r>
          </w:p>
          <w:p w14:paraId="2C61FCA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14、定位精度 90%以上互动区域为±2mm</w:t>
            </w:r>
          </w:p>
          <w:p w14:paraId="21ED2BB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15、通讯接口 B型USB公头</w:t>
            </w:r>
          </w:p>
          <w:p w14:paraId="03E188C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16、互动分辨率 32767*32767</w:t>
            </w:r>
          </w:p>
          <w:p w14:paraId="56C376A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17、互动次数 理论无限次</w:t>
            </w:r>
          </w:p>
          <w:p w14:paraId="37C5D0C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18、响应速度 系统自动识别：≤15ms</w:t>
            </w:r>
          </w:p>
          <w:p w14:paraId="670DC3A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19、驱动程序 免驱</w:t>
            </w:r>
          </w:p>
          <w:p w14:paraId="193CBC9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20、互动功能 支持20点互动操作</w:t>
            </w:r>
          </w:p>
          <w:p w14:paraId="2677A1F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21、支持图像放大、缩小、旋转</w:t>
            </w:r>
          </w:p>
          <w:p w14:paraId="027D8E3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22、支持各信号通道源下互动</w:t>
            </w:r>
          </w:p>
          <w:p w14:paraId="1C7A42D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23、配置方案（OPS插拔方案） 芯片组 Intel芯片组</w:t>
            </w:r>
          </w:p>
          <w:p w14:paraId="50FA612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24、I5处理器以上</w:t>
            </w:r>
          </w:p>
          <w:p w14:paraId="486A27B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25、内存 4G 以上</w:t>
            </w:r>
          </w:p>
          <w:p w14:paraId="71D7BC1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26、硬盘 SSD128G 以上</w:t>
            </w:r>
          </w:p>
          <w:p w14:paraId="6091F00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27、显卡 Intel核芯显卡Intel HD Graphics</w:t>
            </w:r>
          </w:p>
          <w:p w14:paraId="3C54413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28、声卡 集成高清晰立体音效声卡</w:t>
            </w:r>
          </w:p>
          <w:p w14:paraId="4FB7D5E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29、网卡 集成10/100/1000M自适应网卡</w:t>
            </w:r>
          </w:p>
          <w:p w14:paraId="27CCFDC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30、Wi-Fi 集成无线网卡802.11b/g/n</w:t>
            </w:r>
          </w:p>
          <w:p w14:paraId="0E95569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31、USB2.0接口 2 </w:t>
            </w:r>
          </w:p>
          <w:p w14:paraId="1624605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32、USB3.0接口 2 </w:t>
            </w:r>
          </w:p>
          <w:p w14:paraId="491E853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33、网络接口 1 </w:t>
            </w:r>
          </w:p>
          <w:p w14:paraId="345619F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34、VGA输出 1</w:t>
            </w:r>
          </w:p>
          <w:p w14:paraId="3755BDD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35、HDMI输出 1</w:t>
            </w:r>
          </w:p>
          <w:p w14:paraId="4451C48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36、耳机输出 1</w:t>
            </w:r>
          </w:p>
          <w:p w14:paraId="5B8135E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37、麦克风输入 1</w:t>
            </w:r>
          </w:p>
          <w:p w14:paraId="0107F23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38、操作系统支持多个操作系统 </w:t>
            </w:r>
          </w:p>
          <w:p w14:paraId="406D181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39、整机特性 外壳及外观 铝合金面框角块设计、前置按键、前置端口、前置喇叭</w:t>
            </w:r>
          </w:p>
          <w:p w14:paraId="751B3F5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40、整机外形尺寸 1265.5mm×766.9mm×101.9mm以上</w:t>
            </w:r>
          </w:p>
          <w:p w14:paraId="5A822D7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41、最大功耗率 ≤170W</w:t>
            </w:r>
          </w:p>
          <w:p w14:paraId="05E5615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42、待机功率 ≤0.5W</w:t>
            </w:r>
          </w:p>
          <w:p w14:paraId="1C76D91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43、工作场所 室内</w:t>
            </w:r>
          </w:p>
          <w:p w14:paraId="0AA78AA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44、工作温度 0℃-40℃</w:t>
            </w:r>
          </w:p>
          <w:p w14:paraId="43EE3A7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45、工作湿度 10%-90%无凝结</w:t>
            </w:r>
          </w:p>
          <w:p w14:paraId="0999A61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46、储存温度 -20℃-60℃</w:t>
            </w:r>
          </w:p>
          <w:p w14:paraId="02685E9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47、贮存湿度 10%-90%无凝结                                       </w:t>
            </w:r>
          </w:p>
          <w:p w14:paraId="4867226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48、配备定制收纳工具2个</w:t>
            </w:r>
            <w:r>
              <w:rPr>
                <w:rFonts w:hint="eastAsia" w:ascii="新宋体" w:hAnsi="新宋体" w:eastAsia="新宋体" w:cs="新宋体"/>
                <w:b w:val="0"/>
                <w:bCs w:val="0"/>
                <w:i w:val="0"/>
                <w:iCs w:val="0"/>
                <w:color w:val="auto"/>
                <w:kern w:val="0"/>
                <w:sz w:val="22"/>
                <w:szCs w:val="22"/>
                <w:highlight w:val="none"/>
                <w:u w:val="none"/>
                <w:lang w:val="en-US" w:eastAsia="zh-CN" w:bidi="ar"/>
              </w:rPr>
              <w:t>：</w:t>
            </w:r>
          </w:p>
          <w:p w14:paraId="0983E09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1）1个高柜规格（长*宽*高）85（±10%）*40（±10%）*200（±10%）cm，实木柜原木色，带门。</w:t>
            </w:r>
          </w:p>
          <w:p w14:paraId="6FE7815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2）1个矮柜规格：（长*宽*高）150（±10%）*40（±10%）*85（±10%）cm，实木柜原木色，带门，三开门. </w:t>
            </w:r>
          </w:p>
          <w:p w14:paraId="467F8D6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bCs/>
                <w:i w:val="0"/>
                <w:iCs w:val="0"/>
                <w:color w:val="auto"/>
                <w:kern w:val="0"/>
                <w:sz w:val="24"/>
                <w:szCs w:val="24"/>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49、配备其他物件：评定桌椅1套：</w:t>
            </w:r>
          </w:p>
          <w:p w14:paraId="79A4605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桌子：（长*宽*高）120*60*72cm（±5%），实木柜原木色，带柜子；</w:t>
            </w:r>
          </w:p>
          <w:p w14:paraId="177A220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椅子：乳胶坐垫，透气网布，品质钢管，带扶手，坐垫45*45cm（±3%）,坐高42cm（±3%），总高110cm（±3%）</w:t>
            </w:r>
          </w:p>
        </w:tc>
      </w:tr>
      <w:tr w14:paraId="58FA2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9" w:type="dxa"/>
            <w:vAlign w:val="center"/>
          </w:tcPr>
          <w:p w14:paraId="4A19EE02">
            <w:pPr>
              <w:keepNext w:val="0"/>
              <w:keepLines w:val="0"/>
              <w:pageBreakBefore w:val="0"/>
              <w:widowControl/>
              <w:numPr>
                <w:ilvl w:val="0"/>
                <w:numId w:val="2"/>
              </w:numPr>
              <w:suppressLineNumbers w:val="0"/>
              <w:kinsoku/>
              <w:wordWrap/>
              <w:overflowPunct/>
              <w:topLinePunct w:val="0"/>
              <w:autoSpaceDE/>
              <w:autoSpaceDN/>
              <w:bidi w:val="0"/>
              <w:adjustRightInd/>
              <w:snapToGrid/>
              <w:spacing w:line="460" w:lineRule="exact"/>
              <w:ind w:left="425" w:leftChars="0" w:hanging="425" w:firstLineChars="0"/>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660" w:type="dxa"/>
            <w:vMerge w:val="restart"/>
            <w:vAlign w:val="center"/>
          </w:tcPr>
          <w:p w14:paraId="0A2BD16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个训室6308</w:t>
            </w:r>
          </w:p>
        </w:tc>
        <w:tc>
          <w:tcPr>
            <w:tcW w:w="1610" w:type="dxa"/>
            <w:vAlign w:val="center"/>
          </w:tcPr>
          <w:p w14:paraId="1ABA159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可移动教学互动设备</w:t>
            </w:r>
          </w:p>
        </w:tc>
        <w:tc>
          <w:tcPr>
            <w:tcW w:w="763" w:type="dxa"/>
            <w:vAlign w:val="center"/>
          </w:tcPr>
          <w:p w14:paraId="01C0A22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1个</w:t>
            </w:r>
          </w:p>
        </w:tc>
        <w:tc>
          <w:tcPr>
            <w:tcW w:w="11073" w:type="dxa"/>
            <w:vAlign w:val="center"/>
          </w:tcPr>
          <w:p w14:paraId="65AB14D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1、液晶面板尺寸 55寸及以上（16：9）</w:t>
            </w:r>
          </w:p>
          <w:p w14:paraId="2971933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2、最大显示尺寸（单位：mm） 1208.6mm(H)×679.4mm(V)以上</w:t>
            </w:r>
          </w:p>
          <w:p w14:paraId="0BEE4F5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3、显示色彩 10bit，1.07B</w:t>
            </w:r>
          </w:p>
          <w:p w14:paraId="1CBAB78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4、刷新率 60HZ</w:t>
            </w:r>
          </w:p>
          <w:p w14:paraId="5223986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5、分辨率 1920*1080以上</w:t>
            </w:r>
          </w:p>
          <w:p w14:paraId="492592E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6、亮度 350cd/m2</w:t>
            </w:r>
          </w:p>
          <w:p w14:paraId="421C3AD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7、对比度 5000:1</w:t>
            </w:r>
          </w:p>
          <w:p w14:paraId="2AD6F71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8、可视角度 水平178度  垂直178度  </w:t>
            </w:r>
          </w:p>
          <w:p w14:paraId="097611B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9、寿命 ＞50000小时</w:t>
            </w:r>
          </w:p>
          <w:p w14:paraId="357A7B0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10、互动面板参数 互动嵌入方式内置一体式、非外挂式</w:t>
            </w:r>
          </w:p>
          <w:p w14:paraId="6D79E99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11、互动感应技术 红外感应互动识别技术（支持10点互动）</w:t>
            </w:r>
          </w:p>
          <w:p w14:paraId="6D02C73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12、书写方式手指、互动笔或其他不小于5mm非透明物体</w:t>
            </w:r>
          </w:p>
          <w:p w14:paraId="2ED3211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13、光标速度 120点/S</w:t>
            </w:r>
          </w:p>
          <w:p w14:paraId="1B08FB1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14、定位精度 90%以上互动区域为±2mm</w:t>
            </w:r>
          </w:p>
          <w:p w14:paraId="0638CF6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15、通讯接口 B型USB公头</w:t>
            </w:r>
          </w:p>
          <w:p w14:paraId="66EAA1B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16、互动分辨率 32767*32767</w:t>
            </w:r>
          </w:p>
          <w:p w14:paraId="6040E6C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17、互动次数 理论无限次</w:t>
            </w:r>
          </w:p>
          <w:p w14:paraId="1C22122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18、响应速度 系统自动识别：≤15ms</w:t>
            </w:r>
          </w:p>
          <w:p w14:paraId="2497499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19、驱动程序 免驱</w:t>
            </w:r>
          </w:p>
          <w:p w14:paraId="3FADE3D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20、互动功能 支持20点互动操作</w:t>
            </w:r>
          </w:p>
          <w:p w14:paraId="332F036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21、支持图像放大、缩小、旋转</w:t>
            </w:r>
          </w:p>
          <w:p w14:paraId="4296193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22、支持各信号通道源下互动</w:t>
            </w:r>
          </w:p>
          <w:p w14:paraId="5EAAB86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23、配置方案（OPS插拔方案） 芯片组 Intel芯片组</w:t>
            </w:r>
          </w:p>
          <w:p w14:paraId="523C23E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24、CPU I5处理器以上</w:t>
            </w:r>
          </w:p>
          <w:p w14:paraId="3A91E72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25、内存 4G 以上</w:t>
            </w:r>
          </w:p>
          <w:p w14:paraId="662DEA0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26、硬盘 SSD128G 以上</w:t>
            </w:r>
          </w:p>
          <w:p w14:paraId="54ED6DF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27、显卡 Intel核芯显卡Intel HD Graphics</w:t>
            </w:r>
          </w:p>
          <w:p w14:paraId="71CCC7A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28、声卡 集成高清晰立体音效声卡</w:t>
            </w:r>
          </w:p>
          <w:p w14:paraId="58513B0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29、网卡 集成10/100/1000M自适应网卡</w:t>
            </w:r>
          </w:p>
          <w:p w14:paraId="0C2628C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30、Wi-Fi 集成无线网卡802.11b/g/n</w:t>
            </w:r>
          </w:p>
          <w:p w14:paraId="129867E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31、USB2.0接口 2 </w:t>
            </w:r>
          </w:p>
          <w:p w14:paraId="1A0A1F2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32、USB3.0接口 2 </w:t>
            </w:r>
          </w:p>
          <w:p w14:paraId="49BA8A3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33、网络接口 1 </w:t>
            </w:r>
          </w:p>
          <w:p w14:paraId="446D366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34、VGA输出 1</w:t>
            </w:r>
          </w:p>
          <w:p w14:paraId="1ABBD72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35、HDMI输出 1</w:t>
            </w:r>
          </w:p>
          <w:p w14:paraId="08A306D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36、耳机输出 1</w:t>
            </w:r>
          </w:p>
          <w:p w14:paraId="5CB7416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37、麦克风输入 1</w:t>
            </w:r>
          </w:p>
          <w:p w14:paraId="5132E03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38、操作系统支持多种系统</w:t>
            </w:r>
          </w:p>
          <w:p w14:paraId="20E5525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39、整机特性外壳及外观 铝合金面框角块设计、前置按键、前置端口、前置喇叭</w:t>
            </w:r>
          </w:p>
          <w:p w14:paraId="70373C3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40、整机外形尺寸 1265.5mm×766.9mm×101.9mm以上</w:t>
            </w:r>
          </w:p>
          <w:p w14:paraId="38A0D65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41、最大功耗率 ≤170W</w:t>
            </w:r>
          </w:p>
          <w:p w14:paraId="4C2C0A9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42、待机功率 ≤0.5W</w:t>
            </w:r>
          </w:p>
          <w:p w14:paraId="612B549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43、工作场所 室内</w:t>
            </w:r>
          </w:p>
          <w:p w14:paraId="48F0D60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44、工作温度 0℃-40℃</w:t>
            </w:r>
          </w:p>
          <w:p w14:paraId="5B0A934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45、工作湿度 10%-90%无凝结</w:t>
            </w:r>
          </w:p>
          <w:p w14:paraId="12C4BB1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46、储存温度 -20℃-60℃</w:t>
            </w:r>
          </w:p>
          <w:p w14:paraId="26586B5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47、贮存湿度 10%-90%无凝结  </w:t>
            </w:r>
          </w:p>
          <w:p w14:paraId="298B9AF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48、配备定制收纳工具3个：</w:t>
            </w:r>
          </w:p>
          <w:p w14:paraId="5C4CAF5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1）2个高柜规格：（长*宽*高）85（±10%）*40（±10%）*200（±10%）cm，实木柜原木色，带门。</w:t>
            </w:r>
          </w:p>
          <w:p w14:paraId="5EDCC56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2）1个矮柜规格：（长*宽*高）150（±10%）*40（±10%）*85（±10%）cm，实木柜原木色，带门，三开门</w:t>
            </w:r>
          </w:p>
        </w:tc>
      </w:tr>
      <w:tr w14:paraId="38749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9" w:type="dxa"/>
            <w:vAlign w:val="center"/>
          </w:tcPr>
          <w:p w14:paraId="50AD50F4">
            <w:pPr>
              <w:keepNext w:val="0"/>
              <w:keepLines w:val="0"/>
              <w:pageBreakBefore w:val="0"/>
              <w:widowControl/>
              <w:numPr>
                <w:ilvl w:val="0"/>
                <w:numId w:val="2"/>
              </w:numPr>
              <w:suppressLineNumbers w:val="0"/>
              <w:kinsoku/>
              <w:wordWrap/>
              <w:overflowPunct/>
              <w:topLinePunct w:val="0"/>
              <w:autoSpaceDE/>
              <w:autoSpaceDN/>
              <w:bidi w:val="0"/>
              <w:adjustRightInd/>
              <w:snapToGrid/>
              <w:spacing w:line="460" w:lineRule="exact"/>
              <w:ind w:left="425" w:leftChars="0" w:hanging="425" w:firstLineChars="0"/>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660" w:type="dxa"/>
            <w:vMerge w:val="continue"/>
            <w:vAlign w:val="center"/>
          </w:tcPr>
          <w:p w14:paraId="1A554F1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1610" w:type="dxa"/>
            <w:vAlign w:val="center"/>
          </w:tcPr>
          <w:p w14:paraId="3A52958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蒙特梭利教具</w:t>
            </w:r>
          </w:p>
        </w:tc>
        <w:tc>
          <w:tcPr>
            <w:tcW w:w="763" w:type="dxa"/>
            <w:vAlign w:val="center"/>
          </w:tcPr>
          <w:p w14:paraId="206A49F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2套</w:t>
            </w:r>
          </w:p>
        </w:tc>
        <w:tc>
          <w:tcPr>
            <w:tcW w:w="11073" w:type="dxa"/>
            <w:vAlign w:val="center"/>
          </w:tcPr>
          <w:p w14:paraId="0272660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1、包含部分、整体概念，是蒙氏、皮氏教学精华起源。福氏依点、线、面、立体、结构类系开展数的集合，计数、分数、建构及创造等教学领域，适用大中小班，可配合蒙氏教育教学。</w:t>
            </w:r>
          </w:p>
          <w:p w14:paraId="789C659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2、发展儿童手眼协调、肌肉的灵活以及身体的平衡</w:t>
            </w:r>
          </w:p>
          <w:p w14:paraId="147686F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3、帮助儿童建立初步的数量概念和进行简单的数学计算</w:t>
            </w:r>
          </w:p>
          <w:p w14:paraId="173A6F4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4、发展儿童整合、分析、推理、判断的能力。</w:t>
            </w:r>
          </w:p>
          <w:p w14:paraId="0CD1FB7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5、了解生活中有时间与空间的划分</w:t>
            </w:r>
          </w:p>
          <w:p w14:paraId="0729BD0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6、必备88件，随机选配45件    </w:t>
            </w:r>
          </w:p>
          <w:p w14:paraId="6764F1C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bCs/>
                <w:i w:val="0"/>
                <w:iCs w:val="0"/>
                <w:color w:val="auto"/>
                <w:kern w:val="0"/>
                <w:sz w:val="24"/>
                <w:szCs w:val="24"/>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7、配备定制收纳盒50个，</w:t>
            </w:r>
          </w:p>
          <w:p w14:paraId="37CC6AC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材质:优选PP新料，规格:中号，特点:加大容量加厚、储物更多，颜色: 白色。                                   </w:t>
            </w:r>
          </w:p>
          <w:p w14:paraId="6A59199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bCs/>
                <w:i w:val="0"/>
                <w:iCs w:val="0"/>
                <w:color w:val="auto"/>
                <w:kern w:val="0"/>
                <w:sz w:val="24"/>
                <w:szCs w:val="24"/>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8、配备定制收纳工具1个，</w:t>
            </w:r>
          </w:p>
          <w:p w14:paraId="147FE42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规格：（长*宽*高）85（±10%）*40（±10%）*200（±10%）cm，实木柜原木色，带门                             </w:t>
            </w:r>
          </w:p>
          <w:p w14:paraId="013BC90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bCs/>
                <w:i w:val="0"/>
                <w:iCs w:val="0"/>
                <w:color w:val="auto"/>
                <w:kern w:val="0"/>
                <w:sz w:val="24"/>
                <w:szCs w:val="24"/>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9、配备其他物件：多功能学习车3套：</w:t>
            </w:r>
          </w:p>
          <w:p w14:paraId="3270422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规格（CM）： 24*7.5*15.5允差±5%，适用于3岁以上患者对形状，颜色，数字的认知，锻炼其手、眼、脑协调力，观察力与思考力</w:t>
            </w:r>
          </w:p>
        </w:tc>
      </w:tr>
      <w:tr w14:paraId="3999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9" w:type="dxa"/>
            <w:vAlign w:val="center"/>
          </w:tcPr>
          <w:p w14:paraId="765A227E">
            <w:pPr>
              <w:keepNext w:val="0"/>
              <w:keepLines w:val="0"/>
              <w:pageBreakBefore w:val="0"/>
              <w:widowControl/>
              <w:numPr>
                <w:ilvl w:val="0"/>
                <w:numId w:val="2"/>
              </w:numPr>
              <w:suppressLineNumbers w:val="0"/>
              <w:kinsoku/>
              <w:wordWrap/>
              <w:overflowPunct/>
              <w:topLinePunct w:val="0"/>
              <w:autoSpaceDE/>
              <w:autoSpaceDN/>
              <w:bidi w:val="0"/>
              <w:adjustRightInd/>
              <w:snapToGrid/>
              <w:spacing w:line="460" w:lineRule="exact"/>
              <w:ind w:left="425" w:leftChars="0" w:hanging="425" w:firstLineChars="0"/>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660" w:type="dxa"/>
            <w:vMerge w:val="continue"/>
            <w:vAlign w:val="center"/>
          </w:tcPr>
          <w:p w14:paraId="19B0D3C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1610" w:type="dxa"/>
            <w:vAlign w:val="center"/>
          </w:tcPr>
          <w:p w14:paraId="5F67331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认知图卡（认知卡片、学发音卡、配对卡）</w:t>
            </w:r>
          </w:p>
        </w:tc>
        <w:tc>
          <w:tcPr>
            <w:tcW w:w="763" w:type="dxa"/>
            <w:vAlign w:val="center"/>
          </w:tcPr>
          <w:p w14:paraId="5B334D4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6套</w:t>
            </w:r>
          </w:p>
        </w:tc>
        <w:tc>
          <w:tcPr>
            <w:tcW w:w="11073" w:type="dxa"/>
            <w:vAlign w:val="center"/>
          </w:tcPr>
          <w:p w14:paraId="03C473F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bCs/>
                <w:i w:val="0"/>
                <w:iCs w:val="0"/>
                <w:color w:val="auto"/>
                <w:kern w:val="0"/>
                <w:sz w:val="24"/>
                <w:szCs w:val="24"/>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主要配置：850张以上5寸卡片</w:t>
            </w:r>
          </w:p>
          <w:p w14:paraId="67FA481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类别：真人动作卡片、饮料大小长短卡片、因果提问卡片、他们想干什么卡片、整体与部分卡片、全套动作模仿（口腔 ，手部，肢体）卡片、哪里不对了卡片、职业卡片、发音（学说话）卡片、物品制作材料卡片、动物名词卡片、卡通动作卡片、怎么办（13组）卡片、日常生活认知卡片、数量认知卡片、手指与数量卡片、形状颜色认知与配对卡片、季节卡片</w:t>
            </w:r>
          </w:p>
        </w:tc>
      </w:tr>
      <w:tr w14:paraId="02905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9" w:type="dxa"/>
            <w:vAlign w:val="center"/>
          </w:tcPr>
          <w:p w14:paraId="0A161D3B">
            <w:pPr>
              <w:keepNext w:val="0"/>
              <w:keepLines w:val="0"/>
              <w:pageBreakBefore w:val="0"/>
              <w:widowControl/>
              <w:numPr>
                <w:ilvl w:val="0"/>
                <w:numId w:val="2"/>
              </w:numPr>
              <w:suppressLineNumbers w:val="0"/>
              <w:kinsoku/>
              <w:wordWrap/>
              <w:overflowPunct/>
              <w:topLinePunct w:val="0"/>
              <w:autoSpaceDE/>
              <w:autoSpaceDN/>
              <w:bidi w:val="0"/>
              <w:adjustRightInd/>
              <w:snapToGrid/>
              <w:spacing w:line="460" w:lineRule="exact"/>
              <w:ind w:left="425" w:leftChars="0" w:hanging="425" w:firstLineChars="0"/>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660" w:type="dxa"/>
            <w:vMerge w:val="continue"/>
            <w:vAlign w:val="center"/>
          </w:tcPr>
          <w:p w14:paraId="18B43D2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1610" w:type="dxa"/>
            <w:vAlign w:val="center"/>
          </w:tcPr>
          <w:p w14:paraId="12D30D5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儿童认知训练组件</w:t>
            </w:r>
          </w:p>
        </w:tc>
        <w:tc>
          <w:tcPr>
            <w:tcW w:w="763" w:type="dxa"/>
            <w:vAlign w:val="center"/>
          </w:tcPr>
          <w:p w14:paraId="7C4C0A2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3套</w:t>
            </w:r>
          </w:p>
        </w:tc>
        <w:tc>
          <w:tcPr>
            <w:tcW w:w="11073" w:type="dxa"/>
            <w:vAlign w:val="center"/>
          </w:tcPr>
          <w:p w14:paraId="7ADD197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一、主要技术指标和参数</w:t>
            </w:r>
          </w:p>
          <w:p w14:paraId="1F21FFF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1、外形尺寸（长×宽×高）：500mm×370mm×360mm</w:t>
            </w:r>
          </w:p>
          <w:p w14:paraId="2A20A26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2、组件：</w:t>
            </w:r>
          </w:p>
          <w:p w14:paraId="4D68211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bCs/>
                <w:i w:val="0"/>
                <w:iCs w:val="0"/>
                <w:color w:val="auto"/>
                <w:kern w:val="0"/>
                <w:sz w:val="24"/>
                <w:szCs w:val="24"/>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1）木制配件8种，每种5件</w:t>
            </w:r>
          </w:p>
          <w:p w14:paraId="698BAA0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bCs/>
                <w:i w:val="0"/>
                <w:iCs w:val="0"/>
                <w:color w:val="auto"/>
                <w:kern w:val="0"/>
                <w:sz w:val="24"/>
                <w:szCs w:val="24"/>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2）橡皮泥1套</w:t>
            </w:r>
          </w:p>
          <w:p w14:paraId="711C532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bCs/>
                <w:i w:val="0"/>
                <w:iCs w:val="0"/>
                <w:color w:val="auto"/>
                <w:kern w:val="0"/>
                <w:sz w:val="24"/>
                <w:szCs w:val="24"/>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3）认知拼装积木1套</w:t>
            </w:r>
          </w:p>
          <w:p w14:paraId="06F298F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bCs/>
                <w:i w:val="0"/>
                <w:iCs w:val="0"/>
                <w:color w:val="auto"/>
                <w:kern w:val="0"/>
                <w:sz w:val="24"/>
                <w:szCs w:val="24"/>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4）认知拼装图片4张/套</w:t>
            </w:r>
          </w:p>
          <w:p w14:paraId="0F09D4F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 xml:space="preserve">5）儿童图形认知组件5盒/套 </w:t>
            </w: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                                          </w:t>
            </w:r>
          </w:p>
          <w:p w14:paraId="43AE665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3、配备其他物件：</w:t>
            </w:r>
          </w:p>
          <w:p w14:paraId="46D3586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1）形状投放盒3个；</w:t>
            </w:r>
          </w:p>
          <w:p w14:paraId="5BD0A37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外形尺寸（长×宽×高）cm：28×28×28，一个带几何孔洞的木盒及对应的几何木块，用途：认识各种几盒形状，并会配对，材质：木质；</w:t>
            </w:r>
          </w:p>
          <w:p w14:paraId="4AFD969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2）训练套圈3套：</w:t>
            </w:r>
          </w:p>
          <w:p w14:paraId="125A560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产品外形尺寸：260×150×150mm，允差±5%；外包装尺寸：300mm×180mm×180mm。材质：由无毒塑料制成的彩色圆环和1个底面为弧形的带音乐底座组成，用途：手眼协调及感知、认知功能训练；           </w:t>
            </w:r>
          </w:p>
          <w:p w14:paraId="7DD0A8C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bCs/>
                <w:i w:val="0"/>
                <w:iCs w:val="0"/>
                <w:color w:val="auto"/>
                <w:kern w:val="0"/>
                <w:sz w:val="24"/>
                <w:szCs w:val="24"/>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3）移彩珠3套:</w:t>
            </w:r>
          </w:p>
          <w:p w14:paraId="1A36C2B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产品外形尺寸：140mm×125mm×85mm，允差±5%；外包装尺寸：320mm×200mm×210mm。由优质椴木制成的各种形状如椭圆、半圆、圆形和带水果图案的木块57个，和黄、红2根穿绳组成。适用于3岁以上患者对形状、颜色的分类与认知，及锻炼手、眼、脑协调力，观察力与思考力;</w:t>
            </w:r>
          </w:p>
          <w:p w14:paraId="75F8D46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bCs/>
                <w:i w:val="0"/>
                <w:iCs w:val="0"/>
                <w:color w:val="auto"/>
                <w:kern w:val="0"/>
                <w:sz w:val="24"/>
                <w:szCs w:val="24"/>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4）儿童拼图板6套：</w:t>
            </w:r>
          </w:p>
          <w:p w14:paraId="12E3000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规格：30*22.5*1（CM）四图拼板，木质外包装形尺寸(长×宽×高)：260mm×223mm×38mm，认知拼装图片是一款木制的彩色拼图，通过拼图，让患者动手拼装锻炼患者的动手能力与手眼协调能力，训练患者的逻辑和思维能力；</w:t>
            </w:r>
          </w:p>
          <w:p w14:paraId="212AD86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5）汉诺塔3套：带收纳盒，大号十层汉诺塔，</w:t>
            </w:r>
          </w:p>
          <w:p w14:paraId="69D957B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尺寸：23*10*15.5cm；       </w:t>
            </w:r>
          </w:p>
          <w:p w14:paraId="1E04148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bCs/>
                <w:i w:val="0"/>
                <w:iCs w:val="0"/>
                <w:color w:val="auto"/>
                <w:kern w:val="0"/>
                <w:sz w:val="24"/>
                <w:szCs w:val="24"/>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6）字母数字板3套：</w:t>
            </w:r>
          </w:p>
          <w:p w14:paraId="5B15748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产品外形尺寸(长×宽×高)：300mm×225mm×16mm，允差±5mm，外包装尺寸(长×宽×高)：310mm×240mm×32mm，材质：木制，由椴木制成的彩色26字母插板。适用于3岁以上患者对26字母的认识，对颜色，形状的感知，培养锻炼观察力，手、眼、脑协调力；              </w:t>
            </w:r>
          </w:p>
          <w:p w14:paraId="7564138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bCs/>
                <w:i w:val="0"/>
                <w:iCs w:val="0"/>
                <w:color w:val="auto"/>
                <w:kern w:val="0"/>
                <w:sz w:val="24"/>
                <w:szCs w:val="24"/>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7）捶球训练器3套：</w:t>
            </w:r>
          </w:p>
          <w:p w14:paraId="7832D23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规格：20*10*9.5CM，材质：复合板密度板，用途：上肢肌力、协调、感知/认知功能训练。</w:t>
            </w:r>
          </w:p>
        </w:tc>
      </w:tr>
      <w:tr w14:paraId="632B1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9" w:type="dxa"/>
            <w:vAlign w:val="center"/>
          </w:tcPr>
          <w:p w14:paraId="6913129D">
            <w:pPr>
              <w:keepNext w:val="0"/>
              <w:keepLines w:val="0"/>
              <w:pageBreakBefore w:val="0"/>
              <w:widowControl/>
              <w:numPr>
                <w:ilvl w:val="0"/>
                <w:numId w:val="2"/>
              </w:numPr>
              <w:suppressLineNumbers w:val="0"/>
              <w:kinsoku/>
              <w:wordWrap/>
              <w:overflowPunct/>
              <w:topLinePunct w:val="0"/>
              <w:autoSpaceDE/>
              <w:autoSpaceDN/>
              <w:bidi w:val="0"/>
              <w:adjustRightInd/>
              <w:snapToGrid/>
              <w:spacing w:line="460" w:lineRule="exact"/>
              <w:ind w:left="425" w:leftChars="0" w:hanging="425" w:firstLineChars="0"/>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660" w:type="dxa"/>
            <w:vAlign w:val="center"/>
          </w:tcPr>
          <w:p w14:paraId="628CFB9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个训室6302</w:t>
            </w:r>
          </w:p>
        </w:tc>
        <w:tc>
          <w:tcPr>
            <w:tcW w:w="1610" w:type="dxa"/>
            <w:vAlign w:val="center"/>
          </w:tcPr>
          <w:p w14:paraId="72C83F7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儿童眼动认知诊断系统</w:t>
            </w:r>
          </w:p>
        </w:tc>
        <w:tc>
          <w:tcPr>
            <w:tcW w:w="763" w:type="dxa"/>
            <w:vAlign w:val="center"/>
          </w:tcPr>
          <w:p w14:paraId="1B8D0B3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1套</w:t>
            </w:r>
          </w:p>
        </w:tc>
        <w:tc>
          <w:tcPr>
            <w:tcW w:w="11073" w:type="dxa"/>
            <w:vAlign w:val="center"/>
          </w:tcPr>
          <w:p w14:paraId="4C2E827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一、治疗范围</w:t>
            </w:r>
          </w:p>
          <w:p w14:paraId="03538F1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针对认知损害进行全面评估与训练，包括感知觉能力、基本认知能力、思维能力、数学能力、社会行为能力、艺术能力等多项能力训练专题。                                            </w:t>
            </w:r>
          </w:p>
          <w:p w14:paraId="348E9CC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1、眼动辅助评估/训练模块                                       </w:t>
            </w:r>
          </w:p>
          <w:p w14:paraId="3F9C563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1）眼动辅助评估：可针对注意力障碍、单侧忽略、阅读障碍、视觉跟踪进行辅助评估眼动，评估项目≥7项，评估结束后可给出图形化的评估报告，并支持回看评估记录。（提供说明书或第三方检测报告） </w:t>
            </w:r>
          </w:p>
          <w:p w14:paraId="2617FF1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2）可实现眼球追踪功能，至少包括10个眼动训练项目，可提供注意力训练方案，包括但不限于选购商品、阅读等特制训练题目。（提供说明书或第三方检测报告）        </w:t>
            </w:r>
          </w:p>
          <w:p w14:paraId="451F76D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2、认知障碍评定模块量表评估功能     </w:t>
            </w:r>
          </w:p>
          <w:p w14:paraId="7958985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提供不少于20个儿童认知功能障碍相关评估量表，必须包括《蒙特利尔认知评估_MoCA》，《丹佛发育筛查测验第二版》，《精细运动功能测试量表》，《PeaBody动作发育量表》，《儿童发育行为评估量表》，《儿童感觉统合能力发展评定量表》等量表，评估结束可自动生成评估报告。    </w:t>
            </w:r>
          </w:p>
          <w:p w14:paraId="2284EA6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3、认知障碍训练模块    </w:t>
            </w:r>
          </w:p>
          <w:p w14:paraId="1BC0722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1）应包括视知觉加工、听知觉加工、加工速度、注意力、记忆力、逻辑推理、社会认知、基础认知等认知主题，≥100个训练题目；(提供说明书或第三方检测报告） </w:t>
            </w:r>
          </w:p>
          <w:p w14:paraId="313E5BD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2）训练应具有难度梯度自适应调整算法，也可手动调整难易程度。</w:t>
            </w:r>
          </w:p>
          <w:p w14:paraId="7EC5A98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4、至少包括70个以上的训练项目，每个训练项目都至少有3个以上难度等级。训练项目的场景至少包括但不限于五大生活场景：家/超市/幼儿园/动物园/游乐园。</w:t>
            </w:r>
          </w:p>
          <w:p w14:paraId="734D392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5、视知觉加工至少包含视空间关系/视觉完型速度/视觉记忆/视觉扫描。</w:t>
            </w:r>
          </w:p>
          <w:p w14:paraId="089DA04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6、听知觉加工至少包含声音模式记忆/一般声音分辨。</w:t>
            </w:r>
          </w:p>
          <w:p w14:paraId="7D8C62D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7、加工速度至少包含简单反应时间/选择反应时间。</w:t>
            </w:r>
          </w:p>
          <w:p w14:paraId="17EC08D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8、注意力至少包含注意力广度/持续注意力/注意力分配/注意力转移/选择性注意力/集中性注意力/交替性注意力。</w:t>
            </w:r>
          </w:p>
          <w:p w14:paraId="7A3E0E2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9、记忆力至少包含短期记忆/记忆广度。</w:t>
            </w:r>
          </w:p>
          <w:p w14:paraId="4C4A598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10、逻辑推理至少包含演绎推理/归纳推理。</w:t>
            </w:r>
          </w:p>
          <w:p w14:paraId="611A190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11、社会认知至少包含心智解读。</w:t>
            </w:r>
          </w:p>
          <w:p w14:paraId="58A1C82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12、基础认知至少包含动物/水果/颜色/数字/形状/大小/日用品/身体部位/职业。</w:t>
            </w:r>
          </w:p>
          <w:p w14:paraId="4580E8C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13、训练过程可采集每个训练项目的以下数据：训练正确率/反应时间/训练用时。                                                    </w:t>
            </w:r>
          </w:p>
          <w:p w14:paraId="78AD567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14、眼动追踪训练时，可以实时绘制眼球的运动轨迹，根据眼动频率分析训练者的专注度，以可视化波动曲线实时反馈。</w:t>
            </w:r>
          </w:p>
          <w:p w14:paraId="0A0BDF2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15、可实现增强现实（AR）功能，通过AR进行人机交互的视知觉训练。包括一个以上AR识别训练项目.                                      </w:t>
            </w:r>
          </w:p>
          <w:p w14:paraId="34EE0D3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16、具备用户资料建档功能，包含患者姓名、性别、年龄、教育情况、联系电话、出生史、既往史、发育史、责任治疗师、临床诊断、儿童标准化评估情况等。           </w:t>
            </w:r>
          </w:p>
          <w:p w14:paraId="12128DC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17、具有系统管理功能，不仅可以浏览所有病历列表信息，还可以检索、添加、删除患者病历信息；当选中某一患者病历时，可以通过资料、评估、计划、训练、报告对其进行分模块管理。     </w:t>
            </w:r>
          </w:p>
          <w:p w14:paraId="026B93F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18、系统配备24寸多点式互动面板操作</w:t>
            </w:r>
          </w:p>
          <w:p w14:paraId="04CB2B8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19、工作电压：220V，50Hz；功率：260VA；保险丝：F1.5AL250V，安全类型：I类，B型。</w:t>
            </w:r>
          </w:p>
          <w:p w14:paraId="384332A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20、工作站：i5 2.3Ghz，多种操作系统，内存8GB，硬盘250GB及以上。</w:t>
            </w:r>
          </w:p>
          <w:p w14:paraId="38CECBB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21、材质：铝合金，钢材，ABS。                                    </w:t>
            </w:r>
          </w:p>
          <w:p w14:paraId="6955D92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bCs/>
                <w:i w:val="0"/>
                <w:iCs w:val="0"/>
                <w:color w:val="auto"/>
                <w:kern w:val="0"/>
                <w:sz w:val="24"/>
                <w:szCs w:val="24"/>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22、配备定制收纳工具2个：</w:t>
            </w:r>
          </w:p>
          <w:p w14:paraId="669E060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1）1个高柜规格（长*宽*高）85（±10%）*40（±10%）*200（±10%）cm，实木柜原木色，带门。</w:t>
            </w:r>
          </w:p>
          <w:p w14:paraId="6689659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2）1个矮柜规格：（长*宽*高）150（±10%）*40（±10%）*85（±10%）cm，实木柜原木色，带门，三开门 。                                                </w:t>
            </w:r>
          </w:p>
          <w:p w14:paraId="328DA06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23、配备诊疗桌椅一套：</w:t>
            </w:r>
          </w:p>
          <w:p w14:paraId="1599ED3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桌子：120*60*72cm（±5%），实木柜原木色，带柜子；</w:t>
            </w:r>
          </w:p>
          <w:p w14:paraId="0F3527C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椅子:乳胶坐垫，透气网布，品质钢管，带扶手，坐垫45*45cm（±3%）,坐高42cm（±3%），总高110cm（±3%）                           </w:t>
            </w:r>
          </w:p>
          <w:p w14:paraId="2B7AD78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24、具有医疗器械注册证。</w:t>
            </w: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 </w:t>
            </w:r>
          </w:p>
        </w:tc>
      </w:tr>
      <w:tr w14:paraId="0193D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9" w:type="dxa"/>
            <w:vAlign w:val="center"/>
          </w:tcPr>
          <w:p w14:paraId="3445C6B7">
            <w:pPr>
              <w:keepNext w:val="0"/>
              <w:keepLines w:val="0"/>
              <w:pageBreakBefore w:val="0"/>
              <w:widowControl/>
              <w:numPr>
                <w:ilvl w:val="0"/>
                <w:numId w:val="2"/>
              </w:numPr>
              <w:suppressLineNumbers w:val="0"/>
              <w:kinsoku/>
              <w:wordWrap/>
              <w:overflowPunct/>
              <w:topLinePunct w:val="0"/>
              <w:autoSpaceDE/>
              <w:autoSpaceDN/>
              <w:bidi w:val="0"/>
              <w:adjustRightInd/>
              <w:snapToGrid/>
              <w:spacing w:line="460" w:lineRule="exact"/>
              <w:ind w:left="425" w:leftChars="0" w:hanging="425" w:firstLineChars="0"/>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p>
        </w:tc>
        <w:tc>
          <w:tcPr>
            <w:tcW w:w="660" w:type="dxa"/>
            <w:vAlign w:val="center"/>
          </w:tcPr>
          <w:p w14:paraId="0CA45C2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绘本教室</w:t>
            </w:r>
          </w:p>
        </w:tc>
        <w:tc>
          <w:tcPr>
            <w:tcW w:w="1610" w:type="dxa"/>
            <w:vAlign w:val="center"/>
          </w:tcPr>
          <w:p w14:paraId="6C7E37F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绘本室配套设备</w:t>
            </w:r>
          </w:p>
        </w:tc>
        <w:tc>
          <w:tcPr>
            <w:tcW w:w="763" w:type="dxa"/>
            <w:vAlign w:val="center"/>
          </w:tcPr>
          <w:p w14:paraId="0BAC3A8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1套</w:t>
            </w:r>
          </w:p>
        </w:tc>
        <w:tc>
          <w:tcPr>
            <w:tcW w:w="11073" w:type="dxa"/>
            <w:vAlign w:val="top"/>
          </w:tcPr>
          <w:p w14:paraId="0034F1B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top"/>
              <w:rPr>
                <w:rFonts w:hint="eastAsia" w:ascii="新宋体" w:hAnsi="新宋体" w:eastAsia="新宋体" w:cs="新宋体"/>
                <w:b/>
                <w:bCs/>
                <w:i w:val="0"/>
                <w:iCs w:val="0"/>
                <w:color w:val="auto"/>
                <w:kern w:val="0"/>
                <w:sz w:val="24"/>
                <w:szCs w:val="24"/>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1、认知类绘本1000本，</w:t>
            </w:r>
          </w:p>
          <w:p w14:paraId="5F5C6D9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top"/>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材质：纸质,精装硬壳绘本，用途：培养儿童言语能力，沟通能力；                                                       </w:t>
            </w:r>
            <w:r>
              <w:rPr>
                <w:rFonts w:hint="eastAsia" w:ascii="新宋体" w:hAnsi="新宋体" w:eastAsia="新宋体" w:cs="新宋体"/>
                <w:b/>
                <w:bCs/>
                <w:i w:val="0"/>
                <w:iCs w:val="0"/>
                <w:color w:val="auto"/>
                <w:kern w:val="0"/>
                <w:sz w:val="24"/>
                <w:szCs w:val="24"/>
                <w:highlight w:val="none"/>
                <w:u w:val="none"/>
                <w:lang w:val="en-US" w:eastAsia="zh-CN" w:bidi="ar"/>
              </w:rPr>
              <w:t>2、配备定制收纳工具3个，</w:t>
            </w:r>
          </w:p>
          <w:p w14:paraId="632B2A0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top"/>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规格：（长*宽*高）85（±10%）*40（±10%）*200（±10%）cm，实木柜原木色，带门；                                                                    </w:t>
            </w:r>
          </w:p>
          <w:p w14:paraId="064B356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top"/>
              <w:rPr>
                <w:rFonts w:hint="eastAsia" w:ascii="新宋体" w:hAnsi="新宋体" w:eastAsia="新宋体" w:cs="新宋体"/>
                <w:b/>
                <w:bCs/>
                <w:i w:val="0"/>
                <w:iCs w:val="0"/>
                <w:color w:val="auto"/>
                <w:kern w:val="0"/>
                <w:sz w:val="24"/>
                <w:szCs w:val="24"/>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3、益智玩具(多样）10套</w:t>
            </w:r>
          </w:p>
          <w:p w14:paraId="2095567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top"/>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产品安全，边缘光滑，锻炼思维能力、智力开发、手眼协调，玩法多种多样，环保材质无异味；</w:t>
            </w:r>
          </w:p>
          <w:p w14:paraId="60E20E5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top"/>
              <w:rPr>
                <w:rFonts w:hint="eastAsia" w:ascii="新宋体" w:hAnsi="新宋体" w:eastAsia="新宋体" w:cs="新宋体"/>
                <w:b/>
                <w:bCs/>
                <w:i w:val="0"/>
                <w:iCs w:val="0"/>
                <w:color w:val="auto"/>
                <w:kern w:val="0"/>
                <w:sz w:val="24"/>
                <w:szCs w:val="24"/>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4、棋类（多合一）4套:</w:t>
            </w:r>
          </w:p>
          <w:p w14:paraId="5AAE98E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top"/>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木制棋盘，ABS棋盒，自带收纳，结实耐用。规格:33*33*3.5cm（±5%）；                                      </w:t>
            </w:r>
          </w:p>
          <w:p w14:paraId="015D9E5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top"/>
              <w:rPr>
                <w:rFonts w:hint="eastAsia" w:ascii="新宋体" w:hAnsi="新宋体" w:eastAsia="新宋体" w:cs="新宋体"/>
                <w:b/>
                <w:bCs/>
                <w:i w:val="0"/>
                <w:iCs w:val="0"/>
                <w:color w:val="auto"/>
                <w:kern w:val="0"/>
                <w:sz w:val="22"/>
                <w:szCs w:val="22"/>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5、多功能手工包5套；</w:t>
            </w:r>
          </w:p>
          <w:p w14:paraId="0DB84B2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top"/>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 xml:space="preserve">满足多种手工需求，DIY操作简单，安全；                              </w:t>
            </w:r>
          </w:p>
          <w:p w14:paraId="43D56EA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top"/>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bCs/>
                <w:i w:val="0"/>
                <w:iCs w:val="0"/>
                <w:color w:val="auto"/>
                <w:kern w:val="0"/>
                <w:sz w:val="24"/>
                <w:szCs w:val="24"/>
                <w:highlight w:val="none"/>
                <w:u w:val="none"/>
                <w:lang w:val="en-US" w:eastAsia="zh-CN" w:bidi="ar"/>
              </w:rPr>
              <w:t>6、多功能讲台1张</w:t>
            </w:r>
          </w:p>
          <w:p w14:paraId="4921AA9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top"/>
              <w:rPr>
                <w:rFonts w:hint="eastAsia" w:ascii="新宋体" w:hAnsi="新宋体" w:eastAsia="新宋体" w:cs="新宋体"/>
                <w:b w:val="0"/>
                <w:bCs w:val="0"/>
                <w:i w:val="0"/>
                <w:iCs w:val="0"/>
                <w:color w:val="auto"/>
                <w:kern w:val="0"/>
                <w:sz w:val="22"/>
                <w:szCs w:val="22"/>
                <w:highlight w:val="none"/>
                <w:u w:val="none"/>
                <w:lang w:val="en-US" w:eastAsia="zh-CN" w:bidi="ar"/>
              </w:rPr>
            </w:pPr>
            <w:r>
              <w:rPr>
                <w:rFonts w:hint="eastAsia" w:ascii="新宋体" w:hAnsi="新宋体" w:eastAsia="新宋体" w:cs="新宋体"/>
                <w:b w:val="0"/>
                <w:bCs w:val="0"/>
                <w:i w:val="0"/>
                <w:iCs w:val="0"/>
                <w:color w:val="auto"/>
                <w:kern w:val="0"/>
                <w:sz w:val="22"/>
                <w:szCs w:val="22"/>
                <w:highlight w:val="none"/>
                <w:u w:val="none"/>
                <w:lang w:val="en-US" w:eastAsia="zh-CN" w:bidi="ar"/>
              </w:rPr>
              <w:t>尺寸：1100*780*1000mm。</w:t>
            </w:r>
          </w:p>
        </w:tc>
      </w:tr>
    </w:tbl>
    <w:p w14:paraId="6B31CB3F">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新宋体" w:hAnsi="新宋体" w:eastAsia="新宋体" w:cs="新宋体"/>
          <w:b/>
          <w:bCs/>
          <w:color w:val="auto"/>
          <w:sz w:val="22"/>
          <w:szCs w:val="22"/>
          <w:highlight w:val="none"/>
          <w:shd w:val="clear" w:color="auto" w:fill="FFFFFF"/>
          <w:lang w:val="en-US" w:eastAsia="zh-CN"/>
        </w:rPr>
        <w:sectPr>
          <w:pgSz w:w="16838" w:h="11906" w:orient="landscape"/>
          <w:pgMar w:top="1134" w:right="1134" w:bottom="1134" w:left="1134" w:header="850" w:footer="992" w:gutter="0"/>
          <w:pgNumType w:fmt="decimal"/>
          <w:cols w:space="720" w:num="1"/>
          <w:docGrid w:type="lines" w:linePitch="321" w:charSpace="0"/>
        </w:sectPr>
      </w:pPr>
    </w:p>
    <w:p w14:paraId="6F1B5D12">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新宋体" w:hAnsi="新宋体" w:eastAsia="新宋体" w:cs="新宋体"/>
          <w:b/>
          <w:bCs/>
          <w:color w:val="auto"/>
          <w:sz w:val="22"/>
          <w:szCs w:val="22"/>
          <w:highlight w:val="none"/>
          <w:shd w:val="clear" w:color="auto" w:fill="FFFFFF"/>
          <w:lang w:val="en-US" w:eastAsia="zh-CN"/>
        </w:rPr>
      </w:pPr>
      <w:r>
        <w:rPr>
          <w:rFonts w:hint="eastAsia" w:ascii="新宋体" w:hAnsi="新宋体" w:eastAsia="新宋体" w:cs="新宋体"/>
          <w:b/>
          <w:bCs/>
          <w:color w:val="auto"/>
          <w:sz w:val="22"/>
          <w:szCs w:val="22"/>
          <w:highlight w:val="none"/>
          <w:shd w:val="clear" w:color="auto" w:fill="FFFFFF"/>
          <w:lang w:val="en-US" w:eastAsia="zh-CN"/>
        </w:rPr>
        <w:t>注：</w:t>
      </w:r>
      <w:r>
        <w:rPr>
          <w:rFonts w:hint="eastAsia" w:ascii="新宋体" w:hAnsi="新宋体" w:eastAsia="新宋体" w:cs="新宋体"/>
          <w:b w:val="0"/>
          <w:bCs w:val="0"/>
          <w:color w:val="auto"/>
          <w:sz w:val="22"/>
          <w:szCs w:val="22"/>
          <w:highlight w:val="none"/>
          <w:shd w:val="clear" w:color="auto" w:fill="FFFFFF"/>
          <w:lang w:val="en-US" w:eastAsia="zh-CN"/>
        </w:rPr>
        <w:t>1、</w:t>
      </w:r>
      <w:r>
        <w:rPr>
          <w:rFonts w:hint="eastAsia" w:ascii="新宋体" w:hAnsi="新宋体" w:eastAsia="新宋体" w:cs="新宋体"/>
          <w:bCs/>
          <w:color w:val="auto"/>
          <w:sz w:val="22"/>
          <w:szCs w:val="22"/>
          <w:highlight w:val="none"/>
        </w:rPr>
        <w:t>本次采购的核心产品为</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u w:val="single"/>
          <w:lang w:val="en-US" w:eastAsia="zh-CN"/>
        </w:rPr>
        <w:t xml:space="preserve"> 儿童专用经颅磁</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rPr>
        <w:t>，提供相同品牌产品（或同品牌核心产品）且通过资格审查、符合性审查的不同供应商参加同一合同项下投标的，按一家供应商计算，评审后得分最高的同品牌（或同品牌核心产品）供应商获得中标候选人推荐资格。</w:t>
      </w:r>
    </w:p>
    <w:p w14:paraId="3C75F596">
      <w:pPr>
        <w:snapToGrid w:val="0"/>
        <w:spacing w:line="460" w:lineRule="exact"/>
        <w:ind w:firstLine="442" w:firstLineChars="200"/>
        <w:rPr>
          <w:rFonts w:hint="eastAsia" w:ascii="新宋体" w:hAnsi="新宋体" w:eastAsia="新宋体" w:cs="新宋体"/>
          <w:bCs/>
          <w:color w:val="auto"/>
          <w:sz w:val="22"/>
          <w:szCs w:val="22"/>
          <w:highlight w:val="none"/>
          <w:u w:val="single"/>
        </w:rPr>
      </w:pPr>
      <w:r>
        <w:rPr>
          <w:rFonts w:hint="eastAsia" w:ascii="新宋体" w:hAnsi="新宋体" w:eastAsia="新宋体" w:cs="新宋体"/>
          <w:b/>
          <w:color w:val="auto"/>
          <w:sz w:val="22"/>
          <w:szCs w:val="22"/>
          <w:highlight w:val="none"/>
          <w:u w:val="single"/>
        </w:rPr>
        <w:t>▲</w:t>
      </w:r>
      <w:r>
        <w:rPr>
          <w:rFonts w:hint="eastAsia" w:ascii="新宋体" w:hAnsi="新宋体" w:eastAsia="新宋体" w:cs="新宋体"/>
          <w:b/>
          <w:color w:val="auto"/>
          <w:sz w:val="24"/>
          <w:szCs w:val="24"/>
          <w:highlight w:val="none"/>
          <w:u w:val="single"/>
          <w:lang w:val="en-US" w:eastAsia="zh-CN"/>
        </w:rPr>
        <w:t>2</w:t>
      </w:r>
      <w:r>
        <w:rPr>
          <w:rFonts w:hint="eastAsia" w:ascii="新宋体" w:hAnsi="新宋体" w:eastAsia="新宋体" w:cs="新宋体"/>
          <w:b/>
          <w:color w:val="auto"/>
          <w:sz w:val="24"/>
          <w:szCs w:val="24"/>
          <w:highlight w:val="none"/>
          <w:u w:val="single"/>
        </w:rPr>
        <w:t>、</w:t>
      </w:r>
      <w:r>
        <w:rPr>
          <w:rFonts w:hint="eastAsia" w:ascii="新宋体" w:hAnsi="新宋体" w:eastAsia="新宋体" w:cs="新宋体"/>
          <w:b/>
          <w:color w:val="auto"/>
          <w:sz w:val="24"/>
          <w:szCs w:val="24"/>
          <w:highlight w:val="none"/>
          <w:u w:val="single"/>
          <w:lang w:val="en-US" w:eastAsia="zh-CN"/>
        </w:rPr>
        <w:t>供应商</w:t>
      </w:r>
      <w:r>
        <w:rPr>
          <w:rFonts w:hint="eastAsia" w:ascii="新宋体" w:hAnsi="新宋体" w:eastAsia="新宋体" w:cs="新宋体"/>
          <w:b/>
          <w:color w:val="auto"/>
          <w:sz w:val="24"/>
          <w:szCs w:val="24"/>
          <w:highlight w:val="none"/>
          <w:u w:val="single"/>
        </w:rPr>
        <w:t>必须同时对以上所有</w:t>
      </w:r>
      <w:r>
        <w:rPr>
          <w:rFonts w:hint="eastAsia" w:ascii="新宋体" w:hAnsi="新宋体" w:eastAsia="新宋体" w:cs="新宋体"/>
          <w:b/>
          <w:color w:val="auto"/>
          <w:sz w:val="24"/>
          <w:szCs w:val="24"/>
          <w:highlight w:val="none"/>
          <w:u w:val="single"/>
          <w:lang w:val="en-US" w:eastAsia="zh-CN"/>
        </w:rPr>
        <w:t>采购</w:t>
      </w:r>
      <w:r>
        <w:rPr>
          <w:rFonts w:hint="eastAsia" w:ascii="新宋体" w:hAnsi="新宋体" w:eastAsia="新宋体" w:cs="新宋体"/>
          <w:b/>
          <w:color w:val="auto"/>
          <w:sz w:val="24"/>
          <w:szCs w:val="24"/>
          <w:highlight w:val="none"/>
          <w:u w:val="single"/>
        </w:rPr>
        <w:t>内容</w:t>
      </w:r>
      <w:r>
        <w:rPr>
          <w:rFonts w:hint="eastAsia" w:ascii="新宋体" w:hAnsi="新宋体" w:eastAsia="新宋体" w:cs="新宋体"/>
          <w:b/>
          <w:color w:val="auto"/>
          <w:sz w:val="24"/>
          <w:szCs w:val="24"/>
          <w:highlight w:val="none"/>
          <w:u w:val="single"/>
          <w:lang w:val="en-US" w:eastAsia="zh-CN"/>
        </w:rPr>
        <w:t>及所配置的配件配置数量</w:t>
      </w:r>
      <w:r>
        <w:rPr>
          <w:rFonts w:hint="eastAsia" w:ascii="新宋体" w:hAnsi="新宋体" w:eastAsia="新宋体" w:cs="新宋体"/>
          <w:b/>
          <w:color w:val="auto"/>
          <w:sz w:val="24"/>
          <w:szCs w:val="24"/>
          <w:highlight w:val="none"/>
          <w:u w:val="single"/>
        </w:rPr>
        <w:t>进行</w:t>
      </w:r>
      <w:r>
        <w:rPr>
          <w:rFonts w:hint="eastAsia" w:ascii="新宋体" w:hAnsi="新宋体" w:eastAsia="新宋体" w:cs="新宋体"/>
          <w:b/>
          <w:color w:val="auto"/>
          <w:sz w:val="24"/>
          <w:szCs w:val="24"/>
          <w:highlight w:val="none"/>
          <w:u w:val="single"/>
          <w:lang w:val="en-US" w:eastAsia="zh-CN"/>
        </w:rPr>
        <w:t>响应</w:t>
      </w:r>
      <w:r>
        <w:rPr>
          <w:rFonts w:hint="eastAsia" w:ascii="新宋体" w:hAnsi="新宋体" w:eastAsia="新宋体" w:cs="新宋体"/>
          <w:b/>
          <w:color w:val="auto"/>
          <w:sz w:val="24"/>
          <w:szCs w:val="24"/>
          <w:highlight w:val="none"/>
          <w:u w:val="single"/>
        </w:rPr>
        <w:t>，不允许拆分</w:t>
      </w:r>
      <w:r>
        <w:rPr>
          <w:rFonts w:hint="eastAsia" w:ascii="新宋体" w:hAnsi="新宋体" w:eastAsia="新宋体" w:cs="新宋体"/>
          <w:b/>
          <w:color w:val="auto"/>
          <w:sz w:val="24"/>
          <w:szCs w:val="24"/>
          <w:highlight w:val="none"/>
          <w:u w:val="single"/>
          <w:lang w:val="en-US" w:eastAsia="zh-CN"/>
        </w:rPr>
        <w:t>或减少配件配置数量</w:t>
      </w:r>
      <w:r>
        <w:rPr>
          <w:rFonts w:hint="eastAsia" w:ascii="新宋体" w:hAnsi="新宋体" w:eastAsia="新宋体" w:cs="新宋体"/>
          <w:b/>
          <w:color w:val="auto"/>
          <w:sz w:val="24"/>
          <w:szCs w:val="24"/>
          <w:highlight w:val="none"/>
          <w:u w:val="single"/>
        </w:rPr>
        <w:t>，否则其</w:t>
      </w:r>
      <w:r>
        <w:rPr>
          <w:rFonts w:hint="eastAsia" w:ascii="新宋体" w:hAnsi="新宋体" w:eastAsia="新宋体" w:cs="新宋体"/>
          <w:b/>
          <w:color w:val="auto"/>
          <w:sz w:val="24"/>
          <w:szCs w:val="24"/>
          <w:highlight w:val="none"/>
          <w:u w:val="single"/>
          <w:lang w:val="en-US" w:eastAsia="zh-CN"/>
        </w:rPr>
        <w:t>响应</w:t>
      </w:r>
      <w:r>
        <w:rPr>
          <w:rFonts w:hint="eastAsia" w:ascii="新宋体" w:hAnsi="新宋体" w:eastAsia="新宋体" w:cs="新宋体"/>
          <w:b/>
          <w:color w:val="auto"/>
          <w:sz w:val="24"/>
          <w:szCs w:val="24"/>
          <w:highlight w:val="none"/>
          <w:u w:val="single"/>
        </w:rPr>
        <w:t>文件不予接受</w:t>
      </w:r>
      <w:r>
        <w:rPr>
          <w:rFonts w:hint="eastAsia" w:ascii="新宋体" w:hAnsi="新宋体" w:eastAsia="新宋体" w:cs="新宋体"/>
          <w:b/>
          <w:color w:val="auto"/>
          <w:sz w:val="24"/>
          <w:szCs w:val="24"/>
          <w:highlight w:val="none"/>
          <w:u w:val="single"/>
          <w:lang w:eastAsia="zh-CN"/>
        </w:rPr>
        <w:t>，</w:t>
      </w:r>
      <w:r>
        <w:rPr>
          <w:rFonts w:hint="eastAsia" w:ascii="新宋体" w:hAnsi="新宋体" w:eastAsia="新宋体" w:cs="新宋体"/>
          <w:b/>
          <w:color w:val="auto"/>
          <w:sz w:val="24"/>
          <w:szCs w:val="24"/>
          <w:highlight w:val="none"/>
          <w:u w:val="single"/>
          <w:lang w:val="en-US" w:eastAsia="zh-CN"/>
        </w:rPr>
        <w:t>按无效标处理</w:t>
      </w:r>
      <w:r>
        <w:rPr>
          <w:rFonts w:hint="eastAsia" w:ascii="新宋体" w:hAnsi="新宋体" w:eastAsia="新宋体" w:cs="新宋体"/>
          <w:b/>
          <w:color w:val="auto"/>
          <w:sz w:val="24"/>
          <w:szCs w:val="24"/>
          <w:highlight w:val="none"/>
          <w:u w:val="single"/>
        </w:rPr>
        <w:t>。</w:t>
      </w:r>
    </w:p>
    <w:p w14:paraId="460076D4">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outlineLvl w:val="9"/>
        <w:rPr>
          <w:rFonts w:hint="eastAsia" w:ascii="新宋体" w:hAnsi="新宋体" w:eastAsia="新宋体" w:cs="新宋体"/>
          <w:b/>
          <w:bCs/>
          <w:color w:val="auto"/>
          <w:sz w:val="22"/>
          <w:szCs w:val="22"/>
          <w:highlight w:val="none"/>
          <w:shd w:val="clear" w:color="auto" w:fill="FFFFFF"/>
          <w:lang w:val="en-US" w:eastAsia="zh-CN"/>
        </w:rPr>
      </w:pPr>
      <w:r>
        <w:rPr>
          <w:rFonts w:hint="eastAsia" w:ascii="新宋体" w:hAnsi="新宋体" w:eastAsia="新宋体" w:cs="新宋体"/>
          <w:b/>
          <w:color w:val="auto"/>
          <w:sz w:val="22"/>
          <w:szCs w:val="22"/>
          <w:highlight w:val="none"/>
          <w:u w:val="single"/>
        </w:rPr>
        <w:t>▲</w:t>
      </w:r>
      <w:r>
        <w:rPr>
          <w:rFonts w:hint="eastAsia" w:ascii="新宋体" w:hAnsi="新宋体" w:eastAsia="新宋体" w:cs="新宋体"/>
          <w:b/>
          <w:color w:val="auto"/>
          <w:sz w:val="24"/>
          <w:szCs w:val="24"/>
          <w:highlight w:val="none"/>
          <w:u w:val="single"/>
          <w:lang w:val="en-US" w:eastAsia="zh-CN"/>
        </w:rPr>
        <w:t>3</w:t>
      </w:r>
      <w:r>
        <w:rPr>
          <w:rFonts w:hint="eastAsia" w:ascii="新宋体" w:hAnsi="新宋体" w:eastAsia="新宋体" w:cs="新宋体"/>
          <w:b/>
          <w:color w:val="auto"/>
          <w:sz w:val="24"/>
          <w:szCs w:val="24"/>
          <w:highlight w:val="none"/>
          <w:u w:val="single"/>
        </w:rPr>
        <w:t>、</w:t>
      </w:r>
      <w:r>
        <w:rPr>
          <w:rFonts w:hint="eastAsia" w:ascii="新宋体" w:hAnsi="新宋体" w:eastAsia="新宋体" w:cs="新宋体"/>
          <w:b/>
          <w:color w:val="auto"/>
          <w:sz w:val="24"/>
          <w:szCs w:val="24"/>
          <w:highlight w:val="none"/>
          <w:u w:val="single"/>
          <w:lang w:val="en-US" w:eastAsia="zh-CN"/>
        </w:rPr>
        <w:t>供应商需合理配置各项设备产品的报价以满足招标人的需求，合计报价不得超过预算金额，否则</w:t>
      </w:r>
      <w:r>
        <w:rPr>
          <w:rFonts w:hint="eastAsia" w:ascii="新宋体" w:hAnsi="新宋体" w:eastAsia="新宋体" w:cs="新宋体"/>
          <w:b/>
          <w:color w:val="auto"/>
          <w:sz w:val="24"/>
          <w:szCs w:val="24"/>
          <w:highlight w:val="none"/>
          <w:u w:val="single"/>
        </w:rPr>
        <w:t>按无效标处理</w:t>
      </w:r>
      <w:r>
        <w:rPr>
          <w:rFonts w:hint="eastAsia" w:ascii="新宋体" w:hAnsi="新宋体" w:eastAsia="新宋体" w:cs="新宋体"/>
          <w:b/>
          <w:color w:val="auto"/>
          <w:sz w:val="24"/>
          <w:szCs w:val="24"/>
          <w:highlight w:val="none"/>
          <w:u w:val="single"/>
          <w:lang w:eastAsia="zh-CN"/>
        </w:rPr>
        <w:t>。</w:t>
      </w:r>
    </w:p>
    <w:p w14:paraId="7F6FACDF">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outlineLvl w:val="9"/>
        <w:rPr>
          <w:rFonts w:hint="eastAsia" w:ascii="新宋体" w:hAnsi="新宋体" w:eastAsia="新宋体" w:cs="新宋体"/>
          <w:b/>
          <w:bCs w:val="0"/>
          <w:color w:val="auto"/>
          <w:sz w:val="22"/>
          <w:szCs w:val="22"/>
          <w:highlight w:val="none"/>
          <w:u w:val="none"/>
        </w:rPr>
      </w:pPr>
      <w:r>
        <w:rPr>
          <w:rFonts w:hint="eastAsia" w:ascii="新宋体" w:hAnsi="新宋体" w:eastAsia="新宋体" w:cs="新宋体"/>
          <w:b/>
          <w:color w:val="auto"/>
          <w:sz w:val="22"/>
          <w:szCs w:val="22"/>
          <w:highlight w:val="none"/>
          <w:u w:val="single"/>
        </w:rPr>
        <w:t>▲</w:t>
      </w:r>
      <w:r>
        <w:rPr>
          <w:rFonts w:hint="eastAsia" w:ascii="新宋体" w:hAnsi="新宋体" w:eastAsia="新宋体" w:cs="新宋体"/>
          <w:b/>
          <w:bCs/>
          <w:color w:val="auto"/>
          <w:sz w:val="24"/>
          <w:szCs w:val="24"/>
          <w:highlight w:val="none"/>
          <w:u w:val="single"/>
          <w:lang w:val="en-US" w:eastAsia="zh-CN"/>
        </w:rPr>
        <w:t>4、</w:t>
      </w:r>
      <w:r>
        <w:rPr>
          <w:rFonts w:hint="eastAsia" w:ascii="新宋体" w:hAnsi="新宋体" w:eastAsia="新宋体" w:cs="新宋体"/>
          <w:b/>
          <w:bCs/>
          <w:color w:val="auto"/>
          <w:kern w:val="0"/>
          <w:sz w:val="24"/>
          <w:szCs w:val="24"/>
          <w:highlight w:val="none"/>
          <w:u w:val="single"/>
        </w:rPr>
        <w:t>以</w:t>
      </w:r>
      <w:r>
        <w:rPr>
          <w:rFonts w:hint="eastAsia" w:ascii="新宋体" w:hAnsi="新宋体" w:eastAsia="新宋体" w:cs="新宋体"/>
          <w:b/>
          <w:bCs/>
          <w:color w:val="auto"/>
          <w:kern w:val="0"/>
          <w:sz w:val="24"/>
          <w:szCs w:val="24"/>
          <w:highlight w:val="none"/>
          <w:u w:val="single"/>
          <w:lang w:val="en-US" w:eastAsia="zh-CN"/>
        </w:rPr>
        <w:t>上</w:t>
      </w:r>
      <w:r>
        <w:rPr>
          <w:rFonts w:hint="eastAsia" w:ascii="新宋体" w:hAnsi="新宋体" w:eastAsia="新宋体" w:cs="新宋体"/>
          <w:b/>
          <w:bCs/>
          <w:color w:val="auto"/>
          <w:kern w:val="0"/>
          <w:sz w:val="24"/>
          <w:szCs w:val="24"/>
          <w:highlight w:val="none"/>
          <w:u w:val="single"/>
        </w:rPr>
        <w:t>设备</w:t>
      </w:r>
      <w:r>
        <w:rPr>
          <w:rFonts w:hint="eastAsia" w:ascii="新宋体" w:hAnsi="新宋体" w:eastAsia="新宋体" w:cs="新宋体"/>
          <w:b/>
          <w:bCs/>
          <w:color w:val="auto"/>
          <w:kern w:val="0"/>
          <w:sz w:val="24"/>
          <w:szCs w:val="24"/>
          <w:highlight w:val="none"/>
          <w:u w:val="single"/>
          <w:lang w:val="en-US" w:eastAsia="zh-CN"/>
        </w:rPr>
        <w:t>产品中如为</w:t>
      </w:r>
      <w:r>
        <w:rPr>
          <w:rFonts w:hint="eastAsia" w:ascii="新宋体" w:hAnsi="新宋体" w:eastAsia="新宋体" w:cs="新宋体"/>
          <w:b/>
          <w:bCs w:val="0"/>
          <w:color w:val="auto"/>
          <w:sz w:val="24"/>
          <w:szCs w:val="24"/>
          <w:highlight w:val="none"/>
          <w:u w:val="single"/>
        </w:rPr>
        <w:t>医疗器械</w:t>
      </w:r>
      <w:r>
        <w:rPr>
          <w:rFonts w:hint="eastAsia" w:ascii="新宋体" w:hAnsi="新宋体" w:eastAsia="新宋体" w:cs="新宋体"/>
          <w:b/>
          <w:bCs w:val="0"/>
          <w:color w:val="auto"/>
          <w:sz w:val="24"/>
          <w:szCs w:val="24"/>
          <w:highlight w:val="none"/>
          <w:u w:val="single"/>
          <w:lang w:eastAsia="zh-CN"/>
        </w:rPr>
        <w:t>的，</w:t>
      </w:r>
      <w:r>
        <w:rPr>
          <w:rFonts w:hint="eastAsia" w:ascii="新宋体" w:hAnsi="新宋体" w:eastAsia="新宋体" w:cs="新宋体"/>
          <w:b/>
          <w:bCs w:val="0"/>
          <w:color w:val="auto"/>
          <w:sz w:val="24"/>
          <w:szCs w:val="24"/>
          <w:highlight w:val="none"/>
          <w:u w:val="single"/>
          <w:lang w:val="en-US" w:eastAsia="zh-CN"/>
        </w:rPr>
        <w:t>须</w:t>
      </w:r>
      <w:r>
        <w:rPr>
          <w:rFonts w:hint="eastAsia" w:ascii="新宋体" w:hAnsi="新宋体" w:eastAsia="新宋体" w:cs="新宋体"/>
          <w:b/>
          <w:bCs w:val="0"/>
          <w:color w:val="auto"/>
          <w:sz w:val="24"/>
          <w:szCs w:val="24"/>
          <w:highlight w:val="none"/>
          <w:u w:val="single"/>
        </w:rPr>
        <w:t>提供食品药品监督管理部门核发的完整有效的医疗器械注册或备案证明，以证明所投</w:t>
      </w:r>
      <w:r>
        <w:rPr>
          <w:rFonts w:hint="eastAsia" w:ascii="新宋体" w:hAnsi="新宋体" w:eastAsia="新宋体" w:cs="新宋体"/>
          <w:b/>
          <w:bCs w:val="0"/>
          <w:color w:val="auto"/>
          <w:sz w:val="24"/>
          <w:szCs w:val="24"/>
          <w:highlight w:val="none"/>
          <w:u w:val="single"/>
          <w:lang w:val="en-US" w:eastAsia="zh-CN"/>
        </w:rPr>
        <w:t>设备产品</w:t>
      </w:r>
      <w:r>
        <w:rPr>
          <w:rFonts w:hint="eastAsia" w:ascii="新宋体" w:hAnsi="新宋体" w:eastAsia="新宋体" w:cs="新宋体"/>
          <w:b/>
          <w:bCs w:val="0"/>
          <w:color w:val="auto"/>
          <w:sz w:val="24"/>
          <w:szCs w:val="24"/>
          <w:highlight w:val="none"/>
          <w:u w:val="single"/>
        </w:rPr>
        <w:t>可合法销售（适用于医疗器械）</w:t>
      </w:r>
      <w:r>
        <w:rPr>
          <w:rFonts w:hint="eastAsia" w:ascii="新宋体" w:hAnsi="新宋体" w:eastAsia="新宋体" w:cs="新宋体"/>
          <w:b/>
          <w:bCs w:val="0"/>
          <w:color w:val="auto"/>
          <w:sz w:val="24"/>
          <w:szCs w:val="24"/>
          <w:highlight w:val="none"/>
          <w:u w:val="single"/>
          <w:lang w:eastAsia="zh-CN"/>
        </w:rPr>
        <w:t>，</w:t>
      </w:r>
      <w:r>
        <w:rPr>
          <w:rFonts w:hint="eastAsia" w:ascii="新宋体" w:hAnsi="新宋体" w:eastAsia="新宋体" w:cs="新宋体"/>
          <w:b/>
          <w:color w:val="auto"/>
          <w:sz w:val="24"/>
          <w:szCs w:val="24"/>
          <w:highlight w:val="none"/>
          <w:u w:val="single"/>
        </w:rPr>
        <w:t>否则</w:t>
      </w:r>
      <w:r>
        <w:rPr>
          <w:rFonts w:hint="eastAsia" w:ascii="新宋体" w:hAnsi="新宋体" w:eastAsia="新宋体" w:cs="新宋体"/>
          <w:b/>
          <w:color w:val="auto"/>
          <w:sz w:val="24"/>
          <w:szCs w:val="24"/>
          <w:highlight w:val="none"/>
          <w:u w:val="single"/>
          <w:lang w:val="en-US" w:eastAsia="zh-CN"/>
        </w:rPr>
        <w:t>按无效标处理</w:t>
      </w:r>
      <w:r>
        <w:rPr>
          <w:rFonts w:hint="eastAsia" w:ascii="新宋体" w:hAnsi="新宋体" w:eastAsia="新宋体" w:cs="新宋体"/>
          <w:b/>
          <w:bCs w:val="0"/>
          <w:color w:val="auto"/>
          <w:sz w:val="24"/>
          <w:szCs w:val="24"/>
          <w:highlight w:val="none"/>
          <w:u w:val="none"/>
        </w:rPr>
        <w:t>；</w:t>
      </w:r>
    </w:p>
    <w:p w14:paraId="60E1469C">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outlineLvl w:val="9"/>
        <w:rPr>
          <w:rFonts w:hint="eastAsia" w:ascii="新宋体" w:hAnsi="新宋体" w:eastAsia="新宋体" w:cs="新宋体"/>
          <w:b/>
          <w:bCs/>
          <w:color w:val="auto"/>
          <w:sz w:val="22"/>
          <w:szCs w:val="22"/>
          <w:highlight w:val="none"/>
          <w:shd w:val="clear" w:color="auto" w:fill="FFFFFF"/>
          <w:lang w:val="en-US" w:eastAsia="zh-CN"/>
        </w:rPr>
      </w:pPr>
      <w:r>
        <w:rPr>
          <w:rFonts w:hint="eastAsia" w:ascii="新宋体" w:hAnsi="新宋体" w:eastAsia="新宋体" w:cs="新宋体"/>
          <w:b w:val="0"/>
          <w:bCs w:val="0"/>
          <w:color w:val="auto"/>
          <w:sz w:val="22"/>
          <w:szCs w:val="22"/>
          <w:highlight w:val="none"/>
          <w:shd w:val="clear" w:color="auto" w:fill="FFFFFF"/>
          <w:lang w:val="en-US" w:eastAsia="zh-CN"/>
        </w:rPr>
        <w:t>5、</w:t>
      </w:r>
      <w:r>
        <w:rPr>
          <w:rFonts w:hint="eastAsia" w:ascii="新宋体" w:hAnsi="新宋体" w:eastAsia="新宋体" w:cs="新宋体"/>
          <w:b w:val="0"/>
          <w:bCs w:val="0"/>
          <w:color w:val="auto"/>
          <w:kern w:val="0"/>
          <w:sz w:val="22"/>
          <w:szCs w:val="22"/>
          <w:highlight w:val="none"/>
        </w:rPr>
        <w:t>以</w:t>
      </w:r>
      <w:r>
        <w:rPr>
          <w:rFonts w:hint="eastAsia" w:ascii="新宋体" w:hAnsi="新宋体" w:eastAsia="新宋体" w:cs="新宋体"/>
          <w:b w:val="0"/>
          <w:bCs w:val="0"/>
          <w:color w:val="auto"/>
          <w:kern w:val="0"/>
          <w:sz w:val="22"/>
          <w:szCs w:val="22"/>
          <w:highlight w:val="none"/>
          <w:lang w:val="en-US" w:eastAsia="zh-CN"/>
        </w:rPr>
        <w:t>上</w:t>
      </w:r>
      <w:r>
        <w:rPr>
          <w:rFonts w:hint="eastAsia" w:ascii="新宋体" w:hAnsi="新宋体" w:eastAsia="新宋体" w:cs="新宋体"/>
          <w:b w:val="0"/>
          <w:bCs w:val="0"/>
          <w:color w:val="auto"/>
          <w:kern w:val="0"/>
          <w:sz w:val="22"/>
          <w:szCs w:val="22"/>
          <w:highlight w:val="none"/>
        </w:rPr>
        <w:t>设备</w:t>
      </w:r>
      <w:r>
        <w:rPr>
          <w:rFonts w:hint="eastAsia" w:ascii="新宋体" w:hAnsi="新宋体" w:eastAsia="新宋体" w:cs="新宋体"/>
          <w:b w:val="0"/>
          <w:bCs w:val="0"/>
          <w:color w:val="auto"/>
          <w:kern w:val="0"/>
          <w:sz w:val="22"/>
          <w:szCs w:val="22"/>
          <w:highlight w:val="none"/>
          <w:lang w:val="en-US" w:eastAsia="zh-CN"/>
        </w:rPr>
        <w:t>产品</w:t>
      </w:r>
      <w:r>
        <w:rPr>
          <w:rFonts w:hint="eastAsia" w:ascii="新宋体" w:hAnsi="新宋体" w:eastAsia="新宋体" w:cs="新宋体"/>
          <w:b w:val="0"/>
          <w:bCs w:val="0"/>
          <w:color w:val="auto"/>
          <w:kern w:val="0"/>
          <w:sz w:val="22"/>
          <w:szCs w:val="22"/>
          <w:highlight w:val="none"/>
        </w:rPr>
        <w:t>如无特别注明的均为制造厂出厂的标准配置。</w:t>
      </w:r>
      <w:r>
        <w:rPr>
          <w:rFonts w:hint="eastAsia" w:ascii="新宋体" w:hAnsi="新宋体" w:eastAsia="新宋体" w:cs="新宋体"/>
          <w:b w:val="0"/>
          <w:bCs w:val="0"/>
          <w:color w:val="auto"/>
          <w:kern w:val="0"/>
          <w:sz w:val="22"/>
          <w:szCs w:val="22"/>
          <w:highlight w:val="none"/>
          <w:lang w:val="zh-CN"/>
        </w:rPr>
        <w:t>投标人可根据以上所列设备</w:t>
      </w:r>
      <w:r>
        <w:rPr>
          <w:rFonts w:hint="eastAsia" w:ascii="新宋体" w:hAnsi="新宋体" w:eastAsia="新宋体" w:cs="新宋体"/>
          <w:b w:val="0"/>
          <w:bCs w:val="0"/>
          <w:color w:val="auto"/>
          <w:kern w:val="0"/>
          <w:sz w:val="22"/>
          <w:szCs w:val="22"/>
          <w:highlight w:val="none"/>
          <w:lang w:val="en-US" w:eastAsia="zh-CN"/>
        </w:rPr>
        <w:t>产品</w:t>
      </w:r>
      <w:r>
        <w:rPr>
          <w:rFonts w:hint="eastAsia" w:ascii="新宋体" w:hAnsi="新宋体" w:eastAsia="新宋体" w:cs="新宋体"/>
          <w:b w:val="0"/>
          <w:bCs w:val="0"/>
          <w:color w:val="auto"/>
          <w:kern w:val="0"/>
          <w:sz w:val="22"/>
          <w:szCs w:val="22"/>
          <w:highlight w:val="none"/>
          <w:lang w:val="zh-CN"/>
        </w:rPr>
        <w:t>的技术配置及技术性能要求</w:t>
      </w:r>
      <w:r>
        <w:rPr>
          <w:rFonts w:hint="eastAsia" w:ascii="新宋体" w:hAnsi="新宋体" w:eastAsia="新宋体" w:cs="新宋体"/>
          <w:b w:val="0"/>
          <w:bCs w:val="0"/>
          <w:color w:val="auto"/>
          <w:kern w:val="0"/>
          <w:sz w:val="22"/>
          <w:szCs w:val="22"/>
          <w:highlight w:val="none"/>
        </w:rPr>
        <w:t>作为</w:t>
      </w:r>
      <w:r>
        <w:rPr>
          <w:rFonts w:hint="eastAsia" w:ascii="新宋体" w:hAnsi="新宋体" w:eastAsia="新宋体" w:cs="新宋体"/>
          <w:b w:val="0"/>
          <w:bCs w:val="0"/>
          <w:color w:val="auto"/>
          <w:kern w:val="0"/>
          <w:sz w:val="22"/>
          <w:szCs w:val="22"/>
          <w:highlight w:val="none"/>
          <w:lang w:val="zh-CN"/>
        </w:rPr>
        <w:t>参考选用投标产品，但所选投标产品的技术配置及技术性能应相当于或高于招标文件要求，并满足采购需求，否则将可能作出对投标人不利的评定。</w:t>
      </w:r>
    </w:p>
    <w:p w14:paraId="1E75F1B6">
      <w:pPr>
        <w:tabs>
          <w:tab w:val="left" w:pos="360"/>
        </w:tabs>
        <w:spacing w:line="460" w:lineRule="exact"/>
        <w:outlineLvl w:val="1"/>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三</w:t>
      </w:r>
      <w:r>
        <w:rPr>
          <w:rFonts w:hint="eastAsia" w:ascii="新宋体" w:hAnsi="新宋体" w:eastAsia="新宋体" w:cs="新宋体"/>
          <w:b/>
          <w:bCs/>
          <w:color w:val="auto"/>
          <w:sz w:val="22"/>
          <w:szCs w:val="22"/>
          <w:highlight w:val="none"/>
        </w:rPr>
        <w:t>、服务与培训要求</w:t>
      </w:r>
      <w:bookmarkEnd w:id="50"/>
    </w:p>
    <w:p w14:paraId="3A94F3EA">
      <w:pPr>
        <w:tabs>
          <w:tab w:val="left" w:pos="360"/>
        </w:tabs>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1、质量保证</w:t>
      </w:r>
    </w:p>
    <w:p w14:paraId="3A1D25BB">
      <w:pPr>
        <w:pStyle w:val="9"/>
        <w:spacing w:line="460" w:lineRule="exact"/>
        <w:ind w:left="0" w:leftChars="0" w:firstLine="440" w:firstLineChars="2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（1）所报</w:t>
      </w:r>
      <w:r>
        <w:rPr>
          <w:rFonts w:hint="eastAsia" w:ascii="新宋体" w:hAnsi="新宋体" w:eastAsia="新宋体" w:cs="新宋体"/>
          <w:b w:val="0"/>
          <w:bCs/>
          <w:color w:val="auto"/>
          <w:sz w:val="22"/>
          <w:szCs w:val="22"/>
          <w:highlight w:val="none"/>
          <w:lang w:val="en-US" w:eastAsia="zh-CN"/>
        </w:rPr>
        <w:t>设备产品</w:t>
      </w:r>
      <w:r>
        <w:rPr>
          <w:rFonts w:hint="eastAsia" w:ascii="新宋体" w:hAnsi="新宋体" w:eastAsia="新宋体" w:cs="新宋体"/>
          <w:b w:val="0"/>
          <w:bCs/>
          <w:color w:val="auto"/>
          <w:sz w:val="22"/>
          <w:szCs w:val="22"/>
          <w:highlight w:val="none"/>
        </w:rPr>
        <w:t>必须是符合国家技术规范和质量标准的合格产品，满足采购人的使用需求，并具有可靠的售后服务体系，质量可靠、使用安全。</w:t>
      </w:r>
    </w:p>
    <w:p w14:paraId="095955FF">
      <w:pPr>
        <w:pStyle w:val="9"/>
        <w:spacing w:line="460" w:lineRule="exact"/>
        <w:ind w:left="0" w:leftChars="0" w:firstLine="440" w:firstLineChars="2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（2）投标供应商保证其提供的货物中所有预装和为本项目安装的软件均为具有合法版权或使用权的正版软件且无质量瑕疵；在质保期内，如遇软件产品升级、改版，应免费提供更新、升级服务。</w:t>
      </w:r>
    </w:p>
    <w:p w14:paraId="33FE791B">
      <w:pPr>
        <w:pStyle w:val="9"/>
        <w:spacing w:line="460" w:lineRule="exact"/>
        <w:ind w:left="0" w:leftChars="0" w:firstLine="442" w:firstLineChars="200"/>
        <w:rPr>
          <w:rFonts w:hint="eastAsia" w:ascii="新宋体" w:hAnsi="新宋体" w:eastAsia="新宋体" w:cs="新宋体"/>
          <w:b w:val="0"/>
          <w:bCs/>
          <w:color w:val="auto"/>
          <w:sz w:val="22"/>
          <w:szCs w:val="22"/>
          <w:highlight w:val="none"/>
        </w:rPr>
      </w:pPr>
      <w:r>
        <w:rPr>
          <w:rFonts w:hint="eastAsia" w:ascii="新宋体" w:hAnsi="新宋体" w:eastAsia="新宋体" w:cs="新宋体"/>
          <w:b/>
          <w:bCs w:val="0"/>
          <w:color w:val="auto"/>
          <w:sz w:val="22"/>
          <w:szCs w:val="22"/>
          <w:highlight w:val="none"/>
        </w:rPr>
        <w:t>2、</w:t>
      </w:r>
      <w:r>
        <w:rPr>
          <w:rFonts w:hint="eastAsia" w:ascii="新宋体" w:hAnsi="新宋体" w:eastAsia="新宋体" w:cs="新宋体"/>
          <w:color w:val="auto"/>
          <w:sz w:val="22"/>
          <w:szCs w:val="22"/>
          <w:highlight w:val="none"/>
          <w:lang w:eastAsia="zh-CN"/>
        </w:rPr>
        <w:t>免费质保期</w:t>
      </w:r>
      <w:r>
        <w:rPr>
          <w:rFonts w:hint="eastAsia" w:ascii="新宋体" w:hAnsi="新宋体" w:eastAsia="新宋体" w:cs="新宋体"/>
          <w:color w:val="auto"/>
          <w:sz w:val="22"/>
          <w:szCs w:val="22"/>
          <w:highlight w:val="none"/>
        </w:rPr>
        <w:t>为自货物通过最终验收之日起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en-US" w:eastAsia="zh-CN"/>
        </w:rPr>
        <w:t>3</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年（设备另有超过质保期规定或采购文件另有规定的按就高原则执行），在保修期内所产生的相关费用由中标供应商承担，合同内的所有产品要求中标供应商提供上门服务。</w:t>
      </w:r>
      <w:r>
        <w:rPr>
          <w:rFonts w:hint="eastAsia" w:ascii="新宋体" w:hAnsi="新宋体" w:eastAsia="新宋体" w:cs="新宋体"/>
          <w:b w:val="0"/>
          <w:bCs/>
          <w:color w:val="auto"/>
          <w:sz w:val="22"/>
          <w:szCs w:val="22"/>
          <w:highlight w:val="none"/>
        </w:rPr>
        <w:t>在所报货物的质保期内，中标供应商应提供不低于7*24小时的技术支持服务，负责解答用户在设备使用中遇到的问题；提供免费上门服务，针对用户的现场质保或故障请求，中标供应商必须在规定的时间内响应，并按照用户要求的时间内到达现场处理，如果故障不能当场修复的，必须采取提供备品、备件或备机等措施，以保证采购人的正常使用，并负责免费维修或更换存在故障的设备或零部件，如果中标供应商逾期未作出响应，中标供应商应承担因故障所造成的全部损失。质保期满后，中标供应商提供免费上门服务的承诺及备品、备件支持。</w:t>
      </w:r>
    </w:p>
    <w:p w14:paraId="2C94C307">
      <w:pPr>
        <w:pStyle w:val="9"/>
        <w:spacing w:line="460" w:lineRule="exact"/>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3、要求投标供应商提供的服务不得低于标准服务，即与所报产品制造厂商通过网站等对外公布的有效服务标准相一致。在标准服务基础上，投标供应商还应达到以下标准：</w:t>
      </w:r>
    </w:p>
    <w:p w14:paraId="11355CC9">
      <w:pPr>
        <w:pStyle w:val="9"/>
        <w:spacing w:line="460" w:lineRule="exact"/>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（1）所报产品制造厂商应具有完善的服务保障体系（在最终供货地有直接设立或授权的售后服务机构，配备有足够的、有相应资质的专业技术人员）；供应商也应就所报</w:t>
      </w:r>
      <w:r>
        <w:rPr>
          <w:rFonts w:hint="eastAsia" w:ascii="新宋体" w:hAnsi="新宋体" w:eastAsia="新宋体" w:cs="新宋体"/>
          <w:b w:val="0"/>
          <w:bCs/>
          <w:color w:val="auto"/>
          <w:sz w:val="22"/>
          <w:szCs w:val="22"/>
          <w:highlight w:val="none"/>
          <w:lang w:val="en-US" w:eastAsia="zh-CN"/>
        </w:rPr>
        <w:t>设备产品</w:t>
      </w:r>
      <w:r>
        <w:rPr>
          <w:rFonts w:hint="eastAsia" w:ascii="新宋体" w:hAnsi="新宋体" w:eastAsia="新宋体" w:cs="新宋体"/>
          <w:b w:val="0"/>
          <w:bCs/>
          <w:color w:val="auto"/>
          <w:sz w:val="22"/>
          <w:szCs w:val="22"/>
          <w:highlight w:val="none"/>
        </w:rPr>
        <w:t>的品质和服务对采购机构和采购人负责。</w:t>
      </w:r>
    </w:p>
    <w:p w14:paraId="53FA1E4F">
      <w:pPr>
        <w:pStyle w:val="9"/>
        <w:spacing w:line="460" w:lineRule="exact"/>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（2）投标供应商应明确说明此次投标的服务策略，提供此次所报货物的服务计划（售后服务内容、等级、相关服务指标、售后服务组织机构及人员安排情况及其联络信息）。</w:t>
      </w:r>
    </w:p>
    <w:p w14:paraId="5CD04DEE">
      <w:pPr>
        <w:pStyle w:val="9"/>
        <w:spacing w:line="460" w:lineRule="exact"/>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（3）当所报货物发生非人为因素严重故障时，供应商应当免费在七日内将补充或者更换的货物运抵发生故障的货物所在地，由此产生的一切相关费用由供应商负担。</w:t>
      </w:r>
    </w:p>
    <w:p w14:paraId="74BD787F">
      <w:pPr>
        <w:pStyle w:val="9"/>
        <w:spacing w:line="460" w:lineRule="exact"/>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（4）质保期内所有因更换或修理设备或部件而导致设备停止运行的时间应从其质保期内扣除。</w:t>
      </w:r>
    </w:p>
    <w:p w14:paraId="78DB51F4">
      <w:pPr>
        <w:pStyle w:val="9"/>
        <w:spacing w:line="460" w:lineRule="exact"/>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（5）投标供应商在质保期内安装的任何产品，必须是其所报产品制造厂商原产的或是经其认可的。</w:t>
      </w:r>
    </w:p>
    <w:p w14:paraId="4F551F36">
      <w:pPr>
        <w:pStyle w:val="9"/>
        <w:spacing w:line="460" w:lineRule="exact"/>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（6）所有的替代零配件必须是新的未使用和未经修复的，除非最终用户提供书面许可，否则不可使用此范围外的其他（非新的）配件。</w:t>
      </w:r>
    </w:p>
    <w:p w14:paraId="35F2B98D">
      <w:pPr>
        <w:pStyle w:val="9"/>
        <w:spacing w:line="460" w:lineRule="exact"/>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（7）投标供应商必须为维修和技术支持所未能解决的问题和故障提供正式的升级方案。</w:t>
      </w:r>
    </w:p>
    <w:p w14:paraId="4DA8CB78">
      <w:pPr>
        <w:pStyle w:val="9"/>
        <w:spacing w:line="460" w:lineRule="exact"/>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（8）在质保期内，投标供应商有责任解决所提供的所报设备和软件系统的任何问题，在质保期满后，当需要时，供应商仍须对因所报设备本身的固有缺陷和瑕疵承担相应责任。</w:t>
      </w:r>
    </w:p>
    <w:p w14:paraId="18948A0A">
      <w:pPr>
        <w:pStyle w:val="9"/>
        <w:spacing w:line="460" w:lineRule="exact"/>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4、对产品服务要求的有效响应将被视为投标供应商对其所报产品的服务承诺，如果中标，须将服务承诺列入合同的产品服务条款。</w:t>
      </w:r>
    </w:p>
    <w:p w14:paraId="6ACD33C3">
      <w:pPr>
        <w:pStyle w:val="9"/>
        <w:spacing w:line="460" w:lineRule="exact"/>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5、投标供应商须保证所提供硬件产品包括相关附件为相应硬件厂家原装正品，软件产品为相关厂家正版软件，符合国家有关规定。投标供应商须保证所提供产品具有合法的版权或使用权，本项目采购的产品，如在本项目范围内使用过程中出现版权或使用权纠纷，应由中标供应商负责，采购人不承担责任。</w:t>
      </w:r>
    </w:p>
    <w:p w14:paraId="0BD1C06C">
      <w:pPr>
        <w:pStyle w:val="9"/>
        <w:spacing w:line="460" w:lineRule="exact"/>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6、中标人项目所涉及的设备及软件到货时，须提供原厂商的供货证明。</w:t>
      </w:r>
    </w:p>
    <w:p w14:paraId="65A8DCB1">
      <w:pPr>
        <w:pStyle w:val="9"/>
        <w:spacing w:line="460" w:lineRule="exact"/>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7、培训要求</w:t>
      </w:r>
    </w:p>
    <w:p w14:paraId="706BA1EE">
      <w:pPr>
        <w:pStyle w:val="9"/>
        <w:spacing w:line="460" w:lineRule="exact"/>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投标供应商须提出详细的针对本次采购的培训计划，具体如下：</w:t>
      </w:r>
    </w:p>
    <w:p w14:paraId="17B6752B">
      <w:pPr>
        <w:pStyle w:val="9"/>
        <w:spacing w:line="460" w:lineRule="exact"/>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（1）投标供应商应提供相应的培训计划，并详细说明培训方式、课程安排、地点、人数、时间等实质性内容，并承诺安排资深专家或原厂高级别工程师负责具体课程及相关操作培训。</w:t>
      </w:r>
    </w:p>
    <w:p w14:paraId="7D8DFC92">
      <w:pPr>
        <w:pStyle w:val="9"/>
        <w:spacing w:line="460" w:lineRule="exact"/>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（2）提供全面、完整、详细的技术手册、操作手册和产品说明书。</w:t>
      </w:r>
    </w:p>
    <w:p w14:paraId="32258DFC">
      <w:pPr>
        <w:pStyle w:val="9"/>
        <w:spacing w:line="460" w:lineRule="exact"/>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8、要求以上</w:t>
      </w:r>
      <w:r>
        <w:rPr>
          <w:rFonts w:hint="eastAsia" w:ascii="新宋体" w:hAnsi="新宋体" w:eastAsia="新宋体" w:cs="新宋体"/>
          <w:b w:val="0"/>
          <w:bCs/>
          <w:color w:val="auto"/>
          <w:sz w:val="22"/>
          <w:szCs w:val="22"/>
          <w:highlight w:val="none"/>
          <w:lang w:val="en-US" w:eastAsia="zh-CN"/>
        </w:rPr>
        <w:t>设备产品</w:t>
      </w:r>
      <w:r>
        <w:rPr>
          <w:rFonts w:hint="eastAsia" w:ascii="新宋体" w:hAnsi="新宋体" w:eastAsia="新宋体" w:cs="新宋体"/>
          <w:b w:val="0"/>
          <w:bCs/>
          <w:color w:val="auto"/>
          <w:sz w:val="22"/>
          <w:szCs w:val="22"/>
          <w:highlight w:val="none"/>
        </w:rPr>
        <w:t>在合同签订后</w:t>
      </w:r>
      <w:r>
        <w:rPr>
          <w:rFonts w:hint="eastAsia" w:ascii="新宋体" w:hAnsi="新宋体" w:eastAsia="新宋体" w:cs="新宋体"/>
          <w:b w:val="0"/>
          <w:bCs/>
          <w:color w:val="auto"/>
          <w:sz w:val="22"/>
          <w:szCs w:val="22"/>
          <w:highlight w:val="none"/>
          <w:u w:val="single"/>
        </w:rPr>
        <w:t xml:space="preserve"> 30</w:t>
      </w:r>
      <w:r>
        <w:rPr>
          <w:rFonts w:hint="eastAsia" w:ascii="新宋体" w:hAnsi="新宋体" w:eastAsia="新宋体" w:cs="新宋体"/>
          <w:b w:val="0"/>
          <w:bCs/>
          <w:color w:val="auto"/>
          <w:sz w:val="22"/>
          <w:szCs w:val="22"/>
          <w:highlight w:val="none"/>
        </w:rPr>
        <w:t>天内交货并完成安装调试</w:t>
      </w:r>
      <w:r>
        <w:rPr>
          <w:rFonts w:hint="eastAsia" w:ascii="新宋体" w:hAnsi="新宋体" w:eastAsia="新宋体" w:cs="新宋体"/>
          <w:b w:val="0"/>
          <w:bCs/>
          <w:color w:val="auto"/>
          <w:sz w:val="22"/>
          <w:szCs w:val="22"/>
          <w:highlight w:val="none"/>
          <w:lang w:val="en-US" w:eastAsia="zh-CN"/>
        </w:rPr>
        <w:t>并通过验收</w:t>
      </w:r>
      <w:r>
        <w:rPr>
          <w:rFonts w:hint="eastAsia" w:ascii="新宋体" w:hAnsi="新宋体" w:eastAsia="新宋体" w:cs="新宋体"/>
          <w:b w:val="0"/>
          <w:bCs/>
          <w:color w:val="auto"/>
          <w:sz w:val="22"/>
          <w:szCs w:val="22"/>
          <w:highlight w:val="none"/>
        </w:rPr>
        <w:t>。</w:t>
      </w:r>
    </w:p>
    <w:p w14:paraId="35948C92">
      <w:pPr>
        <w:tabs>
          <w:tab w:val="left" w:pos="360"/>
        </w:tabs>
        <w:spacing w:line="460" w:lineRule="exact"/>
        <w:ind w:firstLine="442" w:firstLineChars="200"/>
        <w:outlineLvl w:val="1"/>
        <w:rPr>
          <w:rFonts w:hint="eastAsia" w:ascii="新宋体" w:hAnsi="新宋体" w:eastAsia="新宋体" w:cs="新宋体"/>
          <w:b/>
          <w:bCs/>
          <w:color w:val="auto"/>
          <w:sz w:val="22"/>
          <w:szCs w:val="22"/>
          <w:highlight w:val="none"/>
        </w:rPr>
      </w:pPr>
      <w:bookmarkStart w:id="51" w:name="_Toc17265"/>
      <w:r>
        <w:rPr>
          <w:rFonts w:hint="eastAsia" w:ascii="新宋体" w:hAnsi="新宋体" w:eastAsia="新宋体" w:cs="新宋体"/>
          <w:b/>
          <w:bCs/>
          <w:color w:val="auto"/>
          <w:sz w:val="22"/>
          <w:szCs w:val="22"/>
          <w:highlight w:val="none"/>
          <w:lang w:val="en-US" w:eastAsia="zh-CN"/>
        </w:rPr>
        <w:t>四</w:t>
      </w:r>
      <w:r>
        <w:rPr>
          <w:rFonts w:hint="eastAsia" w:ascii="新宋体" w:hAnsi="新宋体" w:eastAsia="新宋体" w:cs="新宋体"/>
          <w:b/>
          <w:bCs/>
          <w:color w:val="auto"/>
          <w:sz w:val="22"/>
          <w:szCs w:val="22"/>
          <w:highlight w:val="none"/>
        </w:rPr>
        <w:t>、技术服务要求</w:t>
      </w:r>
      <w:bookmarkEnd w:id="51"/>
    </w:p>
    <w:p w14:paraId="4D2E3F24">
      <w:pPr>
        <w:autoSpaceDN w:val="0"/>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1、投标供应商应确保其技术建议以及所提供的设备的完整性、实用性，保证全部</w:t>
      </w:r>
      <w:r>
        <w:rPr>
          <w:rFonts w:hint="eastAsia" w:ascii="新宋体" w:hAnsi="新宋体" w:eastAsia="新宋体" w:cs="新宋体"/>
          <w:bCs/>
          <w:color w:val="auto"/>
          <w:sz w:val="22"/>
          <w:szCs w:val="22"/>
          <w:highlight w:val="none"/>
          <w:lang w:val="en-US" w:eastAsia="zh-CN"/>
        </w:rPr>
        <w:t>设备、产品</w:t>
      </w:r>
      <w:r>
        <w:rPr>
          <w:rFonts w:hint="eastAsia" w:ascii="新宋体" w:hAnsi="新宋体" w:eastAsia="新宋体" w:cs="新宋体"/>
          <w:bCs/>
          <w:color w:val="auto"/>
          <w:sz w:val="22"/>
          <w:szCs w:val="22"/>
          <w:highlight w:val="none"/>
        </w:rPr>
        <w:t>系统及时投入正常运行。否则若出现因投标供应商提供的设备不满足要求、不合理，或者其所提供的技术支持和服务不全面，而导致系统无法实现或不能完全实现的状况，投标供应商负全部责任。</w:t>
      </w:r>
    </w:p>
    <w:p w14:paraId="7B76BDA7">
      <w:pPr>
        <w:autoSpaceDN w:val="0"/>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2、投标供应商必须保证解决本次采购所涉及的技术问题，如因技术原因无法满足采购人需求，由此产生的风险由投标供应商承担。</w:t>
      </w:r>
    </w:p>
    <w:p w14:paraId="5A62C419">
      <w:pPr>
        <w:autoSpaceDN w:val="0"/>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3、如果设备</w:t>
      </w:r>
      <w:r>
        <w:rPr>
          <w:rFonts w:hint="eastAsia" w:ascii="新宋体" w:hAnsi="新宋体" w:eastAsia="新宋体" w:cs="新宋体"/>
          <w:bCs/>
          <w:color w:val="auto"/>
          <w:sz w:val="22"/>
          <w:szCs w:val="22"/>
          <w:highlight w:val="none"/>
          <w:lang w:val="en-US" w:eastAsia="zh-CN"/>
        </w:rPr>
        <w:t>产品</w:t>
      </w:r>
      <w:r>
        <w:rPr>
          <w:rFonts w:hint="eastAsia" w:ascii="新宋体" w:hAnsi="新宋体" w:eastAsia="新宋体" w:cs="新宋体"/>
          <w:bCs/>
          <w:color w:val="auto"/>
          <w:sz w:val="22"/>
          <w:szCs w:val="22"/>
          <w:highlight w:val="none"/>
        </w:rPr>
        <w:t>在质保期内发生设备故障，投标供应商应及时予以响应（免费上门服务），否则采购人将自行采取必要的措施，由此产生风险和费用由投标供应商承担。质保期从采购人对产品验收合格之日起开始计算。</w:t>
      </w:r>
    </w:p>
    <w:p w14:paraId="19452072">
      <w:pPr>
        <w:autoSpaceDN w:val="0"/>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特别提示：如采购文件中遗漏了必须具备的设备、配件或服务，请投标供应商在投标文件中指出，并提出解决方案供采购人、采购机构参考；中标供应商有义务保证采购人系统的完整性，如项目实施过程中因缺少设备、配件或服务导致采购人系统无法正常运行，中标供应商须承诺免费提供。</w:t>
      </w:r>
    </w:p>
    <w:p w14:paraId="279FCCCD">
      <w:pPr>
        <w:tabs>
          <w:tab w:val="left" w:pos="360"/>
        </w:tabs>
        <w:spacing w:line="460" w:lineRule="exact"/>
        <w:ind w:firstLine="442" w:firstLineChars="200"/>
        <w:outlineLvl w:val="1"/>
        <w:rPr>
          <w:rFonts w:hint="eastAsia" w:ascii="新宋体" w:hAnsi="新宋体" w:eastAsia="新宋体" w:cs="新宋体"/>
          <w:b/>
          <w:bCs/>
          <w:color w:val="auto"/>
          <w:sz w:val="22"/>
          <w:szCs w:val="22"/>
          <w:highlight w:val="none"/>
        </w:rPr>
      </w:pPr>
      <w:bookmarkStart w:id="52" w:name="_Toc269"/>
      <w:r>
        <w:rPr>
          <w:rFonts w:hint="eastAsia" w:ascii="新宋体" w:hAnsi="新宋体" w:eastAsia="新宋体" w:cs="新宋体"/>
          <w:b/>
          <w:bCs/>
          <w:color w:val="auto"/>
          <w:sz w:val="22"/>
          <w:szCs w:val="22"/>
          <w:highlight w:val="none"/>
          <w:lang w:val="en-US" w:eastAsia="zh-CN"/>
        </w:rPr>
        <w:t>五</w:t>
      </w:r>
      <w:r>
        <w:rPr>
          <w:rFonts w:hint="eastAsia" w:ascii="新宋体" w:hAnsi="新宋体" w:eastAsia="新宋体" w:cs="新宋体"/>
          <w:b/>
          <w:bCs/>
          <w:color w:val="auto"/>
          <w:sz w:val="22"/>
          <w:szCs w:val="22"/>
          <w:highlight w:val="none"/>
        </w:rPr>
        <w:t>、验收方式</w:t>
      </w:r>
      <w:bookmarkEnd w:id="52"/>
    </w:p>
    <w:p w14:paraId="6C77DBB6">
      <w:pPr>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中标供应商应</w:t>
      </w:r>
      <w:r>
        <w:rPr>
          <w:rFonts w:hint="eastAsia" w:ascii="新宋体" w:hAnsi="新宋体" w:eastAsia="新宋体" w:cs="新宋体"/>
          <w:color w:val="auto"/>
          <w:sz w:val="22"/>
          <w:szCs w:val="22"/>
          <w:highlight w:val="none"/>
        </w:rPr>
        <w:t>在安装、调试过程中，中标供应商应对用户技术人员所提供的问题给予满意的答复，提供安装调试过程中的各种文档资料，以便于用户能掌握操作方法和维修方法。</w:t>
      </w:r>
    </w:p>
    <w:p w14:paraId="46E66FB0">
      <w:pPr>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2、项目设备的安装调试工作完成后，中标供应商应派遣技术人员在现场进行技术服务</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对</w:t>
      </w:r>
      <w:r>
        <w:rPr>
          <w:rFonts w:hint="eastAsia" w:ascii="新宋体" w:hAnsi="新宋体" w:eastAsia="新宋体" w:cs="新宋体"/>
          <w:color w:val="auto"/>
          <w:sz w:val="22"/>
          <w:szCs w:val="22"/>
          <w:highlight w:val="none"/>
        </w:rPr>
        <w:t>设备参数或性能</w:t>
      </w:r>
      <w:r>
        <w:rPr>
          <w:rFonts w:hint="eastAsia" w:ascii="新宋体" w:hAnsi="新宋体" w:eastAsia="新宋体" w:cs="新宋体"/>
          <w:color w:val="auto"/>
          <w:sz w:val="22"/>
          <w:szCs w:val="22"/>
          <w:highlight w:val="none"/>
          <w:lang w:val="en-US" w:eastAsia="zh-CN"/>
        </w:rPr>
        <w:t>进行</w:t>
      </w:r>
      <w:r>
        <w:rPr>
          <w:rFonts w:hint="eastAsia" w:ascii="新宋体" w:hAnsi="新宋体" w:eastAsia="新宋体" w:cs="新宋体"/>
          <w:color w:val="auto"/>
          <w:sz w:val="22"/>
          <w:szCs w:val="22"/>
          <w:highlight w:val="none"/>
        </w:rPr>
        <w:t>测试</w:t>
      </w:r>
      <w:r>
        <w:rPr>
          <w:rFonts w:hint="eastAsia" w:ascii="新宋体" w:hAnsi="新宋体" w:eastAsia="新宋体" w:cs="新宋体"/>
          <w:color w:val="auto"/>
          <w:sz w:val="22"/>
          <w:szCs w:val="22"/>
          <w:highlight w:val="none"/>
          <w:lang w:val="en-US" w:eastAsia="zh-CN"/>
        </w:rPr>
        <w:t>并</w:t>
      </w:r>
      <w:r>
        <w:rPr>
          <w:rFonts w:hint="eastAsia" w:ascii="新宋体" w:hAnsi="新宋体" w:eastAsia="新宋体" w:cs="新宋体"/>
          <w:color w:val="auto"/>
          <w:sz w:val="22"/>
          <w:szCs w:val="22"/>
          <w:highlight w:val="none"/>
        </w:rPr>
        <w:t>通过验收</w:t>
      </w:r>
      <w:r>
        <w:rPr>
          <w:rFonts w:hint="eastAsia" w:ascii="新宋体" w:hAnsi="新宋体" w:eastAsia="新宋体" w:cs="新宋体"/>
          <w:color w:val="auto"/>
          <w:sz w:val="22"/>
          <w:szCs w:val="22"/>
          <w:highlight w:val="none"/>
          <w:lang w:eastAsia="zh-CN"/>
        </w:rPr>
        <w:t>。</w:t>
      </w:r>
    </w:p>
    <w:p w14:paraId="4E8C471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由于各种原因造成某些技术指标达不到要求，中标供应商应负责解决，如属于设备质量问题，达不到合同技术指标的，中标供应商应包换、包退，调换、退货发生的费用和采购人的直接经济损失由中标供应商承担。</w:t>
      </w:r>
    </w:p>
    <w:p w14:paraId="4C51F2C1">
      <w:pPr>
        <w:tabs>
          <w:tab w:val="left" w:pos="360"/>
        </w:tabs>
        <w:spacing w:line="460" w:lineRule="exact"/>
        <w:ind w:firstLine="442" w:firstLineChars="200"/>
        <w:outlineLvl w:val="1"/>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六、▲付款方式</w:t>
      </w:r>
    </w:p>
    <w:p w14:paraId="67B8B10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在合同签订后3个工作日内，卖方应提供合同总金额1%的履约保证金，买方在合同签订合同生效以及具备实施条件后7个工作日内支付合同总价的40%预付款，其余在合同全部</w:t>
      </w:r>
      <w:r>
        <w:rPr>
          <w:rFonts w:hint="eastAsia" w:ascii="新宋体" w:hAnsi="新宋体" w:eastAsia="新宋体" w:cs="新宋体"/>
          <w:color w:val="auto"/>
          <w:sz w:val="22"/>
          <w:szCs w:val="22"/>
          <w:highlight w:val="none"/>
          <w:lang w:val="en-US" w:eastAsia="zh-CN"/>
        </w:rPr>
        <w:t>履</w:t>
      </w:r>
      <w:r>
        <w:rPr>
          <w:rFonts w:hint="eastAsia" w:ascii="新宋体" w:hAnsi="新宋体" w:eastAsia="新宋体" w:cs="新宋体"/>
          <w:color w:val="auto"/>
          <w:sz w:val="22"/>
          <w:szCs w:val="22"/>
          <w:highlight w:val="none"/>
        </w:rPr>
        <w:t>约完毕，且验收合格后，7个工作日内付至合同总价的100%，并无息全额退还</w:t>
      </w:r>
      <w:r>
        <w:rPr>
          <w:rFonts w:hint="eastAsia" w:ascii="新宋体" w:hAnsi="新宋体" w:eastAsia="新宋体" w:cs="新宋体"/>
          <w:color w:val="auto"/>
          <w:sz w:val="22"/>
          <w:szCs w:val="22"/>
          <w:highlight w:val="none"/>
          <w:lang w:val="en-US" w:eastAsia="zh-CN"/>
        </w:rPr>
        <w:t>履</w:t>
      </w:r>
      <w:r>
        <w:rPr>
          <w:rFonts w:hint="eastAsia" w:ascii="新宋体" w:hAnsi="新宋体" w:eastAsia="新宋体" w:cs="新宋体"/>
          <w:color w:val="auto"/>
          <w:sz w:val="22"/>
          <w:szCs w:val="22"/>
          <w:highlight w:val="none"/>
        </w:rPr>
        <w:t>约保证金。</w:t>
      </w:r>
    </w:p>
    <w:p w14:paraId="25F4C278">
      <w:pPr>
        <w:spacing w:line="460" w:lineRule="exact"/>
        <w:ind w:firstLine="440" w:firstLineChars="200"/>
        <w:rPr>
          <w:rFonts w:hint="eastAsia" w:ascii="新宋体" w:hAnsi="新宋体" w:eastAsia="新宋体" w:cs="新宋体"/>
          <w:color w:val="auto"/>
          <w:sz w:val="22"/>
          <w:szCs w:val="22"/>
          <w:highlight w:val="none"/>
        </w:rPr>
      </w:pPr>
    </w:p>
    <w:p w14:paraId="07898572">
      <w:pPr>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p>
    <w:p w14:paraId="78374B33">
      <w:pPr>
        <w:pStyle w:val="3"/>
        <w:bidi w:val="0"/>
        <w:rPr>
          <w:rFonts w:hint="eastAsia" w:ascii="新宋体" w:hAnsi="新宋体" w:eastAsia="新宋体" w:cs="新宋体"/>
          <w:color w:val="auto"/>
          <w:highlight w:val="none"/>
        </w:rPr>
      </w:pPr>
      <w:bookmarkStart w:id="53" w:name="_Toc24035"/>
      <w:r>
        <w:rPr>
          <w:rFonts w:hint="eastAsia" w:ascii="新宋体" w:hAnsi="新宋体" w:eastAsia="新宋体" w:cs="新宋体"/>
          <w:color w:val="auto"/>
          <w:highlight w:val="none"/>
        </w:rPr>
        <w:t>第五部分</w:t>
      </w:r>
      <w:r>
        <w:rPr>
          <w:rFonts w:hint="eastAsia" w:ascii="新宋体" w:hAnsi="新宋体" w:eastAsia="新宋体" w:cs="新宋体"/>
          <w:color w:val="auto"/>
          <w:highlight w:val="none"/>
          <w:lang w:val="en-US" w:eastAsia="zh-CN"/>
        </w:rPr>
        <w:t xml:space="preserve">   </w:t>
      </w:r>
      <w:r>
        <w:rPr>
          <w:rFonts w:hint="eastAsia" w:ascii="新宋体" w:hAnsi="新宋体" w:eastAsia="新宋体" w:cs="新宋体"/>
          <w:color w:val="auto"/>
          <w:highlight w:val="none"/>
        </w:rPr>
        <w:t>评标原则及方法</w:t>
      </w:r>
      <w:bookmarkEnd w:id="48"/>
      <w:bookmarkEnd w:id="53"/>
    </w:p>
    <w:p w14:paraId="00EE8776">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14:paraId="0460A7CC">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outlineLvl w:val="1"/>
        <w:rPr>
          <w:rFonts w:hint="eastAsia" w:ascii="新宋体" w:hAnsi="新宋体" w:eastAsia="新宋体" w:cs="新宋体"/>
          <w:b/>
          <w:color w:val="auto"/>
          <w:sz w:val="22"/>
          <w:szCs w:val="22"/>
          <w:highlight w:val="none"/>
        </w:rPr>
      </w:pPr>
      <w:bookmarkStart w:id="54" w:name="_Toc24593"/>
      <w:bookmarkStart w:id="55" w:name="_Toc4407"/>
      <w:r>
        <w:rPr>
          <w:rFonts w:hint="eastAsia" w:ascii="新宋体" w:hAnsi="新宋体" w:eastAsia="新宋体" w:cs="新宋体"/>
          <w:b/>
          <w:color w:val="auto"/>
          <w:sz w:val="22"/>
          <w:szCs w:val="22"/>
          <w:highlight w:val="none"/>
        </w:rPr>
        <w:t>一、总 则</w:t>
      </w:r>
      <w:bookmarkEnd w:id="54"/>
      <w:bookmarkEnd w:id="55"/>
    </w:p>
    <w:p w14:paraId="78C7845A">
      <w:pPr>
        <w:spacing w:line="460" w:lineRule="exact"/>
        <w:ind w:firstLine="440" w:firstLineChars="200"/>
        <w:rPr>
          <w:rFonts w:hint="eastAsia" w:ascii="新宋体" w:hAnsi="新宋体" w:eastAsia="新宋体" w:cs="新宋体"/>
          <w:b/>
          <w:color w:val="auto"/>
          <w:sz w:val="22"/>
          <w:highlight w:val="none"/>
        </w:rPr>
      </w:pPr>
      <w:r>
        <w:rPr>
          <w:rFonts w:hint="eastAsia" w:ascii="新宋体" w:hAnsi="新宋体" w:eastAsia="新宋体" w:cs="新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0CC4A542">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outlineLvl w:val="1"/>
        <w:rPr>
          <w:rFonts w:hint="eastAsia" w:ascii="新宋体" w:hAnsi="新宋体" w:eastAsia="新宋体" w:cs="新宋体"/>
          <w:b/>
          <w:color w:val="auto"/>
          <w:sz w:val="22"/>
          <w:szCs w:val="22"/>
          <w:highlight w:val="none"/>
        </w:rPr>
      </w:pPr>
      <w:bookmarkStart w:id="56" w:name="_Toc17000"/>
      <w:bookmarkStart w:id="57" w:name="_Toc24468"/>
      <w:r>
        <w:rPr>
          <w:rFonts w:hint="eastAsia" w:ascii="新宋体" w:hAnsi="新宋体" w:eastAsia="新宋体" w:cs="新宋体"/>
          <w:b/>
          <w:color w:val="auto"/>
          <w:sz w:val="22"/>
          <w:szCs w:val="22"/>
          <w:highlight w:val="none"/>
        </w:rPr>
        <w:t>二、评标组织</w:t>
      </w:r>
      <w:bookmarkEnd w:id="56"/>
      <w:bookmarkEnd w:id="57"/>
    </w:p>
    <w:p w14:paraId="0BF0EFB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评标工作由招标人组建的评标委员会负责，评标全过程由有关部门指导监督。</w:t>
      </w:r>
    </w:p>
    <w:p w14:paraId="0B8F9715">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outlineLvl w:val="1"/>
        <w:rPr>
          <w:rFonts w:hint="eastAsia" w:ascii="新宋体" w:hAnsi="新宋体" w:eastAsia="新宋体" w:cs="新宋体"/>
          <w:b/>
          <w:color w:val="auto"/>
          <w:sz w:val="22"/>
          <w:szCs w:val="22"/>
          <w:highlight w:val="none"/>
        </w:rPr>
      </w:pPr>
      <w:bookmarkStart w:id="58" w:name="_Toc2035"/>
      <w:bookmarkStart w:id="59" w:name="_Toc15153"/>
      <w:r>
        <w:rPr>
          <w:rFonts w:hint="eastAsia" w:ascii="新宋体" w:hAnsi="新宋体" w:eastAsia="新宋体" w:cs="新宋体"/>
          <w:b/>
          <w:color w:val="auto"/>
          <w:sz w:val="22"/>
          <w:szCs w:val="22"/>
          <w:highlight w:val="none"/>
        </w:rPr>
        <w:t>三、评标程序</w:t>
      </w:r>
      <w:bookmarkEnd w:id="58"/>
      <w:bookmarkEnd w:id="59"/>
    </w:p>
    <w:p w14:paraId="45BEB8E9">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1、评标委员</w:t>
      </w:r>
      <w:r>
        <w:rPr>
          <w:rFonts w:hint="eastAsia" w:ascii="新宋体" w:hAnsi="新宋体" w:eastAsia="新宋体" w:cs="新宋体"/>
          <w:bCs/>
          <w:color w:val="auto"/>
          <w:sz w:val="22"/>
          <w:szCs w:val="22"/>
          <w:highlight w:val="none"/>
          <w:lang w:val="en-US" w:eastAsia="zh-CN"/>
        </w:rPr>
        <w:t>会</w:t>
      </w:r>
      <w:r>
        <w:rPr>
          <w:rFonts w:hint="eastAsia" w:ascii="新宋体" w:hAnsi="新宋体" w:eastAsia="新宋体" w:cs="新宋体"/>
          <w:bCs/>
          <w:color w:val="auto"/>
          <w:sz w:val="22"/>
          <w:szCs w:val="22"/>
          <w:highlight w:val="none"/>
        </w:rPr>
        <w:t>按照招标文件中规定的评标方法和标准，对投标文件进行商务和技术评估，综合比较与评价，根据综合评审结果，提交评审报告。</w:t>
      </w:r>
    </w:p>
    <w:p w14:paraId="5BE92AD9">
      <w:pPr>
        <w:spacing w:line="460" w:lineRule="exact"/>
        <w:ind w:firstLine="440" w:firstLineChars="200"/>
        <w:rPr>
          <w:rFonts w:hint="eastAsia" w:ascii="新宋体" w:hAnsi="新宋体" w:eastAsia="新宋体" w:cs="新宋体"/>
          <w:b w:val="0"/>
          <w:bCs w:val="0"/>
          <w:color w:val="auto"/>
          <w:sz w:val="22"/>
          <w:szCs w:val="22"/>
          <w:highlight w:val="none"/>
          <w:u w:val="none"/>
        </w:rPr>
      </w:pPr>
      <w:r>
        <w:rPr>
          <w:rFonts w:hint="eastAsia" w:ascii="新宋体" w:hAnsi="新宋体" w:eastAsia="新宋体" w:cs="新宋体"/>
          <w:b w:val="0"/>
          <w:bCs w:val="0"/>
          <w:color w:val="auto"/>
          <w:sz w:val="22"/>
          <w:szCs w:val="22"/>
          <w:highlight w:val="none"/>
          <w:u w:val="none"/>
        </w:rPr>
        <w:t>2、提供相同品牌产品且通过资格审查、符合性审查的不同投标人参加同一合同项下投标的,按一家投标人计算,评审后综合得分最高的同品牌投标人获得中标人推荐资格；综合得分相同的,报价最低一家供应商获得中标人推荐资格；均相同时采取随机抽取方式确认一个投标人获得中标人推荐资格,其他同品牌投标人不作为中标候选人。</w:t>
      </w:r>
    </w:p>
    <w:p w14:paraId="4FA02B99">
      <w:pPr>
        <w:spacing w:line="460" w:lineRule="exact"/>
        <w:ind w:firstLine="440" w:firstLineChars="200"/>
        <w:rPr>
          <w:rFonts w:hint="eastAsia" w:ascii="新宋体" w:hAnsi="新宋体" w:eastAsia="新宋体" w:cs="新宋体"/>
          <w:b w:val="0"/>
          <w:bCs w:val="0"/>
          <w:color w:val="auto"/>
          <w:sz w:val="22"/>
          <w:szCs w:val="22"/>
          <w:highlight w:val="none"/>
          <w:u w:val="none"/>
        </w:rPr>
      </w:pPr>
      <w:r>
        <w:rPr>
          <w:rFonts w:hint="eastAsia" w:ascii="新宋体" w:hAnsi="新宋体" w:eastAsia="新宋体" w:cs="新宋体"/>
          <w:b w:val="0"/>
          <w:bCs w:val="0"/>
          <w:color w:val="auto"/>
          <w:sz w:val="22"/>
          <w:szCs w:val="22"/>
          <w:highlight w:val="none"/>
          <w:u w:val="none"/>
        </w:rPr>
        <w:t>非单一产品采购项目，应当根据采购项目技术构成、产品价格比重等合理确定核心产品。多家投标人提供的核心产品品牌相同的，按前款规定处理。</w:t>
      </w:r>
    </w:p>
    <w:p w14:paraId="0ACFB223">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outlineLvl w:val="1"/>
        <w:rPr>
          <w:rFonts w:hint="eastAsia" w:ascii="新宋体" w:hAnsi="新宋体" w:eastAsia="新宋体" w:cs="新宋体"/>
          <w:b/>
          <w:color w:val="auto"/>
          <w:sz w:val="22"/>
          <w:szCs w:val="22"/>
          <w:highlight w:val="none"/>
        </w:rPr>
      </w:pPr>
      <w:bookmarkStart w:id="60" w:name="_Toc15377"/>
      <w:bookmarkStart w:id="61" w:name="_Toc11306"/>
      <w:r>
        <w:rPr>
          <w:rFonts w:hint="eastAsia" w:ascii="新宋体" w:hAnsi="新宋体" w:eastAsia="新宋体" w:cs="新宋体"/>
          <w:b/>
          <w:color w:val="auto"/>
          <w:sz w:val="22"/>
          <w:szCs w:val="22"/>
          <w:highlight w:val="none"/>
        </w:rPr>
        <w:t>四、评标办法</w:t>
      </w:r>
      <w:bookmarkEnd w:id="60"/>
      <w:bookmarkEnd w:id="61"/>
    </w:p>
    <w:p w14:paraId="692BFD91">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新宋体" w:hAnsi="新宋体" w:eastAsia="新宋体" w:cs="新宋体"/>
          <w:b/>
          <w:color w:val="auto"/>
          <w:sz w:val="22"/>
          <w:szCs w:val="22"/>
          <w:highlight w:val="none"/>
        </w:rPr>
        <w:t>总分设定为100分：技术标</w:t>
      </w:r>
      <w:r>
        <w:rPr>
          <w:rFonts w:hint="eastAsia" w:ascii="新宋体" w:hAnsi="新宋体" w:eastAsia="新宋体" w:cs="新宋体"/>
          <w:b/>
          <w:color w:val="auto"/>
          <w:sz w:val="22"/>
          <w:szCs w:val="22"/>
          <w:highlight w:val="none"/>
          <w:lang w:val="en-US" w:eastAsia="zh-CN"/>
        </w:rPr>
        <w:t>7</w:t>
      </w:r>
      <w:r>
        <w:rPr>
          <w:rFonts w:hint="eastAsia" w:ascii="新宋体" w:hAnsi="新宋体" w:eastAsia="新宋体" w:cs="新宋体"/>
          <w:b/>
          <w:color w:val="auto"/>
          <w:sz w:val="22"/>
          <w:szCs w:val="22"/>
          <w:highlight w:val="none"/>
        </w:rPr>
        <w:t>0分（权值</w:t>
      </w:r>
      <w:r>
        <w:rPr>
          <w:rFonts w:hint="eastAsia" w:ascii="新宋体" w:hAnsi="新宋体" w:eastAsia="新宋体" w:cs="新宋体"/>
          <w:b/>
          <w:color w:val="auto"/>
          <w:sz w:val="22"/>
          <w:szCs w:val="22"/>
          <w:highlight w:val="none"/>
          <w:lang w:val="en-US" w:eastAsia="zh-CN"/>
        </w:rPr>
        <w:t>7</w:t>
      </w:r>
      <w:r>
        <w:rPr>
          <w:rFonts w:hint="eastAsia" w:ascii="新宋体" w:hAnsi="新宋体" w:eastAsia="新宋体" w:cs="新宋体"/>
          <w:b/>
          <w:color w:val="auto"/>
          <w:sz w:val="22"/>
          <w:szCs w:val="22"/>
          <w:highlight w:val="none"/>
        </w:rPr>
        <w:t>0%），商务标（报价）</w:t>
      </w:r>
      <w:r>
        <w:rPr>
          <w:rFonts w:hint="eastAsia" w:ascii="新宋体" w:hAnsi="新宋体" w:eastAsia="新宋体" w:cs="新宋体"/>
          <w:b/>
          <w:color w:val="auto"/>
          <w:sz w:val="22"/>
          <w:szCs w:val="22"/>
          <w:highlight w:val="none"/>
          <w:lang w:val="en-US" w:eastAsia="zh-CN"/>
        </w:rPr>
        <w:t>3</w:t>
      </w:r>
      <w:r>
        <w:rPr>
          <w:rFonts w:hint="eastAsia" w:ascii="新宋体" w:hAnsi="新宋体" w:eastAsia="新宋体" w:cs="新宋体"/>
          <w:b/>
          <w:color w:val="auto"/>
          <w:sz w:val="22"/>
          <w:szCs w:val="22"/>
          <w:highlight w:val="none"/>
        </w:rPr>
        <w:t>0分（权值</w:t>
      </w:r>
      <w:r>
        <w:rPr>
          <w:rFonts w:hint="eastAsia" w:ascii="新宋体" w:hAnsi="新宋体" w:eastAsia="新宋体" w:cs="新宋体"/>
          <w:b/>
          <w:color w:val="auto"/>
          <w:sz w:val="22"/>
          <w:szCs w:val="22"/>
          <w:highlight w:val="none"/>
          <w:lang w:val="en-US" w:eastAsia="zh-CN"/>
        </w:rPr>
        <w:t>3</w:t>
      </w:r>
      <w:r>
        <w:rPr>
          <w:rFonts w:hint="eastAsia" w:ascii="新宋体" w:hAnsi="新宋体" w:eastAsia="新宋体" w:cs="新宋体"/>
          <w:b/>
          <w:color w:val="auto"/>
          <w:sz w:val="22"/>
          <w:szCs w:val="22"/>
          <w:highlight w:val="none"/>
        </w:rPr>
        <w:t>0%）。</w:t>
      </w:r>
    </w:p>
    <w:p w14:paraId="65E71898">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outlineLvl w:val="1"/>
        <w:rPr>
          <w:rFonts w:hint="eastAsia" w:ascii="新宋体" w:hAnsi="新宋体" w:eastAsia="新宋体" w:cs="新宋体"/>
          <w:b/>
          <w:color w:val="auto"/>
          <w:sz w:val="22"/>
          <w:szCs w:val="22"/>
          <w:highlight w:val="none"/>
        </w:rPr>
      </w:pPr>
      <w:bookmarkStart w:id="62" w:name="_Toc29222"/>
      <w:bookmarkStart w:id="63" w:name="_Toc1535"/>
      <w:r>
        <w:rPr>
          <w:rFonts w:hint="eastAsia" w:ascii="新宋体" w:hAnsi="新宋体" w:eastAsia="新宋体" w:cs="新宋体"/>
          <w:b/>
          <w:color w:val="auto"/>
          <w:sz w:val="22"/>
          <w:szCs w:val="22"/>
          <w:highlight w:val="none"/>
          <w:lang w:val="en-US" w:eastAsia="zh-CN"/>
        </w:rPr>
        <w:t>五、</w:t>
      </w:r>
      <w:r>
        <w:rPr>
          <w:rFonts w:hint="eastAsia" w:ascii="新宋体" w:hAnsi="新宋体" w:eastAsia="新宋体" w:cs="新宋体"/>
          <w:b/>
          <w:color w:val="auto"/>
          <w:sz w:val="22"/>
          <w:szCs w:val="22"/>
          <w:highlight w:val="none"/>
        </w:rPr>
        <w:t>评分细则</w:t>
      </w:r>
      <w:bookmarkEnd w:id="62"/>
      <w:bookmarkEnd w:id="63"/>
    </w:p>
    <w:p w14:paraId="017B88C6">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1、技术分的评定：技术标</w:t>
      </w:r>
      <w:r>
        <w:rPr>
          <w:rFonts w:hint="eastAsia" w:ascii="新宋体" w:hAnsi="新宋体" w:eastAsia="新宋体" w:cs="新宋体"/>
          <w:b/>
          <w:color w:val="auto"/>
          <w:sz w:val="22"/>
          <w:szCs w:val="22"/>
          <w:highlight w:val="none"/>
          <w:lang w:val="en-US" w:eastAsia="zh-CN"/>
        </w:rPr>
        <w:t>7</w:t>
      </w:r>
      <w:r>
        <w:rPr>
          <w:rFonts w:hint="eastAsia" w:ascii="新宋体" w:hAnsi="新宋体" w:eastAsia="新宋体" w:cs="新宋体"/>
          <w:b/>
          <w:color w:val="auto"/>
          <w:sz w:val="22"/>
          <w:szCs w:val="22"/>
          <w:highlight w:val="none"/>
        </w:rPr>
        <w:t>0分（权值</w:t>
      </w:r>
      <w:r>
        <w:rPr>
          <w:rFonts w:hint="eastAsia" w:ascii="新宋体" w:hAnsi="新宋体" w:eastAsia="新宋体" w:cs="新宋体"/>
          <w:b/>
          <w:color w:val="auto"/>
          <w:sz w:val="22"/>
          <w:szCs w:val="22"/>
          <w:highlight w:val="none"/>
          <w:lang w:val="en-US" w:eastAsia="zh-CN"/>
        </w:rPr>
        <w:t>7</w:t>
      </w:r>
      <w:r>
        <w:rPr>
          <w:rFonts w:hint="eastAsia" w:ascii="新宋体" w:hAnsi="新宋体" w:eastAsia="新宋体" w:cs="新宋体"/>
          <w:b/>
          <w:color w:val="auto"/>
          <w:sz w:val="22"/>
          <w:szCs w:val="22"/>
          <w:highlight w:val="none"/>
        </w:rPr>
        <w:t>0%）</w:t>
      </w:r>
    </w:p>
    <w:p w14:paraId="5272F8C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新宋体" w:hAnsi="新宋体" w:eastAsia="新宋体" w:cs="新宋体"/>
          <w:color w:val="auto"/>
          <w:sz w:val="22"/>
          <w:highlight w:val="none"/>
        </w:rPr>
        <w:t>各评标委员会成员对各投标人的各项评分内容评分的算术平均值为各投标人技术分得分</w:t>
      </w:r>
      <w:r>
        <w:rPr>
          <w:rFonts w:hint="eastAsia" w:ascii="新宋体" w:hAnsi="新宋体" w:eastAsia="新宋体" w:cs="新宋体"/>
          <w:color w:val="auto"/>
          <w:sz w:val="22"/>
          <w:szCs w:val="22"/>
          <w:highlight w:val="none"/>
        </w:rPr>
        <w:t>（小数点后按四舍五入保留2位）。</w:t>
      </w:r>
    </w:p>
    <w:tbl>
      <w:tblPr>
        <w:tblStyle w:val="52"/>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2018"/>
        <w:gridCol w:w="6491"/>
        <w:gridCol w:w="736"/>
      </w:tblGrid>
      <w:tr w14:paraId="352D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85" w:type="dxa"/>
            <w:tcBorders>
              <w:top w:val="single" w:color="auto" w:sz="4" w:space="0"/>
              <w:left w:val="single" w:color="auto" w:sz="4" w:space="0"/>
              <w:bottom w:val="single" w:color="auto" w:sz="4" w:space="0"/>
              <w:right w:val="single" w:color="auto" w:sz="4" w:space="0"/>
            </w:tcBorders>
            <w:noWrap w:val="0"/>
            <w:vAlign w:val="center"/>
          </w:tcPr>
          <w:p w14:paraId="3BEB8A5F">
            <w:pPr>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2018" w:type="dxa"/>
            <w:tcBorders>
              <w:top w:val="single" w:color="auto" w:sz="4" w:space="0"/>
              <w:left w:val="single" w:color="auto" w:sz="4" w:space="0"/>
              <w:bottom w:val="single" w:color="auto" w:sz="4" w:space="0"/>
              <w:right w:val="single" w:color="auto" w:sz="4" w:space="0"/>
            </w:tcBorders>
            <w:noWrap w:val="0"/>
            <w:vAlign w:val="center"/>
          </w:tcPr>
          <w:p w14:paraId="0FE46F13">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评分</w:t>
            </w:r>
            <w:r>
              <w:rPr>
                <w:rFonts w:hint="eastAsia" w:ascii="新宋体" w:hAnsi="新宋体" w:eastAsia="新宋体" w:cs="新宋体"/>
                <w:b/>
                <w:bCs/>
                <w:color w:val="auto"/>
                <w:sz w:val="22"/>
                <w:szCs w:val="22"/>
                <w:highlight w:val="none"/>
              </w:rPr>
              <w:t>内容</w:t>
            </w:r>
          </w:p>
        </w:tc>
        <w:tc>
          <w:tcPr>
            <w:tcW w:w="6491" w:type="dxa"/>
            <w:tcBorders>
              <w:top w:val="single" w:color="auto" w:sz="4" w:space="0"/>
              <w:left w:val="single" w:color="auto" w:sz="4" w:space="0"/>
              <w:bottom w:val="single" w:color="auto" w:sz="4" w:space="0"/>
              <w:right w:val="single" w:color="auto" w:sz="4" w:space="0"/>
            </w:tcBorders>
            <w:noWrap w:val="0"/>
            <w:vAlign w:val="center"/>
          </w:tcPr>
          <w:p w14:paraId="75CBF45A">
            <w:pPr>
              <w:snapToGrid w:val="0"/>
              <w:spacing w:line="460" w:lineRule="exact"/>
              <w:jc w:val="center"/>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评分细则</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1B1FADC3">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rPr>
              <w:t>分值</w:t>
            </w:r>
          </w:p>
        </w:tc>
      </w:tr>
      <w:tr w14:paraId="101B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85" w:type="dxa"/>
            <w:tcBorders>
              <w:top w:val="single" w:color="auto" w:sz="4" w:space="0"/>
              <w:left w:val="single" w:color="auto" w:sz="4" w:space="0"/>
              <w:bottom w:val="single" w:color="auto" w:sz="4" w:space="0"/>
              <w:right w:val="single" w:color="auto" w:sz="4" w:space="0"/>
            </w:tcBorders>
            <w:noWrap w:val="0"/>
            <w:vAlign w:val="center"/>
          </w:tcPr>
          <w:p w14:paraId="24EA623C">
            <w:pPr>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1</w:t>
            </w:r>
          </w:p>
        </w:tc>
        <w:tc>
          <w:tcPr>
            <w:tcW w:w="2018" w:type="dxa"/>
            <w:tcBorders>
              <w:top w:val="single" w:color="auto" w:sz="4" w:space="0"/>
              <w:left w:val="single" w:color="auto" w:sz="4" w:space="0"/>
              <w:bottom w:val="single" w:color="auto" w:sz="4" w:space="0"/>
              <w:right w:val="single" w:color="auto" w:sz="4" w:space="0"/>
            </w:tcBorders>
            <w:noWrap w:val="0"/>
            <w:vAlign w:val="center"/>
          </w:tcPr>
          <w:p w14:paraId="13636516">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投标人业绩情况</w:t>
            </w:r>
          </w:p>
        </w:tc>
        <w:tc>
          <w:tcPr>
            <w:tcW w:w="6491" w:type="dxa"/>
            <w:tcBorders>
              <w:top w:val="single" w:color="auto" w:sz="4" w:space="0"/>
              <w:left w:val="single" w:color="auto" w:sz="4" w:space="0"/>
              <w:bottom w:val="single" w:color="auto" w:sz="4" w:space="0"/>
              <w:right w:val="single" w:color="auto" w:sz="4" w:space="0"/>
            </w:tcBorders>
            <w:noWrap w:val="0"/>
            <w:vAlign w:val="center"/>
          </w:tcPr>
          <w:p w14:paraId="3293E959">
            <w:pPr>
              <w:spacing w:line="460" w:lineRule="exact"/>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投标人</w:t>
            </w:r>
            <w:r>
              <w:rPr>
                <w:rFonts w:hint="eastAsia" w:ascii="新宋体" w:hAnsi="新宋体" w:eastAsia="新宋体" w:cs="新宋体"/>
                <w:color w:val="auto"/>
                <w:sz w:val="22"/>
                <w:szCs w:val="22"/>
                <w:highlight w:val="none"/>
              </w:rPr>
              <w:t>提供20</w:t>
            </w:r>
            <w:r>
              <w:rPr>
                <w:rFonts w:hint="eastAsia" w:ascii="新宋体" w:hAnsi="新宋体" w:eastAsia="新宋体" w:cs="新宋体"/>
                <w:color w:val="auto"/>
                <w:sz w:val="22"/>
                <w:szCs w:val="22"/>
                <w:highlight w:val="none"/>
                <w:lang w:val="en-US" w:eastAsia="zh-CN"/>
              </w:rPr>
              <w:t>21</w:t>
            </w:r>
            <w:r>
              <w:rPr>
                <w:rFonts w:hint="eastAsia" w:ascii="新宋体" w:hAnsi="新宋体" w:eastAsia="新宋体" w:cs="新宋体"/>
                <w:color w:val="auto"/>
                <w:sz w:val="22"/>
                <w:szCs w:val="22"/>
                <w:highlight w:val="none"/>
              </w:rPr>
              <w:t>年1月1日以来</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以合同签订日期为准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的</w:t>
            </w:r>
            <w:r>
              <w:rPr>
                <w:rFonts w:hint="eastAsia" w:ascii="新宋体" w:hAnsi="新宋体" w:eastAsia="新宋体" w:cs="新宋体"/>
                <w:color w:val="auto"/>
                <w:sz w:val="22"/>
                <w:szCs w:val="22"/>
                <w:highlight w:val="none"/>
              </w:rPr>
              <w:t>同类项目</w:t>
            </w:r>
            <w:r>
              <w:rPr>
                <w:rFonts w:hint="eastAsia" w:ascii="新宋体" w:hAnsi="新宋体" w:eastAsia="新宋体" w:cs="新宋体"/>
                <w:color w:val="auto"/>
                <w:sz w:val="22"/>
                <w:szCs w:val="22"/>
                <w:highlight w:val="none"/>
                <w:lang w:val="en-US" w:eastAsia="zh-CN"/>
              </w:rPr>
              <w:t>业绩</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单个合同中需包含儿童专用经颅磁、言语语言评估与康复系统项目、下肢智能反馈训练系统中任一设备</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每</w:t>
            </w:r>
            <w:r>
              <w:rPr>
                <w:rFonts w:hint="eastAsia" w:ascii="新宋体" w:hAnsi="新宋体" w:eastAsia="新宋体" w:cs="新宋体"/>
                <w:color w:val="auto"/>
                <w:sz w:val="22"/>
                <w:szCs w:val="22"/>
                <w:highlight w:val="none"/>
                <w:lang w:val="en-US" w:eastAsia="zh-CN"/>
              </w:rPr>
              <w:t>提供1</w:t>
            </w:r>
            <w:r>
              <w:rPr>
                <w:rFonts w:hint="eastAsia" w:ascii="新宋体" w:hAnsi="新宋体" w:eastAsia="新宋体" w:cs="新宋体"/>
                <w:color w:val="auto"/>
                <w:sz w:val="22"/>
                <w:szCs w:val="22"/>
                <w:highlight w:val="none"/>
              </w:rPr>
              <w:t>个</w:t>
            </w:r>
            <w:r>
              <w:rPr>
                <w:rFonts w:hint="eastAsia" w:ascii="新宋体" w:hAnsi="新宋体" w:eastAsia="新宋体" w:cs="新宋体"/>
                <w:color w:val="auto"/>
                <w:sz w:val="22"/>
                <w:szCs w:val="22"/>
                <w:highlight w:val="none"/>
                <w:lang w:val="en-US" w:eastAsia="zh-CN"/>
              </w:rPr>
              <w:t>合同</w:t>
            </w:r>
            <w:r>
              <w:rPr>
                <w:rFonts w:hint="eastAsia" w:ascii="新宋体" w:hAnsi="新宋体" w:eastAsia="新宋体" w:cs="新宋体"/>
                <w:color w:val="auto"/>
                <w:sz w:val="22"/>
                <w:szCs w:val="22"/>
                <w:highlight w:val="none"/>
              </w:rPr>
              <w:t>得</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分，最高得</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分（提供合同复印件加盖公章，不提供不得分）。</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748D8C1D">
            <w:pPr>
              <w:spacing w:line="460" w:lineRule="exact"/>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r>
      <w:tr w14:paraId="70E04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685" w:type="dxa"/>
            <w:tcBorders>
              <w:top w:val="single" w:color="auto" w:sz="4" w:space="0"/>
              <w:left w:val="single" w:color="auto" w:sz="4" w:space="0"/>
              <w:bottom w:val="single" w:color="auto" w:sz="4" w:space="0"/>
              <w:right w:val="single" w:color="auto" w:sz="4" w:space="0"/>
            </w:tcBorders>
            <w:noWrap w:val="0"/>
            <w:vAlign w:val="center"/>
          </w:tcPr>
          <w:p w14:paraId="62174DAE">
            <w:pPr>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2</w:t>
            </w:r>
          </w:p>
        </w:tc>
        <w:tc>
          <w:tcPr>
            <w:tcW w:w="2018" w:type="dxa"/>
            <w:tcBorders>
              <w:top w:val="single" w:color="auto" w:sz="4" w:space="0"/>
              <w:left w:val="single" w:color="auto" w:sz="4" w:space="0"/>
              <w:bottom w:val="single" w:color="auto" w:sz="4" w:space="0"/>
              <w:right w:val="single" w:color="auto" w:sz="4" w:space="0"/>
            </w:tcBorders>
            <w:noWrap w:val="0"/>
            <w:vAlign w:val="center"/>
          </w:tcPr>
          <w:p w14:paraId="7B3B91E8">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所投产品参数与招标指标的符合性</w:t>
            </w:r>
          </w:p>
        </w:tc>
        <w:tc>
          <w:tcPr>
            <w:tcW w:w="6491" w:type="dxa"/>
            <w:tcBorders>
              <w:top w:val="single" w:color="auto" w:sz="4" w:space="0"/>
              <w:left w:val="single" w:color="auto" w:sz="4" w:space="0"/>
              <w:bottom w:val="single" w:color="auto" w:sz="4" w:space="0"/>
              <w:right w:val="single" w:color="auto" w:sz="4" w:space="0"/>
            </w:tcBorders>
            <w:noWrap w:val="0"/>
            <w:vAlign w:val="center"/>
          </w:tcPr>
          <w:p w14:paraId="2C71795B">
            <w:pPr>
              <w:spacing w:line="460" w:lineRule="exact"/>
              <w:jc w:val="both"/>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根据</w:t>
            </w:r>
            <w:r>
              <w:rPr>
                <w:rFonts w:hint="eastAsia" w:ascii="新宋体" w:hAnsi="新宋体" w:eastAsia="新宋体" w:cs="新宋体"/>
                <w:color w:val="auto"/>
                <w:sz w:val="22"/>
                <w:szCs w:val="22"/>
                <w:highlight w:val="none"/>
                <w:lang w:val="en-US" w:eastAsia="zh-CN"/>
              </w:rPr>
              <w:t>投标人所投</w:t>
            </w:r>
            <w:r>
              <w:rPr>
                <w:rFonts w:hint="eastAsia" w:ascii="新宋体" w:hAnsi="新宋体" w:eastAsia="新宋体" w:cs="新宋体"/>
                <w:color w:val="auto"/>
                <w:sz w:val="22"/>
                <w:szCs w:val="22"/>
                <w:highlight w:val="none"/>
              </w:rPr>
              <w:t>产品技术参数的符合性打分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每有1项技术参数负偏离的扣1分，</w:t>
            </w:r>
            <w:r>
              <w:rPr>
                <w:rFonts w:hint="eastAsia" w:ascii="新宋体" w:hAnsi="新宋体" w:eastAsia="新宋体" w:cs="新宋体"/>
                <w:color w:val="auto"/>
                <w:sz w:val="22"/>
                <w:szCs w:val="22"/>
                <w:highlight w:val="none"/>
              </w:rPr>
              <w:t>扣完为止</w:t>
            </w:r>
            <w:r>
              <w:rPr>
                <w:rFonts w:hint="eastAsia" w:ascii="新宋体" w:hAnsi="新宋体" w:eastAsia="新宋体" w:cs="新宋体"/>
                <w:color w:val="auto"/>
                <w:sz w:val="22"/>
                <w:szCs w:val="22"/>
                <w:highlight w:val="none"/>
                <w:lang w:eastAsia="zh-CN"/>
              </w:rPr>
              <w:t>。</w:t>
            </w:r>
          </w:p>
          <w:p w14:paraId="76CF4ABB">
            <w:pPr>
              <w:spacing w:line="460" w:lineRule="exact"/>
              <w:jc w:val="both"/>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注：投标人须在偏离表中明确，未按要求提供证明材料视为负偏离。</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3A4A4E36">
            <w:pPr>
              <w:spacing w:line="460" w:lineRule="exact"/>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35</w:t>
            </w:r>
            <w:r>
              <w:rPr>
                <w:rFonts w:hint="eastAsia" w:ascii="新宋体" w:hAnsi="新宋体" w:eastAsia="新宋体" w:cs="新宋体"/>
                <w:color w:val="auto"/>
                <w:sz w:val="22"/>
                <w:szCs w:val="22"/>
                <w:highlight w:val="none"/>
              </w:rPr>
              <w:t>分</w:t>
            </w:r>
          </w:p>
        </w:tc>
      </w:tr>
      <w:tr w14:paraId="6049E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jc w:val="center"/>
        </w:trPr>
        <w:tc>
          <w:tcPr>
            <w:tcW w:w="685" w:type="dxa"/>
            <w:vMerge w:val="restart"/>
            <w:tcBorders>
              <w:top w:val="single" w:color="auto" w:sz="4" w:space="0"/>
              <w:left w:val="single" w:color="auto" w:sz="4" w:space="0"/>
              <w:right w:val="single" w:color="auto" w:sz="4" w:space="0"/>
            </w:tcBorders>
            <w:noWrap w:val="0"/>
            <w:vAlign w:val="center"/>
          </w:tcPr>
          <w:p w14:paraId="0B84F5CA">
            <w:pPr>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3</w:t>
            </w:r>
          </w:p>
        </w:tc>
        <w:tc>
          <w:tcPr>
            <w:tcW w:w="2018" w:type="dxa"/>
            <w:vMerge w:val="restart"/>
            <w:tcBorders>
              <w:top w:val="single" w:color="auto" w:sz="4" w:space="0"/>
              <w:left w:val="single" w:color="auto" w:sz="4" w:space="0"/>
              <w:right w:val="single" w:color="auto" w:sz="4" w:space="0"/>
            </w:tcBorders>
            <w:noWrap w:val="0"/>
            <w:vAlign w:val="center"/>
          </w:tcPr>
          <w:p w14:paraId="3A392D90">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项目实施方案</w:t>
            </w:r>
          </w:p>
        </w:tc>
        <w:tc>
          <w:tcPr>
            <w:tcW w:w="6491" w:type="dxa"/>
            <w:tcBorders>
              <w:top w:val="single" w:color="auto" w:sz="4" w:space="0"/>
              <w:left w:val="single" w:color="auto" w:sz="4" w:space="0"/>
              <w:right w:val="single" w:color="auto" w:sz="4" w:space="0"/>
            </w:tcBorders>
            <w:noWrap w:val="0"/>
            <w:vAlign w:val="center"/>
          </w:tcPr>
          <w:p w14:paraId="4B3F6F41">
            <w:pPr>
              <w:spacing w:line="460" w:lineRule="exact"/>
              <w:jc w:val="both"/>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根据提供的实施方案（包含实施计划、人员安排、质量管理等内容）的完整性、合理性和科学性</w:t>
            </w:r>
            <w:r>
              <w:rPr>
                <w:rFonts w:hint="eastAsia" w:ascii="新宋体" w:hAnsi="新宋体" w:eastAsia="新宋体" w:cs="新宋体"/>
                <w:color w:val="auto"/>
                <w:sz w:val="22"/>
                <w:szCs w:val="22"/>
                <w:highlight w:val="none"/>
                <w:lang w:val="en-US" w:eastAsia="zh-CN"/>
              </w:rPr>
              <w:t>等进行评分。</w:t>
            </w:r>
          </w:p>
          <w:p w14:paraId="721A9BB5">
            <w:pPr>
              <w:numPr>
                <w:ilvl w:val="0"/>
                <w:numId w:val="0"/>
              </w:numPr>
              <w:spacing w:line="460" w:lineRule="exact"/>
              <w:jc w:val="both"/>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kern w:val="2"/>
                <w:sz w:val="22"/>
                <w:szCs w:val="22"/>
                <w:highlight w:val="none"/>
                <w:lang w:val="en-US" w:eastAsia="zh-CN" w:bidi="ar-SA"/>
              </w:rPr>
              <w:t>1、</w:t>
            </w:r>
            <w:r>
              <w:rPr>
                <w:rFonts w:hint="eastAsia" w:ascii="新宋体" w:hAnsi="新宋体" w:eastAsia="新宋体" w:cs="新宋体"/>
                <w:color w:val="auto"/>
                <w:sz w:val="22"/>
                <w:szCs w:val="22"/>
                <w:highlight w:val="none"/>
                <w:lang w:val="en-US" w:eastAsia="zh-CN"/>
              </w:rPr>
              <w:t>实施过程中的计划合理有序、安排人员数量充足可靠、具有保障得5分；</w:t>
            </w:r>
          </w:p>
          <w:p w14:paraId="6D9DFA94">
            <w:pPr>
              <w:numPr>
                <w:ilvl w:val="0"/>
                <w:numId w:val="0"/>
              </w:numPr>
              <w:spacing w:line="460" w:lineRule="exact"/>
              <w:jc w:val="both"/>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2、实施过程中的计划模糊、人员安排紧张得3分；</w:t>
            </w:r>
          </w:p>
          <w:p w14:paraId="2FE7506D">
            <w:pPr>
              <w:numPr>
                <w:ilvl w:val="0"/>
                <w:numId w:val="0"/>
              </w:numPr>
              <w:spacing w:line="460" w:lineRule="exact"/>
              <w:jc w:val="both"/>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3、实施过程中的计划杂乱无序、人员安排欠缺得1分；</w:t>
            </w:r>
          </w:p>
          <w:p w14:paraId="31A5ADF5">
            <w:pPr>
              <w:numPr>
                <w:ilvl w:val="0"/>
                <w:numId w:val="0"/>
              </w:numPr>
              <w:spacing w:line="460" w:lineRule="exact"/>
              <w:jc w:val="both"/>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4、无方案得0分。</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641E221E">
            <w:pPr>
              <w:spacing w:line="460" w:lineRule="exact"/>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分</w:t>
            </w:r>
          </w:p>
        </w:tc>
      </w:tr>
      <w:tr w14:paraId="1AED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85" w:type="dxa"/>
            <w:vMerge w:val="continue"/>
            <w:tcBorders>
              <w:left w:val="single" w:color="auto" w:sz="4" w:space="0"/>
              <w:right w:val="single" w:color="auto" w:sz="4" w:space="0"/>
            </w:tcBorders>
            <w:noWrap w:val="0"/>
            <w:vAlign w:val="center"/>
          </w:tcPr>
          <w:p w14:paraId="5E8F3D0E">
            <w:pPr>
              <w:spacing w:line="460" w:lineRule="exact"/>
              <w:jc w:val="center"/>
              <w:rPr>
                <w:rFonts w:hint="eastAsia" w:ascii="新宋体" w:hAnsi="新宋体" w:eastAsia="新宋体" w:cs="新宋体"/>
                <w:color w:val="auto"/>
                <w:sz w:val="22"/>
                <w:szCs w:val="22"/>
                <w:highlight w:val="none"/>
              </w:rPr>
            </w:pPr>
          </w:p>
        </w:tc>
        <w:tc>
          <w:tcPr>
            <w:tcW w:w="2018" w:type="dxa"/>
            <w:vMerge w:val="continue"/>
            <w:tcBorders>
              <w:left w:val="single" w:color="auto" w:sz="4" w:space="0"/>
              <w:right w:val="single" w:color="auto" w:sz="4" w:space="0"/>
            </w:tcBorders>
            <w:noWrap w:val="0"/>
            <w:vAlign w:val="center"/>
          </w:tcPr>
          <w:p w14:paraId="633E584E">
            <w:pPr>
              <w:spacing w:line="460" w:lineRule="exact"/>
              <w:jc w:val="center"/>
              <w:rPr>
                <w:rFonts w:hint="eastAsia" w:ascii="新宋体" w:hAnsi="新宋体" w:eastAsia="新宋体" w:cs="新宋体"/>
                <w:color w:val="auto"/>
                <w:sz w:val="22"/>
                <w:szCs w:val="22"/>
                <w:highlight w:val="none"/>
              </w:rPr>
            </w:pPr>
          </w:p>
        </w:tc>
        <w:tc>
          <w:tcPr>
            <w:tcW w:w="6491" w:type="dxa"/>
            <w:tcBorders>
              <w:top w:val="single" w:color="auto" w:sz="4" w:space="0"/>
              <w:left w:val="single" w:color="auto" w:sz="4" w:space="0"/>
              <w:right w:val="single" w:color="auto" w:sz="4" w:space="0"/>
            </w:tcBorders>
            <w:noWrap w:val="0"/>
            <w:vAlign w:val="center"/>
          </w:tcPr>
          <w:p w14:paraId="5EEACB2D">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w:t>
            </w:r>
            <w:r>
              <w:rPr>
                <w:rFonts w:hint="eastAsia" w:ascii="新宋体" w:hAnsi="新宋体" w:eastAsia="新宋体" w:cs="新宋体"/>
                <w:color w:val="auto"/>
                <w:sz w:val="22"/>
                <w:szCs w:val="22"/>
                <w:highlight w:val="none"/>
                <w:lang w:val="en-US" w:eastAsia="zh-CN"/>
              </w:rPr>
              <w:t>提供</w:t>
            </w:r>
            <w:r>
              <w:rPr>
                <w:rFonts w:hint="eastAsia" w:ascii="新宋体" w:hAnsi="新宋体" w:eastAsia="新宋体" w:cs="新宋体"/>
                <w:color w:val="auto"/>
                <w:sz w:val="22"/>
                <w:szCs w:val="22"/>
                <w:highlight w:val="none"/>
              </w:rPr>
              <w:t>的产品验收方案的验收方式、验收标准、验收时间等的合理性、可行性等方面进行评分。</w:t>
            </w:r>
          </w:p>
          <w:p w14:paraId="10250FDA">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1、方案能贴合采购需求，合理可行、针对性强的得</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p w14:paraId="6F73F0BA">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2、方案能比较贴合采购需求，较合理可行、针对性较强的得</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分；</w:t>
            </w:r>
          </w:p>
          <w:p w14:paraId="5D0A341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3、方案能基本贴合采购需求，合理性、可行性、针对性一般的得</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分；</w:t>
            </w:r>
          </w:p>
          <w:p w14:paraId="2C637333">
            <w:pPr>
              <w:spacing w:line="460" w:lineRule="exact"/>
              <w:jc w:val="both"/>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4、不提供不得分。</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1A9B2225">
            <w:pPr>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3分</w:t>
            </w:r>
          </w:p>
        </w:tc>
      </w:tr>
      <w:tr w14:paraId="094D0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85" w:type="dxa"/>
            <w:tcBorders>
              <w:top w:val="single" w:color="auto" w:sz="4" w:space="0"/>
              <w:left w:val="single" w:color="auto" w:sz="4" w:space="0"/>
              <w:bottom w:val="single" w:color="auto" w:sz="4" w:space="0"/>
              <w:right w:val="single" w:color="auto" w:sz="4" w:space="0"/>
            </w:tcBorders>
            <w:noWrap w:val="0"/>
            <w:vAlign w:val="center"/>
          </w:tcPr>
          <w:p w14:paraId="1F90F9D7">
            <w:pPr>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4</w:t>
            </w:r>
          </w:p>
        </w:tc>
        <w:tc>
          <w:tcPr>
            <w:tcW w:w="2018" w:type="dxa"/>
            <w:tcBorders>
              <w:top w:val="single" w:color="auto" w:sz="4" w:space="0"/>
              <w:left w:val="single" w:color="auto" w:sz="4" w:space="0"/>
              <w:bottom w:val="single" w:color="auto" w:sz="4" w:space="0"/>
              <w:right w:val="single" w:color="auto" w:sz="4" w:space="0"/>
            </w:tcBorders>
            <w:noWrap w:val="0"/>
            <w:vAlign w:val="center"/>
          </w:tcPr>
          <w:p w14:paraId="16420A90">
            <w:pPr>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履行能力情况</w:t>
            </w:r>
          </w:p>
        </w:tc>
        <w:tc>
          <w:tcPr>
            <w:tcW w:w="6491" w:type="dxa"/>
            <w:tcBorders>
              <w:top w:val="single" w:color="auto" w:sz="4" w:space="0"/>
              <w:left w:val="single" w:color="auto" w:sz="4" w:space="0"/>
              <w:bottom w:val="single" w:color="auto" w:sz="4" w:space="0"/>
              <w:right w:val="single" w:color="auto" w:sz="4" w:space="0"/>
            </w:tcBorders>
            <w:noWrap w:val="0"/>
            <w:vAlign w:val="center"/>
          </w:tcPr>
          <w:p w14:paraId="3D1A9889">
            <w:pPr>
              <w:spacing w:line="460" w:lineRule="exact"/>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rPr>
              <w:t>根据</w:t>
            </w:r>
            <w:r>
              <w:rPr>
                <w:rFonts w:hint="eastAsia" w:ascii="新宋体" w:hAnsi="新宋体" w:eastAsia="新宋体" w:cs="新宋体"/>
                <w:color w:val="auto"/>
                <w:kern w:val="0"/>
                <w:sz w:val="22"/>
                <w:szCs w:val="22"/>
                <w:highlight w:val="none"/>
                <w:lang w:bidi="ar"/>
              </w:rPr>
              <w:t>提供的售后服务方案、</w:t>
            </w:r>
            <w:r>
              <w:rPr>
                <w:rFonts w:hint="eastAsia" w:ascii="新宋体" w:hAnsi="新宋体" w:eastAsia="新宋体" w:cs="新宋体"/>
                <w:color w:val="auto"/>
                <w:kern w:val="0"/>
                <w:sz w:val="22"/>
                <w:szCs w:val="22"/>
                <w:highlight w:val="none"/>
                <w:lang w:val="en-US" w:eastAsia="zh-CN" w:bidi="ar"/>
              </w:rPr>
              <w:t>售后</w:t>
            </w:r>
            <w:r>
              <w:rPr>
                <w:rFonts w:hint="eastAsia" w:ascii="新宋体" w:hAnsi="新宋体" w:eastAsia="新宋体" w:cs="新宋体"/>
                <w:color w:val="auto"/>
                <w:kern w:val="0"/>
                <w:sz w:val="22"/>
                <w:szCs w:val="22"/>
                <w:highlight w:val="none"/>
                <w:lang w:bidi="ar"/>
              </w:rPr>
              <w:t>人员和机构等情况</w:t>
            </w:r>
            <w:r>
              <w:rPr>
                <w:rFonts w:hint="eastAsia" w:ascii="新宋体" w:hAnsi="新宋体" w:eastAsia="新宋体" w:cs="新宋体"/>
                <w:color w:val="auto"/>
                <w:kern w:val="0"/>
                <w:sz w:val="22"/>
                <w:szCs w:val="22"/>
                <w:highlight w:val="none"/>
                <w:lang w:val="en-US" w:eastAsia="zh-CN" w:bidi="ar"/>
              </w:rPr>
              <w:t>进行评分</w:t>
            </w: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bidi="ar"/>
              </w:rPr>
              <w:t xml:space="preserve"> </w:t>
            </w:r>
          </w:p>
          <w:p w14:paraId="3C04A20D">
            <w:pPr>
              <w:spacing w:line="460" w:lineRule="exact"/>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1、售后服务人员、机构技术维护能力强</w:t>
            </w: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val="en-US" w:eastAsia="zh-CN" w:bidi="ar"/>
              </w:rPr>
              <w:t>保障措施全面</w:t>
            </w:r>
            <w:r>
              <w:rPr>
                <w:rFonts w:hint="eastAsia" w:ascii="新宋体" w:hAnsi="新宋体" w:eastAsia="新宋体" w:cs="新宋体"/>
                <w:color w:val="auto"/>
                <w:kern w:val="0"/>
                <w:sz w:val="22"/>
                <w:szCs w:val="22"/>
                <w:highlight w:val="none"/>
                <w:lang w:bidi="ar"/>
              </w:rPr>
              <w:t>的得</w:t>
            </w:r>
            <w:r>
              <w:rPr>
                <w:rFonts w:hint="eastAsia" w:ascii="新宋体" w:hAnsi="新宋体" w:eastAsia="新宋体" w:cs="新宋体"/>
                <w:color w:val="auto"/>
                <w:kern w:val="0"/>
                <w:sz w:val="22"/>
                <w:szCs w:val="22"/>
                <w:highlight w:val="none"/>
                <w:lang w:val="en-US" w:eastAsia="zh-CN" w:bidi="ar"/>
              </w:rPr>
              <w:t>5分</w:t>
            </w:r>
            <w:r>
              <w:rPr>
                <w:rFonts w:hint="eastAsia" w:ascii="新宋体" w:hAnsi="新宋体" w:eastAsia="新宋体" w:cs="新宋体"/>
                <w:color w:val="auto"/>
                <w:kern w:val="0"/>
                <w:sz w:val="22"/>
                <w:szCs w:val="22"/>
                <w:highlight w:val="none"/>
                <w:lang w:bidi="ar"/>
              </w:rPr>
              <w:t>；</w:t>
            </w:r>
          </w:p>
          <w:p w14:paraId="3B98ACD5">
            <w:pPr>
              <w:spacing w:line="460" w:lineRule="exact"/>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2、售后服务人员、机构技术维护能力</w:t>
            </w:r>
            <w:r>
              <w:rPr>
                <w:rFonts w:hint="eastAsia" w:ascii="新宋体" w:hAnsi="新宋体" w:eastAsia="新宋体" w:cs="新宋体"/>
                <w:color w:val="auto"/>
                <w:kern w:val="0"/>
                <w:sz w:val="22"/>
                <w:szCs w:val="22"/>
                <w:highlight w:val="none"/>
                <w:lang w:val="en-US" w:eastAsia="zh-CN" w:bidi="ar"/>
              </w:rPr>
              <w:t>一般</w:t>
            </w: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val="en-US" w:eastAsia="zh-CN" w:bidi="ar"/>
              </w:rPr>
              <w:t>保障措施不够周全</w:t>
            </w:r>
            <w:r>
              <w:rPr>
                <w:rFonts w:hint="eastAsia" w:ascii="新宋体" w:hAnsi="新宋体" w:eastAsia="新宋体" w:cs="新宋体"/>
                <w:color w:val="auto"/>
                <w:kern w:val="0"/>
                <w:sz w:val="22"/>
                <w:szCs w:val="22"/>
                <w:highlight w:val="none"/>
                <w:lang w:bidi="ar"/>
              </w:rPr>
              <w:t>的得</w:t>
            </w:r>
            <w:r>
              <w:rPr>
                <w:rFonts w:hint="eastAsia" w:ascii="新宋体" w:hAnsi="新宋体" w:eastAsia="新宋体" w:cs="新宋体"/>
                <w:color w:val="auto"/>
                <w:kern w:val="0"/>
                <w:sz w:val="22"/>
                <w:szCs w:val="22"/>
                <w:highlight w:val="none"/>
                <w:lang w:val="en-US" w:eastAsia="zh-CN" w:bidi="ar"/>
              </w:rPr>
              <w:t>3</w:t>
            </w:r>
            <w:r>
              <w:rPr>
                <w:rFonts w:hint="eastAsia" w:ascii="新宋体" w:hAnsi="新宋体" w:eastAsia="新宋体" w:cs="新宋体"/>
                <w:color w:val="auto"/>
                <w:kern w:val="0"/>
                <w:sz w:val="22"/>
                <w:szCs w:val="22"/>
                <w:highlight w:val="none"/>
                <w:lang w:bidi="ar"/>
              </w:rPr>
              <w:t>分；</w:t>
            </w:r>
          </w:p>
          <w:p w14:paraId="755988B4">
            <w:pPr>
              <w:spacing w:line="460" w:lineRule="exact"/>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val="en-US" w:eastAsia="zh-CN" w:bidi="ar"/>
              </w:rPr>
              <w:t>3、</w:t>
            </w:r>
            <w:r>
              <w:rPr>
                <w:rFonts w:hint="eastAsia" w:ascii="新宋体" w:hAnsi="新宋体" w:eastAsia="新宋体" w:cs="新宋体"/>
                <w:color w:val="auto"/>
                <w:kern w:val="0"/>
                <w:sz w:val="22"/>
                <w:szCs w:val="22"/>
                <w:highlight w:val="none"/>
                <w:lang w:bidi="ar"/>
              </w:rPr>
              <w:t>售后服务人员、机构技术维护能力</w:t>
            </w:r>
            <w:r>
              <w:rPr>
                <w:rFonts w:hint="eastAsia" w:ascii="新宋体" w:hAnsi="新宋体" w:eastAsia="新宋体" w:cs="新宋体"/>
                <w:color w:val="auto"/>
                <w:kern w:val="0"/>
                <w:sz w:val="22"/>
                <w:szCs w:val="22"/>
                <w:highlight w:val="none"/>
                <w:lang w:val="en-US" w:eastAsia="zh-CN" w:bidi="ar"/>
              </w:rPr>
              <w:t>基础</w:t>
            </w: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val="en-US" w:eastAsia="zh-CN" w:bidi="ar"/>
              </w:rPr>
              <w:t>保障措施有缺陷</w:t>
            </w:r>
            <w:r>
              <w:rPr>
                <w:rFonts w:hint="eastAsia" w:ascii="新宋体" w:hAnsi="新宋体" w:eastAsia="新宋体" w:cs="新宋体"/>
                <w:color w:val="auto"/>
                <w:kern w:val="0"/>
                <w:sz w:val="22"/>
                <w:szCs w:val="22"/>
                <w:highlight w:val="none"/>
                <w:lang w:bidi="ar"/>
              </w:rPr>
              <w:t>的得</w:t>
            </w:r>
            <w:r>
              <w:rPr>
                <w:rFonts w:hint="eastAsia" w:ascii="新宋体" w:hAnsi="新宋体" w:eastAsia="新宋体" w:cs="新宋体"/>
                <w:color w:val="auto"/>
                <w:kern w:val="0"/>
                <w:sz w:val="22"/>
                <w:szCs w:val="22"/>
                <w:highlight w:val="none"/>
                <w:lang w:val="en-US" w:eastAsia="zh-CN" w:bidi="ar"/>
              </w:rPr>
              <w:t>1</w:t>
            </w:r>
            <w:r>
              <w:rPr>
                <w:rFonts w:hint="eastAsia" w:ascii="新宋体" w:hAnsi="新宋体" w:eastAsia="新宋体" w:cs="新宋体"/>
                <w:color w:val="auto"/>
                <w:kern w:val="0"/>
                <w:sz w:val="22"/>
                <w:szCs w:val="22"/>
                <w:highlight w:val="none"/>
                <w:lang w:bidi="ar"/>
              </w:rPr>
              <w:t>分；</w:t>
            </w:r>
          </w:p>
          <w:p w14:paraId="07105544">
            <w:pPr>
              <w:spacing w:line="460" w:lineRule="exact"/>
              <w:jc w:val="both"/>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val="en-US" w:eastAsia="zh-CN" w:bidi="ar"/>
              </w:rPr>
              <w:t>4</w:t>
            </w:r>
            <w:r>
              <w:rPr>
                <w:rFonts w:hint="eastAsia" w:ascii="新宋体" w:hAnsi="新宋体" w:eastAsia="新宋体" w:cs="新宋体"/>
                <w:color w:val="auto"/>
                <w:kern w:val="0"/>
                <w:sz w:val="22"/>
                <w:szCs w:val="22"/>
                <w:highlight w:val="none"/>
                <w:lang w:bidi="ar"/>
              </w:rPr>
              <w:t>、无方案、措施：0分。</w:t>
            </w:r>
          </w:p>
          <w:p w14:paraId="3EA9FECE">
            <w:pPr>
              <w:spacing w:line="460" w:lineRule="exact"/>
              <w:jc w:val="both"/>
              <w:rPr>
                <w:rFonts w:hint="eastAsia" w:ascii="新宋体" w:hAnsi="新宋体" w:eastAsia="新宋体" w:cs="新宋体"/>
                <w:color w:val="auto"/>
                <w:sz w:val="22"/>
                <w:szCs w:val="22"/>
                <w:highlight w:val="none"/>
              </w:rPr>
            </w:pPr>
            <w:r>
              <w:rPr>
                <w:rFonts w:hint="eastAsia" w:ascii="新宋体" w:hAnsi="新宋体" w:eastAsia="新宋体" w:cs="新宋体"/>
                <w:b w:val="0"/>
                <w:bCs w:val="0"/>
                <w:color w:val="auto"/>
                <w:sz w:val="22"/>
                <w:szCs w:val="22"/>
                <w:highlight w:val="none"/>
                <w:lang w:val="zh-CN" w:eastAsia="zh-CN"/>
              </w:rPr>
              <w:t>（相关人员需提供相关证书等证明材料、社保缴纳证明并加盖公章）</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22755106">
            <w:pPr>
              <w:spacing w:line="460" w:lineRule="exact"/>
              <w:jc w:val="center"/>
              <w:rPr>
                <w:rFonts w:hint="eastAsia" w:ascii="新宋体" w:hAnsi="新宋体" w:eastAsia="新宋体" w:cs="新宋体"/>
                <w:color w:val="auto"/>
                <w:kern w:val="2"/>
                <w:sz w:val="22"/>
                <w:szCs w:val="22"/>
                <w:highlight w:val="none"/>
                <w:lang w:val="zh-TW" w:eastAsia="zh-CN" w:bidi="ar-SA"/>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分</w:t>
            </w:r>
          </w:p>
        </w:tc>
      </w:tr>
      <w:tr w14:paraId="005FF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85" w:type="dxa"/>
            <w:vMerge w:val="restart"/>
            <w:tcBorders>
              <w:top w:val="single" w:color="auto" w:sz="4" w:space="0"/>
              <w:left w:val="single" w:color="auto" w:sz="4" w:space="0"/>
              <w:right w:val="single" w:color="auto" w:sz="4" w:space="0"/>
            </w:tcBorders>
            <w:noWrap w:val="0"/>
            <w:vAlign w:val="center"/>
          </w:tcPr>
          <w:p w14:paraId="5B8DA6A3">
            <w:pPr>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5</w:t>
            </w:r>
          </w:p>
        </w:tc>
        <w:tc>
          <w:tcPr>
            <w:tcW w:w="2018" w:type="dxa"/>
            <w:vMerge w:val="restart"/>
            <w:tcBorders>
              <w:top w:val="single" w:color="auto" w:sz="4" w:space="0"/>
              <w:left w:val="single" w:color="auto" w:sz="4" w:space="0"/>
              <w:right w:val="single" w:color="auto" w:sz="4" w:space="0"/>
            </w:tcBorders>
            <w:noWrap w:val="0"/>
            <w:vAlign w:val="center"/>
          </w:tcPr>
          <w:p w14:paraId="26A025A8">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售后服务承诺与保证措施</w:t>
            </w:r>
          </w:p>
        </w:tc>
        <w:tc>
          <w:tcPr>
            <w:tcW w:w="6491" w:type="dxa"/>
            <w:tcBorders>
              <w:top w:val="single" w:color="auto" w:sz="4" w:space="0"/>
              <w:left w:val="single" w:color="auto" w:sz="4" w:space="0"/>
              <w:bottom w:val="single" w:color="auto" w:sz="4" w:space="0"/>
              <w:right w:val="single" w:color="auto" w:sz="4" w:space="0"/>
            </w:tcBorders>
            <w:noWrap w:val="0"/>
            <w:vAlign w:val="center"/>
          </w:tcPr>
          <w:p w14:paraId="4DE97CFA">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在满足招标文件要求的基础上，根据</w:t>
            </w:r>
            <w:r>
              <w:rPr>
                <w:rFonts w:hint="eastAsia" w:ascii="新宋体" w:hAnsi="新宋体" w:eastAsia="新宋体" w:cs="新宋体"/>
                <w:color w:val="auto"/>
                <w:kern w:val="0"/>
                <w:sz w:val="22"/>
                <w:szCs w:val="22"/>
                <w:highlight w:val="none"/>
                <w:lang w:val="en-US" w:eastAsia="zh-CN"/>
              </w:rPr>
              <w:t>质保期内外的</w:t>
            </w:r>
            <w:r>
              <w:rPr>
                <w:rFonts w:hint="eastAsia" w:ascii="新宋体" w:hAnsi="新宋体" w:eastAsia="新宋体" w:cs="新宋体"/>
                <w:color w:val="auto"/>
                <w:kern w:val="0"/>
                <w:sz w:val="22"/>
                <w:szCs w:val="22"/>
                <w:highlight w:val="none"/>
              </w:rPr>
              <w:t>技术支持、售后服务响应时间，出现质量问题的处理，日常检测及保养，故障处理效率，应急维修承诺等的具体方案</w:t>
            </w:r>
            <w:r>
              <w:rPr>
                <w:rFonts w:hint="eastAsia" w:ascii="新宋体" w:hAnsi="新宋体" w:eastAsia="新宋体" w:cs="新宋体"/>
                <w:color w:val="auto"/>
                <w:kern w:val="0"/>
                <w:sz w:val="22"/>
                <w:szCs w:val="22"/>
                <w:highlight w:val="none"/>
                <w:lang w:val="en-US" w:eastAsia="zh-CN"/>
              </w:rPr>
              <w:t>进行评分</w:t>
            </w:r>
          </w:p>
          <w:p w14:paraId="0A1E241F">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1、能贴合采购人需求，措施合理可行、完善度强的得</w:t>
            </w:r>
            <w:r>
              <w:rPr>
                <w:rFonts w:hint="eastAsia" w:ascii="新宋体" w:hAnsi="新宋体" w:eastAsia="新宋体" w:cs="新宋体"/>
                <w:color w:val="auto"/>
                <w:kern w:val="0"/>
                <w:sz w:val="22"/>
                <w:szCs w:val="22"/>
                <w:highlight w:val="none"/>
                <w:lang w:val="en-US" w:eastAsia="zh-CN"/>
              </w:rPr>
              <w:t>5</w:t>
            </w:r>
            <w:r>
              <w:rPr>
                <w:rFonts w:hint="eastAsia" w:ascii="新宋体" w:hAnsi="新宋体" w:eastAsia="新宋体" w:cs="新宋体"/>
                <w:color w:val="auto"/>
                <w:kern w:val="0"/>
                <w:sz w:val="22"/>
                <w:szCs w:val="22"/>
                <w:highlight w:val="none"/>
              </w:rPr>
              <w:t>分；</w:t>
            </w:r>
          </w:p>
          <w:p w14:paraId="11A21F57">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2、能贴合采购人需求，较合理可行、针对性较强的得</w:t>
            </w:r>
            <w:r>
              <w:rPr>
                <w:rFonts w:hint="eastAsia" w:ascii="新宋体" w:hAnsi="新宋体" w:eastAsia="新宋体" w:cs="新宋体"/>
                <w:color w:val="auto"/>
                <w:kern w:val="0"/>
                <w:sz w:val="22"/>
                <w:szCs w:val="22"/>
                <w:highlight w:val="none"/>
                <w:lang w:val="en-US" w:eastAsia="zh-CN"/>
              </w:rPr>
              <w:t>3</w:t>
            </w:r>
            <w:r>
              <w:rPr>
                <w:rFonts w:hint="eastAsia" w:ascii="新宋体" w:hAnsi="新宋体" w:eastAsia="新宋体" w:cs="新宋体"/>
                <w:color w:val="auto"/>
                <w:kern w:val="0"/>
                <w:sz w:val="22"/>
                <w:szCs w:val="22"/>
                <w:highlight w:val="none"/>
              </w:rPr>
              <w:t>分；</w:t>
            </w:r>
          </w:p>
          <w:p w14:paraId="52FA486B">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3、能贴合采购人需求，合理性、可行性、针对性一般的得</w:t>
            </w:r>
            <w:r>
              <w:rPr>
                <w:rFonts w:hint="eastAsia" w:ascii="新宋体" w:hAnsi="新宋体" w:eastAsia="新宋体" w:cs="新宋体"/>
                <w:color w:val="auto"/>
                <w:kern w:val="0"/>
                <w:sz w:val="22"/>
                <w:szCs w:val="22"/>
                <w:highlight w:val="none"/>
                <w:lang w:val="en-US" w:eastAsia="zh-CN"/>
              </w:rPr>
              <w:t>1</w:t>
            </w:r>
            <w:r>
              <w:rPr>
                <w:rFonts w:hint="eastAsia" w:ascii="新宋体" w:hAnsi="新宋体" w:eastAsia="新宋体" w:cs="新宋体"/>
                <w:color w:val="auto"/>
                <w:kern w:val="0"/>
                <w:sz w:val="22"/>
                <w:szCs w:val="22"/>
                <w:highlight w:val="none"/>
              </w:rPr>
              <w:t>分；</w:t>
            </w:r>
          </w:p>
          <w:p w14:paraId="1D0CAF75">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4、不提供不得分。</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6793D124">
            <w:pPr>
              <w:spacing w:line="460" w:lineRule="exact"/>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分</w:t>
            </w:r>
          </w:p>
        </w:tc>
      </w:tr>
      <w:tr w14:paraId="1A2CE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85" w:type="dxa"/>
            <w:vMerge w:val="continue"/>
            <w:tcBorders>
              <w:left w:val="single" w:color="auto" w:sz="4" w:space="0"/>
              <w:bottom w:val="single" w:color="auto" w:sz="4" w:space="0"/>
              <w:right w:val="single" w:color="auto" w:sz="4" w:space="0"/>
            </w:tcBorders>
            <w:noWrap w:val="0"/>
            <w:vAlign w:val="center"/>
          </w:tcPr>
          <w:p w14:paraId="123B602B">
            <w:pPr>
              <w:spacing w:line="460" w:lineRule="exact"/>
              <w:jc w:val="center"/>
              <w:rPr>
                <w:rFonts w:hint="eastAsia" w:ascii="新宋体" w:hAnsi="新宋体" w:eastAsia="新宋体" w:cs="新宋体"/>
                <w:color w:val="auto"/>
                <w:sz w:val="22"/>
                <w:szCs w:val="22"/>
                <w:highlight w:val="none"/>
              </w:rPr>
            </w:pPr>
          </w:p>
        </w:tc>
        <w:tc>
          <w:tcPr>
            <w:tcW w:w="2018" w:type="dxa"/>
            <w:vMerge w:val="continue"/>
            <w:tcBorders>
              <w:left w:val="single" w:color="auto" w:sz="4" w:space="0"/>
              <w:bottom w:val="single" w:color="auto" w:sz="4" w:space="0"/>
              <w:right w:val="single" w:color="auto" w:sz="4" w:space="0"/>
            </w:tcBorders>
            <w:noWrap w:val="0"/>
            <w:vAlign w:val="center"/>
          </w:tcPr>
          <w:p w14:paraId="49790886">
            <w:pPr>
              <w:spacing w:line="460" w:lineRule="exact"/>
              <w:jc w:val="center"/>
              <w:rPr>
                <w:rFonts w:hint="eastAsia" w:ascii="新宋体" w:hAnsi="新宋体" w:eastAsia="新宋体" w:cs="新宋体"/>
                <w:color w:val="auto"/>
                <w:kern w:val="0"/>
                <w:sz w:val="22"/>
                <w:szCs w:val="22"/>
                <w:highlight w:val="none"/>
              </w:rPr>
            </w:pPr>
          </w:p>
        </w:tc>
        <w:tc>
          <w:tcPr>
            <w:tcW w:w="6491" w:type="dxa"/>
            <w:tcBorders>
              <w:top w:val="single" w:color="auto" w:sz="4" w:space="0"/>
              <w:left w:val="single" w:color="auto" w:sz="4" w:space="0"/>
              <w:bottom w:val="single" w:color="auto" w:sz="4" w:space="0"/>
              <w:right w:val="single" w:color="auto" w:sz="4" w:space="0"/>
            </w:tcBorders>
            <w:noWrap w:val="0"/>
            <w:vAlign w:val="center"/>
          </w:tcPr>
          <w:p w14:paraId="764C7C76">
            <w:pPr>
              <w:spacing w:line="460" w:lineRule="exact"/>
              <w:jc w:val="both"/>
              <w:rPr>
                <w:rFonts w:hint="eastAsia" w:ascii="新宋体" w:hAnsi="新宋体" w:eastAsia="新宋体" w:cs="新宋体"/>
                <w:color w:val="auto"/>
                <w:sz w:val="22"/>
                <w:szCs w:val="22"/>
                <w:highlight w:val="none"/>
                <w:lang w:eastAsia="zh-CN"/>
              </w:rPr>
            </w:pPr>
            <w:r>
              <w:rPr>
                <w:rStyle w:val="342"/>
                <w:rFonts w:hint="eastAsia" w:ascii="新宋体" w:hAnsi="新宋体" w:eastAsia="新宋体" w:cs="新宋体"/>
                <w:bCs/>
                <w:color w:val="auto"/>
                <w:sz w:val="22"/>
                <w:szCs w:val="22"/>
                <w:highlight w:val="none"/>
              </w:rPr>
              <w:t>优于招标文件要求的免费质保期的，在3年的基础上，整包每增加一年</w:t>
            </w:r>
            <w:r>
              <w:rPr>
                <w:rStyle w:val="342"/>
                <w:rFonts w:hint="eastAsia" w:ascii="新宋体" w:hAnsi="新宋体" w:eastAsia="新宋体" w:cs="新宋体"/>
                <w:bCs/>
                <w:color w:val="auto"/>
                <w:sz w:val="22"/>
                <w:szCs w:val="22"/>
                <w:highlight w:val="none"/>
                <w:lang w:val="en-US" w:eastAsia="zh-CN"/>
              </w:rPr>
              <w:t>得</w:t>
            </w:r>
            <w:r>
              <w:rPr>
                <w:rStyle w:val="342"/>
                <w:rFonts w:hint="eastAsia" w:ascii="新宋体" w:hAnsi="新宋体" w:eastAsia="新宋体" w:cs="新宋体"/>
                <w:bCs/>
                <w:color w:val="auto"/>
                <w:sz w:val="22"/>
                <w:szCs w:val="22"/>
                <w:highlight w:val="none"/>
              </w:rPr>
              <w:t>2分，</w:t>
            </w:r>
            <w:r>
              <w:rPr>
                <w:rStyle w:val="342"/>
                <w:rFonts w:hint="eastAsia" w:ascii="新宋体" w:hAnsi="新宋体" w:eastAsia="新宋体" w:cs="新宋体"/>
                <w:bCs/>
                <w:color w:val="auto"/>
                <w:sz w:val="22"/>
                <w:szCs w:val="22"/>
                <w:highlight w:val="none"/>
                <w:lang w:val="en-US" w:eastAsia="zh-CN"/>
              </w:rPr>
              <w:t>增加部分不足1年的不得分，</w:t>
            </w:r>
            <w:r>
              <w:rPr>
                <w:rStyle w:val="342"/>
                <w:rFonts w:hint="eastAsia" w:ascii="新宋体" w:hAnsi="新宋体" w:eastAsia="新宋体" w:cs="新宋体"/>
                <w:bCs/>
                <w:color w:val="auto"/>
                <w:sz w:val="22"/>
                <w:szCs w:val="22"/>
                <w:highlight w:val="none"/>
              </w:rPr>
              <w:t>最多得4分。</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5D0900B0">
            <w:pPr>
              <w:spacing w:line="460" w:lineRule="exact"/>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分</w:t>
            </w:r>
          </w:p>
        </w:tc>
      </w:tr>
      <w:tr w14:paraId="29C6B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685" w:type="dxa"/>
            <w:tcBorders>
              <w:top w:val="single" w:color="auto" w:sz="4" w:space="0"/>
              <w:left w:val="single" w:color="auto" w:sz="4" w:space="0"/>
              <w:bottom w:val="single" w:color="auto" w:sz="4" w:space="0"/>
              <w:right w:val="single" w:color="auto" w:sz="4" w:space="0"/>
            </w:tcBorders>
            <w:noWrap w:val="0"/>
            <w:vAlign w:val="center"/>
          </w:tcPr>
          <w:p w14:paraId="2AA33D8E">
            <w:pPr>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6</w:t>
            </w:r>
          </w:p>
        </w:tc>
        <w:tc>
          <w:tcPr>
            <w:tcW w:w="2018" w:type="dxa"/>
            <w:tcBorders>
              <w:top w:val="single" w:color="auto" w:sz="4" w:space="0"/>
              <w:left w:val="single" w:color="auto" w:sz="4" w:space="0"/>
              <w:bottom w:val="single" w:color="auto" w:sz="4" w:space="0"/>
              <w:right w:val="single" w:color="auto" w:sz="4" w:space="0"/>
            </w:tcBorders>
            <w:noWrap w:val="0"/>
            <w:vAlign w:val="center"/>
          </w:tcPr>
          <w:p w14:paraId="37EA39B4">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培训计划</w:t>
            </w:r>
          </w:p>
        </w:tc>
        <w:tc>
          <w:tcPr>
            <w:tcW w:w="6491" w:type="dxa"/>
            <w:tcBorders>
              <w:top w:val="single" w:color="auto" w:sz="4" w:space="0"/>
              <w:left w:val="single" w:color="auto" w:sz="4" w:space="0"/>
              <w:bottom w:val="single" w:color="auto" w:sz="4" w:space="0"/>
              <w:right w:val="single" w:color="auto" w:sz="4" w:space="0"/>
            </w:tcBorders>
            <w:noWrap w:val="0"/>
            <w:vAlign w:val="center"/>
          </w:tcPr>
          <w:p w14:paraId="4DC61995">
            <w:pPr>
              <w:spacing w:line="460" w:lineRule="exact"/>
              <w:jc w:val="both"/>
              <w:rPr>
                <w:rFonts w:hint="eastAsia" w:ascii="新宋体" w:hAnsi="新宋体" w:eastAsia="新宋体" w:cs="新宋体"/>
                <w:bCs/>
                <w:color w:val="auto"/>
                <w:sz w:val="22"/>
                <w:highlight w:val="none"/>
                <w:lang w:val="en-US" w:eastAsia="zh-CN"/>
              </w:rPr>
            </w:pPr>
            <w:r>
              <w:rPr>
                <w:rFonts w:hint="eastAsia" w:ascii="新宋体" w:hAnsi="新宋体" w:eastAsia="新宋体" w:cs="新宋体"/>
                <w:bCs/>
                <w:color w:val="auto"/>
                <w:sz w:val="22"/>
                <w:highlight w:val="none"/>
                <w:lang w:val="en-US" w:eastAsia="zh-CN"/>
              </w:rPr>
              <w:t>根据投标人</w:t>
            </w:r>
            <w:r>
              <w:rPr>
                <w:rFonts w:hint="eastAsia" w:ascii="新宋体" w:hAnsi="新宋体" w:eastAsia="新宋体" w:cs="新宋体"/>
                <w:bCs/>
                <w:color w:val="auto"/>
                <w:sz w:val="22"/>
                <w:highlight w:val="none"/>
              </w:rPr>
              <w:t>针对本项目提供的培训计划内容</w:t>
            </w:r>
            <w:r>
              <w:rPr>
                <w:rFonts w:hint="eastAsia" w:ascii="新宋体" w:hAnsi="新宋体" w:eastAsia="新宋体" w:cs="新宋体"/>
                <w:bCs/>
                <w:color w:val="auto"/>
                <w:sz w:val="22"/>
                <w:highlight w:val="none"/>
                <w:lang w:val="en-US" w:eastAsia="zh-CN"/>
              </w:rPr>
              <w:t>进行评分。</w:t>
            </w:r>
          </w:p>
          <w:p w14:paraId="769AFFA4">
            <w:pPr>
              <w:widowControl/>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1、培训方案设计合理、培训内容全面、培训方式灵活得</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p w14:paraId="12AC623E">
            <w:pPr>
              <w:widowControl/>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2、培训方案设计较合理、培训内容较全面、培训方式较灵活得</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分；</w:t>
            </w:r>
          </w:p>
          <w:p w14:paraId="165EF6B1">
            <w:pPr>
              <w:widowControl/>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3、培训方案设计一般、培训内容不全面、培训方式呆板：</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分；</w:t>
            </w:r>
          </w:p>
          <w:p w14:paraId="747EAF1E">
            <w:pPr>
              <w:widowControl/>
              <w:spacing w:line="460" w:lineRule="exact"/>
              <w:rPr>
                <w:rFonts w:hint="eastAsia" w:ascii="新宋体" w:hAnsi="新宋体" w:eastAsia="新宋体" w:cs="新宋体"/>
                <w:color w:val="auto"/>
                <w:highlight w:val="none"/>
                <w:lang w:val="en-US" w:eastAsia="zh-CN"/>
              </w:rPr>
            </w:pPr>
            <w:r>
              <w:rPr>
                <w:rFonts w:hint="eastAsia" w:ascii="新宋体" w:hAnsi="新宋体" w:eastAsia="新宋体" w:cs="新宋体"/>
                <w:color w:val="auto"/>
                <w:sz w:val="22"/>
                <w:szCs w:val="22"/>
                <w:highlight w:val="none"/>
              </w:rPr>
              <w:t>4、培训方案设计</w:t>
            </w:r>
            <w:r>
              <w:rPr>
                <w:rFonts w:hint="eastAsia" w:ascii="新宋体" w:hAnsi="新宋体" w:eastAsia="新宋体" w:cs="新宋体"/>
                <w:color w:val="auto"/>
                <w:sz w:val="22"/>
                <w:szCs w:val="22"/>
                <w:highlight w:val="none"/>
                <w:lang w:val="en-US" w:eastAsia="zh-CN"/>
              </w:rPr>
              <w:t>不</w:t>
            </w:r>
            <w:r>
              <w:rPr>
                <w:rFonts w:hint="eastAsia" w:ascii="新宋体" w:hAnsi="新宋体" w:eastAsia="新宋体" w:cs="新宋体"/>
                <w:color w:val="auto"/>
                <w:sz w:val="22"/>
                <w:szCs w:val="22"/>
                <w:highlight w:val="none"/>
              </w:rPr>
              <w:t>合理、培训内容混乱、无培训方式：0分。</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5A9EBD6B">
            <w:pPr>
              <w:spacing w:line="460" w:lineRule="exact"/>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r>
      <w:tr w14:paraId="5049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685" w:type="dxa"/>
            <w:tcBorders>
              <w:top w:val="single" w:color="auto" w:sz="4" w:space="0"/>
              <w:left w:val="single" w:color="auto" w:sz="4" w:space="0"/>
              <w:bottom w:val="single" w:color="auto" w:sz="4" w:space="0"/>
              <w:right w:val="single" w:color="auto" w:sz="4" w:space="0"/>
            </w:tcBorders>
            <w:noWrap w:val="0"/>
            <w:vAlign w:val="center"/>
          </w:tcPr>
          <w:p w14:paraId="507B29E6">
            <w:pPr>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7</w:t>
            </w:r>
          </w:p>
        </w:tc>
        <w:tc>
          <w:tcPr>
            <w:tcW w:w="2018" w:type="dxa"/>
            <w:tcBorders>
              <w:top w:val="single" w:color="auto" w:sz="4" w:space="0"/>
              <w:left w:val="single" w:color="auto" w:sz="4" w:space="0"/>
              <w:bottom w:val="single" w:color="auto" w:sz="4" w:space="0"/>
              <w:right w:val="single" w:color="auto" w:sz="4" w:space="0"/>
            </w:tcBorders>
            <w:noWrap w:val="0"/>
            <w:vAlign w:val="center"/>
          </w:tcPr>
          <w:p w14:paraId="2C3767E1">
            <w:pPr>
              <w:spacing w:line="460" w:lineRule="exact"/>
              <w:jc w:val="center"/>
              <w:rPr>
                <w:rFonts w:hint="default" w:ascii="新宋体" w:hAnsi="新宋体" w:eastAsia="新宋体" w:cs="新宋体"/>
                <w:snapToGrid w:val="0"/>
                <w:color w:val="auto"/>
                <w:kern w:val="0"/>
                <w:sz w:val="22"/>
                <w:szCs w:val="22"/>
                <w:highlight w:val="none"/>
                <w:lang w:val="en-US" w:eastAsia="zh-CN"/>
              </w:rPr>
            </w:pPr>
            <w:r>
              <w:rPr>
                <w:rFonts w:hint="eastAsia" w:ascii="新宋体" w:hAnsi="新宋体" w:eastAsia="新宋体" w:cs="新宋体"/>
                <w:snapToGrid w:val="0"/>
                <w:color w:val="auto"/>
                <w:kern w:val="0"/>
                <w:sz w:val="22"/>
                <w:szCs w:val="22"/>
                <w:highlight w:val="none"/>
                <w:lang w:val="en-US" w:eastAsia="zh-CN"/>
              </w:rPr>
              <w:t>运行成本</w:t>
            </w:r>
          </w:p>
        </w:tc>
        <w:tc>
          <w:tcPr>
            <w:tcW w:w="6491" w:type="dxa"/>
            <w:tcBorders>
              <w:top w:val="single" w:color="auto" w:sz="4" w:space="0"/>
              <w:left w:val="single" w:color="auto" w:sz="4" w:space="0"/>
              <w:bottom w:val="single" w:color="auto" w:sz="4" w:space="0"/>
              <w:right w:val="single" w:color="auto" w:sz="4" w:space="0"/>
            </w:tcBorders>
            <w:noWrap w:val="0"/>
            <w:vAlign w:val="center"/>
          </w:tcPr>
          <w:p w14:paraId="6E81CFEB">
            <w:pPr>
              <w:spacing w:line="460" w:lineRule="exact"/>
              <w:ind w:left="-50"/>
              <w:jc w:val="both"/>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根据消耗品或易耗品价格等综合运行成本进行评</w:t>
            </w:r>
            <w:r>
              <w:rPr>
                <w:rFonts w:hint="eastAsia" w:ascii="新宋体" w:hAnsi="新宋体" w:eastAsia="新宋体" w:cs="新宋体"/>
                <w:color w:val="auto"/>
                <w:sz w:val="22"/>
                <w:szCs w:val="22"/>
                <w:highlight w:val="none"/>
                <w:u w:val="none"/>
                <w:lang w:val="en-US" w:eastAsia="zh-CN"/>
              </w:rPr>
              <w:t>分</w:t>
            </w:r>
            <w:r>
              <w:rPr>
                <w:rFonts w:hint="eastAsia" w:ascii="新宋体" w:hAnsi="新宋体" w:eastAsia="新宋体" w:cs="新宋体"/>
                <w:color w:val="auto"/>
                <w:sz w:val="22"/>
                <w:szCs w:val="22"/>
                <w:highlight w:val="none"/>
                <w:u w:val="none"/>
              </w:rPr>
              <w:t>。</w:t>
            </w:r>
          </w:p>
          <w:p w14:paraId="52CB35A9">
            <w:pPr>
              <w:spacing w:line="460" w:lineRule="exact"/>
              <w:ind w:left="-50"/>
              <w:jc w:val="both"/>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运行成本低得</w:t>
            </w:r>
            <w:r>
              <w:rPr>
                <w:rFonts w:hint="eastAsia" w:ascii="新宋体" w:hAnsi="新宋体" w:eastAsia="新宋体" w:cs="新宋体"/>
                <w:color w:val="auto"/>
                <w:sz w:val="22"/>
                <w:szCs w:val="22"/>
                <w:highlight w:val="none"/>
                <w:u w:val="none"/>
                <w:lang w:val="en-US" w:eastAsia="zh-CN"/>
              </w:rPr>
              <w:t>3</w:t>
            </w:r>
            <w:r>
              <w:rPr>
                <w:rFonts w:hint="eastAsia" w:ascii="新宋体" w:hAnsi="新宋体" w:eastAsia="新宋体" w:cs="新宋体"/>
                <w:color w:val="auto"/>
                <w:sz w:val="22"/>
                <w:szCs w:val="22"/>
                <w:highlight w:val="none"/>
                <w:u w:val="none"/>
              </w:rPr>
              <w:t>分；</w:t>
            </w:r>
          </w:p>
          <w:p w14:paraId="660AB33D">
            <w:pPr>
              <w:spacing w:line="460" w:lineRule="exact"/>
              <w:ind w:left="-50"/>
              <w:jc w:val="both"/>
              <w:rPr>
                <w:rFonts w:hint="default" w:ascii="新宋体" w:hAnsi="新宋体" w:eastAsia="新宋体" w:cs="新宋体"/>
                <w:color w:val="auto"/>
                <w:sz w:val="22"/>
                <w:szCs w:val="22"/>
                <w:highlight w:val="none"/>
                <w:u w:val="none"/>
                <w:lang w:val="en-US" w:eastAsia="zh-CN"/>
              </w:rPr>
            </w:pPr>
            <w:r>
              <w:rPr>
                <w:rFonts w:hint="eastAsia" w:ascii="新宋体" w:hAnsi="新宋体" w:eastAsia="新宋体" w:cs="新宋体"/>
                <w:color w:val="auto"/>
                <w:sz w:val="22"/>
                <w:szCs w:val="22"/>
                <w:highlight w:val="none"/>
                <w:u w:val="none"/>
                <w:lang w:val="en-US" w:eastAsia="zh-CN"/>
              </w:rPr>
              <w:t>运行成本一般的得2分；</w:t>
            </w:r>
          </w:p>
          <w:p w14:paraId="79B9D349">
            <w:pPr>
              <w:spacing w:line="460" w:lineRule="exact"/>
              <w:ind w:left="-50"/>
              <w:jc w:val="both"/>
              <w:rPr>
                <w:rFonts w:hint="eastAsia" w:ascii="新宋体" w:hAnsi="新宋体" w:eastAsia="新宋体" w:cs="新宋体"/>
                <w:color w:val="auto"/>
                <w:sz w:val="22"/>
                <w:szCs w:val="22"/>
                <w:highlight w:val="none"/>
                <w:u w:val="none"/>
                <w:lang w:eastAsia="zh-CN"/>
              </w:rPr>
            </w:pPr>
            <w:r>
              <w:rPr>
                <w:rFonts w:hint="eastAsia" w:ascii="新宋体" w:hAnsi="新宋体" w:eastAsia="新宋体" w:cs="新宋体"/>
                <w:color w:val="auto"/>
                <w:sz w:val="22"/>
                <w:szCs w:val="22"/>
                <w:highlight w:val="none"/>
                <w:u w:val="none"/>
              </w:rPr>
              <w:t>报价运行成本</w:t>
            </w:r>
            <w:r>
              <w:rPr>
                <w:rFonts w:hint="eastAsia" w:ascii="新宋体" w:hAnsi="新宋体" w:eastAsia="新宋体" w:cs="新宋体"/>
                <w:color w:val="auto"/>
                <w:sz w:val="22"/>
                <w:szCs w:val="22"/>
                <w:highlight w:val="none"/>
                <w:u w:val="none"/>
                <w:lang w:val="en-US" w:eastAsia="zh-CN"/>
              </w:rPr>
              <w:t>高得</w:t>
            </w:r>
            <w:r>
              <w:rPr>
                <w:rFonts w:hint="eastAsia" w:ascii="新宋体" w:hAnsi="新宋体" w:eastAsia="新宋体" w:cs="新宋体"/>
                <w:color w:val="auto"/>
                <w:sz w:val="22"/>
                <w:szCs w:val="22"/>
                <w:highlight w:val="none"/>
                <w:u w:val="none"/>
              </w:rPr>
              <w:t>1分</w:t>
            </w:r>
            <w:r>
              <w:rPr>
                <w:rFonts w:hint="eastAsia" w:ascii="新宋体" w:hAnsi="新宋体" w:eastAsia="新宋体" w:cs="新宋体"/>
                <w:color w:val="auto"/>
                <w:sz w:val="22"/>
                <w:szCs w:val="22"/>
                <w:highlight w:val="none"/>
                <w:u w:val="none"/>
                <w:lang w:eastAsia="zh-CN"/>
              </w:rPr>
              <w:t>；</w:t>
            </w:r>
          </w:p>
          <w:p w14:paraId="77E25E48">
            <w:pPr>
              <w:spacing w:line="460" w:lineRule="exact"/>
              <w:ind w:left="-50"/>
              <w:jc w:val="both"/>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lang w:val="en-US" w:eastAsia="zh-CN"/>
              </w:rPr>
              <w:t>未提供不得分</w:t>
            </w:r>
            <w:r>
              <w:rPr>
                <w:rFonts w:hint="eastAsia" w:ascii="新宋体" w:hAnsi="新宋体" w:eastAsia="新宋体" w:cs="新宋体"/>
                <w:color w:val="auto"/>
                <w:sz w:val="22"/>
                <w:szCs w:val="22"/>
                <w:highlight w:val="none"/>
                <w:u w:val="none"/>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65513046">
            <w:pPr>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3分</w:t>
            </w:r>
          </w:p>
        </w:tc>
      </w:tr>
      <w:tr w14:paraId="0D3D1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685" w:type="dxa"/>
            <w:tcBorders>
              <w:top w:val="single" w:color="auto" w:sz="4" w:space="0"/>
              <w:left w:val="single" w:color="auto" w:sz="4" w:space="0"/>
              <w:bottom w:val="single" w:color="auto" w:sz="4" w:space="0"/>
              <w:right w:val="single" w:color="auto" w:sz="4" w:space="0"/>
            </w:tcBorders>
            <w:noWrap w:val="0"/>
            <w:vAlign w:val="center"/>
          </w:tcPr>
          <w:p w14:paraId="4D05932F">
            <w:pPr>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8</w:t>
            </w:r>
          </w:p>
        </w:tc>
        <w:tc>
          <w:tcPr>
            <w:tcW w:w="2018" w:type="dxa"/>
            <w:tcBorders>
              <w:top w:val="single" w:color="auto" w:sz="4" w:space="0"/>
              <w:left w:val="single" w:color="auto" w:sz="4" w:space="0"/>
              <w:bottom w:val="single" w:color="auto" w:sz="4" w:space="0"/>
              <w:right w:val="single" w:color="auto" w:sz="4" w:space="0"/>
            </w:tcBorders>
            <w:noWrap w:val="0"/>
            <w:vAlign w:val="center"/>
          </w:tcPr>
          <w:p w14:paraId="435A05C8">
            <w:pPr>
              <w:spacing w:line="460" w:lineRule="exact"/>
              <w:jc w:val="center"/>
              <w:rPr>
                <w:rFonts w:hint="default" w:ascii="新宋体" w:hAnsi="新宋体" w:eastAsia="新宋体" w:cs="新宋体"/>
                <w:snapToGrid w:val="0"/>
                <w:color w:val="auto"/>
                <w:kern w:val="0"/>
                <w:sz w:val="22"/>
                <w:szCs w:val="22"/>
                <w:highlight w:val="none"/>
                <w:lang w:val="en-US" w:eastAsia="zh-CN"/>
              </w:rPr>
            </w:pPr>
            <w:r>
              <w:rPr>
                <w:rFonts w:hint="eastAsia" w:ascii="新宋体" w:hAnsi="新宋体" w:eastAsia="新宋体" w:cs="新宋体"/>
                <w:snapToGrid w:val="0"/>
                <w:color w:val="auto"/>
                <w:kern w:val="0"/>
                <w:sz w:val="22"/>
                <w:szCs w:val="22"/>
                <w:highlight w:val="none"/>
                <w:lang w:val="en-US" w:eastAsia="zh-CN"/>
              </w:rPr>
              <w:t>维修成本</w:t>
            </w:r>
          </w:p>
        </w:tc>
        <w:tc>
          <w:tcPr>
            <w:tcW w:w="6491" w:type="dxa"/>
            <w:tcBorders>
              <w:top w:val="single" w:color="auto" w:sz="4" w:space="0"/>
              <w:left w:val="single" w:color="auto" w:sz="4" w:space="0"/>
              <w:bottom w:val="single" w:color="auto" w:sz="4" w:space="0"/>
              <w:right w:val="single" w:color="auto" w:sz="4" w:space="0"/>
            </w:tcBorders>
            <w:noWrap w:val="0"/>
            <w:vAlign w:val="center"/>
          </w:tcPr>
          <w:p w14:paraId="12550295">
            <w:pPr>
              <w:spacing w:line="460" w:lineRule="exact"/>
              <w:ind w:left="-50"/>
              <w:jc w:val="both"/>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根据保修价格、设备配件价格、维修服务费用等维修成本进行评</w:t>
            </w:r>
            <w:r>
              <w:rPr>
                <w:rFonts w:hint="eastAsia" w:ascii="新宋体" w:hAnsi="新宋体" w:eastAsia="新宋体" w:cs="新宋体"/>
                <w:color w:val="auto"/>
                <w:sz w:val="22"/>
                <w:szCs w:val="22"/>
                <w:highlight w:val="none"/>
                <w:u w:val="none"/>
                <w:lang w:val="en-US" w:eastAsia="zh-CN"/>
              </w:rPr>
              <w:t>分</w:t>
            </w:r>
            <w:r>
              <w:rPr>
                <w:rFonts w:hint="eastAsia" w:ascii="新宋体" w:hAnsi="新宋体" w:eastAsia="新宋体" w:cs="新宋体"/>
                <w:color w:val="auto"/>
                <w:sz w:val="22"/>
                <w:szCs w:val="22"/>
                <w:highlight w:val="none"/>
                <w:u w:val="none"/>
              </w:rPr>
              <w:t>。</w:t>
            </w:r>
          </w:p>
          <w:p w14:paraId="58A96D8D">
            <w:pPr>
              <w:spacing w:line="460" w:lineRule="exact"/>
              <w:ind w:left="-50"/>
              <w:jc w:val="both"/>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维修成本较低的得</w:t>
            </w:r>
            <w:r>
              <w:rPr>
                <w:rFonts w:hint="eastAsia" w:ascii="新宋体" w:hAnsi="新宋体" w:eastAsia="新宋体" w:cs="新宋体"/>
                <w:color w:val="auto"/>
                <w:sz w:val="22"/>
                <w:szCs w:val="22"/>
                <w:highlight w:val="none"/>
                <w:u w:val="none"/>
                <w:lang w:val="en-US" w:eastAsia="zh-CN"/>
              </w:rPr>
              <w:t>3</w:t>
            </w:r>
            <w:r>
              <w:rPr>
                <w:rFonts w:hint="eastAsia" w:ascii="新宋体" w:hAnsi="新宋体" w:eastAsia="新宋体" w:cs="新宋体"/>
                <w:color w:val="auto"/>
                <w:sz w:val="22"/>
                <w:szCs w:val="22"/>
                <w:highlight w:val="none"/>
                <w:u w:val="none"/>
              </w:rPr>
              <w:t>分；</w:t>
            </w:r>
          </w:p>
          <w:p w14:paraId="21421DDF">
            <w:pPr>
              <w:spacing w:line="460" w:lineRule="exact"/>
              <w:ind w:left="-50"/>
              <w:jc w:val="both"/>
              <w:rPr>
                <w:rFonts w:hint="default" w:ascii="新宋体" w:hAnsi="新宋体" w:eastAsia="新宋体" w:cs="新宋体"/>
                <w:color w:val="auto"/>
                <w:sz w:val="22"/>
                <w:szCs w:val="22"/>
                <w:highlight w:val="none"/>
                <w:u w:val="none"/>
                <w:lang w:val="en-US" w:eastAsia="zh-CN"/>
              </w:rPr>
            </w:pPr>
            <w:r>
              <w:rPr>
                <w:rFonts w:hint="eastAsia" w:ascii="新宋体" w:hAnsi="新宋体" w:eastAsia="新宋体" w:cs="新宋体"/>
                <w:color w:val="auto"/>
                <w:sz w:val="22"/>
                <w:szCs w:val="22"/>
                <w:highlight w:val="none"/>
                <w:u w:val="none"/>
                <w:lang w:val="en-US" w:eastAsia="zh-CN"/>
              </w:rPr>
              <w:t>维修成本一般的得2分；</w:t>
            </w:r>
          </w:p>
          <w:p w14:paraId="7E5A81AE">
            <w:pPr>
              <w:spacing w:line="460" w:lineRule="exact"/>
              <w:ind w:left="-50"/>
              <w:jc w:val="both"/>
              <w:rPr>
                <w:rFonts w:hint="eastAsia" w:ascii="新宋体" w:hAnsi="新宋体" w:eastAsia="新宋体" w:cs="新宋体"/>
                <w:color w:val="auto"/>
                <w:sz w:val="22"/>
                <w:szCs w:val="22"/>
                <w:highlight w:val="none"/>
                <w:u w:val="none"/>
                <w:lang w:eastAsia="zh-CN"/>
              </w:rPr>
            </w:pPr>
            <w:r>
              <w:rPr>
                <w:rFonts w:hint="eastAsia" w:ascii="新宋体" w:hAnsi="新宋体" w:eastAsia="新宋体" w:cs="新宋体"/>
                <w:color w:val="auto"/>
                <w:sz w:val="22"/>
                <w:szCs w:val="22"/>
                <w:highlight w:val="none"/>
                <w:u w:val="none"/>
              </w:rPr>
              <w:t>维修成本较高的得1分</w:t>
            </w:r>
            <w:r>
              <w:rPr>
                <w:rFonts w:hint="eastAsia" w:ascii="新宋体" w:hAnsi="新宋体" w:eastAsia="新宋体" w:cs="新宋体"/>
                <w:color w:val="auto"/>
                <w:sz w:val="22"/>
                <w:szCs w:val="22"/>
                <w:highlight w:val="none"/>
                <w:u w:val="none"/>
                <w:lang w:eastAsia="zh-CN"/>
              </w:rPr>
              <w:t>；</w:t>
            </w:r>
          </w:p>
          <w:p w14:paraId="70A96BA4">
            <w:pPr>
              <w:spacing w:line="460" w:lineRule="exact"/>
              <w:ind w:left="-50"/>
              <w:jc w:val="both"/>
              <w:rPr>
                <w:rFonts w:hint="default" w:ascii="新宋体" w:hAnsi="新宋体" w:eastAsia="新宋体" w:cs="新宋体"/>
                <w:color w:val="auto"/>
                <w:sz w:val="22"/>
                <w:szCs w:val="22"/>
                <w:highlight w:val="none"/>
                <w:u w:val="none"/>
                <w:lang w:val="en-US" w:eastAsia="zh-CN"/>
              </w:rPr>
            </w:pPr>
            <w:r>
              <w:rPr>
                <w:rFonts w:hint="eastAsia" w:ascii="新宋体" w:hAnsi="新宋体" w:eastAsia="新宋体" w:cs="新宋体"/>
                <w:color w:val="auto"/>
                <w:sz w:val="22"/>
                <w:szCs w:val="22"/>
                <w:highlight w:val="none"/>
                <w:u w:val="none"/>
                <w:lang w:val="en-US" w:eastAsia="zh-CN"/>
              </w:rPr>
              <w:t>未提供不得分</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78AD77A0">
            <w:pPr>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3分</w:t>
            </w:r>
          </w:p>
        </w:tc>
      </w:tr>
      <w:tr w14:paraId="6080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5" w:type="dxa"/>
            <w:tcBorders>
              <w:top w:val="single" w:color="auto" w:sz="4" w:space="0"/>
              <w:left w:val="single" w:color="auto" w:sz="4" w:space="0"/>
              <w:bottom w:val="single" w:color="auto" w:sz="4" w:space="0"/>
              <w:right w:val="single" w:color="auto" w:sz="4" w:space="0"/>
            </w:tcBorders>
            <w:noWrap w:val="0"/>
            <w:vAlign w:val="center"/>
          </w:tcPr>
          <w:p w14:paraId="27A125C0">
            <w:pPr>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9</w:t>
            </w:r>
          </w:p>
        </w:tc>
        <w:tc>
          <w:tcPr>
            <w:tcW w:w="2018" w:type="dxa"/>
            <w:tcBorders>
              <w:top w:val="single" w:color="auto" w:sz="4" w:space="0"/>
              <w:left w:val="single" w:color="auto" w:sz="4" w:space="0"/>
              <w:bottom w:val="single" w:color="auto" w:sz="4" w:space="0"/>
              <w:right w:val="single" w:color="auto" w:sz="4" w:space="0"/>
            </w:tcBorders>
            <w:noWrap w:val="0"/>
            <w:vAlign w:val="center"/>
          </w:tcPr>
          <w:p w14:paraId="336838E2">
            <w:pPr>
              <w:spacing w:line="460" w:lineRule="exact"/>
              <w:jc w:val="center"/>
              <w:rPr>
                <w:rFonts w:hint="eastAsia" w:ascii="新宋体" w:hAnsi="新宋体" w:eastAsia="新宋体" w:cs="新宋体"/>
                <w:snapToGrid w:val="0"/>
                <w:color w:val="auto"/>
                <w:kern w:val="0"/>
                <w:sz w:val="22"/>
                <w:szCs w:val="22"/>
                <w:highlight w:val="none"/>
                <w:lang w:val="en-US" w:eastAsia="zh-CN"/>
              </w:rPr>
            </w:pPr>
            <w:r>
              <w:rPr>
                <w:rFonts w:hint="eastAsia" w:ascii="新宋体" w:hAnsi="新宋体" w:eastAsia="新宋体" w:cs="新宋体"/>
                <w:snapToGrid w:val="0"/>
                <w:color w:val="auto"/>
                <w:kern w:val="0"/>
                <w:sz w:val="22"/>
                <w:szCs w:val="22"/>
                <w:highlight w:val="none"/>
              </w:rPr>
              <w:t>节能环保</w:t>
            </w:r>
          </w:p>
        </w:tc>
        <w:tc>
          <w:tcPr>
            <w:tcW w:w="6491" w:type="dxa"/>
            <w:tcBorders>
              <w:top w:val="single" w:color="auto" w:sz="4" w:space="0"/>
              <w:left w:val="single" w:color="auto" w:sz="4" w:space="0"/>
              <w:bottom w:val="single" w:color="auto" w:sz="4" w:space="0"/>
              <w:right w:val="single" w:color="auto" w:sz="4" w:space="0"/>
            </w:tcBorders>
            <w:noWrap w:val="0"/>
            <w:vAlign w:val="center"/>
          </w:tcPr>
          <w:p w14:paraId="5A9084F2">
            <w:pPr>
              <w:spacing w:line="460" w:lineRule="exact"/>
              <w:ind w:left="-50" w:leftChars="0"/>
              <w:jc w:val="both"/>
              <w:rPr>
                <w:rFonts w:hint="eastAsia" w:ascii="新宋体" w:hAnsi="新宋体" w:eastAsia="新宋体" w:cs="新宋体"/>
                <w:color w:val="auto"/>
                <w:sz w:val="22"/>
                <w:szCs w:val="22"/>
                <w:highlight w:val="none"/>
                <w:u w:val="none"/>
                <w:lang w:val="en-US" w:eastAsia="zh-CN"/>
              </w:rPr>
            </w:pPr>
            <w:r>
              <w:rPr>
                <w:rFonts w:hint="eastAsia" w:ascii="新宋体" w:hAnsi="新宋体" w:eastAsia="新宋体" w:cs="新宋体"/>
                <w:color w:val="auto"/>
                <w:sz w:val="22"/>
                <w:szCs w:val="22"/>
                <w:highlight w:val="none"/>
                <w:u w:val="none"/>
              </w:rPr>
              <w:t>提供由《市场监管总局关于发布参与实施政府采购节能产品、环境标志产品认证机构名录的公告》文件指定的环境标志产品认证机构出具的、处于有效期之内的节能产品认证证书复印件得</w:t>
            </w:r>
            <w:r>
              <w:rPr>
                <w:rFonts w:hint="eastAsia" w:ascii="新宋体" w:hAnsi="新宋体" w:eastAsia="新宋体" w:cs="新宋体"/>
                <w:color w:val="auto"/>
                <w:sz w:val="22"/>
                <w:szCs w:val="22"/>
                <w:highlight w:val="none"/>
                <w:u w:val="none"/>
                <w:lang w:val="en-US" w:eastAsia="zh-CN"/>
              </w:rPr>
              <w:t>0.5</w:t>
            </w:r>
            <w:r>
              <w:rPr>
                <w:rFonts w:hint="eastAsia" w:ascii="新宋体" w:hAnsi="新宋体" w:eastAsia="新宋体" w:cs="新宋体"/>
                <w:color w:val="auto"/>
                <w:sz w:val="22"/>
                <w:szCs w:val="22"/>
                <w:highlight w:val="none"/>
                <w:u w:val="none"/>
              </w:rPr>
              <w:t>分、环境标志产品认证证书复印件得</w:t>
            </w:r>
            <w:r>
              <w:rPr>
                <w:rFonts w:hint="eastAsia" w:ascii="新宋体" w:hAnsi="新宋体" w:eastAsia="新宋体" w:cs="新宋体"/>
                <w:color w:val="auto"/>
                <w:sz w:val="22"/>
                <w:szCs w:val="22"/>
                <w:highlight w:val="none"/>
                <w:u w:val="none"/>
                <w:lang w:val="en-US" w:eastAsia="zh-CN"/>
              </w:rPr>
              <w:t>0.5</w:t>
            </w:r>
            <w:r>
              <w:rPr>
                <w:rFonts w:hint="eastAsia" w:ascii="新宋体" w:hAnsi="新宋体" w:eastAsia="新宋体" w:cs="新宋体"/>
                <w:color w:val="auto"/>
                <w:sz w:val="22"/>
                <w:szCs w:val="22"/>
                <w:highlight w:val="none"/>
                <w:u w:val="none"/>
              </w:rPr>
              <w:t>分。自行提供证明材料（如标注本次投标产品的清单），未提供证明材料或不能清楚辨析的不得分。</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2B4944A2">
            <w:pPr>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分</w:t>
            </w:r>
          </w:p>
        </w:tc>
      </w:tr>
    </w:tbl>
    <w:p w14:paraId="4EB6518D">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2、报价评分（</w:t>
      </w:r>
      <w:r>
        <w:rPr>
          <w:rFonts w:hint="eastAsia" w:ascii="新宋体" w:hAnsi="新宋体" w:eastAsia="新宋体" w:cs="新宋体"/>
          <w:b/>
          <w:color w:val="auto"/>
          <w:sz w:val="22"/>
          <w:szCs w:val="22"/>
          <w:highlight w:val="none"/>
          <w:lang w:val="en-US" w:eastAsia="zh-CN"/>
        </w:rPr>
        <w:t>3</w:t>
      </w:r>
      <w:r>
        <w:rPr>
          <w:rFonts w:hint="eastAsia" w:ascii="新宋体" w:hAnsi="新宋体" w:eastAsia="新宋体" w:cs="新宋体"/>
          <w:b/>
          <w:color w:val="auto"/>
          <w:sz w:val="22"/>
          <w:szCs w:val="22"/>
          <w:highlight w:val="none"/>
        </w:rPr>
        <w:t>0分）（权值</w:t>
      </w:r>
      <w:r>
        <w:rPr>
          <w:rFonts w:hint="eastAsia" w:ascii="新宋体" w:hAnsi="新宋体" w:eastAsia="新宋体" w:cs="新宋体"/>
          <w:b/>
          <w:color w:val="auto"/>
          <w:sz w:val="22"/>
          <w:szCs w:val="22"/>
          <w:highlight w:val="none"/>
          <w:lang w:val="en-US" w:eastAsia="zh-CN"/>
        </w:rPr>
        <w:t>3</w:t>
      </w:r>
      <w:r>
        <w:rPr>
          <w:rFonts w:hint="eastAsia" w:ascii="新宋体" w:hAnsi="新宋体" w:eastAsia="新宋体" w:cs="新宋体"/>
          <w:b/>
          <w:color w:val="auto"/>
          <w:sz w:val="22"/>
          <w:szCs w:val="22"/>
          <w:highlight w:val="none"/>
        </w:rPr>
        <w:t>0%）：</w:t>
      </w:r>
    </w:p>
    <w:p w14:paraId="40C3D33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满足招标文件要求且投标报价最低的投标报价为评标基准价，其余投标人投标报价与该基准价对比，计算出商务报价评分值（保留小数2位）：</w:t>
      </w:r>
    </w:p>
    <w:p w14:paraId="3E99966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1）有效投标人的投标报价等于评标基准价时其报价分为满分</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0分；</w:t>
      </w:r>
    </w:p>
    <w:p w14:paraId="0AAE0A2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2）其他投标人的价格分按以下公式计算：</w:t>
      </w:r>
    </w:p>
    <w:p w14:paraId="155B503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投标报价得分=（评分基准价/投标人投标报价）×价格权值 ×100（保留小数2位）</w:t>
      </w:r>
    </w:p>
    <w:p w14:paraId="7AEEBF6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3、有效投标人的综合得分为技术分和商务（报价）分的总和。</w:t>
      </w:r>
    </w:p>
    <w:p w14:paraId="6385CD42">
      <w:pPr>
        <w:spacing w:line="460" w:lineRule="exact"/>
        <w:ind w:firstLine="442" w:firstLineChars="200"/>
        <w:rPr>
          <w:rFonts w:hint="eastAsia" w:ascii="新宋体" w:hAnsi="新宋体" w:eastAsia="新宋体" w:cs="新宋体"/>
          <w:b/>
          <w:bCs/>
          <w:color w:val="auto"/>
          <w:kern w:val="2"/>
          <w:sz w:val="22"/>
          <w:szCs w:val="22"/>
          <w:highlight w:val="none"/>
          <w:u w:val="single"/>
          <w:lang w:val="en-US" w:eastAsia="zh-CN" w:bidi="ar-SA"/>
        </w:rPr>
      </w:pPr>
      <w:r>
        <w:rPr>
          <w:rFonts w:hint="eastAsia" w:ascii="新宋体" w:hAnsi="新宋体" w:eastAsia="新宋体" w:cs="新宋体"/>
          <w:b/>
          <w:bCs/>
          <w:color w:val="auto"/>
          <w:kern w:val="2"/>
          <w:sz w:val="22"/>
          <w:szCs w:val="22"/>
          <w:highlight w:val="none"/>
          <w:u w:val="none"/>
          <w:lang w:val="en-US" w:eastAsia="zh-CN" w:bidi="ar-SA"/>
        </w:rPr>
        <w:t>4、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p w14:paraId="443A90D7">
      <w:pPr>
        <w:spacing w:line="460" w:lineRule="exact"/>
        <w:ind w:firstLine="440"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val="0"/>
          <w:bCs w:val="0"/>
          <w:color w:val="auto"/>
          <w:kern w:val="2"/>
          <w:sz w:val="22"/>
          <w:szCs w:val="22"/>
          <w:highlight w:val="none"/>
          <w:u w:val="none"/>
          <w:lang w:val="en-US" w:eastAsia="zh-CN" w:bidi="ar-SA"/>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0D6962">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outlineLvl w:val="1"/>
        <w:rPr>
          <w:rFonts w:hint="eastAsia" w:ascii="新宋体" w:hAnsi="新宋体" w:eastAsia="新宋体" w:cs="新宋体"/>
          <w:b/>
          <w:bCs/>
          <w:color w:val="auto"/>
          <w:sz w:val="22"/>
          <w:szCs w:val="22"/>
          <w:highlight w:val="none"/>
        </w:rPr>
      </w:pPr>
      <w:bookmarkStart w:id="64" w:name="_Toc2482"/>
      <w:bookmarkStart w:id="65" w:name="_Toc30347"/>
      <w:r>
        <w:rPr>
          <w:rFonts w:hint="eastAsia" w:ascii="新宋体" w:hAnsi="新宋体" w:eastAsia="新宋体" w:cs="新宋体"/>
          <w:b/>
          <w:bCs/>
          <w:color w:val="auto"/>
          <w:sz w:val="22"/>
          <w:szCs w:val="22"/>
          <w:highlight w:val="none"/>
        </w:rPr>
        <w:t>六、定标办法</w:t>
      </w:r>
      <w:bookmarkEnd w:id="64"/>
      <w:bookmarkEnd w:id="65"/>
    </w:p>
    <w:p w14:paraId="2BEDFCEC">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14:paraId="39CB5F7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1.1由评标委员会确定中标候选人。</w:t>
      </w:r>
    </w:p>
    <w:p w14:paraId="6864FE2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评标委员会依据法律、法规及招标文件有关规定按评审后得分（即商务技术分与报价分之和）由高到低顺序排序，得分前二名的投标人确定为该项目的第一和第二中标候选人（得分相同的，按投标报价由低到高顺序排列。得分且投标报价相同的并列。）向招标人推荐。</w:t>
      </w:r>
    </w:p>
    <w:p w14:paraId="2A2BB8D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 w:val="0"/>
          <w:bCs w:val="0"/>
          <w:color w:val="auto"/>
          <w:sz w:val="22"/>
          <w:szCs w:val="22"/>
          <w:highlight w:val="none"/>
        </w:rPr>
        <w:t>2、确定中标人</w:t>
      </w:r>
    </w:p>
    <w:p w14:paraId="55AD71CC">
      <w:pPr>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2.1招标人按照书面评标报告中推荐的中标候选投标人顺序确定</w:t>
      </w:r>
      <w:r>
        <w:rPr>
          <w:rFonts w:hint="eastAsia" w:ascii="新宋体" w:hAnsi="新宋体" w:eastAsia="新宋体" w:cs="新宋体"/>
          <w:b w:val="0"/>
          <w:bCs w:val="0"/>
          <w:color w:val="auto"/>
          <w:sz w:val="22"/>
          <w:szCs w:val="22"/>
          <w:highlight w:val="none"/>
          <w:lang w:val="en-US" w:eastAsia="zh-CN"/>
        </w:rPr>
        <w:t>中标人</w:t>
      </w:r>
      <w:r>
        <w:rPr>
          <w:rFonts w:hint="eastAsia" w:ascii="新宋体" w:hAnsi="新宋体" w:eastAsia="新宋体" w:cs="新宋体"/>
          <w:b w:val="0"/>
          <w:bCs w:val="0"/>
          <w:color w:val="auto"/>
          <w:sz w:val="22"/>
          <w:szCs w:val="22"/>
          <w:highlight w:val="none"/>
        </w:rPr>
        <w:t>；也可以事先授权评标委员会按照推荐的中标候选投标人顺序直接确定</w:t>
      </w:r>
      <w:r>
        <w:rPr>
          <w:rFonts w:hint="eastAsia" w:ascii="新宋体" w:hAnsi="新宋体" w:eastAsia="新宋体" w:cs="新宋体"/>
          <w:b w:val="0"/>
          <w:bCs w:val="0"/>
          <w:color w:val="auto"/>
          <w:sz w:val="22"/>
          <w:szCs w:val="22"/>
          <w:highlight w:val="none"/>
          <w:lang w:val="en-US" w:eastAsia="zh-CN"/>
        </w:rPr>
        <w:t>中标人</w:t>
      </w:r>
      <w:r>
        <w:rPr>
          <w:rFonts w:hint="eastAsia" w:ascii="新宋体" w:hAnsi="新宋体" w:eastAsia="新宋体" w:cs="新宋体"/>
          <w:b w:val="0"/>
          <w:bCs w:val="0"/>
          <w:color w:val="auto"/>
          <w:sz w:val="22"/>
          <w:szCs w:val="22"/>
          <w:highlight w:val="none"/>
        </w:rPr>
        <w:t>。中标候选人并列的，由评标委员会全体成员记名投票按少数服从多数的原则确定排名。</w:t>
      </w:r>
    </w:p>
    <w:p w14:paraId="3C310DF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2.2如中标人放弃中标；或未能在规定时间内与招标人签订合同的；或者经质疑，招标人审查后，确因排名第一的候选人在本次采购活动中存在违法违规行为或其他原因使质疑成立的，招标人可以</w:t>
      </w:r>
      <w:r>
        <w:rPr>
          <w:rFonts w:hint="eastAsia" w:ascii="新宋体" w:hAnsi="新宋体" w:eastAsia="新宋体" w:cs="新宋体"/>
          <w:color w:val="auto"/>
          <w:sz w:val="22"/>
          <w:szCs w:val="22"/>
          <w:highlight w:val="none"/>
          <w:lang w:val="en-US" w:eastAsia="zh-CN"/>
        </w:rPr>
        <w:t>依法</w:t>
      </w:r>
      <w:r>
        <w:rPr>
          <w:rFonts w:hint="eastAsia" w:ascii="新宋体" w:hAnsi="新宋体" w:eastAsia="新宋体" w:cs="新宋体"/>
          <w:color w:val="auto"/>
          <w:sz w:val="22"/>
          <w:szCs w:val="22"/>
          <w:highlight w:val="none"/>
        </w:rPr>
        <w:t>视情况直接确定排名第二的候选人为中标人或重新组织招标。</w:t>
      </w:r>
    </w:p>
    <w:p w14:paraId="14156FE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中标人确定后，招标人将在指定媒体公告中标结果，招标人向中标人发出中标通知书。</w:t>
      </w:r>
    </w:p>
    <w:p w14:paraId="16928073">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outlineLvl w:val="1"/>
        <w:rPr>
          <w:rFonts w:hint="eastAsia" w:ascii="新宋体" w:hAnsi="新宋体" w:eastAsia="新宋体" w:cs="新宋体"/>
          <w:b/>
          <w:color w:val="auto"/>
          <w:sz w:val="22"/>
          <w:szCs w:val="22"/>
          <w:highlight w:val="none"/>
        </w:rPr>
      </w:pPr>
      <w:bookmarkStart w:id="66" w:name="_Toc23456"/>
      <w:bookmarkStart w:id="67" w:name="_Toc17587"/>
      <w:r>
        <w:rPr>
          <w:rFonts w:hint="eastAsia" w:ascii="新宋体" w:hAnsi="新宋体" w:eastAsia="新宋体" w:cs="新宋体"/>
          <w:b/>
          <w:color w:val="auto"/>
          <w:sz w:val="22"/>
          <w:szCs w:val="22"/>
          <w:highlight w:val="none"/>
        </w:rPr>
        <w:t>七、投标人义务</w:t>
      </w:r>
      <w:bookmarkEnd w:id="66"/>
      <w:bookmarkEnd w:id="67"/>
    </w:p>
    <w:p w14:paraId="1AE16E42">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投标人应随时接受评标委员会的询标，解答包括有关的商务、技术问题等。评标结束，所有评标资料存招标机构备查。</w:t>
      </w:r>
    </w:p>
    <w:sectPr>
      <w:pgSz w:w="11906" w:h="16838"/>
      <w:pgMar w:top="1134" w:right="1134" w:bottom="1134" w:left="1134" w:header="850" w:footer="992" w:gutter="0"/>
      <w:pgNumType w:fmt="decimal"/>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Century Gothic">
    <w:altName w:val="Yu Gothic UI"/>
    <w:panose1 w:val="020B0502020202020204"/>
    <w:charset w:val="00"/>
    <w:family w:val="swiss"/>
    <w:pitch w:val="default"/>
    <w:sig w:usb0="00000000"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E5697">
    <w:pPr>
      <w:pStyle w:val="37"/>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CBF80">
    <w:pPr>
      <w:pStyle w:val="37"/>
      <w:ind w:right="360" w:firstLine="4500" w:firstLineChars="250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1DBB83">
                          <w:pPr>
                            <w:pStyle w:val="3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B1DBB83">
                    <w:pPr>
                      <w:pStyle w:val="3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353AD">
    <w:pPr>
      <w:pStyle w:val="3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F2947">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A1F2947">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9B2B8">
    <w:pPr>
      <w:pStyle w:val="37"/>
      <w:ind w:right="360" w:firstLine="4500" w:firstLineChars="250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138C07">
                          <w:pPr>
                            <w:pStyle w:val="3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9138C07">
                    <w:pPr>
                      <w:pStyle w:val="3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482D6">
    <w:pPr>
      <w:pStyle w:val="38"/>
      <w:pBdr>
        <w:bottom w:val="single" w:color="auto" w:sz="6" w:space="0"/>
      </w:pBdr>
      <w:jc w:val="both"/>
    </w:pPr>
    <w:r>
      <w:rPr>
        <w:rFonts w:hint="eastAsia" w:ascii="新宋体" w:hAnsi="新宋体" w:eastAsia="新宋体" w:cs="新宋体"/>
      </w:rPr>
      <w:t>温州市政府（分散）采购招标文件                                     项目编号：</w:t>
    </w:r>
    <w:r>
      <w:rPr>
        <w:rFonts w:hint="eastAsia" w:ascii="新宋体" w:hAnsi="新宋体" w:eastAsia="新宋体" w:cs="新宋体"/>
        <w:lang w:eastAsia="zh-CN"/>
      </w:rPr>
      <w:t>WZLCZB（L）-2024-07264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CA8F4">
    <w:pPr>
      <w:pStyle w:val="38"/>
      <w:pBdr>
        <w:bottom w:val="single" w:color="auto" w:sz="6" w:space="0"/>
      </w:pBdr>
      <w:jc w:val="both"/>
    </w:pPr>
    <w:r>
      <w:rPr>
        <w:rFonts w:hint="eastAsia" w:ascii="新宋体" w:hAnsi="新宋体" w:eastAsia="新宋体" w:cs="新宋体"/>
      </w:rPr>
      <w:t>温州市政府（分散）采购招标文件                                     项目编号：</w:t>
    </w:r>
    <w:r>
      <w:rPr>
        <w:rFonts w:hint="eastAsia" w:ascii="新宋体" w:hAnsi="新宋体" w:eastAsia="新宋体" w:cs="新宋体"/>
        <w:lang w:eastAsia="zh-CN"/>
      </w:rPr>
      <w:t>WZLCZB（L）-2024-07264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D7A3B6"/>
    <w:multiLevelType w:val="singleLevel"/>
    <w:tmpl w:val="52D7A3B6"/>
    <w:lvl w:ilvl="0" w:tentative="0">
      <w:start w:val="1"/>
      <w:numFmt w:val="decimal"/>
      <w:suff w:val="nothing"/>
      <w:lvlText w:val="（%1）"/>
      <w:lvlJc w:val="left"/>
    </w:lvl>
  </w:abstractNum>
  <w:abstractNum w:abstractNumId="1">
    <w:nsid w:val="7FB81517"/>
    <w:multiLevelType w:val="singleLevel"/>
    <w:tmpl w:val="7FB81517"/>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YTVjYmYwZTlkYjdhYjA2YzdkM2U2ZmIwODI4MDcifQ=="/>
  </w:docVars>
  <w:rsids>
    <w:rsidRoot w:val="00172A27"/>
    <w:rsid w:val="000149E3"/>
    <w:rsid w:val="00020693"/>
    <w:rsid w:val="000217C7"/>
    <w:rsid w:val="00026A46"/>
    <w:rsid w:val="00027D0D"/>
    <w:rsid w:val="00031F49"/>
    <w:rsid w:val="00037B6F"/>
    <w:rsid w:val="000474B4"/>
    <w:rsid w:val="00063600"/>
    <w:rsid w:val="000A6326"/>
    <w:rsid w:val="000B2878"/>
    <w:rsid w:val="0010260A"/>
    <w:rsid w:val="0013451B"/>
    <w:rsid w:val="00146E35"/>
    <w:rsid w:val="00172A27"/>
    <w:rsid w:val="00176791"/>
    <w:rsid w:val="0019644F"/>
    <w:rsid w:val="001B0F17"/>
    <w:rsid w:val="001B2275"/>
    <w:rsid w:val="001D4048"/>
    <w:rsid w:val="001D49A1"/>
    <w:rsid w:val="001E7897"/>
    <w:rsid w:val="001F5D2B"/>
    <w:rsid w:val="002018F6"/>
    <w:rsid w:val="002044B9"/>
    <w:rsid w:val="00212172"/>
    <w:rsid w:val="00223CC1"/>
    <w:rsid w:val="00227214"/>
    <w:rsid w:val="00230913"/>
    <w:rsid w:val="0023368B"/>
    <w:rsid w:val="00243D5B"/>
    <w:rsid w:val="002447E7"/>
    <w:rsid w:val="00261F3C"/>
    <w:rsid w:val="00270294"/>
    <w:rsid w:val="00271C2D"/>
    <w:rsid w:val="002843F3"/>
    <w:rsid w:val="00296547"/>
    <w:rsid w:val="002A31D6"/>
    <w:rsid w:val="002B5782"/>
    <w:rsid w:val="002C08AE"/>
    <w:rsid w:val="002C09AD"/>
    <w:rsid w:val="002D20EE"/>
    <w:rsid w:val="002D2D3D"/>
    <w:rsid w:val="002E7DAB"/>
    <w:rsid w:val="003058EA"/>
    <w:rsid w:val="00327AB8"/>
    <w:rsid w:val="00350DF6"/>
    <w:rsid w:val="00351F86"/>
    <w:rsid w:val="00352124"/>
    <w:rsid w:val="0035435E"/>
    <w:rsid w:val="00357388"/>
    <w:rsid w:val="00357A7B"/>
    <w:rsid w:val="003654EF"/>
    <w:rsid w:val="00372FCF"/>
    <w:rsid w:val="00373BB2"/>
    <w:rsid w:val="00380B23"/>
    <w:rsid w:val="00383F1F"/>
    <w:rsid w:val="003B0A15"/>
    <w:rsid w:val="003B1471"/>
    <w:rsid w:val="003B5050"/>
    <w:rsid w:val="003C713C"/>
    <w:rsid w:val="00405F28"/>
    <w:rsid w:val="0041137E"/>
    <w:rsid w:val="00430AB9"/>
    <w:rsid w:val="00441256"/>
    <w:rsid w:val="0045663E"/>
    <w:rsid w:val="00461389"/>
    <w:rsid w:val="0046542D"/>
    <w:rsid w:val="00481BD3"/>
    <w:rsid w:val="004B66F1"/>
    <w:rsid w:val="004C013A"/>
    <w:rsid w:val="004C7034"/>
    <w:rsid w:val="005001D6"/>
    <w:rsid w:val="00522EF2"/>
    <w:rsid w:val="005238A3"/>
    <w:rsid w:val="00526065"/>
    <w:rsid w:val="00532669"/>
    <w:rsid w:val="00533C40"/>
    <w:rsid w:val="00555FA3"/>
    <w:rsid w:val="00561E5D"/>
    <w:rsid w:val="0056534C"/>
    <w:rsid w:val="00565E01"/>
    <w:rsid w:val="005674BB"/>
    <w:rsid w:val="00572B8A"/>
    <w:rsid w:val="00582AEF"/>
    <w:rsid w:val="00586839"/>
    <w:rsid w:val="00587A14"/>
    <w:rsid w:val="005A1DD3"/>
    <w:rsid w:val="005A3AA2"/>
    <w:rsid w:val="005A65DF"/>
    <w:rsid w:val="005B3595"/>
    <w:rsid w:val="005C388F"/>
    <w:rsid w:val="005F7956"/>
    <w:rsid w:val="00607A59"/>
    <w:rsid w:val="00631E7A"/>
    <w:rsid w:val="0064398C"/>
    <w:rsid w:val="00644CD7"/>
    <w:rsid w:val="00647AB1"/>
    <w:rsid w:val="00654A9F"/>
    <w:rsid w:val="00692D32"/>
    <w:rsid w:val="00696C82"/>
    <w:rsid w:val="006A1CF7"/>
    <w:rsid w:val="006B3E1C"/>
    <w:rsid w:val="006D6C7C"/>
    <w:rsid w:val="006E2672"/>
    <w:rsid w:val="007068AC"/>
    <w:rsid w:val="00722BB3"/>
    <w:rsid w:val="00740E65"/>
    <w:rsid w:val="00753072"/>
    <w:rsid w:val="007546B0"/>
    <w:rsid w:val="007671B7"/>
    <w:rsid w:val="00774E3F"/>
    <w:rsid w:val="00776F48"/>
    <w:rsid w:val="00780CBF"/>
    <w:rsid w:val="00781B95"/>
    <w:rsid w:val="007A21E8"/>
    <w:rsid w:val="007A62BD"/>
    <w:rsid w:val="007B564B"/>
    <w:rsid w:val="007B769B"/>
    <w:rsid w:val="007E29D6"/>
    <w:rsid w:val="007F2164"/>
    <w:rsid w:val="00800A72"/>
    <w:rsid w:val="00804ACD"/>
    <w:rsid w:val="0080543D"/>
    <w:rsid w:val="00817CE2"/>
    <w:rsid w:val="00831C7B"/>
    <w:rsid w:val="00832D9C"/>
    <w:rsid w:val="00836E00"/>
    <w:rsid w:val="00846CC5"/>
    <w:rsid w:val="00850622"/>
    <w:rsid w:val="00870DFA"/>
    <w:rsid w:val="00871EBE"/>
    <w:rsid w:val="00873949"/>
    <w:rsid w:val="00875629"/>
    <w:rsid w:val="00877499"/>
    <w:rsid w:val="00892732"/>
    <w:rsid w:val="00893202"/>
    <w:rsid w:val="0089599B"/>
    <w:rsid w:val="008A127E"/>
    <w:rsid w:val="008B2FA9"/>
    <w:rsid w:val="008C2D7B"/>
    <w:rsid w:val="008C31BC"/>
    <w:rsid w:val="008D62C9"/>
    <w:rsid w:val="008D75C3"/>
    <w:rsid w:val="008E0B76"/>
    <w:rsid w:val="008E26D5"/>
    <w:rsid w:val="008F4E37"/>
    <w:rsid w:val="008F7BE3"/>
    <w:rsid w:val="008F7D27"/>
    <w:rsid w:val="00902AA2"/>
    <w:rsid w:val="009254A6"/>
    <w:rsid w:val="0093089E"/>
    <w:rsid w:val="00933974"/>
    <w:rsid w:val="00936127"/>
    <w:rsid w:val="00945DCB"/>
    <w:rsid w:val="009652E5"/>
    <w:rsid w:val="00973F7A"/>
    <w:rsid w:val="0097671D"/>
    <w:rsid w:val="00977673"/>
    <w:rsid w:val="00987F54"/>
    <w:rsid w:val="00991B38"/>
    <w:rsid w:val="00996305"/>
    <w:rsid w:val="009C748F"/>
    <w:rsid w:val="009E4D45"/>
    <w:rsid w:val="00A24A5C"/>
    <w:rsid w:val="00A42424"/>
    <w:rsid w:val="00A45873"/>
    <w:rsid w:val="00A56219"/>
    <w:rsid w:val="00A61866"/>
    <w:rsid w:val="00A77176"/>
    <w:rsid w:val="00A92B83"/>
    <w:rsid w:val="00A957CF"/>
    <w:rsid w:val="00AA3DA6"/>
    <w:rsid w:val="00AA7C87"/>
    <w:rsid w:val="00AD66E6"/>
    <w:rsid w:val="00AE4B39"/>
    <w:rsid w:val="00AF7BEB"/>
    <w:rsid w:val="00B06E43"/>
    <w:rsid w:val="00B2584A"/>
    <w:rsid w:val="00B41362"/>
    <w:rsid w:val="00B43A9E"/>
    <w:rsid w:val="00B44537"/>
    <w:rsid w:val="00B5466C"/>
    <w:rsid w:val="00B74039"/>
    <w:rsid w:val="00B87E26"/>
    <w:rsid w:val="00B9767A"/>
    <w:rsid w:val="00BA78D1"/>
    <w:rsid w:val="00BC0A13"/>
    <w:rsid w:val="00BC2B54"/>
    <w:rsid w:val="00BC4AC5"/>
    <w:rsid w:val="00BC66D1"/>
    <w:rsid w:val="00BF1399"/>
    <w:rsid w:val="00BF32BD"/>
    <w:rsid w:val="00C12358"/>
    <w:rsid w:val="00C232C8"/>
    <w:rsid w:val="00C468B7"/>
    <w:rsid w:val="00C67C97"/>
    <w:rsid w:val="00C70CE6"/>
    <w:rsid w:val="00C758F7"/>
    <w:rsid w:val="00C816DD"/>
    <w:rsid w:val="00C95163"/>
    <w:rsid w:val="00CB584C"/>
    <w:rsid w:val="00CC06DE"/>
    <w:rsid w:val="00CC3B91"/>
    <w:rsid w:val="00CE590D"/>
    <w:rsid w:val="00CF5C76"/>
    <w:rsid w:val="00D00FFE"/>
    <w:rsid w:val="00D13A1C"/>
    <w:rsid w:val="00D224FF"/>
    <w:rsid w:val="00D27DB2"/>
    <w:rsid w:val="00D3078D"/>
    <w:rsid w:val="00D30E82"/>
    <w:rsid w:val="00D47AC2"/>
    <w:rsid w:val="00D56369"/>
    <w:rsid w:val="00D65FC8"/>
    <w:rsid w:val="00D70EBE"/>
    <w:rsid w:val="00D73718"/>
    <w:rsid w:val="00D7763D"/>
    <w:rsid w:val="00D844F8"/>
    <w:rsid w:val="00DB09B7"/>
    <w:rsid w:val="00DB2DE0"/>
    <w:rsid w:val="00DB41D0"/>
    <w:rsid w:val="00DF073C"/>
    <w:rsid w:val="00DF0B3F"/>
    <w:rsid w:val="00E02244"/>
    <w:rsid w:val="00E05AD1"/>
    <w:rsid w:val="00E11D98"/>
    <w:rsid w:val="00E15CD1"/>
    <w:rsid w:val="00E22045"/>
    <w:rsid w:val="00E248CD"/>
    <w:rsid w:val="00E36483"/>
    <w:rsid w:val="00E53874"/>
    <w:rsid w:val="00E56BD4"/>
    <w:rsid w:val="00E57D1E"/>
    <w:rsid w:val="00E72ABC"/>
    <w:rsid w:val="00E74DBC"/>
    <w:rsid w:val="00E76E5A"/>
    <w:rsid w:val="00EC182D"/>
    <w:rsid w:val="00EC6C26"/>
    <w:rsid w:val="00EC7DF8"/>
    <w:rsid w:val="00ED2873"/>
    <w:rsid w:val="00ED3B24"/>
    <w:rsid w:val="00ED7497"/>
    <w:rsid w:val="00EE45C7"/>
    <w:rsid w:val="00EF4A4C"/>
    <w:rsid w:val="00F03D32"/>
    <w:rsid w:val="00F06ABE"/>
    <w:rsid w:val="00F270F8"/>
    <w:rsid w:val="00F27576"/>
    <w:rsid w:val="00F36312"/>
    <w:rsid w:val="00F5082C"/>
    <w:rsid w:val="00F52CCB"/>
    <w:rsid w:val="00F52CD3"/>
    <w:rsid w:val="00F52E99"/>
    <w:rsid w:val="00F60DCB"/>
    <w:rsid w:val="00F80AAA"/>
    <w:rsid w:val="00F93BBA"/>
    <w:rsid w:val="00F95280"/>
    <w:rsid w:val="00FA662A"/>
    <w:rsid w:val="00FB0E0C"/>
    <w:rsid w:val="00FB1229"/>
    <w:rsid w:val="00FC44CE"/>
    <w:rsid w:val="00FD52B1"/>
    <w:rsid w:val="00FF3A66"/>
    <w:rsid w:val="00FF6977"/>
    <w:rsid w:val="0116709E"/>
    <w:rsid w:val="011E79F8"/>
    <w:rsid w:val="01606883"/>
    <w:rsid w:val="01A21A9D"/>
    <w:rsid w:val="01E93E5C"/>
    <w:rsid w:val="01F56D89"/>
    <w:rsid w:val="020D29B1"/>
    <w:rsid w:val="021F7DAD"/>
    <w:rsid w:val="0224444B"/>
    <w:rsid w:val="022D7429"/>
    <w:rsid w:val="02451328"/>
    <w:rsid w:val="02540C49"/>
    <w:rsid w:val="027D25C0"/>
    <w:rsid w:val="02841565"/>
    <w:rsid w:val="029F4A3F"/>
    <w:rsid w:val="02B3222E"/>
    <w:rsid w:val="02CD3A5F"/>
    <w:rsid w:val="02F63BA4"/>
    <w:rsid w:val="031D0871"/>
    <w:rsid w:val="03283281"/>
    <w:rsid w:val="03331487"/>
    <w:rsid w:val="034A64CB"/>
    <w:rsid w:val="039714E5"/>
    <w:rsid w:val="03BE392F"/>
    <w:rsid w:val="03E13A1E"/>
    <w:rsid w:val="04044443"/>
    <w:rsid w:val="04156ACE"/>
    <w:rsid w:val="042A5AFC"/>
    <w:rsid w:val="043D6DF1"/>
    <w:rsid w:val="043F2279"/>
    <w:rsid w:val="044865A2"/>
    <w:rsid w:val="048D46D7"/>
    <w:rsid w:val="04A01243"/>
    <w:rsid w:val="04A862AB"/>
    <w:rsid w:val="04C27070"/>
    <w:rsid w:val="04E23C80"/>
    <w:rsid w:val="04EA065D"/>
    <w:rsid w:val="04EC5AFD"/>
    <w:rsid w:val="04FD6D0A"/>
    <w:rsid w:val="050751FC"/>
    <w:rsid w:val="05121E5F"/>
    <w:rsid w:val="05166806"/>
    <w:rsid w:val="0529508C"/>
    <w:rsid w:val="053A30CA"/>
    <w:rsid w:val="053B6181"/>
    <w:rsid w:val="05616943"/>
    <w:rsid w:val="057D25F0"/>
    <w:rsid w:val="05936339"/>
    <w:rsid w:val="05B66A1F"/>
    <w:rsid w:val="05C3315A"/>
    <w:rsid w:val="05C56ED2"/>
    <w:rsid w:val="05D76F02"/>
    <w:rsid w:val="06264A93"/>
    <w:rsid w:val="062F7E7F"/>
    <w:rsid w:val="0650016B"/>
    <w:rsid w:val="06695ADA"/>
    <w:rsid w:val="067F52AB"/>
    <w:rsid w:val="068E5B46"/>
    <w:rsid w:val="06E17425"/>
    <w:rsid w:val="06E81491"/>
    <w:rsid w:val="07081502"/>
    <w:rsid w:val="072046E3"/>
    <w:rsid w:val="07373C8C"/>
    <w:rsid w:val="074234A9"/>
    <w:rsid w:val="0747552D"/>
    <w:rsid w:val="07592C30"/>
    <w:rsid w:val="07791E20"/>
    <w:rsid w:val="078177D5"/>
    <w:rsid w:val="078233E7"/>
    <w:rsid w:val="07924879"/>
    <w:rsid w:val="079C0E64"/>
    <w:rsid w:val="07A82136"/>
    <w:rsid w:val="07CF4038"/>
    <w:rsid w:val="07D37D83"/>
    <w:rsid w:val="07D6009B"/>
    <w:rsid w:val="07D60F62"/>
    <w:rsid w:val="081C1E89"/>
    <w:rsid w:val="08621901"/>
    <w:rsid w:val="08823E48"/>
    <w:rsid w:val="08911C02"/>
    <w:rsid w:val="08913549"/>
    <w:rsid w:val="08A302D0"/>
    <w:rsid w:val="08B53A61"/>
    <w:rsid w:val="08E76FD5"/>
    <w:rsid w:val="08FD20E7"/>
    <w:rsid w:val="09023352"/>
    <w:rsid w:val="09101BCD"/>
    <w:rsid w:val="091F5561"/>
    <w:rsid w:val="09315C91"/>
    <w:rsid w:val="093D09BC"/>
    <w:rsid w:val="09427BEE"/>
    <w:rsid w:val="09510BFE"/>
    <w:rsid w:val="097E368B"/>
    <w:rsid w:val="09816EE6"/>
    <w:rsid w:val="099757EE"/>
    <w:rsid w:val="09A34824"/>
    <w:rsid w:val="09B85302"/>
    <w:rsid w:val="09B94936"/>
    <w:rsid w:val="09D26DBF"/>
    <w:rsid w:val="09F33438"/>
    <w:rsid w:val="09F65854"/>
    <w:rsid w:val="0A07422F"/>
    <w:rsid w:val="0A0A494B"/>
    <w:rsid w:val="0A1B2479"/>
    <w:rsid w:val="0A1B49C1"/>
    <w:rsid w:val="0A3D0590"/>
    <w:rsid w:val="0A4538D1"/>
    <w:rsid w:val="0A7416D8"/>
    <w:rsid w:val="0A790798"/>
    <w:rsid w:val="0A8945EB"/>
    <w:rsid w:val="0AE01BC6"/>
    <w:rsid w:val="0BAC1F4C"/>
    <w:rsid w:val="0BBE4F63"/>
    <w:rsid w:val="0BDA530A"/>
    <w:rsid w:val="0BDF436A"/>
    <w:rsid w:val="0BFD13C0"/>
    <w:rsid w:val="0C0247C0"/>
    <w:rsid w:val="0C076B26"/>
    <w:rsid w:val="0C324046"/>
    <w:rsid w:val="0C3408BA"/>
    <w:rsid w:val="0C353302"/>
    <w:rsid w:val="0C496297"/>
    <w:rsid w:val="0C660E5E"/>
    <w:rsid w:val="0C9A109E"/>
    <w:rsid w:val="0CA74D09"/>
    <w:rsid w:val="0CA9483B"/>
    <w:rsid w:val="0CC47724"/>
    <w:rsid w:val="0CC51217"/>
    <w:rsid w:val="0CCB1484"/>
    <w:rsid w:val="0CD07ED2"/>
    <w:rsid w:val="0D0A01F7"/>
    <w:rsid w:val="0D1F1C9D"/>
    <w:rsid w:val="0D307327"/>
    <w:rsid w:val="0D735BCC"/>
    <w:rsid w:val="0D7C2119"/>
    <w:rsid w:val="0D8A1C8D"/>
    <w:rsid w:val="0D920730"/>
    <w:rsid w:val="0DE33D9A"/>
    <w:rsid w:val="0DED6FC6"/>
    <w:rsid w:val="0E022677"/>
    <w:rsid w:val="0E064CB1"/>
    <w:rsid w:val="0E104BC0"/>
    <w:rsid w:val="0E4706D1"/>
    <w:rsid w:val="0E4B6575"/>
    <w:rsid w:val="0E5C2643"/>
    <w:rsid w:val="0E6537C4"/>
    <w:rsid w:val="0E701E1B"/>
    <w:rsid w:val="0E742FD1"/>
    <w:rsid w:val="0E750CB0"/>
    <w:rsid w:val="0E8E6882"/>
    <w:rsid w:val="0ECC12D1"/>
    <w:rsid w:val="0EE50D43"/>
    <w:rsid w:val="0F0377AE"/>
    <w:rsid w:val="0F0E6EE3"/>
    <w:rsid w:val="0F2935D1"/>
    <w:rsid w:val="0F4F5394"/>
    <w:rsid w:val="0F657030"/>
    <w:rsid w:val="0F706416"/>
    <w:rsid w:val="0F711E18"/>
    <w:rsid w:val="0FCD5779"/>
    <w:rsid w:val="0FD03A0D"/>
    <w:rsid w:val="10381F40"/>
    <w:rsid w:val="1041184B"/>
    <w:rsid w:val="104869BA"/>
    <w:rsid w:val="10575CC4"/>
    <w:rsid w:val="108160EB"/>
    <w:rsid w:val="10D1718C"/>
    <w:rsid w:val="10D43026"/>
    <w:rsid w:val="10D760AD"/>
    <w:rsid w:val="10DC2E50"/>
    <w:rsid w:val="10F47168"/>
    <w:rsid w:val="110264F1"/>
    <w:rsid w:val="1104198D"/>
    <w:rsid w:val="1105049E"/>
    <w:rsid w:val="1142016F"/>
    <w:rsid w:val="114A29CE"/>
    <w:rsid w:val="115434FF"/>
    <w:rsid w:val="115D3896"/>
    <w:rsid w:val="11A13517"/>
    <w:rsid w:val="11B62E53"/>
    <w:rsid w:val="11C82B3C"/>
    <w:rsid w:val="12103D4D"/>
    <w:rsid w:val="12270675"/>
    <w:rsid w:val="12345EA5"/>
    <w:rsid w:val="124027F2"/>
    <w:rsid w:val="125A673E"/>
    <w:rsid w:val="12775E6D"/>
    <w:rsid w:val="12A01322"/>
    <w:rsid w:val="12AB0828"/>
    <w:rsid w:val="12DE312F"/>
    <w:rsid w:val="12E05DF5"/>
    <w:rsid w:val="133616DD"/>
    <w:rsid w:val="13582BF6"/>
    <w:rsid w:val="13583E3E"/>
    <w:rsid w:val="135E573D"/>
    <w:rsid w:val="13633FC4"/>
    <w:rsid w:val="136D0911"/>
    <w:rsid w:val="138356B4"/>
    <w:rsid w:val="13884680"/>
    <w:rsid w:val="13996DA4"/>
    <w:rsid w:val="13A56966"/>
    <w:rsid w:val="13B56A40"/>
    <w:rsid w:val="13D309B3"/>
    <w:rsid w:val="13EC3F05"/>
    <w:rsid w:val="13FF0438"/>
    <w:rsid w:val="14077D57"/>
    <w:rsid w:val="14342819"/>
    <w:rsid w:val="14965811"/>
    <w:rsid w:val="14B06BD8"/>
    <w:rsid w:val="14BB3567"/>
    <w:rsid w:val="14D92610"/>
    <w:rsid w:val="15001500"/>
    <w:rsid w:val="150E4BC5"/>
    <w:rsid w:val="154A25D7"/>
    <w:rsid w:val="15525604"/>
    <w:rsid w:val="155A7020"/>
    <w:rsid w:val="156E5828"/>
    <w:rsid w:val="15B36E57"/>
    <w:rsid w:val="15B43A33"/>
    <w:rsid w:val="15BB674C"/>
    <w:rsid w:val="15C02CFA"/>
    <w:rsid w:val="15D02588"/>
    <w:rsid w:val="163004AD"/>
    <w:rsid w:val="164356BB"/>
    <w:rsid w:val="166F777C"/>
    <w:rsid w:val="169C21B8"/>
    <w:rsid w:val="169C6B59"/>
    <w:rsid w:val="16B55A0A"/>
    <w:rsid w:val="16BB60A4"/>
    <w:rsid w:val="16D604C4"/>
    <w:rsid w:val="16F750BB"/>
    <w:rsid w:val="173A5387"/>
    <w:rsid w:val="17725C57"/>
    <w:rsid w:val="17755246"/>
    <w:rsid w:val="17800AEC"/>
    <w:rsid w:val="18245E40"/>
    <w:rsid w:val="184243B2"/>
    <w:rsid w:val="186B461D"/>
    <w:rsid w:val="187529D9"/>
    <w:rsid w:val="188B4950"/>
    <w:rsid w:val="18B352B0"/>
    <w:rsid w:val="18C50468"/>
    <w:rsid w:val="18C7387D"/>
    <w:rsid w:val="18C76564"/>
    <w:rsid w:val="19087A11"/>
    <w:rsid w:val="191B7534"/>
    <w:rsid w:val="19632832"/>
    <w:rsid w:val="19697216"/>
    <w:rsid w:val="196C6250"/>
    <w:rsid w:val="196E2C37"/>
    <w:rsid w:val="1974690A"/>
    <w:rsid w:val="19C072D3"/>
    <w:rsid w:val="19E20CB3"/>
    <w:rsid w:val="19FB6D59"/>
    <w:rsid w:val="1A246E92"/>
    <w:rsid w:val="1A25720B"/>
    <w:rsid w:val="1A262B26"/>
    <w:rsid w:val="1A341FDA"/>
    <w:rsid w:val="1A510684"/>
    <w:rsid w:val="1A6171B2"/>
    <w:rsid w:val="1A7B3BAB"/>
    <w:rsid w:val="1A931655"/>
    <w:rsid w:val="1AA65F2A"/>
    <w:rsid w:val="1AA666F2"/>
    <w:rsid w:val="1ADC340E"/>
    <w:rsid w:val="1AED2C78"/>
    <w:rsid w:val="1AEF15D5"/>
    <w:rsid w:val="1B1F6B22"/>
    <w:rsid w:val="1B343FD0"/>
    <w:rsid w:val="1B356551"/>
    <w:rsid w:val="1B377F92"/>
    <w:rsid w:val="1B3E4ABA"/>
    <w:rsid w:val="1B9D2D2C"/>
    <w:rsid w:val="1BAB13EA"/>
    <w:rsid w:val="1BE02644"/>
    <w:rsid w:val="1BF27CE6"/>
    <w:rsid w:val="1BF57F17"/>
    <w:rsid w:val="1C13053F"/>
    <w:rsid w:val="1C162BF5"/>
    <w:rsid w:val="1C212DFA"/>
    <w:rsid w:val="1C3065A1"/>
    <w:rsid w:val="1C32514E"/>
    <w:rsid w:val="1C38374B"/>
    <w:rsid w:val="1C3B2DA1"/>
    <w:rsid w:val="1C7B7E93"/>
    <w:rsid w:val="1C8449C2"/>
    <w:rsid w:val="1C8676F7"/>
    <w:rsid w:val="1C8B5EF5"/>
    <w:rsid w:val="1C9B7764"/>
    <w:rsid w:val="1C9C37E6"/>
    <w:rsid w:val="1C9C424E"/>
    <w:rsid w:val="1CA3081A"/>
    <w:rsid w:val="1CB81673"/>
    <w:rsid w:val="1CEB7EC5"/>
    <w:rsid w:val="1CF33ECD"/>
    <w:rsid w:val="1D0A50BD"/>
    <w:rsid w:val="1D0C0CA6"/>
    <w:rsid w:val="1D2379AE"/>
    <w:rsid w:val="1D2A3DAB"/>
    <w:rsid w:val="1D46542E"/>
    <w:rsid w:val="1D6359BB"/>
    <w:rsid w:val="1D664936"/>
    <w:rsid w:val="1D71729C"/>
    <w:rsid w:val="1D981331"/>
    <w:rsid w:val="1DAB3C89"/>
    <w:rsid w:val="1DC06E93"/>
    <w:rsid w:val="1DCC77C2"/>
    <w:rsid w:val="1DCF4890"/>
    <w:rsid w:val="1DFB57EB"/>
    <w:rsid w:val="1E0062C5"/>
    <w:rsid w:val="1E4F15C4"/>
    <w:rsid w:val="1E665E93"/>
    <w:rsid w:val="1E6D0B8E"/>
    <w:rsid w:val="1E740910"/>
    <w:rsid w:val="1E8A1B7B"/>
    <w:rsid w:val="1ED05FDD"/>
    <w:rsid w:val="1EDA4565"/>
    <w:rsid w:val="1F0115E6"/>
    <w:rsid w:val="1F703EFB"/>
    <w:rsid w:val="1F852E25"/>
    <w:rsid w:val="1F8B73B9"/>
    <w:rsid w:val="1F8F25D3"/>
    <w:rsid w:val="1FC0508F"/>
    <w:rsid w:val="1FD17519"/>
    <w:rsid w:val="1FDE37FF"/>
    <w:rsid w:val="1FE87CF6"/>
    <w:rsid w:val="1FFE0BBE"/>
    <w:rsid w:val="200576FB"/>
    <w:rsid w:val="200B777F"/>
    <w:rsid w:val="20142293"/>
    <w:rsid w:val="20143791"/>
    <w:rsid w:val="202875D1"/>
    <w:rsid w:val="203B6405"/>
    <w:rsid w:val="204042C4"/>
    <w:rsid w:val="204434A6"/>
    <w:rsid w:val="205904EB"/>
    <w:rsid w:val="208E2CB0"/>
    <w:rsid w:val="20C7192F"/>
    <w:rsid w:val="20C94ACB"/>
    <w:rsid w:val="20CC6F0F"/>
    <w:rsid w:val="20D9332B"/>
    <w:rsid w:val="20DB7785"/>
    <w:rsid w:val="20F3606E"/>
    <w:rsid w:val="2117534C"/>
    <w:rsid w:val="213009EF"/>
    <w:rsid w:val="213D75BE"/>
    <w:rsid w:val="213F7AB1"/>
    <w:rsid w:val="217A33A1"/>
    <w:rsid w:val="21872636"/>
    <w:rsid w:val="218F2648"/>
    <w:rsid w:val="218F47F3"/>
    <w:rsid w:val="219C0E89"/>
    <w:rsid w:val="21AB5C9B"/>
    <w:rsid w:val="21B427AB"/>
    <w:rsid w:val="21BD46E0"/>
    <w:rsid w:val="21D36DD0"/>
    <w:rsid w:val="22243886"/>
    <w:rsid w:val="227C0C68"/>
    <w:rsid w:val="227D1F07"/>
    <w:rsid w:val="22AE5DFE"/>
    <w:rsid w:val="22C92457"/>
    <w:rsid w:val="23025E80"/>
    <w:rsid w:val="233A2855"/>
    <w:rsid w:val="235C31B0"/>
    <w:rsid w:val="2378512C"/>
    <w:rsid w:val="23C16FD2"/>
    <w:rsid w:val="23C6233B"/>
    <w:rsid w:val="23E71CBE"/>
    <w:rsid w:val="23F06663"/>
    <w:rsid w:val="242C445B"/>
    <w:rsid w:val="247E04BE"/>
    <w:rsid w:val="24820041"/>
    <w:rsid w:val="248B6BF0"/>
    <w:rsid w:val="249370DF"/>
    <w:rsid w:val="24975A35"/>
    <w:rsid w:val="24987CE0"/>
    <w:rsid w:val="249D29E8"/>
    <w:rsid w:val="249E338F"/>
    <w:rsid w:val="24A451C8"/>
    <w:rsid w:val="24B0777F"/>
    <w:rsid w:val="24B80E3D"/>
    <w:rsid w:val="24BA3A6C"/>
    <w:rsid w:val="24BE458C"/>
    <w:rsid w:val="24C14262"/>
    <w:rsid w:val="24DB11B1"/>
    <w:rsid w:val="24DB1DC1"/>
    <w:rsid w:val="24F86524"/>
    <w:rsid w:val="254579AD"/>
    <w:rsid w:val="25482804"/>
    <w:rsid w:val="25550995"/>
    <w:rsid w:val="25916749"/>
    <w:rsid w:val="25B15AD3"/>
    <w:rsid w:val="25E5097B"/>
    <w:rsid w:val="25ED1CE2"/>
    <w:rsid w:val="25FB7378"/>
    <w:rsid w:val="260366CA"/>
    <w:rsid w:val="26190B1E"/>
    <w:rsid w:val="261954E5"/>
    <w:rsid w:val="267B2717"/>
    <w:rsid w:val="2681359C"/>
    <w:rsid w:val="26932151"/>
    <w:rsid w:val="26B25A04"/>
    <w:rsid w:val="26C4782C"/>
    <w:rsid w:val="26E86A48"/>
    <w:rsid w:val="26F021D2"/>
    <w:rsid w:val="27101EDB"/>
    <w:rsid w:val="27104240"/>
    <w:rsid w:val="27450F96"/>
    <w:rsid w:val="275B0FEC"/>
    <w:rsid w:val="27A03254"/>
    <w:rsid w:val="27A230C5"/>
    <w:rsid w:val="27A851CF"/>
    <w:rsid w:val="27F6755B"/>
    <w:rsid w:val="27FB3011"/>
    <w:rsid w:val="2800405D"/>
    <w:rsid w:val="28232175"/>
    <w:rsid w:val="2835156C"/>
    <w:rsid w:val="285E7742"/>
    <w:rsid w:val="285F589C"/>
    <w:rsid w:val="2860075F"/>
    <w:rsid w:val="287158E1"/>
    <w:rsid w:val="288E7537"/>
    <w:rsid w:val="28D51CE9"/>
    <w:rsid w:val="28E0382C"/>
    <w:rsid w:val="28FB2940"/>
    <w:rsid w:val="28FB2A87"/>
    <w:rsid w:val="2904728B"/>
    <w:rsid w:val="2935387C"/>
    <w:rsid w:val="2943181B"/>
    <w:rsid w:val="295642C7"/>
    <w:rsid w:val="298B56EE"/>
    <w:rsid w:val="29923BE6"/>
    <w:rsid w:val="29C71BB6"/>
    <w:rsid w:val="29C74D12"/>
    <w:rsid w:val="29D70027"/>
    <w:rsid w:val="29DA51F1"/>
    <w:rsid w:val="29E4565C"/>
    <w:rsid w:val="2A105D28"/>
    <w:rsid w:val="2A1E5E00"/>
    <w:rsid w:val="2A217644"/>
    <w:rsid w:val="2A5522DC"/>
    <w:rsid w:val="2A584446"/>
    <w:rsid w:val="2A5A3485"/>
    <w:rsid w:val="2A6D7AE4"/>
    <w:rsid w:val="2A81126C"/>
    <w:rsid w:val="2A886EB3"/>
    <w:rsid w:val="2A9A509F"/>
    <w:rsid w:val="2ABE75C5"/>
    <w:rsid w:val="2ABF53B3"/>
    <w:rsid w:val="2AC54EDF"/>
    <w:rsid w:val="2ADE1592"/>
    <w:rsid w:val="2AE72478"/>
    <w:rsid w:val="2AF07D78"/>
    <w:rsid w:val="2AFE6BB2"/>
    <w:rsid w:val="2AFF547A"/>
    <w:rsid w:val="2B0F5BE3"/>
    <w:rsid w:val="2B113FC7"/>
    <w:rsid w:val="2B194010"/>
    <w:rsid w:val="2B1A0A86"/>
    <w:rsid w:val="2B44327F"/>
    <w:rsid w:val="2B451080"/>
    <w:rsid w:val="2B47563E"/>
    <w:rsid w:val="2B50497E"/>
    <w:rsid w:val="2B766889"/>
    <w:rsid w:val="2B8F7412"/>
    <w:rsid w:val="2B97729C"/>
    <w:rsid w:val="2B996330"/>
    <w:rsid w:val="2BB62C14"/>
    <w:rsid w:val="2BB82208"/>
    <w:rsid w:val="2BC1544C"/>
    <w:rsid w:val="2BF25A55"/>
    <w:rsid w:val="2BF83122"/>
    <w:rsid w:val="2C3167C0"/>
    <w:rsid w:val="2C414C55"/>
    <w:rsid w:val="2C4D4422"/>
    <w:rsid w:val="2C61592A"/>
    <w:rsid w:val="2CA90260"/>
    <w:rsid w:val="2CF23348"/>
    <w:rsid w:val="2D0212AF"/>
    <w:rsid w:val="2D0637A8"/>
    <w:rsid w:val="2D0721CE"/>
    <w:rsid w:val="2D2D0FB8"/>
    <w:rsid w:val="2D5369A4"/>
    <w:rsid w:val="2D553E12"/>
    <w:rsid w:val="2D563294"/>
    <w:rsid w:val="2D572DE8"/>
    <w:rsid w:val="2D686211"/>
    <w:rsid w:val="2D7657B0"/>
    <w:rsid w:val="2DA92533"/>
    <w:rsid w:val="2DB26E70"/>
    <w:rsid w:val="2DB55796"/>
    <w:rsid w:val="2DC542FD"/>
    <w:rsid w:val="2DCF6290"/>
    <w:rsid w:val="2DE22CBA"/>
    <w:rsid w:val="2DE55CFF"/>
    <w:rsid w:val="2E027319"/>
    <w:rsid w:val="2E114AFB"/>
    <w:rsid w:val="2E740C9C"/>
    <w:rsid w:val="2E912614"/>
    <w:rsid w:val="2EB82B9B"/>
    <w:rsid w:val="2EDB211E"/>
    <w:rsid w:val="2F3E6E00"/>
    <w:rsid w:val="2F7D3F6D"/>
    <w:rsid w:val="2FAF734F"/>
    <w:rsid w:val="2FB74538"/>
    <w:rsid w:val="2FC85BC4"/>
    <w:rsid w:val="2FF16930"/>
    <w:rsid w:val="30255652"/>
    <w:rsid w:val="302A5959"/>
    <w:rsid w:val="305B0C4B"/>
    <w:rsid w:val="306F34C7"/>
    <w:rsid w:val="307F3F9D"/>
    <w:rsid w:val="30C15B29"/>
    <w:rsid w:val="31024AE6"/>
    <w:rsid w:val="31053458"/>
    <w:rsid w:val="312138AE"/>
    <w:rsid w:val="31232744"/>
    <w:rsid w:val="313F60CD"/>
    <w:rsid w:val="314D202B"/>
    <w:rsid w:val="316C164E"/>
    <w:rsid w:val="316D1DE9"/>
    <w:rsid w:val="317A69BB"/>
    <w:rsid w:val="31AC33EA"/>
    <w:rsid w:val="31B469D0"/>
    <w:rsid w:val="31D64F96"/>
    <w:rsid w:val="31F025AD"/>
    <w:rsid w:val="32017181"/>
    <w:rsid w:val="3202578C"/>
    <w:rsid w:val="320421C2"/>
    <w:rsid w:val="326D3B31"/>
    <w:rsid w:val="327021FA"/>
    <w:rsid w:val="329C1DF0"/>
    <w:rsid w:val="329E2BA3"/>
    <w:rsid w:val="32AE7A75"/>
    <w:rsid w:val="32E032B1"/>
    <w:rsid w:val="32EF11A3"/>
    <w:rsid w:val="32EF2028"/>
    <w:rsid w:val="33011C41"/>
    <w:rsid w:val="330B59C7"/>
    <w:rsid w:val="333741EB"/>
    <w:rsid w:val="333C6A3D"/>
    <w:rsid w:val="33644CFD"/>
    <w:rsid w:val="33774568"/>
    <w:rsid w:val="33A0028D"/>
    <w:rsid w:val="33A570FA"/>
    <w:rsid w:val="33B2760C"/>
    <w:rsid w:val="33D32C1C"/>
    <w:rsid w:val="33D92429"/>
    <w:rsid w:val="343B3818"/>
    <w:rsid w:val="343C1893"/>
    <w:rsid w:val="355D18A7"/>
    <w:rsid w:val="35686070"/>
    <w:rsid w:val="358526AE"/>
    <w:rsid w:val="359E15E2"/>
    <w:rsid w:val="35A4682A"/>
    <w:rsid w:val="35B43FF1"/>
    <w:rsid w:val="35B54B22"/>
    <w:rsid w:val="35D42CB6"/>
    <w:rsid w:val="35D76F8B"/>
    <w:rsid w:val="35DF0F8E"/>
    <w:rsid w:val="35E06788"/>
    <w:rsid w:val="35E83CBD"/>
    <w:rsid w:val="35EF293B"/>
    <w:rsid w:val="35F13A2A"/>
    <w:rsid w:val="360453EB"/>
    <w:rsid w:val="361633A9"/>
    <w:rsid w:val="362C0965"/>
    <w:rsid w:val="36321AB2"/>
    <w:rsid w:val="363D6170"/>
    <w:rsid w:val="36495F37"/>
    <w:rsid w:val="36523501"/>
    <w:rsid w:val="365466DC"/>
    <w:rsid w:val="366A6E58"/>
    <w:rsid w:val="368E312D"/>
    <w:rsid w:val="36FB1EA4"/>
    <w:rsid w:val="37092813"/>
    <w:rsid w:val="37366041"/>
    <w:rsid w:val="373D0F4E"/>
    <w:rsid w:val="375D41E8"/>
    <w:rsid w:val="37625DAE"/>
    <w:rsid w:val="377717B0"/>
    <w:rsid w:val="379D7A74"/>
    <w:rsid w:val="37A03DDA"/>
    <w:rsid w:val="37CB5A11"/>
    <w:rsid w:val="37D921E5"/>
    <w:rsid w:val="37DC389E"/>
    <w:rsid w:val="37E41DF1"/>
    <w:rsid w:val="37FC364E"/>
    <w:rsid w:val="38463090"/>
    <w:rsid w:val="385775AE"/>
    <w:rsid w:val="3863405E"/>
    <w:rsid w:val="38660551"/>
    <w:rsid w:val="3882116E"/>
    <w:rsid w:val="388234B9"/>
    <w:rsid w:val="38973473"/>
    <w:rsid w:val="389F2F67"/>
    <w:rsid w:val="38A56CC9"/>
    <w:rsid w:val="38C05F24"/>
    <w:rsid w:val="38D750B8"/>
    <w:rsid w:val="38F2240C"/>
    <w:rsid w:val="39171CC0"/>
    <w:rsid w:val="392A6A70"/>
    <w:rsid w:val="393F39C1"/>
    <w:rsid w:val="3941283A"/>
    <w:rsid w:val="395212E1"/>
    <w:rsid w:val="39661E3A"/>
    <w:rsid w:val="39976574"/>
    <w:rsid w:val="39A165F9"/>
    <w:rsid w:val="39B72706"/>
    <w:rsid w:val="39C84E5A"/>
    <w:rsid w:val="39FA0921"/>
    <w:rsid w:val="39FA28E7"/>
    <w:rsid w:val="3A0B357E"/>
    <w:rsid w:val="3A3457E8"/>
    <w:rsid w:val="3A3F0320"/>
    <w:rsid w:val="3A536E24"/>
    <w:rsid w:val="3A565A98"/>
    <w:rsid w:val="3A5E4C24"/>
    <w:rsid w:val="3A810ECA"/>
    <w:rsid w:val="3A871F8A"/>
    <w:rsid w:val="3A976D7E"/>
    <w:rsid w:val="3AA31206"/>
    <w:rsid w:val="3AB57780"/>
    <w:rsid w:val="3AC65AD2"/>
    <w:rsid w:val="3ACF5A26"/>
    <w:rsid w:val="3B1B509F"/>
    <w:rsid w:val="3B3575B2"/>
    <w:rsid w:val="3B3A73AB"/>
    <w:rsid w:val="3B4764C1"/>
    <w:rsid w:val="3B54731C"/>
    <w:rsid w:val="3B67428D"/>
    <w:rsid w:val="3B713350"/>
    <w:rsid w:val="3B7A26BE"/>
    <w:rsid w:val="3BE767A5"/>
    <w:rsid w:val="3C152D6E"/>
    <w:rsid w:val="3C1701DB"/>
    <w:rsid w:val="3C2E25AC"/>
    <w:rsid w:val="3C33699A"/>
    <w:rsid w:val="3C41291B"/>
    <w:rsid w:val="3C447C27"/>
    <w:rsid w:val="3C4E3440"/>
    <w:rsid w:val="3C9963E7"/>
    <w:rsid w:val="3CB94393"/>
    <w:rsid w:val="3DA11CBD"/>
    <w:rsid w:val="3E225ED0"/>
    <w:rsid w:val="3E29108F"/>
    <w:rsid w:val="3E763568"/>
    <w:rsid w:val="3EB341AB"/>
    <w:rsid w:val="3EBF6B56"/>
    <w:rsid w:val="3EC20226"/>
    <w:rsid w:val="3EC451E1"/>
    <w:rsid w:val="3EC47F80"/>
    <w:rsid w:val="3ECB3495"/>
    <w:rsid w:val="3EF1768B"/>
    <w:rsid w:val="3EFB66B4"/>
    <w:rsid w:val="3F0D1EF3"/>
    <w:rsid w:val="3F1E63B0"/>
    <w:rsid w:val="3F2226EC"/>
    <w:rsid w:val="3F601C75"/>
    <w:rsid w:val="3F647203"/>
    <w:rsid w:val="3FAC6CE4"/>
    <w:rsid w:val="3FB04B06"/>
    <w:rsid w:val="3FDA48AC"/>
    <w:rsid w:val="3FE46504"/>
    <w:rsid w:val="4004626D"/>
    <w:rsid w:val="402A3DD6"/>
    <w:rsid w:val="402E363B"/>
    <w:rsid w:val="403A7A13"/>
    <w:rsid w:val="4047615A"/>
    <w:rsid w:val="40883F9A"/>
    <w:rsid w:val="40A6403B"/>
    <w:rsid w:val="40A90B8C"/>
    <w:rsid w:val="40C31767"/>
    <w:rsid w:val="40D11C13"/>
    <w:rsid w:val="40D14228"/>
    <w:rsid w:val="40E32648"/>
    <w:rsid w:val="41186CCE"/>
    <w:rsid w:val="413F338F"/>
    <w:rsid w:val="415D3A83"/>
    <w:rsid w:val="418D341F"/>
    <w:rsid w:val="41935ED4"/>
    <w:rsid w:val="419659D4"/>
    <w:rsid w:val="41A50FA5"/>
    <w:rsid w:val="41A81C25"/>
    <w:rsid w:val="41AF222E"/>
    <w:rsid w:val="41CC07BC"/>
    <w:rsid w:val="41DD5AAF"/>
    <w:rsid w:val="420569A4"/>
    <w:rsid w:val="421B3751"/>
    <w:rsid w:val="4246080B"/>
    <w:rsid w:val="424B3BBB"/>
    <w:rsid w:val="429F0A65"/>
    <w:rsid w:val="42CA4EAC"/>
    <w:rsid w:val="42CE24FD"/>
    <w:rsid w:val="42D00689"/>
    <w:rsid w:val="42EF3CA3"/>
    <w:rsid w:val="42F302DD"/>
    <w:rsid w:val="430325E5"/>
    <w:rsid w:val="43260C43"/>
    <w:rsid w:val="436C4AFA"/>
    <w:rsid w:val="438034F8"/>
    <w:rsid w:val="4388321A"/>
    <w:rsid w:val="438F6F2B"/>
    <w:rsid w:val="43D30AF4"/>
    <w:rsid w:val="441A31FF"/>
    <w:rsid w:val="443F03D6"/>
    <w:rsid w:val="44401B99"/>
    <w:rsid w:val="446A3759"/>
    <w:rsid w:val="446B4961"/>
    <w:rsid w:val="449428DA"/>
    <w:rsid w:val="45132E7E"/>
    <w:rsid w:val="45260C15"/>
    <w:rsid w:val="45317296"/>
    <w:rsid w:val="45335627"/>
    <w:rsid w:val="45631085"/>
    <w:rsid w:val="45797DA1"/>
    <w:rsid w:val="459951E1"/>
    <w:rsid w:val="459B392A"/>
    <w:rsid w:val="45A046DF"/>
    <w:rsid w:val="45B725A0"/>
    <w:rsid w:val="45C7207A"/>
    <w:rsid w:val="45C96EBD"/>
    <w:rsid w:val="45D33008"/>
    <w:rsid w:val="45D53422"/>
    <w:rsid w:val="45F13348"/>
    <w:rsid w:val="462E25CA"/>
    <w:rsid w:val="46303A17"/>
    <w:rsid w:val="465A58CC"/>
    <w:rsid w:val="46623CEE"/>
    <w:rsid w:val="46931FE6"/>
    <w:rsid w:val="46A33330"/>
    <w:rsid w:val="46B8390E"/>
    <w:rsid w:val="46C5521F"/>
    <w:rsid w:val="46D637ED"/>
    <w:rsid w:val="46DD3F38"/>
    <w:rsid w:val="46E2098A"/>
    <w:rsid w:val="46E26BDC"/>
    <w:rsid w:val="46E65EAB"/>
    <w:rsid w:val="46E97331"/>
    <w:rsid w:val="46F16F1D"/>
    <w:rsid w:val="46FD2CBF"/>
    <w:rsid w:val="472910BD"/>
    <w:rsid w:val="47460ADC"/>
    <w:rsid w:val="47553E8E"/>
    <w:rsid w:val="475E5CE5"/>
    <w:rsid w:val="47651C08"/>
    <w:rsid w:val="47705F96"/>
    <w:rsid w:val="477C293C"/>
    <w:rsid w:val="47BC2D21"/>
    <w:rsid w:val="47CA2F97"/>
    <w:rsid w:val="47D84675"/>
    <w:rsid w:val="47E17B3A"/>
    <w:rsid w:val="481379C4"/>
    <w:rsid w:val="481947FE"/>
    <w:rsid w:val="483B043E"/>
    <w:rsid w:val="486B0826"/>
    <w:rsid w:val="486B1D8E"/>
    <w:rsid w:val="486E71C2"/>
    <w:rsid w:val="48A93D74"/>
    <w:rsid w:val="48D139F6"/>
    <w:rsid w:val="48D16F09"/>
    <w:rsid w:val="48F56DD6"/>
    <w:rsid w:val="48F73BF5"/>
    <w:rsid w:val="491916C6"/>
    <w:rsid w:val="49573AC8"/>
    <w:rsid w:val="4958625F"/>
    <w:rsid w:val="49AA7971"/>
    <w:rsid w:val="49FE240E"/>
    <w:rsid w:val="4A141151"/>
    <w:rsid w:val="4A316318"/>
    <w:rsid w:val="4A5950C6"/>
    <w:rsid w:val="4A643B84"/>
    <w:rsid w:val="4A777A6A"/>
    <w:rsid w:val="4AC9062D"/>
    <w:rsid w:val="4AD6437D"/>
    <w:rsid w:val="4AE52C42"/>
    <w:rsid w:val="4AE81B51"/>
    <w:rsid w:val="4AF2187D"/>
    <w:rsid w:val="4AFC3953"/>
    <w:rsid w:val="4B1E385E"/>
    <w:rsid w:val="4B3D1569"/>
    <w:rsid w:val="4B6870F9"/>
    <w:rsid w:val="4B6C2969"/>
    <w:rsid w:val="4B762313"/>
    <w:rsid w:val="4B7A514E"/>
    <w:rsid w:val="4BCF6DCB"/>
    <w:rsid w:val="4BD06B38"/>
    <w:rsid w:val="4BDE5B85"/>
    <w:rsid w:val="4BDF321A"/>
    <w:rsid w:val="4C0065CE"/>
    <w:rsid w:val="4C18241E"/>
    <w:rsid w:val="4C1B0BC7"/>
    <w:rsid w:val="4C227943"/>
    <w:rsid w:val="4C2D116E"/>
    <w:rsid w:val="4C3A18AB"/>
    <w:rsid w:val="4C4373DD"/>
    <w:rsid w:val="4C472142"/>
    <w:rsid w:val="4C52210E"/>
    <w:rsid w:val="4C5F22C4"/>
    <w:rsid w:val="4C7857EB"/>
    <w:rsid w:val="4CBF726A"/>
    <w:rsid w:val="4CC23448"/>
    <w:rsid w:val="4CD82614"/>
    <w:rsid w:val="4CDD603C"/>
    <w:rsid w:val="4D0C4377"/>
    <w:rsid w:val="4D4C281F"/>
    <w:rsid w:val="4D74271A"/>
    <w:rsid w:val="4DC86CD0"/>
    <w:rsid w:val="4DD62C1F"/>
    <w:rsid w:val="4DE70727"/>
    <w:rsid w:val="4DF46D27"/>
    <w:rsid w:val="4E367509"/>
    <w:rsid w:val="4E5211BA"/>
    <w:rsid w:val="4E54216E"/>
    <w:rsid w:val="4E7B4CA6"/>
    <w:rsid w:val="4E90713C"/>
    <w:rsid w:val="4E9D1D1E"/>
    <w:rsid w:val="4EC61142"/>
    <w:rsid w:val="4EF11735"/>
    <w:rsid w:val="4F0E0B1D"/>
    <w:rsid w:val="4F29184C"/>
    <w:rsid w:val="4F563CC4"/>
    <w:rsid w:val="4F622668"/>
    <w:rsid w:val="4FBD41CA"/>
    <w:rsid w:val="4FD246D2"/>
    <w:rsid w:val="4FD82B29"/>
    <w:rsid w:val="50077D56"/>
    <w:rsid w:val="500B2D00"/>
    <w:rsid w:val="50131451"/>
    <w:rsid w:val="50447626"/>
    <w:rsid w:val="507D7F7E"/>
    <w:rsid w:val="50831BFE"/>
    <w:rsid w:val="50B52FE4"/>
    <w:rsid w:val="50BF2E54"/>
    <w:rsid w:val="50C92022"/>
    <w:rsid w:val="50D33EBC"/>
    <w:rsid w:val="510B745B"/>
    <w:rsid w:val="51390BE4"/>
    <w:rsid w:val="514C6A42"/>
    <w:rsid w:val="51962A9D"/>
    <w:rsid w:val="51B96C67"/>
    <w:rsid w:val="51C804DE"/>
    <w:rsid w:val="51C92E73"/>
    <w:rsid w:val="51CF0D4C"/>
    <w:rsid w:val="51E12FF8"/>
    <w:rsid w:val="51E33826"/>
    <w:rsid w:val="51E71C22"/>
    <w:rsid w:val="520B7E66"/>
    <w:rsid w:val="520C6B50"/>
    <w:rsid w:val="522E62F3"/>
    <w:rsid w:val="523A473D"/>
    <w:rsid w:val="5275209D"/>
    <w:rsid w:val="52804EB2"/>
    <w:rsid w:val="529E4518"/>
    <w:rsid w:val="52A33960"/>
    <w:rsid w:val="52AF751B"/>
    <w:rsid w:val="52B476CE"/>
    <w:rsid w:val="52B66201"/>
    <w:rsid w:val="52F47A95"/>
    <w:rsid w:val="531645CA"/>
    <w:rsid w:val="531F2A96"/>
    <w:rsid w:val="53262EC9"/>
    <w:rsid w:val="53323F27"/>
    <w:rsid w:val="5356286C"/>
    <w:rsid w:val="53566988"/>
    <w:rsid w:val="536A39C4"/>
    <w:rsid w:val="53734149"/>
    <w:rsid w:val="53932760"/>
    <w:rsid w:val="539873E7"/>
    <w:rsid w:val="53AC0356"/>
    <w:rsid w:val="53B46D0C"/>
    <w:rsid w:val="53B87481"/>
    <w:rsid w:val="53CD28AA"/>
    <w:rsid w:val="53F53A19"/>
    <w:rsid w:val="54087353"/>
    <w:rsid w:val="54375044"/>
    <w:rsid w:val="544232E7"/>
    <w:rsid w:val="54557110"/>
    <w:rsid w:val="549661B6"/>
    <w:rsid w:val="54AB4340"/>
    <w:rsid w:val="54D24E79"/>
    <w:rsid w:val="5503429F"/>
    <w:rsid w:val="551027C6"/>
    <w:rsid w:val="552F7315"/>
    <w:rsid w:val="554B0FDD"/>
    <w:rsid w:val="55540CA5"/>
    <w:rsid w:val="55631D2D"/>
    <w:rsid w:val="556E1BAD"/>
    <w:rsid w:val="557E2D01"/>
    <w:rsid w:val="55BB1E97"/>
    <w:rsid w:val="55C8709D"/>
    <w:rsid w:val="560509A3"/>
    <w:rsid w:val="56050C0A"/>
    <w:rsid w:val="560D376B"/>
    <w:rsid w:val="56250237"/>
    <w:rsid w:val="564569EB"/>
    <w:rsid w:val="565E03C9"/>
    <w:rsid w:val="56666501"/>
    <w:rsid w:val="56A2559E"/>
    <w:rsid w:val="56AB5944"/>
    <w:rsid w:val="56E07AC2"/>
    <w:rsid w:val="56F645A2"/>
    <w:rsid w:val="57084404"/>
    <w:rsid w:val="57214861"/>
    <w:rsid w:val="572B4616"/>
    <w:rsid w:val="57431C8B"/>
    <w:rsid w:val="57541EAD"/>
    <w:rsid w:val="576233B2"/>
    <w:rsid w:val="576D2C98"/>
    <w:rsid w:val="577465D8"/>
    <w:rsid w:val="57844080"/>
    <w:rsid w:val="57AE5029"/>
    <w:rsid w:val="57C23486"/>
    <w:rsid w:val="57D123D3"/>
    <w:rsid w:val="5807247D"/>
    <w:rsid w:val="58117CC1"/>
    <w:rsid w:val="582C3384"/>
    <w:rsid w:val="58624A55"/>
    <w:rsid w:val="58FD005D"/>
    <w:rsid w:val="59162EF2"/>
    <w:rsid w:val="59183222"/>
    <w:rsid w:val="59216A89"/>
    <w:rsid w:val="5931649C"/>
    <w:rsid w:val="59396B30"/>
    <w:rsid w:val="59397DB3"/>
    <w:rsid w:val="59510C22"/>
    <w:rsid w:val="59A175DF"/>
    <w:rsid w:val="59B819C2"/>
    <w:rsid w:val="59C7668D"/>
    <w:rsid w:val="59CD7278"/>
    <w:rsid w:val="59DF2A94"/>
    <w:rsid w:val="59FC4729"/>
    <w:rsid w:val="59FF697B"/>
    <w:rsid w:val="5A0B75E4"/>
    <w:rsid w:val="5A380C3A"/>
    <w:rsid w:val="5A575BFF"/>
    <w:rsid w:val="5A77586F"/>
    <w:rsid w:val="5AA12CBD"/>
    <w:rsid w:val="5AB36FE8"/>
    <w:rsid w:val="5AB43F3C"/>
    <w:rsid w:val="5ACA65CD"/>
    <w:rsid w:val="5ACC7A53"/>
    <w:rsid w:val="5AE51758"/>
    <w:rsid w:val="5AFC0290"/>
    <w:rsid w:val="5B581F93"/>
    <w:rsid w:val="5B67354E"/>
    <w:rsid w:val="5B6B529B"/>
    <w:rsid w:val="5BB250E2"/>
    <w:rsid w:val="5BB3320D"/>
    <w:rsid w:val="5BC31A45"/>
    <w:rsid w:val="5BC7269A"/>
    <w:rsid w:val="5BC772C9"/>
    <w:rsid w:val="5BF50377"/>
    <w:rsid w:val="5C154033"/>
    <w:rsid w:val="5C3B496D"/>
    <w:rsid w:val="5C465FA2"/>
    <w:rsid w:val="5C544090"/>
    <w:rsid w:val="5C726BB6"/>
    <w:rsid w:val="5C7322D1"/>
    <w:rsid w:val="5CEF4070"/>
    <w:rsid w:val="5CFC28A8"/>
    <w:rsid w:val="5D246FFC"/>
    <w:rsid w:val="5D36426B"/>
    <w:rsid w:val="5D8B36D2"/>
    <w:rsid w:val="5DDA696A"/>
    <w:rsid w:val="5E2B2206"/>
    <w:rsid w:val="5E381A8A"/>
    <w:rsid w:val="5E410FFD"/>
    <w:rsid w:val="5E544606"/>
    <w:rsid w:val="5E6210AC"/>
    <w:rsid w:val="5E8E05EA"/>
    <w:rsid w:val="5EA256E4"/>
    <w:rsid w:val="5EAD5C04"/>
    <w:rsid w:val="5EF326B9"/>
    <w:rsid w:val="5EFB61FA"/>
    <w:rsid w:val="5F0E0091"/>
    <w:rsid w:val="5F2C7D02"/>
    <w:rsid w:val="5F31206E"/>
    <w:rsid w:val="5F36141C"/>
    <w:rsid w:val="5F7663E9"/>
    <w:rsid w:val="5FA76E88"/>
    <w:rsid w:val="5FB656F9"/>
    <w:rsid w:val="5FBC2CFA"/>
    <w:rsid w:val="5FC53466"/>
    <w:rsid w:val="5FD13015"/>
    <w:rsid w:val="5FD57FF8"/>
    <w:rsid w:val="5FF56DB4"/>
    <w:rsid w:val="60190EE3"/>
    <w:rsid w:val="601D48F2"/>
    <w:rsid w:val="601E31F8"/>
    <w:rsid w:val="602832C7"/>
    <w:rsid w:val="60351705"/>
    <w:rsid w:val="603D1F50"/>
    <w:rsid w:val="603F673E"/>
    <w:rsid w:val="605467C6"/>
    <w:rsid w:val="606A3A73"/>
    <w:rsid w:val="60D605A1"/>
    <w:rsid w:val="60F12F0B"/>
    <w:rsid w:val="61097C96"/>
    <w:rsid w:val="610F0176"/>
    <w:rsid w:val="612C537D"/>
    <w:rsid w:val="61375612"/>
    <w:rsid w:val="61464F6C"/>
    <w:rsid w:val="61515A7F"/>
    <w:rsid w:val="61633E93"/>
    <w:rsid w:val="61A4558D"/>
    <w:rsid w:val="61C32B70"/>
    <w:rsid w:val="61D54EA8"/>
    <w:rsid w:val="61E045CD"/>
    <w:rsid w:val="61E23930"/>
    <w:rsid w:val="62016875"/>
    <w:rsid w:val="621C0D9D"/>
    <w:rsid w:val="6230766F"/>
    <w:rsid w:val="623E052A"/>
    <w:rsid w:val="6269142E"/>
    <w:rsid w:val="628B7263"/>
    <w:rsid w:val="62902D58"/>
    <w:rsid w:val="62AC7A48"/>
    <w:rsid w:val="62AE4BDA"/>
    <w:rsid w:val="62C97640"/>
    <w:rsid w:val="62D27C48"/>
    <w:rsid w:val="62E80C7F"/>
    <w:rsid w:val="62F03CFE"/>
    <w:rsid w:val="62FE5BAA"/>
    <w:rsid w:val="6307315E"/>
    <w:rsid w:val="63184211"/>
    <w:rsid w:val="631B5AD9"/>
    <w:rsid w:val="631C41B8"/>
    <w:rsid w:val="63332665"/>
    <w:rsid w:val="635514AC"/>
    <w:rsid w:val="635C575B"/>
    <w:rsid w:val="63672302"/>
    <w:rsid w:val="636863CF"/>
    <w:rsid w:val="63715219"/>
    <w:rsid w:val="63752C12"/>
    <w:rsid w:val="638C1080"/>
    <w:rsid w:val="639571CE"/>
    <w:rsid w:val="63B413CF"/>
    <w:rsid w:val="63CE2A58"/>
    <w:rsid w:val="63D4721A"/>
    <w:rsid w:val="63EF2399"/>
    <w:rsid w:val="63F4258B"/>
    <w:rsid w:val="63FF6C27"/>
    <w:rsid w:val="6405263C"/>
    <w:rsid w:val="642454D9"/>
    <w:rsid w:val="6464336B"/>
    <w:rsid w:val="64676A89"/>
    <w:rsid w:val="646B1B68"/>
    <w:rsid w:val="64B62835"/>
    <w:rsid w:val="653C5193"/>
    <w:rsid w:val="655C7828"/>
    <w:rsid w:val="65624D19"/>
    <w:rsid w:val="658B4967"/>
    <w:rsid w:val="65CB1350"/>
    <w:rsid w:val="65EB4A4B"/>
    <w:rsid w:val="66024C99"/>
    <w:rsid w:val="661E77C5"/>
    <w:rsid w:val="662D5D67"/>
    <w:rsid w:val="66330E7B"/>
    <w:rsid w:val="66351622"/>
    <w:rsid w:val="663F42A0"/>
    <w:rsid w:val="665A2304"/>
    <w:rsid w:val="669566ED"/>
    <w:rsid w:val="669C6349"/>
    <w:rsid w:val="66A80AC6"/>
    <w:rsid w:val="67144976"/>
    <w:rsid w:val="671958AB"/>
    <w:rsid w:val="67202357"/>
    <w:rsid w:val="672C3830"/>
    <w:rsid w:val="67396CC2"/>
    <w:rsid w:val="67603F26"/>
    <w:rsid w:val="67852EDC"/>
    <w:rsid w:val="67A35B4A"/>
    <w:rsid w:val="67D3264E"/>
    <w:rsid w:val="67D63720"/>
    <w:rsid w:val="67EC027D"/>
    <w:rsid w:val="68024DD3"/>
    <w:rsid w:val="680F332B"/>
    <w:rsid w:val="68214940"/>
    <w:rsid w:val="6832253F"/>
    <w:rsid w:val="685A6DC0"/>
    <w:rsid w:val="685C3C4D"/>
    <w:rsid w:val="687102AD"/>
    <w:rsid w:val="68724B40"/>
    <w:rsid w:val="68902798"/>
    <w:rsid w:val="689F0032"/>
    <w:rsid w:val="68D36EDC"/>
    <w:rsid w:val="68ED3A7F"/>
    <w:rsid w:val="690C7142"/>
    <w:rsid w:val="693B5FD8"/>
    <w:rsid w:val="69412846"/>
    <w:rsid w:val="695907E9"/>
    <w:rsid w:val="69611986"/>
    <w:rsid w:val="6964290E"/>
    <w:rsid w:val="698304CD"/>
    <w:rsid w:val="69932BAE"/>
    <w:rsid w:val="69A16FDB"/>
    <w:rsid w:val="69AF1B60"/>
    <w:rsid w:val="69BA6060"/>
    <w:rsid w:val="69CE55A3"/>
    <w:rsid w:val="69E8176A"/>
    <w:rsid w:val="69ED5B2B"/>
    <w:rsid w:val="6A1E666E"/>
    <w:rsid w:val="6A223F21"/>
    <w:rsid w:val="6A4771F0"/>
    <w:rsid w:val="6A4D6F27"/>
    <w:rsid w:val="6A622576"/>
    <w:rsid w:val="6A641277"/>
    <w:rsid w:val="6A641533"/>
    <w:rsid w:val="6A643087"/>
    <w:rsid w:val="6A7C14DB"/>
    <w:rsid w:val="6A985E45"/>
    <w:rsid w:val="6AA116A2"/>
    <w:rsid w:val="6AA23540"/>
    <w:rsid w:val="6AAD0001"/>
    <w:rsid w:val="6ACC3B62"/>
    <w:rsid w:val="6AE30427"/>
    <w:rsid w:val="6AF71A12"/>
    <w:rsid w:val="6AFC6C3E"/>
    <w:rsid w:val="6B1B05C6"/>
    <w:rsid w:val="6B35684E"/>
    <w:rsid w:val="6B5775BA"/>
    <w:rsid w:val="6B6C1D6A"/>
    <w:rsid w:val="6B706DFD"/>
    <w:rsid w:val="6B735145"/>
    <w:rsid w:val="6B76701F"/>
    <w:rsid w:val="6BAA63F6"/>
    <w:rsid w:val="6BB64940"/>
    <w:rsid w:val="6BBA5ABD"/>
    <w:rsid w:val="6BC04151"/>
    <w:rsid w:val="6BFF6B53"/>
    <w:rsid w:val="6C092392"/>
    <w:rsid w:val="6C161EDD"/>
    <w:rsid w:val="6C17534B"/>
    <w:rsid w:val="6C3137BF"/>
    <w:rsid w:val="6C52384A"/>
    <w:rsid w:val="6C55494A"/>
    <w:rsid w:val="6C5F577B"/>
    <w:rsid w:val="6C5F6B13"/>
    <w:rsid w:val="6C831486"/>
    <w:rsid w:val="6C8C7141"/>
    <w:rsid w:val="6C903E5F"/>
    <w:rsid w:val="6C92595F"/>
    <w:rsid w:val="6CA31D11"/>
    <w:rsid w:val="6CE513BE"/>
    <w:rsid w:val="6CEE595E"/>
    <w:rsid w:val="6CF82160"/>
    <w:rsid w:val="6D094BFA"/>
    <w:rsid w:val="6D1D7324"/>
    <w:rsid w:val="6D283EB3"/>
    <w:rsid w:val="6D476F5C"/>
    <w:rsid w:val="6D524D35"/>
    <w:rsid w:val="6D631E8B"/>
    <w:rsid w:val="6DA1491F"/>
    <w:rsid w:val="6DA45721"/>
    <w:rsid w:val="6DEF5724"/>
    <w:rsid w:val="6E2D7396"/>
    <w:rsid w:val="6E5653D8"/>
    <w:rsid w:val="6E5B014A"/>
    <w:rsid w:val="6E5C256C"/>
    <w:rsid w:val="6E977E1E"/>
    <w:rsid w:val="6E9A083E"/>
    <w:rsid w:val="6EA6036C"/>
    <w:rsid w:val="6ED8429D"/>
    <w:rsid w:val="6F0E0E02"/>
    <w:rsid w:val="6F1013D6"/>
    <w:rsid w:val="6F1830F3"/>
    <w:rsid w:val="6F2C4E6B"/>
    <w:rsid w:val="6F5B596C"/>
    <w:rsid w:val="6F711D1B"/>
    <w:rsid w:val="6F7502BE"/>
    <w:rsid w:val="6F806E0F"/>
    <w:rsid w:val="6F8E346E"/>
    <w:rsid w:val="6F922D77"/>
    <w:rsid w:val="6FA85985"/>
    <w:rsid w:val="6FAF3250"/>
    <w:rsid w:val="6FD76B30"/>
    <w:rsid w:val="6FD7718C"/>
    <w:rsid w:val="6FEA2DEF"/>
    <w:rsid w:val="70231C9D"/>
    <w:rsid w:val="70411BFE"/>
    <w:rsid w:val="704768DE"/>
    <w:rsid w:val="707B5C7D"/>
    <w:rsid w:val="708C386D"/>
    <w:rsid w:val="7093353E"/>
    <w:rsid w:val="709854BF"/>
    <w:rsid w:val="70A25D2A"/>
    <w:rsid w:val="70A72179"/>
    <w:rsid w:val="70D34D1C"/>
    <w:rsid w:val="70EC15F1"/>
    <w:rsid w:val="70F606D1"/>
    <w:rsid w:val="710870BC"/>
    <w:rsid w:val="710C3141"/>
    <w:rsid w:val="71104E62"/>
    <w:rsid w:val="713927A1"/>
    <w:rsid w:val="71426CAF"/>
    <w:rsid w:val="719525E5"/>
    <w:rsid w:val="71B55614"/>
    <w:rsid w:val="71C43EDF"/>
    <w:rsid w:val="71D12B7B"/>
    <w:rsid w:val="72047D57"/>
    <w:rsid w:val="721D23A2"/>
    <w:rsid w:val="7254510E"/>
    <w:rsid w:val="72563FB1"/>
    <w:rsid w:val="726E28BC"/>
    <w:rsid w:val="72926884"/>
    <w:rsid w:val="729701F7"/>
    <w:rsid w:val="72C13435"/>
    <w:rsid w:val="72C14B03"/>
    <w:rsid w:val="72E05E1A"/>
    <w:rsid w:val="72E42010"/>
    <w:rsid w:val="7332304C"/>
    <w:rsid w:val="73460DCF"/>
    <w:rsid w:val="736F51CC"/>
    <w:rsid w:val="737309ED"/>
    <w:rsid w:val="73765DF7"/>
    <w:rsid w:val="739C093C"/>
    <w:rsid w:val="739D0315"/>
    <w:rsid w:val="73CD3232"/>
    <w:rsid w:val="73CE4F10"/>
    <w:rsid w:val="73DD2FB2"/>
    <w:rsid w:val="73DE0BF4"/>
    <w:rsid w:val="73E02A36"/>
    <w:rsid w:val="73EF72A5"/>
    <w:rsid w:val="740166CA"/>
    <w:rsid w:val="740B672C"/>
    <w:rsid w:val="741606DE"/>
    <w:rsid w:val="746B4618"/>
    <w:rsid w:val="746F2FAE"/>
    <w:rsid w:val="748E187D"/>
    <w:rsid w:val="74B25882"/>
    <w:rsid w:val="74DD7E75"/>
    <w:rsid w:val="74E97204"/>
    <w:rsid w:val="74F727ED"/>
    <w:rsid w:val="75395A4F"/>
    <w:rsid w:val="75502DDF"/>
    <w:rsid w:val="75520AA2"/>
    <w:rsid w:val="75A62599"/>
    <w:rsid w:val="75BF6F03"/>
    <w:rsid w:val="75C17DE7"/>
    <w:rsid w:val="75C718AC"/>
    <w:rsid w:val="75E5168E"/>
    <w:rsid w:val="75E65018"/>
    <w:rsid w:val="75E74C1F"/>
    <w:rsid w:val="75FD7923"/>
    <w:rsid w:val="764364A0"/>
    <w:rsid w:val="764536B8"/>
    <w:rsid w:val="764C1E95"/>
    <w:rsid w:val="765340BE"/>
    <w:rsid w:val="765A11CA"/>
    <w:rsid w:val="76600B0B"/>
    <w:rsid w:val="767C73CA"/>
    <w:rsid w:val="7691545E"/>
    <w:rsid w:val="769D4729"/>
    <w:rsid w:val="76CA0970"/>
    <w:rsid w:val="76E22D5E"/>
    <w:rsid w:val="76EC025F"/>
    <w:rsid w:val="77104195"/>
    <w:rsid w:val="77127556"/>
    <w:rsid w:val="77532B5B"/>
    <w:rsid w:val="77A72B49"/>
    <w:rsid w:val="77BA48A1"/>
    <w:rsid w:val="77EA45C3"/>
    <w:rsid w:val="77F3515D"/>
    <w:rsid w:val="77F537AF"/>
    <w:rsid w:val="78337DFD"/>
    <w:rsid w:val="78427D95"/>
    <w:rsid w:val="788A70F3"/>
    <w:rsid w:val="789B3619"/>
    <w:rsid w:val="78A6284A"/>
    <w:rsid w:val="78C62B49"/>
    <w:rsid w:val="78CE3373"/>
    <w:rsid w:val="78EA06B1"/>
    <w:rsid w:val="79303653"/>
    <w:rsid w:val="79332894"/>
    <w:rsid w:val="79432FDA"/>
    <w:rsid w:val="794E031B"/>
    <w:rsid w:val="79583A70"/>
    <w:rsid w:val="796340FE"/>
    <w:rsid w:val="79F651E3"/>
    <w:rsid w:val="7A255C0F"/>
    <w:rsid w:val="7A4A0DFD"/>
    <w:rsid w:val="7A523156"/>
    <w:rsid w:val="7A552236"/>
    <w:rsid w:val="7A735659"/>
    <w:rsid w:val="7A747867"/>
    <w:rsid w:val="7A7E0068"/>
    <w:rsid w:val="7AB60141"/>
    <w:rsid w:val="7AB7745D"/>
    <w:rsid w:val="7AC17447"/>
    <w:rsid w:val="7ACA3634"/>
    <w:rsid w:val="7AD70C9B"/>
    <w:rsid w:val="7ADA5B3C"/>
    <w:rsid w:val="7B3069CC"/>
    <w:rsid w:val="7B4531F1"/>
    <w:rsid w:val="7B4D07FD"/>
    <w:rsid w:val="7BAB3DF5"/>
    <w:rsid w:val="7BBB272A"/>
    <w:rsid w:val="7BD26364"/>
    <w:rsid w:val="7BDB29F1"/>
    <w:rsid w:val="7C01620F"/>
    <w:rsid w:val="7C2F53CB"/>
    <w:rsid w:val="7C3A3603"/>
    <w:rsid w:val="7C461D0D"/>
    <w:rsid w:val="7C485C63"/>
    <w:rsid w:val="7C4A32F8"/>
    <w:rsid w:val="7CA834CE"/>
    <w:rsid w:val="7CB9036C"/>
    <w:rsid w:val="7CC16371"/>
    <w:rsid w:val="7D047631"/>
    <w:rsid w:val="7D3475DB"/>
    <w:rsid w:val="7D433920"/>
    <w:rsid w:val="7D515D3E"/>
    <w:rsid w:val="7D771F95"/>
    <w:rsid w:val="7D78153F"/>
    <w:rsid w:val="7D8C37DD"/>
    <w:rsid w:val="7D942460"/>
    <w:rsid w:val="7D9C3F4E"/>
    <w:rsid w:val="7DB9547E"/>
    <w:rsid w:val="7DBD2E8C"/>
    <w:rsid w:val="7DDD5D1F"/>
    <w:rsid w:val="7E0B3754"/>
    <w:rsid w:val="7E3C4D54"/>
    <w:rsid w:val="7E563F68"/>
    <w:rsid w:val="7E6C7921"/>
    <w:rsid w:val="7E6E2528"/>
    <w:rsid w:val="7EC40A24"/>
    <w:rsid w:val="7F5E599F"/>
    <w:rsid w:val="7F5F072D"/>
    <w:rsid w:val="7F711C25"/>
    <w:rsid w:val="7F8F7E3F"/>
    <w:rsid w:val="7FCF3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8"/>
    <w:autoRedefine/>
    <w:qFormat/>
    <w:uiPriority w:val="0"/>
    <w:pPr>
      <w:keepNext/>
      <w:jc w:val="center"/>
      <w:outlineLvl w:val="0"/>
    </w:pPr>
    <w:rPr>
      <w:rFonts w:eastAsia="黑体"/>
      <w:b/>
      <w:sz w:val="32"/>
      <w:szCs w:val="20"/>
    </w:rPr>
  </w:style>
  <w:style w:type="paragraph" w:styleId="4">
    <w:name w:val="heading 2"/>
    <w:basedOn w:val="1"/>
    <w:next w:val="1"/>
    <w:link w:val="66"/>
    <w:autoRedefine/>
    <w:qFormat/>
    <w:uiPriority w:val="0"/>
    <w:pPr>
      <w:keepNext/>
      <w:outlineLvl w:val="1"/>
    </w:pPr>
    <w:rPr>
      <w:rFonts w:ascii="仿宋_GB2312"/>
      <w:b/>
      <w:sz w:val="28"/>
      <w:szCs w:val="32"/>
    </w:rPr>
  </w:style>
  <w:style w:type="paragraph" w:styleId="5">
    <w:name w:val="heading 3"/>
    <w:basedOn w:val="1"/>
    <w:next w:val="1"/>
    <w:link w:val="151"/>
    <w:autoRedefine/>
    <w:qFormat/>
    <w:uiPriority w:val="0"/>
    <w:pPr>
      <w:keepNext/>
      <w:keepLines/>
      <w:spacing w:line="540" w:lineRule="atLeast"/>
      <w:outlineLvl w:val="2"/>
    </w:pPr>
    <w:rPr>
      <w:rFonts w:eastAsia="黑体"/>
      <w:b/>
      <w:sz w:val="28"/>
      <w:szCs w:val="20"/>
    </w:rPr>
  </w:style>
  <w:style w:type="paragraph" w:styleId="6">
    <w:name w:val="heading 4"/>
    <w:basedOn w:val="1"/>
    <w:next w:val="1"/>
    <w:link w:val="148"/>
    <w:autoRedefine/>
    <w:qFormat/>
    <w:uiPriority w:val="0"/>
    <w:pPr>
      <w:keepNext/>
      <w:keepLines/>
      <w:spacing w:line="540" w:lineRule="atLeast"/>
      <w:outlineLvl w:val="3"/>
    </w:pPr>
    <w:rPr>
      <w:sz w:val="28"/>
      <w:szCs w:val="28"/>
    </w:rPr>
  </w:style>
  <w:style w:type="paragraph" w:styleId="7">
    <w:name w:val="heading 5"/>
    <w:basedOn w:val="1"/>
    <w:next w:val="1"/>
    <w:link w:val="131"/>
    <w:autoRedefine/>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72"/>
    <w:autoRedefine/>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69"/>
    <w:autoRedefine/>
    <w:qFormat/>
    <w:uiPriority w:val="0"/>
    <w:pPr>
      <w:keepNext/>
      <w:keepLines/>
      <w:spacing w:before="240" w:after="64" w:line="317" w:lineRule="auto"/>
      <w:outlineLvl w:val="6"/>
    </w:pPr>
    <w:rPr>
      <w:b/>
      <w:sz w:val="24"/>
      <w:szCs w:val="20"/>
    </w:rPr>
  </w:style>
  <w:style w:type="paragraph" w:styleId="11">
    <w:name w:val="heading 8"/>
    <w:basedOn w:val="1"/>
    <w:next w:val="9"/>
    <w:link w:val="175"/>
    <w:autoRedefine/>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62"/>
    <w:autoRedefine/>
    <w:qFormat/>
    <w:uiPriority w:val="0"/>
    <w:pPr>
      <w:keepNext/>
      <w:keepLines/>
      <w:spacing w:before="240" w:after="64" w:line="317" w:lineRule="auto"/>
      <w:outlineLvl w:val="8"/>
    </w:pPr>
    <w:rPr>
      <w:rFonts w:ascii="Arial" w:hAnsi="Arial" w:eastAsia="黑体"/>
      <w:szCs w:val="20"/>
    </w:rPr>
  </w:style>
  <w:style w:type="character" w:default="1" w:styleId="54">
    <w:name w:val="Default Paragraph Font"/>
    <w:autoRedefine/>
    <w:semiHidden/>
    <w:unhideWhenUsed/>
    <w:qFormat/>
    <w:uiPriority w:val="1"/>
  </w:style>
  <w:style w:type="table" w:default="1" w:styleId="52">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17"/>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104"/>
    <w:autoRedefine/>
    <w:qFormat/>
    <w:uiPriority w:val="0"/>
    <w:pPr>
      <w:adjustRightInd w:val="0"/>
      <w:spacing w:line="312" w:lineRule="atLeast"/>
      <w:ind w:firstLine="420"/>
      <w:textAlignment w:val="baseline"/>
    </w:pPr>
    <w:rPr>
      <w:rFonts w:ascii="仿宋_GB2312"/>
      <w:b/>
      <w:kern w:val="0"/>
      <w:szCs w:val="32"/>
    </w:rPr>
  </w:style>
  <w:style w:type="paragraph" w:styleId="13">
    <w:name w:val="toc 7"/>
    <w:basedOn w:val="1"/>
    <w:next w:val="1"/>
    <w:autoRedefine/>
    <w:qFormat/>
    <w:uiPriority w:val="0"/>
    <w:pPr>
      <w:autoSpaceDE w:val="0"/>
      <w:autoSpaceDN w:val="0"/>
      <w:adjustRightInd w:val="0"/>
      <w:ind w:left="2520" w:leftChars="1200"/>
      <w:jc w:val="left"/>
    </w:pPr>
    <w:rPr>
      <w:kern w:val="0"/>
      <w:sz w:val="20"/>
      <w:szCs w:val="20"/>
    </w:rPr>
  </w:style>
  <w:style w:type="paragraph" w:styleId="14">
    <w:name w:val="List Number"/>
    <w:basedOn w:val="1"/>
    <w:autoRedefine/>
    <w:qFormat/>
    <w:uiPriority w:val="0"/>
    <w:pPr>
      <w:tabs>
        <w:tab w:val="left" w:pos="360"/>
      </w:tabs>
      <w:ind w:left="360" w:hanging="360" w:hangingChars="200"/>
    </w:pPr>
  </w:style>
  <w:style w:type="paragraph" w:styleId="15">
    <w:name w:val="caption"/>
    <w:basedOn w:val="1"/>
    <w:next w:val="1"/>
    <w:autoRedefine/>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autoRedefine/>
    <w:qFormat/>
    <w:uiPriority w:val="0"/>
    <w:pPr>
      <w:tabs>
        <w:tab w:val="left" w:pos="360"/>
      </w:tabs>
    </w:pPr>
    <w:rPr>
      <w:rFonts w:ascii="Calibri" w:hAnsi="Calibri"/>
      <w:szCs w:val="22"/>
    </w:rPr>
  </w:style>
  <w:style w:type="paragraph" w:styleId="17">
    <w:name w:val="Document Map"/>
    <w:basedOn w:val="1"/>
    <w:link w:val="130"/>
    <w:autoRedefine/>
    <w:qFormat/>
    <w:uiPriority w:val="0"/>
    <w:pPr>
      <w:shd w:val="clear" w:color="auto" w:fill="000080"/>
    </w:pPr>
  </w:style>
  <w:style w:type="paragraph" w:styleId="18">
    <w:name w:val="annotation text"/>
    <w:basedOn w:val="1"/>
    <w:link w:val="90"/>
    <w:autoRedefine/>
    <w:qFormat/>
    <w:uiPriority w:val="0"/>
    <w:pPr>
      <w:jc w:val="left"/>
    </w:pPr>
  </w:style>
  <w:style w:type="paragraph" w:styleId="19">
    <w:name w:val="Salutation"/>
    <w:basedOn w:val="1"/>
    <w:next w:val="1"/>
    <w:link w:val="78"/>
    <w:autoRedefine/>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0">
    <w:name w:val="Body Text 3"/>
    <w:basedOn w:val="1"/>
    <w:link w:val="94"/>
    <w:autoRedefine/>
    <w:qFormat/>
    <w:uiPriority w:val="0"/>
    <w:pPr>
      <w:autoSpaceDE w:val="0"/>
      <w:autoSpaceDN w:val="0"/>
      <w:adjustRightInd w:val="0"/>
      <w:jc w:val="center"/>
    </w:pPr>
  </w:style>
  <w:style w:type="paragraph" w:styleId="21">
    <w:name w:val="Body Text"/>
    <w:basedOn w:val="1"/>
    <w:next w:val="22"/>
    <w:link w:val="163"/>
    <w:autoRedefine/>
    <w:qFormat/>
    <w:uiPriority w:val="0"/>
    <w:pPr>
      <w:spacing w:after="120"/>
    </w:pPr>
    <w:rPr>
      <w:rFonts w:ascii="仿宋_GB2312"/>
      <w:b/>
    </w:rPr>
  </w:style>
  <w:style w:type="paragraph" w:styleId="22">
    <w:name w:val="Body Text First Indent"/>
    <w:basedOn w:val="21"/>
    <w:next w:val="23"/>
    <w:link w:val="195"/>
    <w:autoRedefine/>
    <w:qFormat/>
    <w:uiPriority w:val="0"/>
    <w:pPr>
      <w:autoSpaceDE w:val="0"/>
      <w:autoSpaceDN w:val="0"/>
      <w:adjustRightInd w:val="0"/>
      <w:ind w:firstLine="420" w:firstLineChars="100"/>
      <w:jc w:val="left"/>
    </w:pPr>
    <w:rPr>
      <w:rFonts w:ascii="Times New Roman"/>
      <w:b w:val="0"/>
      <w:kern w:val="0"/>
      <w:sz w:val="20"/>
      <w:szCs w:val="20"/>
    </w:rPr>
  </w:style>
  <w:style w:type="paragraph" w:styleId="23">
    <w:name w:val="toc 6"/>
    <w:basedOn w:val="1"/>
    <w:next w:val="1"/>
    <w:autoRedefine/>
    <w:qFormat/>
    <w:uiPriority w:val="0"/>
    <w:pPr>
      <w:autoSpaceDE w:val="0"/>
      <w:autoSpaceDN w:val="0"/>
      <w:adjustRightInd w:val="0"/>
      <w:ind w:left="2100" w:leftChars="1000"/>
      <w:jc w:val="left"/>
    </w:pPr>
    <w:rPr>
      <w:kern w:val="0"/>
      <w:sz w:val="20"/>
      <w:szCs w:val="20"/>
    </w:rPr>
  </w:style>
  <w:style w:type="paragraph" w:styleId="24">
    <w:name w:val="Body Text Indent"/>
    <w:basedOn w:val="1"/>
    <w:next w:val="25"/>
    <w:link w:val="143"/>
    <w:autoRedefine/>
    <w:qFormat/>
    <w:uiPriority w:val="0"/>
    <w:pPr>
      <w:ind w:left="480" w:hanging="480" w:hangingChars="200"/>
    </w:pPr>
    <w:rPr>
      <w:sz w:val="24"/>
    </w:rPr>
  </w:style>
  <w:style w:type="paragraph" w:styleId="25">
    <w:name w:val="Body Text First Indent 2"/>
    <w:basedOn w:val="24"/>
    <w:autoRedefine/>
    <w:qFormat/>
    <w:uiPriority w:val="0"/>
    <w:pPr>
      <w:spacing w:after="120"/>
      <w:ind w:left="420" w:leftChars="200" w:firstLine="420"/>
    </w:pPr>
    <w:rPr>
      <w:rFonts w:cs="宋体"/>
      <w:sz w:val="21"/>
      <w:szCs w:val="21"/>
    </w:rPr>
  </w:style>
  <w:style w:type="paragraph" w:styleId="26">
    <w:name w:val="List Number 3"/>
    <w:basedOn w:val="1"/>
    <w:autoRedefine/>
    <w:qFormat/>
    <w:uiPriority w:val="0"/>
    <w:pPr>
      <w:tabs>
        <w:tab w:val="left" w:pos="1200"/>
      </w:tabs>
      <w:ind w:left="1200" w:leftChars="400" w:hanging="360" w:hangingChars="200"/>
    </w:pPr>
  </w:style>
  <w:style w:type="paragraph" w:styleId="27">
    <w:name w:val="Block Text"/>
    <w:basedOn w:val="1"/>
    <w:autoRedefine/>
    <w:qFormat/>
    <w:uiPriority w:val="0"/>
    <w:pPr>
      <w:spacing w:line="520" w:lineRule="exact"/>
      <w:ind w:left="540" w:leftChars="257" w:right="-514"/>
    </w:pPr>
    <w:rPr>
      <w:rFonts w:ascii="宋体" w:hAnsi="宋体"/>
      <w:sz w:val="24"/>
    </w:rPr>
  </w:style>
  <w:style w:type="paragraph" w:styleId="28">
    <w:name w:val="List Bullet 2"/>
    <w:basedOn w:val="1"/>
    <w:autoRedefine/>
    <w:qFormat/>
    <w:uiPriority w:val="0"/>
    <w:pPr>
      <w:tabs>
        <w:tab w:val="left" w:pos="780"/>
      </w:tabs>
      <w:spacing w:line="360" w:lineRule="auto"/>
      <w:ind w:left="780" w:leftChars="200" w:hanging="360" w:hangingChars="200"/>
    </w:pPr>
  </w:style>
  <w:style w:type="paragraph" w:styleId="29">
    <w:name w:val="toc 5"/>
    <w:basedOn w:val="1"/>
    <w:next w:val="1"/>
    <w:autoRedefine/>
    <w:qFormat/>
    <w:uiPriority w:val="0"/>
    <w:pPr>
      <w:autoSpaceDE w:val="0"/>
      <w:autoSpaceDN w:val="0"/>
      <w:adjustRightInd w:val="0"/>
      <w:ind w:left="1680" w:leftChars="800"/>
      <w:jc w:val="left"/>
    </w:pPr>
    <w:rPr>
      <w:kern w:val="0"/>
      <w:sz w:val="20"/>
      <w:szCs w:val="20"/>
    </w:rPr>
  </w:style>
  <w:style w:type="paragraph" w:styleId="30">
    <w:name w:val="toc 3"/>
    <w:basedOn w:val="1"/>
    <w:next w:val="1"/>
    <w:autoRedefine/>
    <w:qFormat/>
    <w:uiPriority w:val="0"/>
    <w:pPr>
      <w:ind w:left="840" w:leftChars="400"/>
    </w:pPr>
  </w:style>
  <w:style w:type="paragraph" w:styleId="31">
    <w:name w:val="Plain Text"/>
    <w:basedOn w:val="1"/>
    <w:link w:val="191"/>
    <w:autoRedefine/>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2">
    <w:name w:val="List Number 4"/>
    <w:basedOn w:val="1"/>
    <w:autoRedefine/>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3">
    <w:name w:val="toc 8"/>
    <w:basedOn w:val="1"/>
    <w:next w:val="1"/>
    <w:autoRedefine/>
    <w:qFormat/>
    <w:uiPriority w:val="0"/>
    <w:pPr>
      <w:autoSpaceDE w:val="0"/>
      <w:autoSpaceDN w:val="0"/>
      <w:adjustRightInd w:val="0"/>
      <w:ind w:left="2940" w:leftChars="1400"/>
      <w:jc w:val="left"/>
    </w:pPr>
    <w:rPr>
      <w:kern w:val="0"/>
      <w:sz w:val="20"/>
      <w:szCs w:val="20"/>
    </w:rPr>
  </w:style>
  <w:style w:type="paragraph" w:styleId="34">
    <w:name w:val="Date"/>
    <w:basedOn w:val="1"/>
    <w:next w:val="1"/>
    <w:link w:val="132"/>
    <w:autoRedefine/>
    <w:qFormat/>
    <w:uiPriority w:val="0"/>
    <w:pPr>
      <w:ind w:left="100" w:leftChars="2500"/>
    </w:pPr>
  </w:style>
  <w:style w:type="paragraph" w:styleId="35">
    <w:name w:val="Body Text Indent 2"/>
    <w:basedOn w:val="1"/>
    <w:link w:val="177"/>
    <w:autoRedefine/>
    <w:qFormat/>
    <w:uiPriority w:val="0"/>
    <w:pPr>
      <w:spacing w:line="500" w:lineRule="exact"/>
      <w:ind w:firstLine="511" w:firstLineChars="213"/>
    </w:pPr>
    <w:rPr>
      <w:sz w:val="24"/>
    </w:rPr>
  </w:style>
  <w:style w:type="paragraph" w:styleId="36">
    <w:name w:val="Balloon Text"/>
    <w:basedOn w:val="1"/>
    <w:link w:val="150"/>
    <w:autoRedefine/>
    <w:qFormat/>
    <w:uiPriority w:val="0"/>
    <w:rPr>
      <w:sz w:val="18"/>
      <w:szCs w:val="18"/>
    </w:rPr>
  </w:style>
  <w:style w:type="paragraph" w:styleId="37">
    <w:name w:val="footer"/>
    <w:basedOn w:val="1"/>
    <w:link w:val="119"/>
    <w:autoRedefine/>
    <w:qFormat/>
    <w:uiPriority w:val="0"/>
    <w:pPr>
      <w:tabs>
        <w:tab w:val="center" w:pos="4153"/>
        <w:tab w:val="right" w:pos="8306"/>
      </w:tabs>
      <w:snapToGrid w:val="0"/>
      <w:jc w:val="left"/>
    </w:pPr>
    <w:rPr>
      <w:sz w:val="18"/>
      <w:szCs w:val="18"/>
    </w:rPr>
  </w:style>
  <w:style w:type="paragraph" w:styleId="38">
    <w:name w:val="header"/>
    <w:basedOn w:val="1"/>
    <w:link w:val="134"/>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53"/>
    <w:autoRedefine/>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40">
    <w:name w:val="toc 1"/>
    <w:basedOn w:val="1"/>
    <w:next w:val="1"/>
    <w:autoRedefine/>
    <w:qFormat/>
    <w:uiPriority w:val="0"/>
  </w:style>
  <w:style w:type="paragraph" w:styleId="41">
    <w:name w:val="toc 4"/>
    <w:basedOn w:val="1"/>
    <w:next w:val="1"/>
    <w:autoRedefine/>
    <w:qFormat/>
    <w:uiPriority w:val="0"/>
    <w:pPr>
      <w:autoSpaceDE w:val="0"/>
      <w:autoSpaceDN w:val="0"/>
      <w:adjustRightInd w:val="0"/>
      <w:ind w:left="1260" w:leftChars="600"/>
      <w:jc w:val="left"/>
    </w:pPr>
    <w:rPr>
      <w:kern w:val="0"/>
      <w:sz w:val="20"/>
      <w:szCs w:val="20"/>
    </w:rPr>
  </w:style>
  <w:style w:type="paragraph" w:styleId="42">
    <w:name w:val="Subtitle"/>
    <w:basedOn w:val="1"/>
    <w:next w:val="1"/>
    <w:link w:val="133"/>
    <w:autoRedefine/>
    <w:qFormat/>
    <w:uiPriority w:val="0"/>
    <w:pPr>
      <w:spacing w:before="240" w:after="60" w:line="312" w:lineRule="auto"/>
      <w:jc w:val="center"/>
      <w:outlineLvl w:val="1"/>
    </w:pPr>
    <w:rPr>
      <w:rFonts w:ascii="Cambria" w:hAnsi="Cambria"/>
      <w:b/>
      <w:bCs/>
      <w:kern w:val="28"/>
      <w:sz w:val="32"/>
      <w:szCs w:val="32"/>
    </w:rPr>
  </w:style>
  <w:style w:type="paragraph" w:styleId="43">
    <w:name w:val="List Number 5"/>
    <w:basedOn w:val="1"/>
    <w:autoRedefine/>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4">
    <w:name w:val="List"/>
    <w:basedOn w:val="1"/>
    <w:autoRedefine/>
    <w:qFormat/>
    <w:uiPriority w:val="0"/>
    <w:pPr>
      <w:ind w:left="200" w:hanging="200" w:hangingChars="200"/>
    </w:pPr>
  </w:style>
  <w:style w:type="paragraph" w:styleId="45">
    <w:name w:val="Body Text Indent 3"/>
    <w:basedOn w:val="1"/>
    <w:link w:val="145"/>
    <w:autoRedefine/>
    <w:qFormat/>
    <w:uiPriority w:val="0"/>
    <w:pPr>
      <w:spacing w:line="500" w:lineRule="exact"/>
      <w:ind w:left="511" w:hanging="511" w:hangingChars="213"/>
    </w:pPr>
    <w:rPr>
      <w:sz w:val="24"/>
    </w:rPr>
  </w:style>
  <w:style w:type="paragraph" w:styleId="46">
    <w:name w:val="toc 2"/>
    <w:basedOn w:val="1"/>
    <w:next w:val="1"/>
    <w:autoRedefine/>
    <w:qFormat/>
    <w:uiPriority w:val="0"/>
    <w:pPr>
      <w:ind w:left="420" w:leftChars="200"/>
    </w:pPr>
  </w:style>
  <w:style w:type="paragraph" w:styleId="47">
    <w:name w:val="toc 9"/>
    <w:basedOn w:val="1"/>
    <w:next w:val="1"/>
    <w:autoRedefine/>
    <w:qFormat/>
    <w:uiPriority w:val="0"/>
    <w:pPr>
      <w:autoSpaceDE w:val="0"/>
      <w:autoSpaceDN w:val="0"/>
      <w:adjustRightInd w:val="0"/>
      <w:ind w:left="3360" w:leftChars="1600"/>
      <w:jc w:val="left"/>
    </w:pPr>
    <w:rPr>
      <w:kern w:val="0"/>
      <w:sz w:val="20"/>
      <w:szCs w:val="20"/>
    </w:rPr>
  </w:style>
  <w:style w:type="paragraph" w:styleId="48">
    <w:name w:val="Body Text 2"/>
    <w:basedOn w:val="1"/>
    <w:link w:val="197"/>
    <w:autoRedefine/>
    <w:qFormat/>
    <w:uiPriority w:val="0"/>
    <w:pPr>
      <w:autoSpaceDE w:val="0"/>
      <w:autoSpaceDN w:val="0"/>
      <w:adjustRightInd w:val="0"/>
      <w:spacing w:after="120" w:line="480" w:lineRule="auto"/>
      <w:jc w:val="left"/>
    </w:pPr>
  </w:style>
  <w:style w:type="paragraph" w:styleId="4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50">
    <w:name w:val="Title"/>
    <w:basedOn w:val="1"/>
    <w:next w:val="1"/>
    <w:link w:val="110"/>
    <w:autoRedefine/>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95"/>
    <w:autoRedefine/>
    <w:qFormat/>
    <w:uiPriority w:val="0"/>
    <w:rPr>
      <w:b/>
      <w:bCs/>
    </w:rPr>
  </w:style>
  <w:style w:type="table" w:styleId="53">
    <w:name w:val="Table Grid"/>
    <w:basedOn w:val="5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basedOn w:val="54"/>
    <w:autoRedefine/>
    <w:qFormat/>
    <w:uiPriority w:val="0"/>
    <w:rPr>
      <w:rFonts w:ascii="仿宋_GB2312" w:eastAsia="仿宋_GB2312"/>
      <w:bCs/>
      <w:sz w:val="32"/>
      <w:szCs w:val="32"/>
    </w:rPr>
  </w:style>
  <w:style w:type="character" w:styleId="56">
    <w:name w:val="page number"/>
    <w:basedOn w:val="54"/>
    <w:autoRedefine/>
    <w:qFormat/>
    <w:uiPriority w:val="0"/>
  </w:style>
  <w:style w:type="character" w:styleId="57">
    <w:name w:val="FollowedHyperlink"/>
    <w:autoRedefine/>
    <w:qFormat/>
    <w:uiPriority w:val="0"/>
    <w:rPr>
      <w:rFonts w:ascii="仿宋_GB2312" w:eastAsia="仿宋_GB2312"/>
      <w:b/>
      <w:color w:val="800080"/>
      <w:sz w:val="32"/>
      <w:szCs w:val="32"/>
      <w:u w:val="none"/>
    </w:rPr>
  </w:style>
  <w:style w:type="character" w:styleId="58">
    <w:name w:val="Emphasis"/>
    <w:autoRedefine/>
    <w:qFormat/>
    <w:uiPriority w:val="0"/>
    <w:rPr>
      <w:i/>
      <w:iCs/>
    </w:rPr>
  </w:style>
  <w:style w:type="character" w:styleId="59">
    <w:name w:val="line number"/>
    <w:basedOn w:val="54"/>
    <w:autoRedefine/>
    <w:qFormat/>
    <w:uiPriority w:val="0"/>
  </w:style>
  <w:style w:type="character" w:styleId="60">
    <w:name w:val="Hyperlink"/>
    <w:autoRedefine/>
    <w:qFormat/>
    <w:uiPriority w:val="0"/>
    <w:rPr>
      <w:rFonts w:ascii="仿宋_GB2312" w:eastAsia="仿宋_GB2312"/>
      <w:b/>
      <w:color w:val="0000FF"/>
      <w:sz w:val="32"/>
      <w:szCs w:val="32"/>
      <w:u w:val="none"/>
    </w:rPr>
  </w:style>
  <w:style w:type="character" w:styleId="61">
    <w:name w:val="annotation reference"/>
    <w:autoRedefine/>
    <w:qFormat/>
    <w:uiPriority w:val="0"/>
    <w:rPr>
      <w:sz w:val="21"/>
      <w:szCs w:val="21"/>
    </w:rPr>
  </w:style>
  <w:style w:type="character" w:styleId="62">
    <w:name w:val="HTML Cite"/>
    <w:autoRedefine/>
    <w:qFormat/>
    <w:uiPriority w:val="0"/>
    <w:rPr>
      <w:color w:val="008000"/>
    </w:rPr>
  </w:style>
  <w:style w:type="paragraph" w:customStyle="1" w:styleId="63">
    <w:name w:val="Char3 Char Char Char"/>
    <w:basedOn w:val="1"/>
    <w:autoRedefine/>
    <w:qFormat/>
    <w:uiPriority w:val="0"/>
  </w:style>
  <w:style w:type="character" w:customStyle="1" w:styleId="64">
    <w:name w:val="不明显参考1"/>
    <w:autoRedefine/>
    <w:qFormat/>
    <w:uiPriority w:val="0"/>
    <w:rPr>
      <w:smallCaps/>
      <w:color w:val="C0504D"/>
      <w:u w:val="single"/>
    </w:rPr>
  </w:style>
  <w:style w:type="character" w:customStyle="1" w:styleId="65">
    <w:name w:val="PI Char1"/>
    <w:autoRedefine/>
    <w:qFormat/>
    <w:uiPriority w:val="0"/>
    <w:rPr>
      <w:rFonts w:eastAsia="宋体"/>
      <w:kern w:val="2"/>
      <w:sz w:val="24"/>
      <w:szCs w:val="24"/>
      <w:lang w:val="en-US" w:eastAsia="zh-CN" w:bidi="ar-SA"/>
    </w:rPr>
  </w:style>
  <w:style w:type="character" w:customStyle="1" w:styleId="66">
    <w:name w:val="标题 2 Char"/>
    <w:link w:val="4"/>
    <w:autoRedefine/>
    <w:qFormat/>
    <w:uiPriority w:val="0"/>
    <w:rPr>
      <w:rFonts w:ascii="仿宋_GB2312" w:eastAsia="宋体"/>
      <w:b/>
      <w:kern w:val="2"/>
      <w:sz w:val="28"/>
      <w:szCs w:val="32"/>
      <w:lang w:val="en-US" w:eastAsia="zh-CN" w:bidi="ar-SA"/>
    </w:rPr>
  </w:style>
  <w:style w:type="character" w:customStyle="1" w:styleId="67">
    <w:name w:val="pt141"/>
    <w:autoRedefine/>
    <w:qFormat/>
    <w:uiPriority w:val="0"/>
    <w:rPr>
      <w:color w:val="330066"/>
      <w:spacing w:val="450"/>
      <w:sz w:val="22"/>
      <w:szCs w:val="22"/>
    </w:rPr>
  </w:style>
  <w:style w:type="character" w:customStyle="1" w:styleId="68">
    <w:name w:val="Char Char27"/>
    <w:autoRedefine/>
    <w:qFormat/>
    <w:uiPriority w:val="0"/>
    <w:rPr>
      <w:rFonts w:eastAsia="宋体"/>
      <w:kern w:val="2"/>
      <w:sz w:val="28"/>
      <w:lang w:val="en-US" w:eastAsia="zh-CN" w:bidi="ar-SA"/>
    </w:rPr>
  </w:style>
  <w:style w:type="character" w:customStyle="1" w:styleId="69">
    <w:name w:val="标题 7 Char"/>
    <w:link w:val="10"/>
    <w:autoRedefine/>
    <w:qFormat/>
    <w:uiPriority w:val="0"/>
    <w:rPr>
      <w:rFonts w:eastAsia="宋体"/>
      <w:b/>
      <w:kern w:val="2"/>
      <w:sz w:val="24"/>
      <w:lang w:val="en-US" w:eastAsia="zh-CN" w:bidi="ar-SA"/>
    </w:rPr>
  </w:style>
  <w:style w:type="character" w:customStyle="1" w:styleId="70">
    <w:name w:val="明显参考1"/>
    <w:autoRedefine/>
    <w:qFormat/>
    <w:uiPriority w:val="0"/>
    <w:rPr>
      <w:b/>
      <w:bCs/>
      <w:smallCaps/>
      <w:color w:val="C0504D"/>
      <w:spacing w:val="5"/>
      <w:u w:val="single"/>
    </w:rPr>
  </w:style>
  <w:style w:type="character" w:customStyle="1" w:styleId="71">
    <w:name w:val="书籍标题1"/>
    <w:autoRedefine/>
    <w:qFormat/>
    <w:uiPriority w:val="0"/>
    <w:rPr>
      <w:b/>
      <w:bCs/>
      <w:smallCaps/>
      <w:spacing w:val="5"/>
    </w:rPr>
  </w:style>
  <w:style w:type="character" w:customStyle="1" w:styleId="72">
    <w:name w:val="Char Char61"/>
    <w:autoRedefine/>
    <w:qFormat/>
    <w:uiPriority w:val="0"/>
    <w:rPr>
      <w:rFonts w:ascii="Times New Roman" w:hAnsi="Times New Roman" w:eastAsia="宋体" w:cs="Times New Roman"/>
      <w:szCs w:val="24"/>
    </w:rPr>
  </w:style>
  <w:style w:type="character" w:customStyle="1" w:styleId="73">
    <w:name w:val="Char Char24"/>
    <w:autoRedefine/>
    <w:qFormat/>
    <w:uiPriority w:val="0"/>
    <w:rPr>
      <w:rFonts w:eastAsia="宋体"/>
      <w:b/>
      <w:kern w:val="2"/>
      <w:sz w:val="28"/>
      <w:lang w:val="en-US" w:eastAsia="zh-CN" w:bidi="ar-SA"/>
    </w:rPr>
  </w:style>
  <w:style w:type="character" w:customStyle="1" w:styleId="74">
    <w:name w:val="Style4"/>
    <w:autoRedefine/>
    <w:qFormat/>
    <w:uiPriority w:val="0"/>
    <w:rPr>
      <w:rFonts w:ascii="Calibri" w:hAnsi="宋体" w:eastAsia="宋体" w:cs="Times New Roman"/>
      <w:szCs w:val="22"/>
      <w:lang w:eastAsia="zh-CN"/>
    </w:rPr>
  </w:style>
  <w:style w:type="character" w:customStyle="1" w:styleId="75">
    <w:name w:val="Style1"/>
    <w:autoRedefine/>
    <w:qFormat/>
    <w:uiPriority w:val="0"/>
    <w:rPr>
      <w:rFonts w:ascii="Calibri" w:hAnsi="宋体" w:eastAsia="宋体" w:cs="Times New Roman"/>
      <w:sz w:val="22"/>
      <w:szCs w:val="22"/>
      <w:lang w:eastAsia="zh-CN"/>
    </w:rPr>
  </w:style>
  <w:style w:type="character" w:customStyle="1" w:styleId="76">
    <w:name w:val="heading 1 Char1"/>
    <w:autoRedefine/>
    <w:qFormat/>
    <w:uiPriority w:val="0"/>
    <w:rPr>
      <w:rFonts w:eastAsia="宋体"/>
      <w:b/>
      <w:bCs/>
      <w:kern w:val="44"/>
      <w:sz w:val="44"/>
      <w:szCs w:val="44"/>
      <w:lang w:val="en-US" w:eastAsia="zh-CN" w:bidi="ar-SA"/>
    </w:rPr>
  </w:style>
  <w:style w:type="character" w:customStyle="1" w:styleId="77">
    <w:name w:val="Style5"/>
    <w:autoRedefine/>
    <w:qFormat/>
    <w:uiPriority w:val="0"/>
    <w:rPr>
      <w:rFonts w:ascii="Calibri" w:hAnsi="宋体" w:eastAsia="宋体" w:cs="Times New Roman"/>
      <w:sz w:val="22"/>
      <w:szCs w:val="22"/>
      <w:lang w:eastAsia="zh-CN"/>
    </w:rPr>
  </w:style>
  <w:style w:type="character" w:customStyle="1" w:styleId="78">
    <w:name w:val="称呼 Char"/>
    <w:link w:val="19"/>
    <w:autoRedefine/>
    <w:qFormat/>
    <w:uiPriority w:val="0"/>
    <w:rPr>
      <w:rFonts w:ascii="仿宋_GB2312" w:eastAsia="仿宋_GB2312"/>
      <w:b/>
      <w:sz w:val="24"/>
      <w:szCs w:val="32"/>
    </w:rPr>
  </w:style>
  <w:style w:type="character" w:customStyle="1" w:styleId="79">
    <w:name w:val="Ò³Ã¼ Char Char2"/>
    <w:autoRedefine/>
    <w:qFormat/>
    <w:uiPriority w:val="0"/>
    <w:rPr>
      <w:kern w:val="2"/>
      <w:sz w:val="18"/>
      <w:szCs w:val="18"/>
    </w:rPr>
  </w:style>
  <w:style w:type="character" w:customStyle="1" w:styleId="80">
    <w:name w:val="明显强调1"/>
    <w:autoRedefine/>
    <w:qFormat/>
    <w:uiPriority w:val="0"/>
    <w:rPr>
      <w:b/>
      <w:bCs/>
      <w:i/>
      <w:iCs/>
      <w:color w:val="4F81BD"/>
    </w:rPr>
  </w:style>
  <w:style w:type="character" w:customStyle="1" w:styleId="81">
    <w:name w:val="样式 标题 3 + 黑体 小四 Char Char"/>
    <w:link w:val="82"/>
    <w:autoRedefine/>
    <w:qFormat/>
    <w:uiPriority w:val="0"/>
    <w:rPr>
      <w:rFonts w:ascii="黑体" w:hAnsi="Arial" w:eastAsia="黑体"/>
      <w:bCs/>
      <w:sz w:val="24"/>
      <w:szCs w:val="24"/>
      <w:lang w:bidi="ar-SA"/>
    </w:rPr>
  </w:style>
  <w:style w:type="paragraph" w:customStyle="1" w:styleId="82">
    <w:name w:val="样式 标题 3 + 黑体 小四"/>
    <w:basedOn w:val="5"/>
    <w:link w:val="81"/>
    <w:autoRedefine/>
    <w:qFormat/>
    <w:uiPriority w:val="0"/>
    <w:pPr>
      <w:spacing w:before="260" w:after="260" w:line="413" w:lineRule="auto"/>
    </w:pPr>
    <w:rPr>
      <w:rFonts w:ascii="黑体" w:hAnsi="Arial"/>
      <w:b w:val="0"/>
      <w:bCs/>
      <w:kern w:val="0"/>
      <w:sz w:val="24"/>
      <w:szCs w:val="24"/>
    </w:rPr>
  </w:style>
  <w:style w:type="character" w:customStyle="1" w:styleId="83">
    <w:name w:val="heading 7 Char1"/>
    <w:autoRedefine/>
    <w:qFormat/>
    <w:uiPriority w:val="0"/>
    <w:rPr>
      <w:rFonts w:ascii="Arial" w:hAnsi="Arial" w:eastAsia="黑体"/>
      <w:sz w:val="21"/>
      <w:szCs w:val="21"/>
      <w:lang w:val="en-US" w:eastAsia="zh-CN" w:bidi="ar-SA"/>
    </w:rPr>
  </w:style>
  <w:style w:type="character" w:customStyle="1" w:styleId="84">
    <w:name w:val="Char Char1"/>
    <w:autoRedefine/>
    <w:qFormat/>
    <w:uiPriority w:val="0"/>
    <w:rPr>
      <w:rFonts w:eastAsia="宋体"/>
      <w:sz w:val="21"/>
      <w:lang w:val="en-US" w:eastAsia="zh-CN" w:bidi="ar-SA"/>
    </w:rPr>
  </w:style>
  <w:style w:type="character" w:customStyle="1" w:styleId="85">
    <w:name w:val="Char Char12"/>
    <w:autoRedefine/>
    <w:qFormat/>
    <w:uiPriority w:val="0"/>
    <w:rPr>
      <w:rFonts w:eastAsia="宋体"/>
      <w:kern w:val="2"/>
      <w:sz w:val="21"/>
      <w:szCs w:val="24"/>
      <w:lang w:val="en-US" w:eastAsia="zh-CN" w:bidi="ar-SA"/>
    </w:rPr>
  </w:style>
  <w:style w:type="character" w:customStyle="1" w:styleId="86">
    <w:name w:val="Char Char18"/>
    <w:autoRedefine/>
    <w:qFormat/>
    <w:uiPriority w:val="0"/>
    <w:rPr>
      <w:b/>
      <w:bCs/>
      <w:kern w:val="2"/>
      <w:sz w:val="32"/>
      <w:szCs w:val="32"/>
    </w:rPr>
  </w:style>
  <w:style w:type="character" w:customStyle="1" w:styleId="87">
    <w:name w:val="Char Char4"/>
    <w:autoRedefine/>
    <w:qFormat/>
    <w:uiPriority w:val="0"/>
    <w:rPr>
      <w:rFonts w:ascii="Cambria" w:hAnsi="Cambria" w:eastAsia="宋体"/>
      <w:b/>
      <w:bCs/>
      <w:sz w:val="32"/>
      <w:szCs w:val="32"/>
      <w:lang w:bidi="ar-SA"/>
    </w:rPr>
  </w:style>
  <w:style w:type="character" w:customStyle="1" w:styleId="88">
    <w:name w:val="PI Char"/>
    <w:autoRedefine/>
    <w:qFormat/>
    <w:uiPriority w:val="0"/>
    <w:rPr>
      <w:rFonts w:ascii="宋体" w:hAnsi="宋体"/>
      <w:sz w:val="24"/>
    </w:rPr>
  </w:style>
  <w:style w:type="character" w:customStyle="1" w:styleId="89">
    <w:name w:val="明显参考2"/>
    <w:autoRedefine/>
    <w:qFormat/>
    <w:uiPriority w:val="0"/>
    <w:rPr>
      <w:b/>
      <w:bCs/>
      <w:smallCaps/>
      <w:color w:val="C0504D"/>
      <w:spacing w:val="5"/>
      <w:u w:val="single"/>
    </w:rPr>
  </w:style>
  <w:style w:type="character" w:customStyle="1" w:styleId="90">
    <w:name w:val="批注文字 Char"/>
    <w:link w:val="18"/>
    <w:autoRedefine/>
    <w:qFormat/>
    <w:uiPriority w:val="0"/>
    <w:rPr>
      <w:rFonts w:eastAsia="宋体"/>
      <w:kern w:val="2"/>
      <w:sz w:val="21"/>
      <w:szCs w:val="24"/>
      <w:lang w:val="en-US" w:eastAsia="zh-CN" w:bidi="ar-SA"/>
    </w:rPr>
  </w:style>
  <w:style w:type="character" w:customStyle="1" w:styleId="91">
    <w:name w:val="Style2"/>
    <w:autoRedefine/>
    <w:qFormat/>
    <w:uiPriority w:val="0"/>
    <w:rPr>
      <w:rFonts w:ascii="Calibri" w:hAnsi="宋体" w:eastAsia="宋体" w:cs="Times New Roman"/>
      <w:sz w:val="22"/>
      <w:szCs w:val="22"/>
      <w:lang w:eastAsia="zh-CN"/>
    </w:rPr>
  </w:style>
  <w:style w:type="character" w:customStyle="1" w:styleId="92">
    <w:name w:val="Footer-Even Char1"/>
    <w:autoRedefine/>
    <w:qFormat/>
    <w:uiPriority w:val="0"/>
    <w:rPr>
      <w:rFonts w:eastAsia="宋体"/>
      <w:kern w:val="2"/>
      <w:sz w:val="18"/>
      <w:szCs w:val="18"/>
      <w:lang w:val="en-US" w:eastAsia="zh-CN" w:bidi="ar-SA"/>
    </w:rPr>
  </w:style>
  <w:style w:type="character" w:customStyle="1" w:styleId="93">
    <w:name w:val="heading 4 Char1"/>
    <w:autoRedefine/>
    <w:qFormat/>
    <w:uiPriority w:val="0"/>
    <w:rPr>
      <w:rFonts w:ascii="Cambria" w:hAnsi="Cambria" w:eastAsia="宋体"/>
      <w:b/>
      <w:bCs/>
      <w:kern w:val="2"/>
      <w:sz w:val="28"/>
      <w:szCs w:val="28"/>
      <w:lang w:val="en-US" w:eastAsia="zh-CN" w:bidi="ar-SA"/>
    </w:rPr>
  </w:style>
  <w:style w:type="character" w:customStyle="1" w:styleId="94">
    <w:name w:val="正文文本 3 Char"/>
    <w:basedOn w:val="54"/>
    <w:link w:val="20"/>
    <w:autoRedefine/>
    <w:qFormat/>
    <w:uiPriority w:val="0"/>
  </w:style>
  <w:style w:type="character" w:customStyle="1" w:styleId="95">
    <w:name w:val="批注主题 Char"/>
    <w:link w:val="51"/>
    <w:autoRedefine/>
    <w:qFormat/>
    <w:uiPriority w:val="0"/>
    <w:rPr>
      <w:rFonts w:eastAsia="宋体"/>
      <w:b/>
      <w:bCs/>
      <w:kern w:val="2"/>
      <w:sz w:val="21"/>
      <w:szCs w:val="24"/>
      <w:lang w:val="en-US" w:eastAsia="zh-CN" w:bidi="ar-SA"/>
    </w:rPr>
  </w:style>
  <w:style w:type="character" w:customStyle="1" w:styleId="96">
    <w:name w:val="不明显参考11"/>
    <w:autoRedefine/>
    <w:qFormat/>
    <w:uiPriority w:val="0"/>
    <w:rPr>
      <w:smallCaps/>
      <w:color w:val="C0504D"/>
      <w:u w:val="single"/>
    </w:rPr>
  </w:style>
  <w:style w:type="character" w:customStyle="1" w:styleId="97">
    <w:name w:val="Plain Text Char"/>
    <w:autoRedefine/>
    <w:qFormat/>
    <w:uiPriority w:val="0"/>
    <w:rPr>
      <w:rFonts w:ascii="宋体" w:hAnsi="Courier New" w:eastAsia="宋体" w:cs="Times New Roman"/>
      <w:sz w:val="21"/>
      <w:szCs w:val="21"/>
    </w:rPr>
  </w:style>
  <w:style w:type="character" w:customStyle="1" w:styleId="98">
    <w:name w:val="Char Char111"/>
    <w:autoRedefine/>
    <w:qFormat/>
    <w:uiPriority w:val="0"/>
    <w:rPr>
      <w:rFonts w:ascii="Times New Roman" w:hAnsi="Times New Roman" w:eastAsia="宋体" w:cs="Times New Roman"/>
      <w:sz w:val="18"/>
      <w:szCs w:val="18"/>
    </w:rPr>
  </w:style>
  <w:style w:type="character" w:customStyle="1" w:styleId="99">
    <w:name w:val="无间距字符"/>
    <w:link w:val="100"/>
    <w:autoRedefine/>
    <w:qFormat/>
    <w:uiPriority w:val="0"/>
    <w:rPr>
      <w:rFonts w:eastAsia="Times New Roman"/>
      <w:sz w:val="22"/>
      <w:szCs w:val="22"/>
      <w:lang w:val="en-US" w:eastAsia="zh-CN" w:bidi="ar-SA"/>
    </w:rPr>
  </w:style>
  <w:style w:type="paragraph" w:customStyle="1" w:styleId="100">
    <w:name w:val="无间距"/>
    <w:link w:val="99"/>
    <w:autoRedefine/>
    <w:qFormat/>
    <w:uiPriority w:val="0"/>
    <w:rPr>
      <w:rFonts w:ascii="Times New Roman" w:hAnsi="Times New Roman" w:eastAsia="Times New Roman" w:cs="Times New Roman"/>
      <w:sz w:val="22"/>
      <w:szCs w:val="22"/>
      <w:lang w:val="en-US" w:eastAsia="zh-CN" w:bidi="ar-SA"/>
    </w:rPr>
  </w:style>
  <w:style w:type="character" w:customStyle="1" w:styleId="101">
    <w:name w:val="heading 5 Char2"/>
    <w:autoRedefine/>
    <w:qFormat/>
    <w:uiPriority w:val="0"/>
    <w:rPr>
      <w:b/>
      <w:bCs/>
      <w:kern w:val="2"/>
      <w:sz w:val="28"/>
      <w:szCs w:val="28"/>
    </w:rPr>
  </w:style>
  <w:style w:type="character" w:customStyle="1" w:styleId="102">
    <w:name w:val="样式2 Char Char"/>
    <w:link w:val="103"/>
    <w:autoRedefine/>
    <w:qFormat/>
    <w:uiPriority w:val="0"/>
    <w:rPr>
      <w:rFonts w:ascii="宋体" w:hAnsi="宋体" w:eastAsia="宋体"/>
      <w:bCs/>
      <w:kern w:val="2"/>
      <w:sz w:val="28"/>
      <w:szCs w:val="28"/>
      <w:lang w:val="en-US" w:eastAsia="zh-CN" w:bidi="ar-SA"/>
    </w:rPr>
  </w:style>
  <w:style w:type="paragraph" w:customStyle="1" w:styleId="103">
    <w:name w:val="样式2"/>
    <w:basedOn w:val="4"/>
    <w:link w:val="102"/>
    <w:autoRedefine/>
    <w:qFormat/>
    <w:uiPriority w:val="0"/>
    <w:pPr>
      <w:keepLines/>
      <w:snapToGrid w:val="0"/>
      <w:spacing w:before="260" w:afterLines="50" w:line="480" w:lineRule="exact"/>
      <w:ind w:firstLine="556"/>
    </w:pPr>
    <w:rPr>
      <w:rFonts w:ascii="宋体" w:hAnsi="宋体"/>
      <w:b w:val="0"/>
      <w:bCs/>
      <w:szCs w:val="28"/>
    </w:rPr>
  </w:style>
  <w:style w:type="character" w:customStyle="1" w:styleId="104">
    <w:name w:val="正文缩进 Char"/>
    <w:link w:val="9"/>
    <w:autoRedefine/>
    <w:qFormat/>
    <w:uiPriority w:val="0"/>
    <w:rPr>
      <w:rFonts w:ascii="仿宋_GB2312" w:eastAsia="宋体"/>
      <w:b/>
      <w:sz w:val="21"/>
      <w:szCs w:val="32"/>
      <w:lang w:val="en-US" w:eastAsia="zh-CN" w:bidi="ar-SA"/>
    </w:rPr>
  </w:style>
  <w:style w:type="character" w:customStyle="1" w:styleId="105">
    <w:name w:val="heading 2 Char1"/>
    <w:autoRedefine/>
    <w:qFormat/>
    <w:uiPriority w:val="0"/>
    <w:rPr>
      <w:rFonts w:ascii="Cambria" w:hAnsi="Cambria" w:eastAsia="宋体"/>
      <w:b/>
      <w:bCs/>
      <w:kern w:val="2"/>
      <w:sz w:val="32"/>
      <w:szCs w:val="32"/>
      <w:lang w:val="en-US" w:eastAsia="zh-CN" w:bidi="ar-SA"/>
    </w:rPr>
  </w:style>
  <w:style w:type="character" w:customStyle="1" w:styleId="106">
    <w:name w:val="heading 3 Char1"/>
    <w:autoRedefine/>
    <w:qFormat/>
    <w:uiPriority w:val="0"/>
    <w:rPr>
      <w:rFonts w:eastAsia="宋体"/>
      <w:b/>
      <w:bCs/>
      <w:kern w:val="2"/>
      <w:sz w:val="32"/>
      <w:szCs w:val="32"/>
      <w:lang w:val="en-US" w:eastAsia="zh-CN" w:bidi="ar-SA"/>
    </w:rPr>
  </w:style>
  <w:style w:type="character" w:customStyle="1" w:styleId="107">
    <w:name w:val="Char Char15"/>
    <w:autoRedefine/>
    <w:qFormat/>
    <w:uiPriority w:val="0"/>
    <w:rPr>
      <w:rFonts w:ascii="Arial" w:hAnsi="Arial" w:eastAsia="黑体"/>
      <w:sz w:val="24"/>
      <w:szCs w:val="24"/>
    </w:rPr>
  </w:style>
  <w:style w:type="character" w:customStyle="1" w:styleId="108">
    <w:name w:val="heading 1 Char"/>
    <w:autoRedefine/>
    <w:qFormat/>
    <w:uiPriority w:val="0"/>
    <w:rPr>
      <w:rFonts w:ascii="Arial" w:hAnsi="Arial" w:eastAsia="黑体"/>
      <w:b/>
      <w:sz w:val="36"/>
      <w:szCs w:val="36"/>
    </w:rPr>
  </w:style>
  <w:style w:type="character" w:customStyle="1" w:styleId="109">
    <w:name w:val="ändrad Char"/>
    <w:autoRedefine/>
    <w:qFormat/>
    <w:uiPriority w:val="0"/>
    <w:rPr>
      <w:rFonts w:eastAsia="宋体"/>
      <w:kern w:val="2"/>
      <w:sz w:val="21"/>
      <w:szCs w:val="24"/>
      <w:lang w:val="en-US" w:eastAsia="zh-CN" w:bidi="ar-SA"/>
    </w:rPr>
  </w:style>
  <w:style w:type="character" w:customStyle="1" w:styleId="110">
    <w:name w:val="标题 Char"/>
    <w:link w:val="50"/>
    <w:autoRedefine/>
    <w:qFormat/>
    <w:uiPriority w:val="0"/>
    <w:rPr>
      <w:rFonts w:ascii="Cambria" w:hAnsi="Cambria" w:eastAsia="宋体"/>
      <w:b/>
      <w:bCs/>
      <w:kern w:val="2"/>
      <w:sz w:val="32"/>
      <w:szCs w:val="32"/>
      <w:lang w:val="en-US" w:eastAsia="zh-CN" w:bidi="ar-SA"/>
    </w:rPr>
  </w:style>
  <w:style w:type="character" w:customStyle="1" w:styleId="111">
    <w:name w:val="Char Char22"/>
    <w:autoRedefine/>
    <w:qFormat/>
    <w:uiPriority w:val="0"/>
    <w:rPr>
      <w:rFonts w:ascii="Arial" w:hAnsi="Arial" w:eastAsia="黑体"/>
      <w:b/>
      <w:bCs/>
      <w:kern w:val="44"/>
      <w:sz w:val="30"/>
      <w:szCs w:val="44"/>
      <w:lang w:val="en-US" w:eastAsia="zh-CN" w:bidi="ar-SA"/>
    </w:rPr>
  </w:style>
  <w:style w:type="character" w:customStyle="1" w:styleId="112">
    <w:name w:val="blue1"/>
    <w:basedOn w:val="54"/>
    <w:autoRedefine/>
    <w:qFormat/>
    <w:uiPriority w:val="0"/>
  </w:style>
  <w:style w:type="character" w:customStyle="1" w:styleId="113">
    <w:name w:val="样式 宋体"/>
    <w:autoRedefine/>
    <w:qFormat/>
    <w:uiPriority w:val="0"/>
    <w:rPr>
      <w:rFonts w:ascii="宋体" w:hAnsi="宋体" w:eastAsia="宋体"/>
      <w:sz w:val="24"/>
      <w:szCs w:val="24"/>
    </w:rPr>
  </w:style>
  <w:style w:type="character" w:customStyle="1" w:styleId="114">
    <w:name w:val="dandyren_title1"/>
    <w:autoRedefine/>
    <w:qFormat/>
    <w:uiPriority w:val="0"/>
    <w:rPr>
      <w:b/>
      <w:bCs/>
      <w:color w:val="FF6633"/>
      <w:sz w:val="18"/>
      <w:szCs w:val="18"/>
    </w:rPr>
  </w:style>
  <w:style w:type="character" w:customStyle="1" w:styleId="115">
    <w:name w:val="font21"/>
    <w:basedOn w:val="54"/>
    <w:autoRedefine/>
    <w:qFormat/>
    <w:uiPriority w:val="0"/>
    <w:rPr>
      <w:rFonts w:ascii="Wingdings 2" w:hAnsi="Wingdings 2" w:eastAsia="Wingdings 2" w:cs="Wingdings 2"/>
      <w:b/>
      <w:color w:val="000000"/>
      <w:sz w:val="20"/>
      <w:szCs w:val="20"/>
      <w:u w:val="none"/>
    </w:rPr>
  </w:style>
  <w:style w:type="character" w:customStyle="1" w:styleId="116">
    <w:name w:val="Ò³Ã¼ Char Char1"/>
    <w:autoRedefine/>
    <w:qFormat/>
    <w:uiPriority w:val="0"/>
    <w:rPr>
      <w:rFonts w:eastAsia="宋体"/>
      <w:kern w:val="2"/>
      <w:sz w:val="18"/>
      <w:szCs w:val="18"/>
      <w:lang w:val="en-US" w:eastAsia="zh-CN" w:bidi="ar-SA"/>
    </w:rPr>
  </w:style>
  <w:style w:type="character" w:customStyle="1" w:styleId="117">
    <w:name w:val="宏文本 Char"/>
    <w:link w:val="2"/>
    <w:autoRedefine/>
    <w:qFormat/>
    <w:uiPriority w:val="0"/>
    <w:rPr>
      <w:rFonts w:ascii="Courier New" w:hAnsi="Courier New" w:eastAsia="Times New Roman"/>
      <w:kern w:val="2"/>
      <w:sz w:val="24"/>
      <w:szCs w:val="24"/>
      <w:lang w:val="en-US" w:eastAsia="zh-CN" w:bidi="ar-SA"/>
    </w:rPr>
  </w:style>
  <w:style w:type="character" w:customStyle="1" w:styleId="118">
    <w:name w:val="Footer-Even Char"/>
    <w:autoRedefine/>
    <w:qFormat/>
    <w:uiPriority w:val="0"/>
    <w:rPr>
      <w:sz w:val="18"/>
      <w:szCs w:val="18"/>
    </w:rPr>
  </w:style>
  <w:style w:type="character" w:customStyle="1" w:styleId="119">
    <w:name w:val="页脚 Char"/>
    <w:link w:val="37"/>
    <w:autoRedefine/>
    <w:qFormat/>
    <w:uiPriority w:val="0"/>
    <w:rPr>
      <w:rFonts w:eastAsia="宋体"/>
      <w:kern w:val="2"/>
      <w:sz w:val="18"/>
      <w:szCs w:val="18"/>
      <w:lang w:val="en-US" w:eastAsia="zh-CN" w:bidi="ar-SA"/>
    </w:rPr>
  </w:style>
  <w:style w:type="character" w:customStyle="1" w:styleId="120">
    <w:name w:val="style111"/>
    <w:autoRedefine/>
    <w:qFormat/>
    <w:uiPriority w:val="0"/>
    <w:rPr>
      <w:sz w:val="27"/>
      <w:szCs w:val="27"/>
    </w:rPr>
  </w:style>
  <w:style w:type="character" w:customStyle="1" w:styleId="121">
    <w:name w:val="PI Char2"/>
    <w:autoRedefine/>
    <w:qFormat/>
    <w:uiPriority w:val="0"/>
    <w:rPr>
      <w:kern w:val="2"/>
      <w:sz w:val="24"/>
      <w:szCs w:val="24"/>
    </w:rPr>
  </w:style>
  <w:style w:type="character" w:customStyle="1" w:styleId="122">
    <w:name w:val="gray6"/>
    <w:basedOn w:val="54"/>
    <w:autoRedefine/>
    <w:qFormat/>
    <w:uiPriority w:val="0"/>
  </w:style>
  <w:style w:type="character" w:customStyle="1" w:styleId="123">
    <w:name w:val="Char Char Char1"/>
    <w:autoRedefine/>
    <w:qFormat/>
    <w:uiPriority w:val="0"/>
    <w:rPr>
      <w:rFonts w:ascii="宋体" w:hAnsi="Courier New"/>
      <w:sz w:val="21"/>
      <w:szCs w:val="21"/>
    </w:rPr>
  </w:style>
  <w:style w:type="character" w:customStyle="1" w:styleId="124">
    <w:name w:val="Char Char121"/>
    <w:autoRedefine/>
    <w:qFormat/>
    <w:uiPriority w:val="0"/>
    <w:rPr>
      <w:rFonts w:eastAsia="宋体"/>
      <w:kern w:val="2"/>
      <w:sz w:val="21"/>
      <w:szCs w:val="24"/>
      <w:lang w:val="en-US" w:eastAsia="zh-CN" w:bidi="ar-SA"/>
    </w:rPr>
  </w:style>
  <w:style w:type="character" w:customStyle="1" w:styleId="125">
    <w:name w:val="Char Char Char Char Char Char Char Char Char"/>
    <w:autoRedefine/>
    <w:qFormat/>
    <w:uiPriority w:val="0"/>
    <w:rPr>
      <w:rFonts w:ascii="宋体" w:hAnsi="Courier New" w:eastAsia="宋体"/>
      <w:sz w:val="21"/>
      <w:szCs w:val="21"/>
      <w:lang w:val="en-US" w:eastAsia="zh-CN" w:bidi="ar-SA"/>
    </w:rPr>
  </w:style>
  <w:style w:type="character" w:customStyle="1" w:styleId="126">
    <w:name w:val="heading 4 Char2"/>
    <w:autoRedefine/>
    <w:qFormat/>
    <w:uiPriority w:val="0"/>
    <w:rPr>
      <w:rFonts w:ascii="Cambria" w:hAnsi="Cambria"/>
      <w:b/>
      <w:bCs/>
      <w:kern w:val="2"/>
      <w:sz w:val="28"/>
      <w:szCs w:val="28"/>
    </w:rPr>
  </w:style>
  <w:style w:type="character" w:customStyle="1" w:styleId="127">
    <w:name w:val="heading 3 Char"/>
    <w:autoRedefine/>
    <w:qFormat/>
    <w:uiPriority w:val="0"/>
    <w:rPr>
      <w:rFonts w:ascii="Arial" w:hAnsi="Arial" w:eastAsia="黑体"/>
      <w:sz w:val="28"/>
      <w:szCs w:val="24"/>
    </w:rPr>
  </w:style>
  <w:style w:type="character" w:customStyle="1" w:styleId="128">
    <w:name w:val="标题 1 Char"/>
    <w:link w:val="3"/>
    <w:autoRedefine/>
    <w:qFormat/>
    <w:uiPriority w:val="0"/>
    <w:rPr>
      <w:rFonts w:eastAsia="黑体"/>
      <w:b/>
      <w:kern w:val="2"/>
      <w:sz w:val="32"/>
      <w:lang w:val="en-US" w:eastAsia="zh-CN" w:bidi="ar-SA"/>
    </w:rPr>
  </w:style>
  <w:style w:type="character" w:customStyle="1" w:styleId="129">
    <w:name w:val="Char Char16"/>
    <w:autoRedefine/>
    <w:qFormat/>
    <w:uiPriority w:val="0"/>
    <w:rPr>
      <w:b/>
      <w:bCs/>
      <w:kern w:val="2"/>
      <w:sz w:val="28"/>
      <w:szCs w:val="28"/>
    </w:rPr>
  </w:style>
  <w:style w:type="character" w:customStyle="1" w:styleId="130">
    <w:name w:val="文档结构图 Char"/>
    <w:link w:val="17"/>
    <w:autoRedefine/>
    <w:qFormat/>
    <w:uiPriority w:val="0"/>
    <w:rPr>
      <w:rFonts w:eastAsia="宋体"/>
      <w:kern w:val="2"/>
      <w:sz w:val="21"/>
      <w:szCs w:val="24"/>
      <w:lang w:val="en-US" w:eastAsia="zh-CN" w:bidi="ar-SA"/>
    </w:rPr>
  </w:style>
  <w:style w:type="character" w:customStyle="1" w:styleId="131">
    <w:name w:val="标题 5 Char"/>
    <w:link w:val="7"/>
    <w:autoRedefine/>
    <w:qFormat/>
    <w:uiPriority w:val="0"/>
    <w:rPr>
      <w:rFonts w:eastAsia="宋体"/>
      <w:b/>
      <w:bCs/>
      <w:sz w:val="28"/>
      <w:szCs w:val="28"/>
      <w:lang w:bidi="ar-SA"/>
    </w:rPr>
  </w:style>
  <w:style w:type="character" w:customStyle="1" w:styleId="132">
    <w:name w:val="日期 Char"/>
    <w:link w:val="34"/>
    <w:autoRedefine/>
    <w:qFormat/>
    <w:uiPriority w:val="0"/>
    <w:rPr>
      <w:rFonts w:eastAsia="宋体"/>
      <w:kern w:val="2"/>
      <w:sz w:val="21"/>
      <w:szCs w:val="24"/>
      <w:lang w:val="en-US" w:eastAsia="zh-CN" w:bidi="ar-SA"/>
    </w:rPr>
  </w:style>
  <w:style w:type="character" w:customStyle="1" w:styleId="133">
    <w:name w:val="副标题 Char"/>
    <w:link w:val="42"/>
    <w:autoRedefine/>
    <w:qFormat/>
    <w:uiPriority w:val="0"/>
    <w:rPr>
      <w:rFonts w:ascii="Cambria" w:hAnsi="Cambria" w:eastAsia="宋体"/>
      <w:b/>
      <w:bCs/>
      <w:kern w:val="28"/>
      <w:sz w:val="32"/>
      <w:szCs w:val="32"/>
      <w:lang w:val="en-US" w:eastAsia="zh-CN" w:bidi="ar-SA"/>
    </w:rPr>
  </w:style>
  <w:style w:type="character" w:customStyle="1" w:styleId="134">
    <w:name w:val="页眉 Char"/>
    <w:link w:val="38"/>
    <w:autoRedefine/>
    <w:qFormat/>
    <w:uiPriority w:val="0"/>
    <w:rPr>
      <w:rFonts w:eastAsia="宋体"/>
      <w:kern w:val="2"/>
      <w:sz w:val="18"/>
      <w:szCs w:val="18"/>
      <w:lang w:val="en-US" w:eastAsia="zh-CN" w:bidi="ar-SA"/>
    </w:rPr>
  </w:style>
  <w:style w:type="character" w:customStyle="1" w:styleId="135">
    <w:name w:val="style13"/>
    <w:basedOn w:val="54"/>
    <w:autoRedefine/>
    <w:qFormat/>
    <w:uiPriority w:val="0"/>
  </w:style>
  <w:style w:type="character" w:customStyle="1" w:styleId="136">
    <w:name w:val="textcolor1"/>
    <w:autoRedefine/>
    <w:qFormat/>
    <w:uiPriority w:val="0"/>
    <w:rPr>
      <w:rFonts w:ascii="仿宋_GB2312" w:eastAsia="仿宋_GB2312"/>
      <w:b/>
      <w:color w:val="FF6600"/>
      <w:sz w:val="32"/>
      <w:szCs w:val="32"/>
    </w:rPr>
  </w:style>
  <w:style w:type="character" w:customStyle="1" w:styleId="137">
    <w:name w:val="Table Text Char Char"/>
    <w:link w:val="138"/>
    <w:autoRedefine/>
    <w:qFormat/>
    <w:uiPriority w:val="0"/>
    <w:rPr>
      <w:sz w:val="21"/>
      <w:lang w:val="en-US" w:eastAsia="en-US" w:bidi="ar-SA"/>
    </w:rPr>
  </w:style>
  <w:style w:type="paragraph" w:customStyle="1" w:styleId="138">
    <w:name w:val="Table Text"/>
    <w:basedOn w:val="1"/>
    <w:link w:val="137"/>
    <w:autoRedefine/>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39">
    <w:name w:val="Ò³Ã¼ Char Char"/>
    <w:autoRedefine/>
    <w:qFormat/>
    <w:uiPriority w:val="0"/>
    <w:rPr>
      <w:sz w:val="18"/>
      <w:szCs w:val="18"/>
    </w:rPr>
  </w:style>
  <w:style w:type="character" w:customStyle="1" w:styleId="140">
    <w:name w:val="heading 2 Char2"/>
    <w:autoRedefine/>
    <w:qFormat/>
    <w:uiPriority w:val="0"/>
    <w:rPr>
      <w:rFonts w:ascii="Cambria" w:hAnsi="Cambria"/>
      <w:b/>
      <w:bCs/>
      <w:kern w:val="2"/>
      <w:sz w:val="32"/>
      <w:szCs w:val="32"/>
    </w:rPr>
  </w:style>
  <w:style w:type="character" w:customStyle="1" w:styleId="141">
    <w:name w:val="书籍标题11"/>
    <w:autoRedefine/>
    <w:qFormat/>
    <w:uiPriority w:val="0"/>
    <w:rPr>
      <w:b/>
      <w:bCs/>
      <w:smallCaps/>
      <w:spacing w:val="5"/>
    </w:rPr>
  </w:style>
  <w:style w:type="character" w:customStyle="1" w:styleId="142">
    <w:name w:val="Char Char21"/>
    <w:autoRedefine/>
    <w:qFormat/>
    <w:uiPriority w:val="0"/>
    <w:rPr>
      <w:rFonts w:ascii="Times New Roman" w:hAnsi="Times New Roman" w:eastAsia="宋体" w:cs="Times New Roman"/>
      <w:b/>
      <w:bCs/>
      <w:kern w:val="44"/>
      <w:sz w:val="44"/>
      <w:szCs w:val="44"/>
    </w:rPr>
  </w:style>
  <w:style w:type="character" w:customStyle="1" w:styleId="143">
    <w:name w:val="正文文本缩进 Char"/>
    <w:link w:val="24"/>
    <w:autoRedefine/>
    <w:qFormat/>
    <w:uiPriority w:val="0"/>
    <w:rPr>
      <w:rFonts w:eastAsia="宋体"/>
      <w:kern w:val="2"/>
      <w:sz w:val="24"/>
      <w:szCs w:val="24"/>
      <w:lang w:val="en-US" w:eastAsia="zh-CN" w:bidi="ar-SA"/>
    </w:rPr>
  </w:style>
  <w:style w:type="character" w:customStyle="1" w:styleId="144">
    <w:name w:val="不明显强调1"/>
    <w:autoRedefine/>
    <w:qFormat/>
    <w:uiPriority w:val="0"/>
    <w:rPr>
      <w:i/>
      <w:iCs/>
      <w:color w:val="808080"/>
    </w:rPr>
  </w:style>
  <w:style w:type="character" w:customStyle="1" w:styleId="145">
    <w:name w:val="正文文本缩进 3 Char"/>
    <w:link w:val="45"/>
    <w:autoRedefine/>
    <w:qFormat/>
    <w:uiPriority w:val="0"/>
    <w:rPr>
      <w:rFonts w:eastAsia="宋体"/>
      <w:kern w:val="2"/>
      <w:sz w:val="24"/>
      <w:szCs w:val="24"/>
      <w:lang w:val="en-US" w:eastAsia="zh-CN" w:bidi="ar-SA"/>
    </w:rPr>
  </w:style>
  <w:style w:type="character" w:customStyle="1" w:styleId="146">
    <w:name w:val="heading 5 Char"/>
    <w:autoRedefine/>
    <w:qFormat/>
    <w:uiPriority w:val="0"/>
    <w:rPr>
      <w:rFonts w:ascii="Arial" w:hAnsi="Arial" w:eastAsia="黑体"/>
      <w:sz w:val="21"/>
      <w:szCs w:val="21"/>
    </w:rPr>
  </w:style>
  <w:style w:type="character" w:customStyle="1" w:styleId="147">
    <w:name w:val="Style3"/>
    <w:autoRedefine/>
    <w:qFormat/>
    <w:uiPriority w:val="0"/>
    <w:rPr>
      <w:rFonts w:ascii="Calibri" w:hAnsi="宋体" w:eastAsia="宋体" w:cs="Times New Roman"/>
      <w:szCs w:val="22"/>
      <w:lang w:eastAsia="zh-CN"/>
    </w:rPr>
  </w:style>
  <w:style w:type="character" w:customStyle="1" w:styleId="148">
    <w:name w:val="标题 4 Char"/>
    <w:link w:val="6"/>
    <w:autoRedefine/>
    <w:qFormat/>
    <w:uiPriority w:val="0"/>
    <w:rPr>
      <w:rFonts w:eastAsia="宋体"/>
      <w:kern w:val="2"/>
      <w:sz w:val="28"/>
      <w:szCs w:val="28"/>
      <w:lang w:val="en-US" w:eastAsia="zh-CN" w:bidi="ar-SA"/>
    </w:rPr>
  </w:style>
  <w:style w:type="character" w:customStyle="1" w:styleId="149">
    <w:name w:val="Char Char241"/>
    <w:autoRedefine/>
    <w:qFormat/>
    <w:uiPriority w:val="0"/>
    <w:rPr>
      <w:rFonts w:eastAsia="宋体"/>
      <w:b/>
      <w:kern w:val="2"/>
      <w:sz w:val="28"/>
      <w:lang w:val="en-US" w:eastAsia="zh-CN" w:bidi="ar-SA"/>
    </w:rPr>
  </w:style>
  <w:style w:type="character" w:customStyle="1" w:styleId="150">
    <w:name w:val="批注框文本 Char"/>
    <w:link w:val="36"/>
    <w:autoRedefine/>
    <w:qFormat/>
    <w:uiPriority w:val="0"/>
    <w:rPr>
      <w:rFonts w:eastAsia="宋体"/>
      <w:kern w:val="2"/>
      <w:sz w:val="18"/>
      <w:szCs w:val="18"/>
      <w:lang w:val="en-US" w:eastAsia="zh-CN" w:bidi="ar-SA"/>
    </w:rPr>
  </w:style>
  <w:style w:type="character" w:customStyle="1" w:styleId="151">
    <w:name w:val="标题 3 Char"/>
    <w:link w:val="5"/>
    <w:autoRedefine/>
    <w:qFormat/>
    <w:uiPriority w:val="0"/>
    <w:rPr>
      <w:rFonts w:eastAsia="黑体"/>
      <w:b/>
      <w:kern w:val="2"/>
      <w:sz w:val="28"/>
      <w:lang w:val="en-US" w:eastAsia="zh-CN" w:bidi="ar-SA"/>
    </w:rPr>
  </w:style>
  <w:style w:type="character" w:customStyle="1" w:styleId="152">
    <w:name w:val="明显强调11"/>
    <w:autoRedefine/>
    <w:qFormat/>
    <w:uiPriority w:val="0"/>
    <w:rPr>
      <w:b/>
      <w:bCs/>
      <w:i/>
      <w:iCs/>
      <w:color w:val="4F81BD"/>
    </w:rPr>
  </w:style>
  <w:style w:type="character" w:customStyle="1" w:styleId="153">
    <w:name w:val="签名 Char"/>
    <w:link w:val="39"/>
    <w:autoRedefine/>
    <w:qFormat/>
    <w:uiPriority w:val="0"/>
    <w:rPr>
      <w:rFonts w:ascii="仿宋_GB2312" w:eastAsia="仿宋_GB2312"/>
      <w:b/>
      <w:sz w:val="24"/>
      <w:szCs w:val="32"/>
    </w:rPr>
  </w:style>
  <w:style w:type="character" w:customStyle="1" w:styleId="154">
    <w:name w:val="heading 3 Char2"/>
    <w:autoRedefine/>
    <w:qFormat/>
    <w:uiPriority w:val="0"/>
    <w:rPr>
      <w:b/>
      <w:bCs/>
      <w:kern w:val="2"/>
      <w:sz w:val="32"/>
      <w:szCs w:val="32"/>
    </w:rPr>
  </w:style>
  <w:style w:type="character" w:customStyle="1" w:styleId="155">
    <w:name w:val="style21"/>
    <w:autoRedefine/>
    <w:qFormat/>
    <w:uiPriority w:val="0"/>
    <w:rPr>
      <w:sz w:val="15"/>
      <w:szCs w:val="15"/>
    </w:rPr>
  </w:style>
  <w:style w:type="character" w:customStyle="1" w:styleId="156">
    <w:name w:val="Char Char271"/>
    <w:autoRedefine/>
    <w:qFormat/>
    <w:uiPriority w:val="0"/>
    <w:rPr>
      <w:rFonts w:eastAsia="宋体"/>
      <w:kern w:val="2"/>
      <w:sz w:val="28"/>
      <w:lang w:val="en-US" w:eastAsia="zh-CN" w:bidi="ar-SA"/>
    </w:rPr>
  </w:style>
  <w:style w:type="character" w:customStyle="1" w:styleId="157">
    <w:name w:val="表格 Char Char"/>
    <w:link w:val="158"/>
    <w:autoRedefine/>
    <w:qFormat/>
    <w:uiPriority w:val="0"/>
    <w:rPr>
      <w:rFonts w:ascii="宋体" w:hAnsi="宋体" w:eastAsia="宋体"/>
      <w:lang w:val="en-US" w:eastAsia="zh-CN" w:bidi="ar-SA"/>
    </w:rPr>
  </w:style>
  <w:style w:type="paragraph" w:customStyle="1" w:styleId="158">
    <w:name w:val="表格"/>
    <w:basedOn w:val="1"/>
    <w:link w:val="157"/>
    <w:autoRedefine/>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59">
    <w:name w:val="heading 6 Char1"/>
    <w:autoRedefine/>
    <w:qFormat/>
    <w:uiPriority w:val="0"/>
    <w:rPr>
      <w:rFonts w:ascii="Arial" w:hAnsi="Arial" w:eastAsia="黑体"/>
      <w:kern w:val="2"/>
      <w:sz w:val="24"/>
      <w:szCs w:val="24"/>
      <w:lang w:val="en-US" w:eastAsia="zh-CN" w:bidi="ar-SA"/>
    </w:rPr>
  </w:style>
  <w:style w:type="character" w:customStyle="1" w:styleId="160">
    <w:name w:val="Char Char211"/>
    <w:autoRedefine/>
    <w:qFormat/>
    <w:uiPriority w:val="0"/>
    <w:rPr>
      <w:rFonts w:ascii="Times New Roman" w:hAnsi="Times New Roman" w:eastAsia="宋体" w:cs="Times New Roman"/>
      <w:b/>
      <w:bCs/>
      <w:kern w:val="44"/>
      <w:sz w:val="44"/>
      <w:szCs w:val="44"/>
    </w:rPr>
  </w:style>
  <w:style w:type="character" w:customStyle="1" w:styleId="161">
    <w:name w:val="不明显强调11"/>
    <w:autoRedefine/>
    <w:qFormat/>
    <w:uiPriority w:val="0"/>
    <w:rPr>
      <w:i/>
      <w:iCs/>
      <w:color w:val="808080"/>
    </w:rPr>
  </w:style>
  <w:style w:type="character" w:customStyle="1" w:styleId="162">
    <w:name w:val="标题 9 Char"/>
    <w:link w:val="12"/>
    <w:autoRedefine/>
    <w:qFormat/>
    <w:uiPriority w:val="0"/>
    <w:rPr>
      <w:rFonts w:ascii="Arial" w:hAnsi="Arial" w:eastAsia="黑体"/>
      <w:kern w:val="2"/>
      <w:sz w:val="21"/>
      <w:lang w:val="en-US" w:eastAsia="zh-CN" w:bidi="ar-SA"/>
    </w:rPr>
  </w:style>
  <w:style w:type="character" w:customStyle="1" w:styleId="163">
    <w:name w:val="正文文本 Char"/>
    <w:link w:val="21"/>
    <w:autoRedefine/>
    <w:qFormat/>
    <w:uiPriority w:val="0"/>
    <w:rPr>
      <w:rFonts w:ascii="仿宋_GB2312" w:eastAsia="宋体"/>
      <w:b/>
      <w:kern w:val="2"/>
      <w:sz w:val="21"/>
      <w:szCs w:val="24"/>
      <w:lang w:val="en-US" w:eastAsia="zh-CN" w:bidi="ar-SA"/>
    </w:rPr>
  </w:style>
  <w:style w:type="character" w:customStyle="1" w:styleId="164">
    <w:name w:val="明显引用 Char"/>
    <w:link w:val="165"/>
    <w:autoRedefine/>
    <w:qFormat/>
    <w:uiPriority w:val="0"/>
    <w:rPr>
      <w:rFonts w:ascii="Calibri" w:hAnsi="Calibri" w:eastAsia="宋体"/>
      <w:b/>
      <w:bCs/>
      <w:i/>
      <w:iCs/>
      <w:color w:val="4F81BD"/>
      <w:lang w:val="en-US" w:eastAsia="zh-CN" w:bidi="ar-SA"/>
    </w:rPr>
  </w:style>
  <w:style w:type="paragraph" w:styleId="165">
    <w:name w:val="Intense Quote"/>
    <w:basedOn w:val="1"/>
    <w:next w:val="1"/>
    <w:link w:val="164"/>
    <w:autoRedefine/>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6">
    <w:name w:val="heading 5 Char1"/>
    <w:autoRedefine/>
    <w:qFormat/>
    <w:uiPriority w:val="0"/>
    <w:rPr>
      <w:rFonts w:eastAsia="宋体"/>
      <w:b/>
      <w:bCs/>
      <w:kern w:val="2"/>
      <w:sz w:val="28"/>
      <w:szCs w:val="28"/>
      <w:lang w:val="en-US" w:eastAsia="zh-CN" w:bidi="ar-SA"/>
    </w:rPr>
  </w:style>
  <w:style w:type="character" w:customStyle="1" w:styleId="167">
    <w:name w:val="Texte Char Char"/>
    <w:autoRedefine/>
    <w:qFormat/>
    <w:uiPriority w:val="0"/>
    <w:rPr>
      <w:rFonts w:ascii="宋体" w:hAnsi="Courier New" w:eastAsia="宋体"/>
      <w:sz w:val="21"/>
      <w:szCs w:val="21"/>
      <w:lang w:val="en-US" w:eastAsia="zh-CN" w:bidi="ar-SA"/>
    </w:rPr>
  </w:style>
  <w:style w:type="character" w:customStyle="1" w:styleId="168">
    <w:name w:val="正文1 Char Char"/>
    <w:link w:val="169"/>
    <w:autoRedefine/>
    <w:qFormat/>
    <w:uiPriority w:val="0"/>
    <w:rPr>
      <w:rFonts w:ascii="宋体" w:hAnsi="宋体" w:eastAsia="宋体" w:cs="宋体"/>
      <w:sz w:val="21"/>
      <w:lang w:val="en-US" w:eastAsia="zh-CN" w:bidi="ar-SA"/>
    </w:rPr>
  </w:style>
  <w:style w:type="paragraph" w:customStyle="1" w:styleId="169">
    <w:name w:val="正文1"/>
    <w:basedOn w:val="1"/>
    <w:link w:val="168"/>
    <w:autoRedefine/>
    <w:qFormat/>
    <w:uiPriority w:val="0"/>
    <w:pPr>
      <w:widowControl/>
      <w:spacing w:line="360" w:lineRule="auto"/>
      <w:ind w:left="360" w:firstLine="420"/>
      <w:jc w:val="left"/>
    </w:pPr>
    <w:rPr>
      <w:rFonts w:ascii="宋体" w:hAnsi="宋体" w:cs="宋体"/>
      <w:kern w:val="0"/>
      <w:szCs w:val="20"/>
    </w:rPr>
  </w:style>
  <w:style w:type="character" w:customStyle="1" w:styleId="170">
    <w:name w:val="heading 8 Char1"/>
    <w:autoRedefine/>
    <w:qFormat/>
    <w:uiPriority w:val="0"/>
    <w:rPr>
      <w:rFonts w:ascii="Arial" w:hAnsi="Arial" w:eastAsia="黑体"/>
      <w:sz w:val="24"/>
      <w:lang w:val="en-US" w:eastAsia="zh-CN" w:bidi="ar-SA"/>
    </w:rPr>
  </w:style>
  <w:style w:type="character" w:customStyle="1" w:styleId="171">
    <w:name w:val="heading 9 Char1"/>
    <w:autoRedefine/>
    <w:qFormat/>
    <w:uiPriority w:val="0"/>
    <w:rPr>
      <w:rFonts w:ascii="Arial" w:hAnsi="Arial" w:eastAsia="黑体"/>
      <w:sz w:val="21"/>
      <w:lang w:val="en-US" w:eastAsia="zh-CN" w:bidi="ar-SA"/>
    </w:rPr>
  </w:style>
  <w:style w:type="character" w:customStyle="1" w:styleId="172">
    <w:name w:val="标题 6 Char"/>
    <w:link w:val="8"/>
    <w:autoRedefine/>
    <w:qFormat/>
    <w:uiPriority w:val="0"/>
    <w:rPr>
      <w:rFonts w:ascii="Arial" w:hAnsi="Arial" w:eastAsia="黑体"/>
      <w:b/>
      <w:kern w:val="2"/>
      <w:sz w:val="24"/>
      <w:lang w:val="en-US" w:eastAsia="zh-CN" w:bidi="ar-SA"/>
    </w:rPr>
  </w:style>
  <w:style w:type="character" w:customStyle="1" w:styleId="173">
    <w:name w:val="ändrad Char1"/>
    <w:autoRedefine/>
    <w:qFormat/>
    <w:uiPriority w:val="0"/>
    <w:rPr>
      <w:rFonts w:ascii="仿宋_GB2312" w:eastAsia="宋体"/>
      <w:b/>
      <w:kern w:val="2"/>
      <w:sz w:val="21"/>
      <w:szCs w:val="24"/>
      <w:lang w:val="en-US" w:eastAsia="zh-CN" w:bidi="ar-SA"/>
    </w:rPr>
  </w:style>
  <w:style w:type="character" w:customStyle="1" w:styleId="174">
    <w:name w:val="Char Char41"/>
    <w:autoRedefine/>
    <w:qFormat/>
    <w:uiPriority w:val="0"/>
    <w:rPr>
      <w:rFonts w:ascii="Cambria" w:hAnsi="Cambria" w:eastAsia="宋体"/>
      <w:b/>
      <w:bCs/>
      <w:sz w:val="32"/>
      <w:szCs w:val="32"/>
      <w:lang w:bidi="ar-SA"/>
    </w:rPr>
  </w:style>
  <w:style w:type="character" w:customStyle="1" w:styleId="175">
    <w:name w:val="标题 8 Char"/>
    <w:link w:val="11"/>
    <w:autoRedefine/>
    <w:qFormat/>
    <w:uiPriority w:val="0"/>
    <w:rPr>
      <w:rFonts w:ascii="Arial" w:hAnsi="Arial" w:eastAsia="黑体"/>
      <w:kern w:val="2"/>
      <w:sz w:val="24"/>
      <w:lang w:val="en-US" w:eastAsia="zh-CN" w:bidi="ar-SA"/>
    </w:rPr>
  </w:style>
  <w:style w:type="character" w:customStyle="1" w:styleId="176">
    <w:name w:val="Char Char11"/>
    <w:autoRedefine/>
    <w:qFormat/>
    <w:uiPriority w:val="0"/>
    <w:rPr>
      <w:rFonts w:ascii="Times New Roman" w:hAnsi="Times New Roman" w:eastAsia="宋体" w:cs="Times New Roman"/>
      <w:sz w:val="18"/>
      <w:szCs w:val="18"/>
    </w:rPr>
  </w:style>
  <w:style w:type="character" w:customStyle="1" w:styleId="177">
    <w:name w:val="正文文本缩进 2 Char"/>
    <w:link w:val="35"/>
    <w:autoRedefine/>
    <w:qFormat/>
    <w:uiPriority w:val="0"/>
    <w:rPr>
      <w:rFonts w:eastAsia="宋体"/>
      <w:kern w:val="2"/>
      <w:sz w:val="24"/>
      <w:szCs w:val="24"/>
      <w:lang w:val="en-US" w:eastAsia="zh-CN" w:bidi="ar-SA"/>
    </w:rPr>
  </w:style>
  <w:style w:type="character" w:customStyle="1" w:styleId="178">
    <w:name w:val="Char Char6"/>
    <w:autoRedefine/>
    <w:qFormat/>
    <w:uiPriority w:val="0"/>
    <w:rPr>
      <w:rFonts w:ascii="Times New Roman" w:hAnsi="Times New Roman" w:eastAsia="宋体" w:cs="Times New Roman"/>
      <w:szCs w:val="24"/>
    </w:rPr>
  </w:style>
  <w:style w:type="character" w:customStyle="1" w:styleId="179">
    <w:name w:val="Char Char Char"/>
    <w:autoRedefine/>
    <w:qFormat/>
    <w:uiPriority w:val="0"/>
    <w:rPr>
      <w:rFonts w:ascii="宋体" w:hAnsi="Courier New" w:eastAsia="宋体"/>
      <w:b/>
      <w:sz w:val="21"/>
      <w:szCs w:val="21"/>
      <w:lang w:val="en-US" w:eastAsia="zh-CN" w:bidi="ar-SA"/>
    </w:rPr>
  </w:style>
  <w:style w:type="character" w:customStyle="1" w:styleId="180">
    <w:name w:val="heading 2 Char"/>
    <w:autoRedefine/>
    <w:qFormat/>
    <w:uiPriority w:val="0"/>
    <w:rPr>
      <w:rFonts w:ascii="Arial" w:hAnsi="Arial" w:eastAsia="黑体" w:cs="Times New Roman"/>
      <w:sz w:val="30"/>
      <w:szCs w:val="24"/>
    </w:rPr>
  </w:style>
  <w:style w:type="character" w:customStyle="1" w:styleId="181">
    <w:name w:val="Char Char2"/>
    <w:autoRedefine/>
    <w:qFormat/>
    <w:uiPriority w:val="0"/>
    <w:rPr>
      <w:rFonts w:ascii="Arial" w:hAnsi="Arial" w:eastAsia="黑体"/>
      <w:b/>
      <w:bCs/>
      <w:kern w:val="44"/>
      <w:sz w:val="30"/>
      <w:szCs w:val="44"/>
      <w:lang w:val="en-US" w:eastAsia="zh-CN" w:bidi="ar-SA"/>
    </w:rPr>
  </w:style>
  <w:style w:type="character" w:customStyle="1" w:styleId="182">
    <w:name w:val="Footer-Even Char2"/>
    <w:autoRedefine/>
    <w:qFormat/>
    <w:uiPriority w:val="0"/>
    <w:rPr>
      <w:kern w:val="2"/>
      <w:sz w:val="18"/>
      <w:szCs w:val="18"/>
    </w:rPr>
  </w:style>
  <w:style w:type="character" w:customStyle="1" w:styleId="183">
    <w:name w:val="Char Char17"/>
    <w:autoRedefine/>
    <w:qFormat/>
    <w:uiPriority w:val="0"/>
    <w:rPr>
      <w:rFonts w:ascii="Cambria" w:hAnsi="Cambria"/>
      <w:b/>
      <w:bCs/>
      <w:kern w:val="2"/>
      <w:sz w:val="28"/>
      <w:szCs w:val="28"/>
    </w:rPr>
  </w:style>
  <w:style w:type="character" w:customStyle="1" w:styleId="184">
    <w:name w:val="heading 4 Char"/>
    <w:autoRedefine/>
    <w:qFormat/>
    <w:uiPriority w:val="0"/>
    <w:rPr>
      <w:rFonts w:ascii="Arial" w:hAnsi="Arial" w:eastAsia="黑体" w:cs="Times New Roman"/>
      <w:sz w:val="21"/>
      <w:szCs w:val="21"/>
    </w:rPr>
  </w:style>
  <w:style w:type="character" w:customStyle="1" w:styleId="185">
    <w:name w:val="Char Char20"/>
    <w:autoRedefine/>
    <w:qFormat/>
    <w:uiPriority w:val="0"/>
    <w:rPr>
      <w:b/>
      <w:bCs/>
      <w:kern w:val="44"/>
      <w:sz w:val="44"/>
      <w:szCs w:val="44"/>
    </w:rPr>
  </w:style>
  <w:style w:type="character" w:customStyle="1" w:styleId="186">
    <w:name w:val="heading 1 Char2"/>
    <w:autoRedefine/>
    <w:qFormat/>
    <w:uiPriority w:val="0"/>
    <w:rPr>
      <w:b/>
      <w:bCs/>
      <w:kern w:val="44"/>
      <w:sz w:val="44"/>
      <w:szCs w:val="44"/>
    </w:rPr>
  </w:style>
  <w:style w:type="character" w:customStyle="1" w:styleId="187">
    <w:name w:val="font11"/>
    <w:autoRedefine/>
    <w:qFormat/>
    <w:uiPriority w:val="0"/>
    <w:rPr>
      <w:rFonts w:hint="eastAsia" w:ascii="宋体" w:hAnsi="宋体" w:eastAsia="宋体" w:cs="宋体"/>
      <w:b/>
      <w:color w:val="000000"/>
      <w:sz w:val="20"/>
      <w:szCs w:val="20"/>
      <w:u w:val="none"/>
    </w:rPr>
  </w:style>
  <w:style w:type="character" w:customStyle="1" w:styleId="188">
    <w:name w:val="表正文 Char2"/>
    <w:autoRedefine/>
    <w:qFormat/>
    <w:uiPriority w:val="0"/>
    <w:rPr>
      <w:rFonts w:ascii="Times New Roman" w:hAnsi="Times New Roman" w:eastAsia="宋体" w:cs="Times New Roman"/>
      <w:szCs w:val="24"/>
    </w:rPr>
  </w:style>
  <w:style w:type="character" w:customStyle="1" w:styleId="189">
    <w:name w:val="引用 Char"/>
    <w:link w:val="190"/>
    <w:autoRedefine/>
    <w:qFormat/>
    <w:uiPriority w:val="0"/>
    <w:rPr>
      <w:rFonts w:ascii="Calibri" w:hAnsi="Calibri" w:eastAsia="宋体"/>
      <w:i/>
      <w:iCs/>
      <w:color w:val="000000"/>
      <w:lang w:val="en-US" w:eastAsia="zh-CN" w:bidi="ar-SA"/>
    </w:rPr>
  </w:style>
  <w:style w:type="paragraph" w:styleId="190">
    <w:name w:val="Quote"/>
    <w:basedOn w:val="1"/>
    <w:next w:val="1"/>
    <w:link w:val="189"/>
    <w:autoRedefine/>
    <w:qFormat/>
    <w:uiPriority w:val="0"/>
    <w:rPr>
      <w:rFonts w:ascii="Calibri" w:hAnsi="Calibri"/>
      <w:i/>
      <w:iCs/>
      <w:color w:val="000000"/>
      <w:kern w:val="0"/>
      <w:sz w:val="20"/>
      <w:szCs w:val="20"/>
    </w:rPr>
  </w:style>
  <w:style w:type="character" w:customStyle="1" w:styleId="191">
    <w:name w:val="纯文本 Char"/>
    <w:link w:val="31"/>
    <w:autoRedefine/>
    <w:qFormat/>
    <w:uiPriority w:val="0"/>
    <w:rPr>
      <w:rFonts w:ascii="宋体" w:hAnsi="Courier New" w:eastAsia="宋体"/>
      <w:b/>
      <w:sz w:val="21"/>
      <w:szCs w:val="21"/>
      <w:lang w:val="en-US" w:eastAsia="zh-CN" w:bidi="ar-SA"/>
    </w:rPr>
  </w:style>
  <w:style w:type="character" w:customStyle="1" w:styleId="192">
    <w:name w:val="Char Char19"/>
    <w:autoRedefine/>
    <w:qFormat/>
    <w:uiPriority w:val="0"/>
    <w:rPr>
      <w:rFonts w:ascii="Cambria" w:hAnsi="Cambria"/>
      <w:b/>
      <w:bCs/>
      <w:kern w:val="2"/>
      <w:sz w:val="32"/>
      <w:szCs w:val="32"/>
    </w:rPr>
  </w:style>
  <w:style w:type="character" w:customStyle="1" w:styleId="193">
    <w:name w:val="style41"/>
    <w:autoRedefine/>
    <w:qFormat/>
    <w:uiPriority w:val="0"/>
    <w:rPr>
      <w:color w:val="auto"/>
    </w:rPr>
  </w:style>
  <w:style w:type="character" w:customStyle="1" w:styleId="194">
    <w:name w:val="Char Char201"/>
    <w:autoRedefine/>
    <w:qFormat/>
    <w:uiPriority w:val="0"/>
    <w:rPr>
      <w:rFonts w:ascii="Cambria" w:hAnsi="Cambria" w:eastAsia="宋体" w:cs="Times New Roman"/>
      <w:b/>
      <w:bCs/>
      <w:sz w:val="32"/>
      <w:szCs w:val="32"/>
    </w:rPr>
  </w:style>
  <w:style w:type="character" w:customStyle="1" w:styleId="195">
    <w:name w:val="正文首行缩进 Char"/>
    <w:link w:val="22"/>
    <w:autoRedefine/>
    <w:qFormat/>
    <w:uiPriority w:val="0"/>
    <w:rPr>
      <w:rFonts w:eastAsia="宋体"/>
      <w:lang w:val="en-US" w:eastAsia="zh-CN" w:bidi="ar-SA"/>
    </w:rPr>
  </w:style>
  <w:style w:type="character" w:customStyle="1" w:styleId="196">
    <w:name w:val="smalltxt1"/>
    <w:autoRedefine/>
    <w:qFormat/>
    <w:uiPriority w:val="0"/>
    <w:rPr>
      <w:rFonts w:hint="default" w:ascii="ˎ̥" w:hAnsi="ˎ̥"/>
      <w:sz w:val="24"/>
      <w:szCs w:val="24"/>
    </w:rPr>
  </w:style>
  <w:style w:type="character" w:customStyle="1" w:styleId="197">
    <w:name w:val="正文文本 2 Char"/>
    <w:basedOn w:val="54"/>
    <w:link w:val="48"/>
    <w:autoRedefine/>
    <w:qFormat/>
    <w:uiPriority w:val="0"/>
  </w:style>
  <w:style w:type="paragraph" w:customStyle="1" w:styleId="19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99">
    <w:name w:val="Char Char Char Char"/>
    <w:basedOn w:val="1"/>
    <w:autoRedefine/>
    <w:qFormat/>
    <w:uiPriority w:val="0"/>
    <w:pPr>
      <w:autoSpaceDE w:val="0"/>
      <w:autoSpaceDN w:val="0"/>
      <w:adjustRightInd w:val="0"/>
      <w:jc w:val="left"/>
    </w:pPr>
    <w:rPr>
      <w:rFonts w:ascii="Tahoma" w:hAnsi="Tahoma"/>
      <w:kern w:val="0"/>
      <w:sz w:val="24"/>
      <w:szCs w:val="20"/>
    </w:rPr>
  </w:style>
  <w:style w:type="paragraph" w:customStyle="1" w:styleId="200">
    <w:name w:val="表内文字"/>
    <w:basedOn w:val="1"/>
    <w:autoRedefine/>
    <w:qFormat/>
    <w:uiPriority w:val="0"/>
    <w:pPr>
      <w:spacing w:line="240" w:lineRule="atLeast"/>
      <w:jc w:val="center"/>
    </w:pPr>
    <w:rPr>
      <w:rFonts w:ascii="Arial" w:hAnsi="Arial" w:cs="Arial"/>
      <w:b/>
      <w:bCs/>
    </w:rPr>
  </w:style>
  <w:style w:type="paragraph" w:customStyle="1" w:styleId="201">
    <w:name w:val="列项——（一级）"/>
    <w:autoRedefine/>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2">
    <w:name w:val="Char Char Char Char Char Char Char"/>
    <w:basedOn w:val="1"/>
    <w:autoRedefine/>
    <w:qFormat/>
    <w:uiPriority w:val="0"/>
    <w:rPr>
      <w:rFonts w:ascii="仿宋_GB2312" w:eastAsia="仿宋_GB2312"/>
      <w:b/>
      <w:sz w:val="32"/>
      <w:szCs w:val="32"/>
    </w:rPr>
  </w:style>
  <w:style w:type="paragraph" w:customStyle="1" w:styleId="20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4">
    <w:name w:val="列出段落1"/>
    <w:basedOn w:val="1"/>
    <w:autoRedefine/>
    <w:qFormat/>
    <w:uiPriority w:val="0"/>
    <w:pPr>
      <w:ind w:firstLine="420" w:firstLineChars="200"/>
    </w:pPr>
    <w:rPr>
      <w:szCs w:val="20"/>
    </w:rPr>
  </w:style>
  <w:style w:type="paragraph" w:customStyle="1" w:styleId="205">
    <w:name w:val="一级条标题"/>
    <w:next w:val="1"/>
    <w:autoRedefine/>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6">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7">
    <w:name w:val="技术报告正文"/>
    <w:basedOn w:val="1"/>
    <w:autoRedefine/>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08">
    <w:name w:val="xl8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09">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1">
    <w:name w:val="NICMAN Body Text"/>
    <w:basedOn w:val="1"/>
    <w:next w:val="21"/>
    <w:autoRedefine/>
    <w:qFormat/>
    <w:uiPriority w:val="0"/>
    <w:pPr>
      <w:autoSpaceDE w:val="0"/>
      <w:autoSpaceDN w:val="0"/>
      <w:adjustRightInd w:val="0"/>
      <w:spacing w:after="120"/>
      <w:jc w:val="left"/>
    </w:pPr>
    <w:rPr>
      <w:kern w:val="0"/>
      <w:sz w:val="20"/>
      <w:szCs w:val="20"/>
    </w:rPr>
  </w:style>
  <w:style w:type="paragraph" w:customStyle="1" w:styleId="212">
    <w:name w:val="Char Char Char Char Char Char Char Char Char Char Char Char Char"/>
    <w:basedOn w:val="1"/>
    <w:autoRedefine/>
    <w:qFormat/>
    <w:uiPriority w:val="0"/>
    <w:rPr>
      <w:rFonts w:ascii="Tahoma" w:hAnsi="Tahoma"/>
      <w:sz w:val="24"/>
      <w:szCs w:val="20"/>
    </w:rPr>
  </w:style>
  <w:style w:type="paragraph" w:customStyle="1" w:styleId="213">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4">
    <w:name w:val="正文缩进1"/>
    <w:basedOn w:val="1"/>
    <w:next w:val="24"/>
    <w:autoRedefine/>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5">
    <w:name w:val="Table Heading"/>
    <w:autoRedefine/>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6">
    <w:name w:val="Char Char Char Char1"/>
    <w:basedOn w:val="17"/>
    <w:autoRedefine/>
    <w:qFormat/>
    <w:uiPriority w:val="0"/>
    <w:rPr>
      <w:rFonts w:ascii="Tahoma" w:hAnsi="Tahoma"/>
      <w:sz w:val="24"/>
    </w:rPr>
  </w:style>
  <w:style w:type="paragraph" w:customStyle="1" w:styleId="217">
    <w:name w:val="正文 首行缩进:  2 字符 Char"/>
    <w:basedOn w:val="1"/>
    <w:autoRedefine/>
    <w:qFormat/>
    <w:uiPriority w:val="0"/>
    <w:pPr>
      <w:spacing w:line="360" w:lineRule="auto"/>
      <w:ind w:firstLine="480"/>
    </w:pPr>
    <w:rPr>
      <w:rFonts w:cs="宋体"/>
      <w:sz w:val="24"/>
      <w:szCs w:val="20"/>
    </w:rPr>
  </w:style>
  <w:style w:type="paragraph" w:customStyle="1" w:styleId="218">
    <w:name w:val="样式1"/>
    <w:basedOn w:val="1"/>
    <w:autoRedefine/>
    <w:qFormat/>
    <w:uiPriority w:val="0"/>
    <w:pPr>
      <w:autoSpaceDE w:val="0"/>
      <w:autoSpaceDN w:val="0"/>
      <w:adjustRightInd w:val="0"/>
      <w:spacing w:line="400" w:lineRule="exact"/>
    </w:pPr>
    <w:rPr>
      <w:rFonts w:ascii="宋体" w:cs="宋体"/>
      <w:kern w:val="0"/>
    </w:rPr>
  </w:style>
  <w:style w:type="paragraph" w:customStyle="1" w:styleId="21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0">
    <w:name w:val="小标题"/>
    <w:basedOn w:val="1"/>
    <w:autoRedefine/>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1">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22">
    <w:name w:val="Char Char Char Char Char Char Char Char Char Char"/>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223">
    <w:name w:val="样式"/>
    <w:basedOn w:val="1"/>
    <w:autoRedefine/>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4">
    <w:name w:val="二级条标题"/>
    <w:basedOn w:val="205"/>
    <w:next w:val="1"/>
    <w:autoRedefine/>
    <w:qFormat/>
    <w:uiPriority w:val="0"/>
    <w:pPr>
      <w:tabs>
        <w:tab w:val="left" w:pos="4309"/>
        <w:tab w:val="clear" w:pos="3889"/>
      </w:tabs>
      <w:ind w:left="4309"/>
      <w:outlineLvl w:val="3"/>
    </w:pPr>
  </w:style>
  <w:style w:type="paragraph" w:customStyle="1" w:styleId="225">
    <w:name w:val="正文－恩普"/>
    <w:basedOn w:val="9"/>
    <w:autoRedefine/>
    <w:qFormat/>
    <w:uiPriority w:val="0"/>
    <w:pPr>
      <w:adjustRightInd/>
      <w:spacing w:line="360" w:lineRule="auto"/>
      <w:ind w:firstLine="200" w:firstLineChars="200"/>
      <w:textAlignment w:val="auto"/>
    </w:pPr>
    <w:rPr>
      <w:kern w:val="2"/>
      <w:sz w:val="24"/>
      <w:szCs w:val="24"/>
    </w:rPr>
  </w:style>
  <w:style w:type="paragraph" w:customStyle="1" w:styleId="226">
    <w:name w:val="列表内容"/>
    <w:basedOn w:val="1"/>
    <w:next w:val="1"/>
    <w:autoRedefine/>
    <w:qFormat/>
    <w:uiPriority w:val="0"/>
    <w:pPr>
      <w:widowControl/>
      <w:autoSpaceDE w:val="0"/>
      <w:autoSpaceDN w:val="0"/>
      <w:adjustRightInd w:val="0"/>
      <w:ind w:firstLine="200"/>
      <w:jc w:val="left"/>
    </w:pPr>
    <w:rPr>
      <w:kern w:val="0"/>
      <w:sz w:val="18"/>
      <w:szCs w:val="20"/>
    </w:rPr>
  </w:style>
  <w:style w:type="paragraph" w:customStyle="1" w:styleId="227">
    <w:name w:val="正文（首行缩进）"/>
    <w:basedOn w:val="24"/>
    <w:autoRedefine/>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28">
    <w:name w:val="xl8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29">
    <w:name w:val="文字"/>
    <w:basedOn w:val="1"/>
    <w:autoRedefine/>
    <w:qFormat/>
    <w:uiPriority w:val="0"/>
    <w:pPr>
      <w:tabs>
        <w:tab w:val="left" w:pos="8520"/>
      </w:tabs>
      <w:spacing w:line="312" w:lineRule="auto"/>
      <w:ind w:right="-210" w:firstLine="556"/>
    </w:pPr>
    <w:rPr>
      <w:rFonts w:ascii="宋体"/>
      <w:sz w:val="28"/>
      <w:szCs w:val="20"/>
    </w:rPr>
  </w:style>
  <w:style w:type="paragraph" w:customStyle="1" w:styleId="23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1">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2">
    <w:name w:val="标准段落"/>
    <w:basedOn w:val="1"/>
    <w:autoRedefine/>
    <w:qFormat/>
    <w:uiPriority w:val="0"/>
    <w:pPr>
      <w:spacing w:after="120" w:line="360" w:lineRule="auto"/>
      <w:ind w:firstLine="420"/>
    </w:pPr>
    <w:rPr>
      <w:rFonts w:ascii="黑体" w:hAnsi="宋体" w:eastAsia="黑体"/>
      <w:b/>
      <w:spacing w:val="6"/>
      <w:szCs w:val="22"/>
    </w:rPr>
  </w:style>
  <w:style w:type="paragraph" w:customStyle="1" w:styleId="233">
    <w:name w:val="三级条标题"/>
    <w:basedOn w:val="224"/>
    <w:next w:val="1"/>
    <w:autoRedefine/>
    <w:qFormat/>
    <w:uiPriority w:val="0"/>
    <w:pPr>
      <w:tabs>
        <w:tab w:val="left" w:pos="4729"/>
        <w:tab w:val="clear" w:pos="4309"/>
      </w:tabs>
      <w:ind w:left="4729"/>
      <w:outlineLvl w:val="4"/>
    </w:pPr>
  </w:style>
  <w:style w:type="paragraph" w:customStyle="1" w:styleId="234">
    <w:name w:val="Test2"/>
    <w:basedOn w:val="4"/>
    <w:autoRedefine/>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5">
    <w:name w:val="默认段落字体 Para Char Char Char Char Char Char Char"/>
    <w:basedOn w:val="1"/>
    <w:autoRedefine/>
    <w:qFormat/>
    <w:uiPriority w:val="0"/>
  </w:style>
  <w:style w:type="paragraph" w:customStyle="1" w:styleId="236">
    <w:name w:val="标准小四"/>
    <w:basedOn w:val="1"/>
    <w:autoRedefine/>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7">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8">
    <w:name w:val="Char1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39">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0">
    <w:name w:val="样式 样式 正文文本缩进 + 仿宋_GB2312 小四 首行缩进:  0 厘米 行距: 1.5 倍行距 + (中文) 仿宋_GB... Char Char"/>
    <w:basedOn w:val="1"/>
    <w:autoRedefine/>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1">
    <w:name w:val="列表段落"/>
    <w:basedOn w:val="1"/>
    <w:autoRedefine/>
    <w:qFormat/>
    <w:uiPriority w:val="0"/>
    <w:pPr>
      <w:ind w:firstLine="420" w:firstLineChars="200"/>
    </w:pPr>
    <w:rPr>
      <w:rFonts w:ascii="Calibri" w:hAnsi="Calibri"/>
      <w:szCs w:val="22"/>
    </w:rPr>
  </w:style>
  <w:style w:type="paragraph" w:customStyle="1" w:styleId="242">
    <w:name w:val="五级条标题"/>
    <w:basedOn w:val="243"/>
    <w:next w:val="1"/>
    <w:autoRedefine/>
    <w:qFormat/>
    <w:uiPriority w:val="0"/>
    <w:pPr>
      <w:tabs>
        <w:tab w:val="left" w:pos="5149"/>
        <w:tab w:val="left" w:pos="5569"/>
      </w:tabs>
      <w:ind w:left="5569"/>
      <w:outlineLvl w:val="6"/>
    </w:pPr>
  </w:style>
  <w:style w:type="paragraph" w:customStyle="1" w:styleId="243">
    <w:name w:val="四级条标题"/>
    <w:basedOn w:val="233"/>
    <w:next w:val="1"/>
    <w:autoRedefine/>
    <w:qFormat/>
    <w:uiPriority w:val="0"/>
    <w:pPr>
      <w:tabs>
        <w:tab w:val="left" w:pos="5149"/>
        <w:tab w:val="clear" w:pos="4729"/>
      </w:tabs>
      <w:ind w:left="5149"/>
      <w:outlineLvl w:val="5"/>
    </w:pPr>
  </w:style>
  <w:style w:type="paragraph" w:customStyle="1" w:styleId="244">
    <w:name w:val="正文-宋体四号"/>
    <w:basedOn w:val="1"/>
    <w:autoRedefine/>
    <w:qFormat/>
    <w:uiPriority w:val="0"/>
    <w:pPr>
      <w:spacing w:line="360" w:lineRule="auto"/>
      <w:ind w:firstLine="560" w:firstLineChars="200"/>
    </w:pPr>
    <w:rPr>
      <w:rFonts w:cs="宋体"/>
      <w:sz w:val="28"/>
      <w:szCs w:val="20"/>
    </w:rPr>
  </w:style>
  <w:style w:type="paragraph" w:customStyle="1" w:styleId="245">
    <w:name w:val="纯文本1"/>
    <w:basedOn w:val="1"/>
    <w:autoRedefine/>
    <w:qFormat/>
    <w:uiPriority w:val="0"/>
    <w:pPr>
      <w:adjustRightInd w:val="0"/>
      <w:textAlignment w:val="baseline"/>
    </w:pPr>
    <w:rPr>
      <w:rFonts w:ascii="宋体" w:hAnsi="Courier New" w:eastAsia="楷体_GB2312"/>
      <w:sz w:val="28"/>
      <w:szCs w:val="20"/>
    </w:rPr>
  </w:style>
  <w:style w:type="paragraph" w:customStyle="1" w:styleId="246">
    <w:name w:val="Char2"/>
    <w:basedOn w:val="1"/>
    <w:autoRedefine/>
    <w:qFormat/>
    <w:uiPriority w:val="0"/>
  </w:style>
  <w:style w:type="paragraph" w:customStyle="1" w:styleId="247">
    <w:name w:val="Char Char Char Char Char Char Char Char Char Char Char Char Char Char Char Char Char Char Char"/>
    <w:basedOn w:val="1"/>
    <w:autoRedefine/>
    <w:qFormat/>
    <w:uiPriority w:val="0"/>
    <w:rPr>
      <w:rFonts w:ascii="仿宋_GB2312" w:eastAsia="仿宋_GB2312"/>
      <w:b/>
      <w:sz w:val="32"/>
      <w:szCs w:val="32"/>
    </w:rPr>
  </w:style>
  <w:style w:type="paragraph" w:customStyle="1" w:styleId="248">
    <w:name w:val="样式5"/>
    <w:basedOn w:val="9"/>
    <w:autoRedefine/>
    <w:qFormat/>
    <w:uiPriority w:val="0"/>
    <w:pPr>
      <w:adjustRightInd/>
      <w:spacing w:line="360" w:lineRule="auto"/>
      <w:ind w:firstLine="200" w:firstLineChars="200"/>
      <w:textAlignment w:val="auto"/>
    </w:pPr>
    <w:rPr>
      <w:sz w:val="28"/>
      <w:szCs w:val="21"/>
    </w:rPr>
  </w:style>
  <w:style w:type="paragraph" w:customStyle="1" w:styleId="249">
    <w:name w:val="14"/>
    <w:basedOn w:val="1"/>
    <w:autoRedefine/>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0">
    <w:name w:val="Char Char Char Char Char Char Char Char Char Char Char Char Char1"/>
    <w:basedOn w:val="1"/>
    <w:autoRedefine/>
    <w:qFormat/>
    <w:uiPriority w:val="0"/>
  </w:style>
  <w:style w:type="paragraph" w:customStyle="1" w:styleId="251">
    <w:name w:val="样式 标题 1Level 1Level 11h1II+IHeading1H1-Heading 1Header 1..."/>
    <w:basedOn w:val="3"/>
    <w:autoRedefine/>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2">
    <w:name w:val="样式 标题 3 + 黑色 段前: 5 磅 段后: 5 磅 行距: 1.5 倍行距"/>
    <w:basedOn w:val="1"/>
    <w:autoRedefine/>
    <w:qFormat/>
    <w:uiPriority w:val="0"/>
    <w:pPr>
      <w:ind w:left="855" w:hanging="855"/>
    </w:pPr>
    <w:rPr>
      <w:sz w:val="24"/>
      <w:szCs w:val="20"/>
    </w:rPr>
  </w:style>
  <w:style w:type="paragraph" w:customStyle="1" w:styleId="253">
    <w:name w:val="button"/>
    <w:basedOn w:val="1"/>
    <w:autoRedefine/>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4">
    <w:name w:val="ÕýÎÄÊ×ÐÐËõ½ø"/>
    <w:basedOn w:val="1"/>
    <w:autoRedefine/>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5">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6">
    <w:name w:val="xl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7">
    <w:name w:val="标书正文带编号"/>
    <w:basedOn w:val="1"/>
    <w:autoRedefine/>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8">
    <w:name w:val="表格文字（大）"/>
    <w:basedOn w:val="1"/>
    <w:autoRedefine/>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59">
    <w:name w:val="排列"/>
    <w:basedOn w:val="1"/>
    <w:autoRedefine/>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0">
    <w:name w:val="Char Char1 Char Char Char Char Char Char Char Char Char Char Char Char Char Char"/>
    <w:basedOn w:val="1"/>
    <w:autoRedefine/>
    <w:qFormat/>
    <w:uiPriority w:val="0"/>
    <w:pPr>
      <w:widowControl/>
      <w:autoSpaceDE w:val="0"/>
      <w:autoSpaceDN w:val="0"/>
      <w:adjustRightInd w:val="0"/>
      <w:spacing w:after="160" w:line="240" w:lineRule="exact"/>
      <w:jc w:val="left"/>
    </w:pPr>
    <w:rPr>
      <w:kern w:val="0"/>
      <w:sz w:val="20"/>
      <w:szCs w:val="20"/>
    </w:rPr>
  </w:style>
  <w:style w:type="paragraph" w:customStyle="1" w:styleId="261">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2">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4">
    <w:name w:val="tabletext"/>
    <w:basedOn w:val="1"/>
    <w:autoRedefine/>
    <w:qFormat/>
    <w:uiPriority w:val="0"/>
    <w:pPr>
      <w:widowControl/>
      <w:spacing w:line="300" w:lineRule="atLeast"/>
      <w:jc w:val="left"/>
    </w:pPr>
    <w:rPr>
      <w:rFonts w:ascii="宋体" w:hAnsi="宋体" w:cs="宋体"/>
      <w:kern w:val="0"/>
      <w:sz w:val="18"/>
      <w:szCs w:val="18"/>
    </w:rPr>
  </w:style>
  <w:style w:type="paragraph" w:customStyle="1" w:styleId="265">
    <w:name w:val="1.1.1"/>
    <w:basedOn w:val="1"/>
    <w:autoRedefine/>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6">
    <w:name w:val="TOC 标题1"/>
    <w:basedOn w:val="3"/>
    <w:next w:val="1"/>
    <w:autoRedefine/>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7">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68">
    <w:name w:val="xl8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9">
    <w:name w:val="WW-正文文字缩进 2"/>
    <w:basedOn w:val="1"/>
    <w:autoRedefine/>
    <w:qFormat/>
    <w:uiPriority w:val="0"/>
    <w:pPr>
      <w:suppressAutoHyphens/>
      <w:autoSpaceDE w:val="0"/>
      <w:autoSpaceDN w:val="0"/>
      <w:adjustRightInd w:val="0"/>
      <w:ind w:firstLine="420"/>
      <w:jc w:val="left"/>
    </w:pPr>
    <w:rPr>
      <w:kern w:val="1"/>
      <w:sz w:val="20"/>
      <w:szCs w:val="20"/>
    </w:rPr>
  </w:style>
  <w:style w:type="paragraph" w:customStyle="1" w:styleId="270">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1">
    <w:name w:val="正文样式 首行缩进:  0.74 厘米"/>
    <w:basedOn w:val="1"/>
    <w:autoRedefine/>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2">
    <w:name w:val="简单回函地址"/>
    <w:basedOn w:val="1"/>
    <w:autoRedefine/>
    <w:qFormat/>
    <w:uiPriority w:val="0"/>
  </w:style>
  <w:style w:type="paragraph" w:customStyle="1" w:styleId="273">
    <w:name w:val="前言、引言标题"/>
    <w:next w:val="1"/>
    <w:autoRedefine/>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4">
    <w:name w:val="正文_0"/>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5">
    <w:name w:val="部分1"/>
    <w:basedOn w:val="1"/>
    <w:autoRedefine/>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6">
    <w:name w:val="1 Char"/>
    <w:basedOn w:val="9"/>
    <w:autoRedefine/>
    <w:qFormat/>
    <w:uiPriority w:val="0"/>
    <w:pPr>
      <w:adjustRightInd/>
      <w:spacing w:line="360" w:lineRule="auto"/>
      <w:ind w:firstLine="200" w:firstLineChars="200"/>
      <w:textAlignment w:val="auto"/>
    </w:pPr>
    <w:rPr>
      <w:kern w:val="2"/>
    </w:rPr>
  </w:style>
  <w:style w:type="paragraph" w:customStyle="1" w:styleId="277">
    <w:name w:val="正文文本 21"/>
    <w:basedOn w:val="1"/>
    <w:autoRedefine/>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8">
    <w:name w:val="TOC 标题2"/>
    <w:basedOn w:val="3"/>
    <w:next w:val="1"/>
    <w:autoRedefine/>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79">
    <w:name w:val="Char Char"/>
    <w:basedOn w:val="1"/>
    <w:autoRedefine/>
    <w:qFormat/>
    <w:uiPriority w:val="0"/>
    <w:rPr>
      <w:rFonts w:ascii="仿宋_GB2312" w:eastAsia="仿宋_GB2312"/>
      <w:b/>
      <w:sz w:val="32"/>
      <w:szCs w:val="32"/>
    </w:rPr>
  </w:style>
  <w:style w:type="paragraph" w:customStyle="1" w:styleId="280">
    <w:name w:val="l正文"/>
    <w:basedOn w:val="1"/>
    <w:autoRedefine/>
    <w:qFormat/>
    <w:uiPriority w:val="0"/>
    <w:pPr>
      <w:spacing w:line="360" w:lineRule="auto"/>
      <w:ind w:firstLine="200" w:firstLineChars="200"/>
    </w:pPr>
    <w:rPr>
      <w:rFonts w:ascii="宋体" w:hAnsi="宋体"/>
      <w:sz w:val="24"/>
    </w:rPr>
  </w:style>
  <w:style w:type="paragraph" w:customStyle="1" w:styleId="281">
    <w:name w:val="xl7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2">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3">
    <w:name w:val="Item List in Table"/>
    <w:autoRedefin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4">
    <w:name w:val="Char Char Char Char Char Char Char Char Char Char Char Char Char Char Char Char Char Char Char1"/>
    <w:basedOn w:val="1"/>
    <w:autoRedefine/>
    <w:qFormat/>
    <w:uiPriority w:val="0"/>
    <w:rPr>
      <w:rFonts w:ascii="仿宋_GB2312" w:eastAsia="仿宋_GB2312"/>
      <w:b/>
      <w:sz w:val="32"/>
      <w:szCs w:val="32"/>
    </w:rPr>
  </w:style>
  <w:style w:type="paragraph" w:customStyle="1" w:styleId="285">
    <w:name w:val="xl29"/>
    <w:basedOn w:val="1"/>
    <w:autoRedefine/>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6">
    <w:name w:val="Char Char Char Char Char Char Char1"/>
    <w:basedOn w:val="1"/>
    <w:autoRedefine/>
    <w:qFormat/>
    <w:uiPriority w:val="0"/>
    <w:rPr>
      <w:rFonts w:ascii="仿宋_GB2312" w:eastAsia="仿宋_GB2312"/>
      <w:b/>
      <w:sz w:val="32"/>
      <w:szCs w:val="32"/>
    </w:rPr>
  </w:style>
  <w:style w:type="paragraph" w:customStyle="1" w:styleId="287">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8">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89">
    <w:name w:val="标题2"/>
    <w:basedOn w:val="4"/>
    <w:autoRedefine/>
    <w:qFormat/>
    <w:uiPriority w:val="0"/>
    <w:pPr>
      <w:tabs>
        <w:tab w:val="left" w:pos="709"/>
      </w:tabs>
    </w:pPr>
    <w:rPr>
      <w:rFonts w:ascii="宋体" w:hAnsi="宋体"/>
      <w:sz w:val="36"/>
      <w:szCs w:val="36"/>
    </w:rPr>
  </w:style>
  <w:style w:type="paragraph" w:customStyle="1" w:styleId="290">
    <w:name w:val="xl9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2">
    <w:name w:val="Char1"/>
    <w:basedOn w:val="1"/>
    <w:autoRedefine/>
    <w:qFormat/>
    <w:uiPriority w:val="0"/>
    <w:rPr>
      <w:rFonts w:ascii="仿宋_GB2312" w:eastAsia="仿宋_GB2312"/>
      <w:b/>
      <w:sz w:val="32"/>
      <w:szCs w:val="32"/>
    </w:rPr>
  </w:style>
  <w:style w:type="paragraph" w:customStyle="1" w:styleId="293">
    <w:name w:val="正文字缩2字"/>
    <w:basedOn w:val="1"/>
    <w:autoRedefine/>
    <w:qFormat/>
    <w:uiPriority w:val="0"/>
    <w:pPr>
      <w:spacing w:before="60" w:after="60" w:line="360" w:lineRule="auto"/>
      <w:ind w:left="200" w:leftChars="200" w:firstLine="200" w:firstLineChars="200"/>
    </w:pPr>
    <w:rPr>
      <w:sz w:val="24"/>
    </w:rPr>
  </w:style>
  <w:style w:type="paragraph" w:customStyle="1" w:styleId="294">
    <w:name w:val="正文2"/>
    <w:basedOn w:val="1"/>
    <w:autoRedefine/>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5">
    <w:name w:val="保留正文"/>
    <w:basedOn w:val="21"/>
    <w:autoRedefine/>
    <w:qFormat/>
    <w:uiPriority w:val="0"/>
    <w:pPr>
      <w:keepNext/>
      <w:spacing w:after="160"/>
    </w:pPr>
    <w:rPr>
      <w:szCs w:val="20"/>
    </w:rPr>
  </w:style>
  <w:style w:type="paragraph" w:customStyle="1" w:styleId="296">
    <w:name w:val="xl76"/>
    <w:basedOn w:val="1"/>
    <w:autoRedefine/>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7">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9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9">
    <w:name w:val="Char"/>
    <w:basedOn w:val="1"/>
    <w:autoRedefine/>
    <w:qFormat/>
    <w:uiPriority w:val="0"/>
    <w:rPr>
      <w:rFonts w:ascii="仿宋_GB2312" w:eastAsia="仿宋_GB2312"/>
      <w:b/>
      <w:sz w:val="32"/>
      <w:szCs w:val="32"/>
    </w:rPr>
  </w:style>
  <w:style w:type="paragraph" w:customStyle="1" w:styleId="300">
    <w:name w:val="Char21"/>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301">
    <w:name w:val="正文文字表格居中"/>
    <w:basedOn w:val="1"/>
    <w:next w:val="48"/>
    <w:autoRedefine/>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2">
    <w:name w:val="Table Contents"/>
    <w:basedOn w:val="1"/>
    <w:autoRedefine/>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3">
    <w:name w:val="Char1 Char Char Char Char Char Char"/>
    <w:basedOn w:val="1"/>
    <w:autoRedefine/>
    <w:qFormat/>
    <w:uiPriority w:val="0"/>
    <w:rPr>
      <w:rFonts w:ascii="宋体" w:hAnsi="宋体"/>
      <w:color w:val="000000"/>
      <w:sz w:val="24"/>
    </w:rPr>
  </w:style>
  <w:style w:type="paragraph" w:customStyle="1" w:styleId="304">
    <w:name w:val="此正文"/>
    <w:basedOn w:val="1"/>
    <w:autoRedefine/>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5">
    <w:name w:val="Char11"/>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306">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7">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08">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09">
    <w:name w:val="xl83"/>
    <w:basedOn w:val="1"/>
    <w:autoRedefine/>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0">
    <w:name w:val="Char Char13"/>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2">
    <w:name w:val="features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3">
    <w:name w:val="xl25"/>
    <w:basedOn w:val="1"/>
    <w:autoRedefine/>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4">
    <w:name w:val="章标题"/>
    <w:next w:val="1"/>
    <w:autoRedefine/>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5">
    <w:name w:val="样式 标题 3 + 黑体 小四 非加粗"/>
    <w:basedOn w:val="5"/>
    <w:autoRedefine/>
    <w:qFormat/>
    <w:uiPriority w:val="0"/>
    <w:pPr>
      <w:spacing w:before="260" w:after="260" w:line="413" w:lineRule="auto"/>
    </w:pPr>
    <w:rPr>
      <w:rFonts w:ascii="黑体" w:hAnsi="黑体"/>
      <w:b w:val="0"/>
      <w:kern w:val="0"/>
      <w:sz w:val="24"/>
      <w:szCs w:val="32"/>
    </w:rPr>
  </w:style>
  <w:style w:type="paragraph" w:customStyle="1" w:styleId="316">
    <w:name w:val="正文_0_0"/>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7">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8">
    <w:name w:val="样式 左侧:  0.85 厘米 首行缩进:  0.85 厘米"/>
    <w:basedOn w:val="1"/>
    <w:autoRedefine/>
    <w:qFormat/>
    <w:uiPriority w:val="0"/>
    <w:pPr>
      <w:autoSpaceDE w:val="0"/>
      <w:autoSpaceDN w:val="0"/>
      <w:adjustRightInd w:val="0"/>
      <w:spacing w:line="360" w:lineRule="auto"/>
      <w:ind w:firstLine="482"/>
      <w:jc w:val="left"/>
    </w:pPr>
    <w:rPr>
      <w:rFonts w:cs="宋体"/>
      <w:kern w:val="0"/>
      <w:sz w:val="24"/>
      <w:szCs w:val="20"/>
    </w:rPr>
  </w:style>
  <w:style w:type="paragraph" w:customStyle="1" w:styleId="319">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20">
    <w:name w:val="VIT-Text"/>
    <w:basedOn w:val="1"/>
    <w:autoRedefine/>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1">
    <w:name w:val="文档正文"/>
    <w:basedOn w:val="1"/>
    <w:autoRedefine/>
    <w:qFormat/>
    <w:uiPriority w:val="0"/>
    <w:pPr>
      <w:adjustRightInd w:val="0"/>
      <w:spacing w:line="300" w:lineRule="auto"/>
      <w:ind w:firstLine="567"/>
      <w:textAlignment w:val="baseline"/>
    </w:pPr>
    <w:rPr>
      <w:kern w:val="0"/>
      <w:sz w:val="24"/>
      <w:szCs w:val="20"/>
    </w:rPr>
  </w:style>
  <w:style w:type="paragraph" w:customStyle="1" w:styleId="322">
    <w:name w:val="列出段落2"/>
    <w:basedOn w:val="1"/>
    <w:autoRedefine/>
    <w:qFormat/>
    <w:uiPriority w:val="0"/>
    <w:pPr>
      <w:ind w:firstLine="420" w:firstLineChars="200"/>
    </w:pPr>
  </w:style>
  <w:style w:type="paragraph" w:customStyle="1" w:styleId="323">
    <w:name w:val="标题五"/>
    <w:basedOn w:val="1"/>
    <w:autoRedefine/>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4">
    <w:name w:val="È±Ê¡ÎÄ±¾ Char"/>
    <w:basedOn w:val="1"/>
    <w:autoRedefine/>
    <w:qFormat/>
    <w:uiPriority w:val="0"/>
    <w:pPr>
      <w:widowControl/>
      <w:overflowPunct w:val="0"/>
      <w:autoSpaceDE w:val="0"/>
      <w:autoSpaceDN w:val="0"/>
      <w:adjustRightInd w:val="0"/>
      <w:textAlignment w:val="baseline"/>
    </w:pPr>
    <w:rPr>
      <w:szCs w:val="21"/>
      <w:lang w:val="zh-CN"/>
    </w:rPr>
  </w:style>
  <w:style w:type="paragraph" w:customStyle="1" w:styleId="325">
    <w:name w:val="p0"/>
    <w:basedOn w:val="1"/>
    <w:autoRedefine/>
    <w:qFormat/>
    <w:uiPriority w:val="0"/>
    <w:pPr>
      <w:widowControl/>
    </w:pPr>
    <w:rPr>
      <w:kern w:val="0"/>
      <w:szCs w:val="21"/>
    </w:rPr>
  </w:style>
  <w:style w:type="paragraph" w:customStyle="1" w:styleId="326">
    <w:name w:val="xl8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7">
    <w:name w:val="TableGrid"/>
    <w:autoRedefine/>
    <w:qFormat/>
    <w:uiPriority w:val="0"/>
    <w:tblPr>
      <w:tblCellMar>
        <w:top w:w="0" w:type="dxa"/>
        <w:left w:w="0" w:type="dxa"/>
        <w:bottom w:w="0" w:type="dxa"/>
        <w:right w:w="0" w:type="dxa"/>
      </w:tblCellMar>
    </w:tblPr>
  </w:style>
  <w:style w:type="paragraph" w:styleId="328">
    <w:name w:val="List Paragraph"/>
    <w:basedOn w:val="1"/>
    <w:autoRedefine/>
    <w:qFormat/>
    <w:uiPriority w:val="99"/>
    <w:pPr>
      <w:ind w:firstLine="420" w:firstLineChars="200"/>
    </w:pPr>
  </w:style>
  <w:style w:type="paragraph" w:customStyle="1" w:styleId="329">
    <w:name w:val="正文段"/>
    <w:basedOn w:val="1"/>
    <w:autoRedefine/>
    <w:qFormat/>
    <w:uiPriority w:val="0"/>
    <w:pPr>
      <w:widowControl/>
      <w:snapToGrid w:val="0"/>
      <w:spacing w:afterLines="50"/>
      <w:ind w:firstLine="200" w:firstLineChars="200"/>
    </w:pPr>
    <w:rPr>
      <w:sz w:val="24"/>
      <w:szCs w:val="20"/>
    </w:rPr>
  </w:style>
  <w:style w:type="paragraph" w:customStyle="1" w:styleId="330">
    <w:name w:val="_Style 3"/>
    <w:basedOn w:val="1"/>
    <w:next w:val="1"/>
    <w:autoRedefine/>
    <w:qFormat/>
    <w:uiPriority w:val="34"/>
    <w:pPr>
      <w:spacing w:line="360" w:lineRule="auto"/>
      <w:ind w:firstLine="420" w:firstLineChars="200"/>
    </w:pPr>
  </w:style>
  <w:style w:type="paragraph" w:customStyle="1" w:styleId="331">
    <w:name w:val="_Style 2"/>
    <w:basedOn w:val="1"/>
    <w:next w:val="1"/>
    <w:autoRedefine/>
    <w:qFormat/>
    <w:uiPriority w:val="0"/>
    <w:pPr>
      <w:pBdr>
        <w:bottom w:val="single" w:color="auto" w:sz="6" w:space="1"/>
      </w:pBdr>
      <w:jc w:val="center"/>
    </w:pPr>
    <w:rPr>
      <w:rFonts w:ascii="Arial"/>
      <w:vanish/>
      <w:sz w:val="16"/>
    </w:rPr>
  </w:style>
  <w:style w:type="character" w:customStyle="1" w:styleId="332">
    <w:name w:val="font31"/>
    <w:basedOn w:val="54"/>
    <w:autoRedefine/>
    <w:qFormat/>
    <w:uiPriority w:val="0"/>
    <w:rPr>
      <w:rFonts w:hint="eastAsia" w:ascii="宋体" w:hAnsi="宋体" w:eastAsia="宋体" w:cs="宋体"/>
      <w:color w:val="000000"/>
      <w:sz w:val="24"/>
      <w:szCs w:val="24"/>
      <w:u w:val="single"/>
    </w:rPr>
  </w:style>
  <w:style w:type="paragraph" w:customStyle="1" w:styleId="333">
    <w:name w:val="表格文字"/>
    <w:basedOn w:val="1"/>
    <w:next w:val="21"/>
    <w:autoRedefine/>
    <w:qFormat/>
    <w:uiPriority w:val="0"/>
    <w:pPr>
      <w:adjustRightInd w:val="0"/>
      <w:spacing w:line="420" w:lineRule="atLeast"/>
      <w:jc w:val="left"/>
      <w:textAlignment w:val="baseline"/>
    </w:pPr>
    <w:rPr>
      <w:kern w:val="0"/>
    </w:rPr>
  </w:style>
  <w:style w:type="character" w:customStyle="1" w:styleId="334">
    <w:name w:val="font01"/>
    <w:basedOn w:val="54"/>
    <w:autoRedefine/>
    <w:qFormat/>
    <w:uiPriority w:val="0"/>
    <w:rPr>
      <w:rFonts w:ascii="Arial" w:hAnsi="Arial" w:cs="Arial"/>
      <w:color w:val="000000"/>
      <w:sz w:val="18"/>
      <w:szCs w:val="18"/>
      <w:u w:val="none"/>
    </w:rPr>
  </w:style>
  <w:style w:type="paragraph" w:customStyle="1" w:styleId="335">
    <w:name w:val="列出段落3"/>
    <w:basedOn w:val="1"/>
    <w:autoRedefine/>
    <w:qFormat/>
    <w:uiPriority w:val="34"/>
    <w:pPr>
      <w:adjustRightInd w:val="0"/>
      <w:snapToGrid w:val="0"/>
      <w:spacing w:after="200"/>
      <w:ind w:firstLine="420" w:firstLineChars="200"/>
    </w:pPr>
    <w:rPr>
      <w:rFonts w:ascii="Tahoma" w:hAnsi="Tahoma" w:eastAsia="微软雅黑"/>
      <w:sz w:val="22"/>
    </w:rPr>
  </w:style>
  <w:style w:type="paragraph" w:customStyle="1" w:styleId="336">
    <w:name w:val="标题3 附件1"/>
    <w:basedOn w:val="1"/>
    <w:autoRedefine/>
    <w:qFormat/>
    <w:uiPriority w:val="0"/>
    <w:pPr>
      <w:keepNext/>
      <w:keepLines/>
      <w:spacing w:before="340" w:after="330" w:line="360" w:lineRule="exact"/>
      <w:jc w:val="left"/>
      <w:outlineLvl w:val="2"/>
    </w:pPr>
    <w:rPr>
      <w:b/>
      <w:bCs/>
      <w:kern w:val="44"/>
      <w:szCs w:val="21"/>
    </w:rPr>
  </w:style>
  <w:style w:type="character" w:customStyle="1" w:styleId="337">
    <w:name w:val="font61"/>
    <w:basedOn w:val="54"/>
    <w:autoRedefine/>
    <w:qFormat/>
    <w:uiPriority w:val="0"/>
    <w:rPr>
      <w:rFonts w:hint="eastAsia" w:ascii="宋体" w:hAnsi="宋体" w:eastAsia="宋体" w:cs="宋体"/>
      <w:color w:val="000000"/>
      <w:sz w:val="20"/>
      <w:szCs w:val="20"/>
      <w:u w:val="none"/>
    </w:rPr>
  </w:style>
  <w:style w:type="character" w:customStyle="1" w:styleId="338">
    <w:name w:val="font81"/>
    <w:basedOn w:val="54"/>
    <w:autoRedefine/>
    <w:qFormat/>
    <w:uiPriority w:val="0"/>
    <w:rPr>
      <w:rFonts w:ascii="Calibri" w:hAnsi="Calibri" w:cs="Calibri"/>
      <w:color w:val="000000"/>
      <w:sz w:val="20"/>
      <w:szCs w:val="20"/>
      <w:u w:val="none"/>
    </w:rPr>
  </w:style>
  <w:style w:type="character" w:customStyle="1" w:styleId="339">
    <w:name w:val="font71"/>
    <w:basedOn w:val="54"/>
    <w:autoRedefine/>
    <w:qFormat/>
    <w:uiPriority w:val="0"/>
    <w:rPr>
      <w:rFonts w:hint="eastAsia" w:ascii="宋体" w:hAnsi="宋体" w:eastAsia="宋体" w:cs="宋体"/>
      <w:color w:val="000000"/>
      <w:sz w:val="22"/>
      <w:szCs w:val="22"/>
      <w:u w:val="none"/>
    </w:rPr>
  </w:style>
  <w:style w:type="paragraph" w:customStyle="1" w:styleId="340">
    <w:name w:val="01 正文-首行缩进2字符"/>
    <w:basedOn w:val="1"/>
    <w:autoRedefine/>
    <w:qFormat/>
    <w:uiPriority w:val="0"/>
    <w:pPr>
      <w:spacing w:before="50" w:beforeLines="50" w:after="50" w:afterLines="50"/>
      <w:ind w:firstLine="200" w:firstLineChars="200"/>
    </w:pPr>
    <w:rPr>
      <w:rFonts w:ascii="Arial" w:hAnsi="Arial"/>
      <w:color w:val="000000"/>
    </w:rPr>
  </w:style>
  <w:style w:type="paragraph" w:customStyle="1" w:styleId="341">
    <w:name w:val="投标正文"/>
    <w:autoRedefine/>
    <w:qFormat/>
    <w:uiPriority w:val="0"/>
    <w:pPr>
      <w:widowControl w:val="0"/>
      <w:spacing w:line="360" w:lineRule="auto"/>
      <w:ind w:left="102" w:firstLine="200" w:firstLineChars="200"/>
      <w:jc w:val="both"/>
    </w:pPr>
    <w:rPr>
      <w:rFonts w:ascii="Calibri" w:hAnsi="Calibri" w:eastAsia="宋体" w:cs="Times New Roman"/>
      <w:kern w:val="2"/>
      <w:sz w:val="24"/>
      <w:szCs w:val="24"/>
      <w:lang w:val="en-US" w:eastAsia="zh-CN" w:bidi="ar-SA"/>
    </w:rPr>
  </w:style>
  <w:style w:type="character" w:customStyle="1" w:styleId="342">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103</Pages>
  <Words>49524</Words>
  <Characters>53691</Characters>
  <Lines>322</Lines>
  <Paragraphs>90</Paragraphs>
  <TotalTime>16</TotalTime>
  <ScaleCrop>false</ScaleCrop>
  <LinksUpToDate>false</LinksUpToDate>
  <CharactersWithSpaces>57506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2020-10-13T06:50:00Z</dcterms:created>
  <dc:creator>zyq</dc:creator>
  <cp:lastModifiedBy>巴西</cp:lastModifiedBy>
  <cp:lastPrinted>2021-03-22T07:00:00Z</cp:lastPrinted>
  <dcterms:modified xsi:type="dcterms:W3CDTF">2024-07-17T09:03:03Z</dcterms:modified>
  <dc:title>招标文件目录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4EBDCFA945DD4B1FB66FCC69FBC963F9_13</vt:lpwstr>
  </property>
</Properties>
</file>