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温州市政务云（私有云）服务采购项目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hint="eastAsia" w:ascii="宋体" w:hAnsi="宋体" w:cs="宋体"/>
          <w:sz w:val="48"/>
          <w:szCs w:val="48"/>
        </w:rPr>
      </w:pPr>
      <w:r>
        <w:rPr>
          <w:rFonts w:hint="eastAsia" w:ascii="宋体" w:hAnsi="宋体" w:cs="宋体"/>
          <w:b/>
          <w:sz w:val="44"/>
          <w:szCs w:val="44"/>
        </w:rPr>
        <w:t xml:space="preserve"> </w:t>
      </w:r>
      <w:r>
        <w:rPr>
          <w:rFonts w:hint="eastAsia" w:ascii="宋体" w:hAnsi="宋体" w:cs="宋体"/>
          <w:sz w:val="48"/>
          <w:szCs w:val="48"/>
          <w:lang w:val="en-US" w:eastAsia="zh-CN"/>
        </w:rPr>
        <w:t>公开招标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Z-GB202407220010ZLC</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温州市数据局</w:t>
      </w:r>
    </w:p>
    <w:p>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温州市政务服务管理中心（温州市政府采购中心）</w:t>
      </w:r>
    </w:p>
    <w:p>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二〇</w:t>
      </w:r>
      <w:r>
        <w:rPr>
          <w:rFonts w:hint="eastAsia" w:ascii="宋体" w:hAnsi="宋体" w:cs="宋体"/>
          <w:color w:val="000000" w:themeColor="text1"/>
          <w:sz w:val="32"/>
          <w:szCs w:val="32"/>
          <w:lang w:val="en-US" w:eastAsia="zh-CN"/>
          <w14:textFill>
            <w14:solidFill>
              <w14:schemeClr w14:val="tx1"/>
            </w14:solidFill>
          </w14:textFill>
        </w:rPr>
        <w:t>二四</w:t>
      </w:r>
      <w:r>
        <w:rPr>
          <w:rFonts w:hint="eastAsia" w:ascii="宋体" w:hAnsi="宋体" w:cs="宋体"/>
          <w:color w:val="000000" w:themeColor="text1"/>
          <w:sz w:val="32"/>
          <w:szCs w:val="32"/>
          <w:lang w:eastAsia="zh-CN"/>
          <w14:textFill>
            <w14:solidFill>
              <w14:schemeClr w14:val="tx1"/>
            </w14:solidFill>
          </w14:textFill>
        </w:rPr>
        <w:t>年</w:t>
      </w:r>
      <w:r>
        <w:rPr>
          <w:rFonts w:hint="eastAsia" w:ascii="宋体" w:hAnsi="宋体" w:cs="宋体"/>
          <w:color w:val="000000" w:themeColor="text1"/>
          <w:sz w:val="32"/>
          <w:szCs w:val="32"/>
          <w:lang w:val="en-US" w:eastAsia="zh-CN"/>
          <w14:textFill>
            <w14:solidFill>
              <w14:schemeClr w14:val="tx1"/>
            </w14:solidFill>
          </w14:textFill>
        </w:rPr>
        <w:t>七</w:t>
      </w:r>
      <w:r>
        <w:rPr>
          <w:rFonts w:hint="eastAsia" w:ascii="宋体" w:hAnsi="宋体" w:cs="宋体"/>
          <w:color w:val="000000" w:themeColor="text1"/>
          <w:sz w:val="32"/>
          <w:szCs w:val="32"/>
          <w:lang w:eastAsia="zh-CN"/>
          <w14:textFill>
            <w14:solidFill>
              <w14:schemeClr w14:val="tx1"/>
            </w14:solidFill>
          </w14:textFill>
        </w:rPr>
        <w:t>月</w:t>
      </w:r>
      <w:r>
        <w:rPr>
          <w:rFonts w:hint="eastAsia" w:ascii="宋体" w:hAnsi="宋体" w:cs="宋体"/>
          <w:color w:val="000000" w:themeColor="text1"/>
          <w:sz w:val="32"/>
          <w:szCs w:val="32"/>
          <w:lang w:val="en-US" w:eastAsia="zh-CN"/>
          <w14:textFill>
            <w14:solidFill>
              <w14:schemeClr w14:val="tx1"/>
            </w14:solidFill>
          </w14:textFill>
        </w:rPr>
        <w:t>二十二</w:t>
      </w:r>
      <w:r>
        <w:rPr>
          <w:rFonts w:hint="eastAsia" w:ascii="宋体" w:hAnsi="宋体" w:cs="宋体"/>
          <w:color w:val="000000" w:themeColor="text1"/>
          <w:sz w:val="32"/>
          <w:szCs w:val="32"/>
          <w:lang w:eastAsia="zh-CN"/>
          <w14:textFill>
            <w14:solidFill>
              <w14:schemeClr w14:val="tx1"/>
            </w14:solidFill>
          </w14:textFill>
        </w:rPr>
        <w:t>日</w:t>
      </w:r>
    </w:p>
    <w:p>
      <w:pPr>
        <w:spacing w:line="360" w:lineRule="auto"/>
        <w:jc w:val="center"/>
        <w:rPr>
          <w:rFonts w:ascii="宋体" w:hAnsi="宋体" w:cs="宋体"/>
          <w:sz w:val="24"/>
        </w:rPr>
      </w:pP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第一部分      招标公告</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第二部分      投标人须知</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第三部分      采购需求</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第四部分      评标办法</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第五部分      拟签订的合同文本</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560" w:lineRule="exact"/>
        <w:ind w:left="567" w:leftChars="270" w:right="565" w:rightChars="269" w:firstLine="424" w:firstLineChars="202"/>
        <w:rPr>
          <w:rFonts w:hint="eastAsia" w:ascii="楷体" w:hAnsi="楷体" w:eastAsia="楷体"/>
          <w:bCs/>
          <w:color w:val="0000FF"/>
          <w:szCs w:val="21"/>
          <w:u w:val="single"/>
        </w:rPr>
      </w:pPr>
    </w:p>
    <w:p>
      <w:pPr>
        <w:spacing w:line="560" w:lineRule="exact"/>
        <w:ind w:left="567" w:leftChars="270" w:right="565" w:rightChars="269" w:firstLine="424" w:firstLineChars="202"/>
        <w:rPr>
          <w:rFonts w:hint="eastAsia" w:ascii="楷体" w:hAnsi="楷体" w:eastAsia="楷体"/>
          <w:bCs/>
          <w:color w:val="0000FF"/>
          <w:szCs w:val="21"/>
          <w:u w:val="single"/>
        </w:rPr>
      </w:pPr>
    </w:p>
    <w:p>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而造成的后果，采购人及采</w:t>
      </w:r>
      <w:r>
        <w:rPr>
          <w:rFonts w:hint="eastAsia" w:ascii="楷体" w:hAnsi="楷体" w:eastAsia="楷体"/>
          <w:bCs/>
          <w:color w:val="auto"/>
          <w:szCs w:val="21"/>
          <w:u w:val="single"/>
          <w:lang w:val="en-US" w:eastAsia="zh-CN"/>
        </w:rPr>
        <w:t>购代理</w:t>
      </w:r>
      <w:r>
        <w:rPr>
          <w:rFonts w:hint="eastAsia" w:ascii="楷体" w:hAnsi="楷体" w:eastAsia="楷体"/>
          <w:bCs/>
          <w:color w:val="auto"/>
          <w:szCs w:val="21"/>
          <w:u w:val="single"/>
        </w:rPr>
        <w:t>机构概不负责。</w:t>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2"/>
    <w:p>
      <w:pPr>
        <w:adjustRightInd/>
        <w:spacing w:line="360" w:lineRule="auto"/>
        <w:jc w:val="center"/>
        <w:outlineLvl w:val="0"/>
        <w:rPr>
          <w:rFonts w:ascii="宋体" w:hAnsi="宋体" w:cs="宋体"/>
          <w:b/>
          <w:sz w:val="36"/>
          <w:szCs w:val="20"/>
        </w:r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color w:val="000000" w:themeColor="text1"/>
          <w:sz w:val="24"/>
          <w:u w:val="single"/>
          <w:lang w:val="en-US" w:eastAsia="zh-CN"/>
          <w14:textFill>
            <w14:solidFill>
              <w14:schemeClr w14:val="tx1"/>
            </w14:solidFill>
          </w14:textFill>
        </w:rPr>
        <w:t>温州市政务云（私有云）服务采购项目</w:t>
      </w:r>
      <w:r>
        <w:rPr>
          <w:rFonts w:hint="eastAsia" w:ascii="宋体" w:hAnsi="宋体" w:cs="宋体"/>
          <w:color w:val="000000" w:themeColor="text1"/>
          <w:sz w:val="24"/>
          <w14:textFill>
            <w14:solidFill>
              <w14:schemeClr w14:val="tx1"/>
            </w14:solidFill>
          </w14:textFill>
        </w:rPr>
        <w:t>招</w:t>
      </w:r>
      <w:r>
        <w:rPr>
          <w:rFonts w:hint="eastAsia" w:ascii="宋体" w:hAnsi="宋体" w:cs="宋体"/>
          <w:sz w:val="24"/>
        </w:rPr>
        <w:t>标项目的潜在投标人应在政采云平台（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"https://www.zcygov.cn/）获取（下载）招标文件，并于202%20年%20月%20日%20点%20分00秒" </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w:t>
      </w:r>
      <w:r>
        <w:rPr>
          <w:rFonts w:hint="eastAsia" w:ascii="宋体" w:hAnsi="宋体" w:cs="宋体"/>
          <w:sz w:val="24"/>
          <w:highlight w:val="none"/>
          <w:lang w:val="en-US" w:eastAsia="zh-CN"/>
        </w:rPr>
        <w:t>4</w:t>
      </w:r>
      <w:r>
        <w:rPr>
          <w:rFonts w:hint="eastAsia" w:ascii="宋体" w:hAnsi="宋体" w:cs="宋体"/>
          <w:sz w:val="24"/>
          <w:highlight w:val="none"/>
          <w:lang w:eastAsia="zh-CN"/>
        </w:rPr>
        <w:t>年</w:t>
      </w:r>
      <w:r>
        <w:rPr>
          <w:rFonts w:hint="eastAsia" w:ascii="宋体" w:hAnsi="宋体" w:cs="宋体"/>
          <w:sz w:val="24"/>
          <w:highlight w:val="none"/>
          <w:lang w:val="en-US" w:eastAsia="zh-CN"/>
        </w:rPr>
        <w:t xml:space="preserve"> 8 </w:t>
      </w:r>
      <w:r>
        <w:rPr>
          <w:rFonts w:hint="eastAsia" w:ascii="宋体" w:hAnsi="宋体" w:cs="宋体"/>
          <w:sz w:val="24"/>
          <w:highlight w:val="none"/>
          <w:lang w:eastAsia="zh-CN"/>
        </w:rPr>
        <w:t>月</w:t>
      </w:r>
      <w:r>
        <w:rPr>
          <w:rFonts w:hint="eastAsia" w:ascii="宋体" w:hAnsi="宋体" w:cs="宋体"/>
          <w:sz w:val="24"/>
          <w:highlight w:val="none"/>
          <w:lang w:val="en-US" w:eastAsia="zh-CN"/>
        </w:rPr>
        <w:t xml:space="preserve">16 </w:t>
      </w:r>
      <w:r>
        <w:rPr>
          <w:rFonts w:hint="eastAsia" w:ascii="宋体" w:hAnsi="宋体" w:cs="宋体"/>
          <w:sz w:val="24"/>
          <w:highlight w:val="none"/>
          <w:lang w:eastAsia="zh-CN"/>
        </w:rPr>
        <w:t xml:space="preserve">日 </w:t>
      </w:r>
      <w:r>
        <w:rPr>
          <w:rFonts w:hint="eastAsia" w:ascii="宋体" w:hAnsi="宋体" w:cs="宋体"/>
          <w:sz w:val="24"/>
          <w:lang w:eastAsia="zh-CN"/>
        </w:rPr>
        <w:t>09点 00分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000000" w:themeColor="text1"/>
          <w:sz w:val="24"/>
          <w:lang w:eastAsia="zh-CN"/>
          <w14:textFill>
            <w14:solidFill>
              <w14:schemeClr w14:val="tx1"/>
            </w14:solidFill>
          </w14:textFill>
        </w:rPr>
        <w:t>Z-GB202407220010ZLC</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温州市政务云（私有云）服务采购项目</w:t>
      </w:r>
    </w:p>
    <w:p>
      <w:pPr>
        <w:spacing w:line="360" w:lineRule="auto"/>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color w:val="000000" w:themeColor="text1"/>
          <w:sz w:val="24"/>
          <w:lang w:val="en-US" w:eastAsia="zh-CN"/>
          <w14:textFill>
            <w14:solidFill>
              <w14:schemeClr w14:val="tx1"/>
            </w14:solidFill>
          </w14:textFill>
        </w:rPr>
        <w:t xml:space="preserve"> 9000000</w:t>
      </w:r>
    </w:p>
    <w:p>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lang w:val="en-US" w:eastAsia="zh-CN"/>
          <w14:textFill>
            <w14:solidFill>
              <w14:schemeClr w14:val="tx1"/>
            </w14:solidFill>
          </w14:textFill>
        </w:rPr>
        <w:t xml:space="preserve"> 9000000</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hint="eastAsia" w:hAnsi="宋体" w:cs="宋体"/>
          <w:b/>
          <w:color w:val="auto"/>
          <w:sz w:val="24"/>
          <w:highlight w:val="none"/>
        </w:rPr>
      </w:pPr>
      <w:r>
        <w:rPr>
          <w:rFonts w:hint="eastAsia" w:hAnsi="宋体" w:cs="宋体"/>
          <w:b/>
          <w:color w:val="auto"/>
          <w:sz w:val="24"/>
          <w:highlight w:val="none"/>
        </w:rPr>
        <w:t>采购需求：</w:t>
      </w:r>
    </w:p>
    <w:p>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snapToGrid/>
          <w:color w:val="auto"/>
          <w:kern w:val="2"/>
          <w:sz w:val="24"/>
          <w:szCs w:val="24"/>
          <w:highlight w:val="none"/>
        </w:rPr>
      </w:pPr>
      <w:r>
        <w:rPr>
          <w:rFonts w:hint="eastAsia" w:hAnsi="宋体" w:cs="宋体"/>
          <w:bCs/>
          <w:snapToGrid/>
          <w:color w:val="auto"/>
          <w:kern w:val="2"/>
          <w:sz w:val="24"/>
          <w:szCs w:val="24"/>
          <w:highlight w:val="no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240" w:lineRule="auto"/>
        <w:ind w:left="0" w:right="0" w:firstLine="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0"/>
          <w:sz w:val="24"/>
          <w:szCs w:val="24"/>
          <w:lang w:val="en-US" w:eastAsia="zh-CN" w:bidi="ar-SA"/>
        </w:rPr>
        <w:t xml:space="preserve">   标项</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名称: 温州市政务云（私有云）服务采购项目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240" w:lineRule="auto"/>
        <w:ind w:left="0" w:right="0" w:firstLine="0"/>
        <w:textAlignment w:val="auto"/>
        <w:rPr>
          <w:rFonts w:hint="default" w:eastAsia="宋体" w:cs="宋体"/>
          <w:color w:val="auto"/>
          <w:lang w:val="en-US" w:eastAsia="zh-CN"/>
        </w:rPr>
      </w:pPr>
      <w:r>
        <w:rPr>
          <w:rFonts w:cs="宋体"/>
          <w:color w:val="auto"/>
        </w:rPr>
        <w:t>   </w:t>
      </w:r>
      <w:r>
        <w:rPr>
          <w:rFonts w:hint="eastAsia" w:ascii="宋体" w:hAnsi="宋体" w:eastAsia="宋体" w:cs="宋体"/>
          <w:b w:val="0"/>
          <w:bCs w:val="0"/>
          <w:color w:val="auto"/>
          <w:kern w:val="0"/>
          <w:sz w:val="24"/>
          <w:szCs w:val="24"/>
          <w:lang w:val="en-US" w:eastAsia="zh-CN" w:bidi="ar-SA"/>
        </w:rPr>
        <w:t xml:space="preserve"> 数量:  12个月  </w:t>
      </w:r>
      <w:r>
        <w:rPr>
          <w:rFonts w:hint="eastAsia" w:ascii="宋体" w:hAnsi="宋体" w:eastAsia="宋体" w:cs="宋体"/>
          <w:b w:val="0"/>
          <w:bCs w:val="0"/>
          <w:color w:val="auto"/>
          <w:kern w:val="0"/>
          <w:sz w:val="24"/>
          <w:szCs w:val="24"/>
          <w:lang w:val="en-US" w:eastAsia="zh-CN" w:bidi="ar-SA"/>
        </w:rPr>
        <w:br w:type="textWrapping"/>
      </w:r>
      <w:r>
        <w:rPr>
          <w:rFonts w:hint="eastAsia" w:ascii="宋体" w:hAnsi="宋体" w:eastAsia="宋体" w:cs="宋体"/>
          <w:b w:val="0"/>
          <w:bCs w:val="0"/>
          <w:color w:val="auto"/>
          <w:kern w:val="0"/>
          <w:sz w:val="24"/>
          <w:szCs w:val="24"/>
          <w:lang w:val="en-US" w:eastAsia="zh-CN" w:bidi="ar-SA"/>
        </w:rPr>
        <w:t>   预算金额（元）: 9000000</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rPr>
      </w:pPr>
      <w:r>
        <w:rPr>
          <w:rFonts w:hint="eastAsia" w:ascii="宋体" w:hAnsi="宋体" w:cs="宋体"/>
          <w:color w:val="auto"/>
          <w:kern w:val="0"/>
          <w:sz w:val="24"/>
        </w:rPr>
        <w:t>简要规格描述或项目基本概况介绍、用途：</w:t>
      </w:r>
      <w:r>
        <w:rPr>
          <w:rFonts w:hint="eastAsia" w:ascii="宋体" w:hAnsi="宋体" w:eastAsia="宋体" w:cs="宋体"/>
          <w:color w:val="auto"/>
          <w:kern w:val="0"/>
          <w:sz w:val="24"/>
        </w:rPr>
        <w:t>根据温州市政府《关于推进政府大数据平台建设的实施意见》相关要求，市数据局组织进行温州市政务云平台服务采购,本项目所涉市政务云（私有云）主要为全市各政务部门提供云主机、云计算、云应用、云安全、异地备份等基础设施资源共享服务，为各政务部门业务系统上云提供基础平台支撑。</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本项目采用第三方建设和运维、政府按需购买服务方式进行，通过明确各项服务内容的采购单价和计价规则，对经确认合规使用的云资源进行计费并支付费用。具体以招标文件第三部分采购需求为准，供应商可点击本公告下方“浏览采购文件”查看采购需求。 </w:t>
      </w:r>
    </w:p>
    <w:p>
      <w:pPr>
        <w:pStyle w:val="59"/>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hint="eastAsia" w:cs="宋体"/>
          <w:color w:val="auto"/>
          <w:lang w:val="en-US" w:eastAsia="zh-CN"/>
        </w:rPr>
        <w:t xml:space="preserve"> </w:t>
      </w:r>
      <w:r>
        <w:rPr>
          <w:rFonts w:cs="宋体"/>
          <w:color w:val="auto"/>
        </w:rPr>
        <w:t>  备注：/ </w:t>
      </w:r>
    </w:p>
    <w:p>
      <w:pPr>
        <w:pStyle w:val="129"/>
        <w:ind w:firstLine="482"/>
        <w:outlineLvl w:val="2"/>
        <w:rPr>
          <w:rFonts w:hint="default" w:eastAsia="宋体" w:cs="宋体"/>
          <w:color w:val="auto"/>
          <w:highlight w:val="none"/>
          <w:lang w:val="en-US" w:eastAsia="zh-CN"/>
        </w:rPr>
      </w:pPr>
      <w:r>
        <w:rPr>
          <w:rFonts w:cs="宋体"/>
          <w:color w:val="auto"/>
        </w:rPr>
        <w:t>合同履约期限：</w:t>
      </w:r>
      <w:r>
        <w:rPr>
          <w:rFonts w:hint="eastAsia" w:ascii="宋体" w:hAnsi="宋体" w:eastAsia="宋体" w:cs="宋体"/>
          <w:color w:val="auto"/>
          <w:sz w:val="24"/>
          <w:szCs w:val="24"/>
          <w:lang w:val="en-US" w:eastAsia="zh-CN"/>
        </w:rPr>
        <w:t>自合同签订之日起12个月。</w:t>
      </w:r>
    </w:p>
    <w:p>
      <w:pPr>
        <w:pStyle w:val="59"/>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cs="宋体"/>
          <w:color w:val="auto"/>
        </w:rPr>
        <w:t xml:space="preserve">  </w:t>
      </w:r>
      <w:r>
        <w:rPr>
          <w:rFonts w:hint="eastAsia" w:cs="宋体"/>
          <w:color w:val="auto"/>
          <w:lang w:val="en-US" w:eastAsia="zh-CN"/>
        </w:rPr>
        <w:t xml:space="preserve"> </w:t>
      </w:r>
      <w:r>
        <w:rPr>
          <w:rFonts w:cs="宋体"/>
          <w:color w:val="auto"/>
        </w:rPr>
        <w:t>本项目（否）接受联合体投标。</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落实政府采购政策需满足的资格要求：无 </w:t>
      </w:r>
    </w:p>
    <w:p>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.本项目的特定资格要求：具有基础电信业务经营资质（提供基础电信业务经营许可证）运营商或其分支机构（提供有效授权或证明文件）</w:t>
      </w:r>
      <w:r>
        <w:rPr>
          <w:rFonts w:hint="eastAsia" w:ascii="宋体" w:hAnsi="宋体" w:cs="宋体"/>
          <w:color w:val="auto"/>
          <w:sz w:val="24"/>
          <w:lang w:val="en-US" w:eastAsia="zh-CN"/>
        </w:rPr>
        <w:t>；</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highlight w:val="none"/>
          <w:u w:val="single"/>
          <w:lang w:eastAsia="zh-CN"/>
        </w:rPr>
        <w:t xml:space="preserve"> 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16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lang w:val="en-US" w:eastAsia="zh-CN"/>
        </w:rPr>
        <w:t>线上获取</w:t>
      </w:r>
      <w:r>
        <w:rPr>
          <w:rFonts w:hint="eastAsia" w:ascii="宋体" w:hAnsi="宋体" w:cs="宋体"/>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16  </w:t>
      </w:r>
      <w:r>
        <w:rPr>
          <w:rFonts w:hint="eastAsia" w:ascii="宋体" w:hAnsi="宋体" w:cs="宋体"/>
          <w:color w:val="auto"/>
          <w:sz w:val="24"/>
          <w:highlight w:val="none"/>
          <w:u w:val="single"/>
          <w:lang w:eastAsia="zh-CN"/>
        </w:rPr>
        <w:t xml:space="preserve">日 </w:t>
      </w:r>
      <w:r>
        <w:rPr>
          <w:rFonts w:hint="eastAsia" w:ascii="宋体" w:hAnsi="宋体" w:cs="宋体"/>
          <w:color w:val="auto"/>
          <w:sz w:val="24"/>
          <w:u w:val="single"/>
          <w:lang w:eastAsia="zh-CN"/>
        </w:rPr>
        <w:t>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 xml:space="preserve"> 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16  </w:t>
      </w:r>
      <w:r>
        <w:rPr>
          <w:rFonts w:hint="eastAsia" w:ascii="宋体" w:hAnsi="宋体" w:cs="宋体"/>
          <w:color w:val="auto"/>
          <w:sz w:val="24"/>
          <w:highlight w:val="none"/>
          <w:u w:val="single"/>
          <w:lang w:eastAsia="zh-CN"/>
        </w:rPr>
        <w:t xml:space="preserve">日 </w:t>
      </w:r>
      <w:r>
        <w:rPr>
          <w:rFonts w:hint="eastAsia" w:ascii="宋体" w:hAnsi="宋体" w:cs="宋体"/>
          <w:color w:val="auto"/>
          <w:sz w:val="24"/>
          <w:u w:val="single"/>
          <w:lang w:eastAsia="zh-CN"/>
        </w:rPr>
        <w:t>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六、其他补充事宜</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9"/>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sz w:val="24"/>
        </w:rPr>
      </w:pPr>
      <w:r>
        <w:rPr>
          <w:rFonts w:hint="eastAsia" w:ascii="宋体" w:hAnsi="宋体" w:cs="宋体"/>
          <w:sz w:val="24"/>
        </w:rPr>
        <w:t xml:space="preserve">    1.采购人信息</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温州市数据局</w:t>
      </w:r>
      <w:r>
        <w:rPr>
          <w:rFonts w:hint="eastAsia" w:ascii="宋体" w:hAnsi="宋体" w:cs="宋体"/>
          <w:color w:val="auto"/>
          <w:sz w:val="24"/>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rPr>
        <w:t xml:space="preserve">    地    址：</w:t>
      </w:r>
      <w:r>
        <w:rPr>
          <w:rFonts w:hint="eastAsia" w:ascii="宋体" w:hAnsi="宋体" w:cs="宋体"/>
          <w:color w:val="auto"/>
          <w:sz w:val="24"/>
          <w:lang w:val="en-US" w:eastAsia="zh-CN"/>
        </w:rPr>
        <w:t>温州市行政管理中心1号楼716室</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rPr>
        <w:t>项目联系</w:t>
      </w:r>
      <w:r>
        <w:rPr>
          <w:rFonts w:hint="eastAsia" w:ascii="宋体" w:hAnsi="宋体" w:cs="宋体"/>
          <w:color w:val="auto"/>
          <w:sz w:val="24"/>
          <w:szCs w:val="24"/>
          <w:lang w:val="en-US" w:eastAsia="zh-CN"/>
        </w:rPr>
        <w:t xml:space="preserve">人（询问）：瞿先智  </w:t>
      </w:r>
    </w:p>
    <w:p>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项目联系方式（询问）： 0577-88967880</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质疑联系人： 祖爱新 </w:t>
      </w:r>
    </w:p>
    <w:p>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质疑联系方式： 0577-88969635</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名称：温州市政务服务管理中心（温州市政府采购中心）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地址：温州市会展路1268号“温州市民中心”A座412室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张立初</w:t>
      </w:r>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项目联系方式（询问）：0577-889268</w:t>
      </w:r>
      <w:r>
        <w:rPr>
          <w:rFonts w:hint="eastAsia" w:ascii="宋体" w:hAnsi="宋体" w:cs="宋体"/>
          <w:color w:val="auto"/>
          <w:sz w:val="24"/>
          <w:highlight w:val="none"/>
          <w:lang w:val="en-US" w:eastAsia="zh-CN"/>
        </w:rPr>
        <w:t>38</w:t>
      </w:r>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金健戈</w:t>
      </w:r>
      <w:r>
        <w:rPr>
          <w:rFonts w:hint="eastAsia" w:ascii="宋体" w:hAnsi="宋体" w:eastAsia="宋体" w:cs="宋体"/>
          <w:color w:val="auto"/>
          <w:sz w:val="24"/>
          <w:highlight w:val="none"/>
        </w:rPr>
        <w:t>       </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质疑联系方式：0577-889268</w:t>
      </w:r>
      <w:r>
        <w:rPr>
          <w:rFonts w:hint="eastAsia" w:ascii="宋体" w:hAnsi="宋体" w:cs="宋体"/>
          <w:color w:val="auto"/>
          <w:sz w:val="24"/>
          <w:highlight w:val="none"/>
          <w:lang w:val="en-US" w:eastAsia="zh-CN"/>
        </w:rPr>
        <w:t>22</w:t>
      </w:r>
    </w:p>
    <w:p>
      <w:pPr>
        <w:keepNext w:val="0"/>
        <w:keepLines w:val="0"/>
        <w:pageBreakBefore w:val="0"/>
        <w:kinsoku/>
        <w:wordWrap/>
        <w:overflowPunct/>
        <w:topLinePunct w:val="0"/>
        <w:autoSpaceDE/>
        <w:autoSpaceDN/>
        <w:bidi w:val="0"/>
        <w:adjustRightInd w:val="0"/>
        <w:snapToGrid/>
        <w:spacing w:line="240" w:lineRule="auto"/>
        <w:ind w:firstLine="240" w:firstLineChars="100"/>
        <w:textAlignment w:val="auto"/>
        <w:rPr>
          <w:rFonts w:cs="宋体"/>
          <w:color w:val="auto"/>
        </w:rPr>
      </w:pPr>
      <w:r>
        <w:rPr>
          <w:rFonts w:hint="eastAsia" w:ascii="宋体" w:hAnsi="宋体" w:cs="宋体"/>
          <w:color w:val="auto"/>
          <w:sz w:val="24"/>
        </w:rPr>
        <w:t xml:space="preserve"> 3.同级政府采购监督管理部门            </w:t>
      </w:r>
      <w:r>
        <w:rPr>
          <w:rFonts w:cs="宋体"/>
          <w:color w:val="auto"/>
        </w:rPr>
        <w:t>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名称：温州市财政局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地址：温州绣山路299号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联系人 ：项先生、蔡女士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监督投诉电话：0577-88532725、88521948</w:t>
      </w:r>
    </w:p>
    <w:p>
      <w:pPr>
        <w:spacing w:line="360" w:lineRule="auto"/>
        <w:ind w:firstLine="480"/>
        <w:rPr>
          <w:rFonts w:hint="eastAsia" w:ascii="宋体" w:hAnsi="宋体" w:cs="宋体"/>
          <w:sz w:val="24"/>
          <w:lang w:val="en-US" w:eastAsia="zh-CN"/>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pPr>
              <w:spacing w:line="360" w:lineRule="auto"/>
              <w:jc w:val="both"/>
              <w:rPr>
                <w:rFonts w:ascii="宋体" w:hAnsi="宋体" w:cs="宋体"/>
                <w:color w:val="auto"/>
                <w:sz w:val="24"/>
              </w:rPr>
            </w:pPr>
            <w:r>
              <w:rPr>
                <w:rFonts w:hint="eastAsia" w:ascii="宋体" w:hAnsi="宋体" w:cs="宋体"/>
                <w:color w:val="auto"/>
                <w:sz w:val="24"/>
              </w:rPr>
              <w:t>服务类。本项目是</w:t>
            </w:r>
            <w:r>
              <w:rPr>
                <w:rFonts w:hint="eastAsia" w:ascii="宋体" w:hAnsi="宋体" w:cs="宋体"/>
                <w:color w:val="auto"/>
                <w:sz w:val="24"/>
                <w:u w:val="single"/>
              </w:rPr>
              <w:t>非</w:t>
            </w:r>
            <w:r>
              <w:rPr>
                <w:rFonts w:hint="eastAsia" w:ascii="宋体" w:hAnsi="宋体" w:cs="宋体"/>
                <w:color w:val="auto"/>
                <w:sz w:val="24"/>
              </w:rPr>
              <w:t>预留份额采购项目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pPr>
              <w:snapToGrid w:val="0"/>
              <w:spacing w:line="360" w:lineRule="auto"/>
              <w:jc w:val="both"/>
              <w:rPr>
                <w:color w:val="auto"/>
              </w:rPr>
            </w:pPr>
            <w:r>
              <w:rPr>
                <w:rFonts w:hint="eastAsia" w:ascii="宋体" w:hAnsi="宋体"/>
                <w:color w:val="auto"/>
                <w:sz w:val="24"/>
                <w:highlight w:val="none"/>
              </w:rPr>
              <w:t>（1）标的：</w:t>
            </w:r>
            <w:r>
              <w:rPr>
                <w:rFonts w:hint="eastAsia" w:ascii="宋体" w:hAnsi="宋体"/>
                <w:color w:val="auto"/>
                <w:sz w:val="24"/>
                <w:highlight w:val="none"/>
                <w:u w:val="single"/>
                <w:lang w:val="en-US" w:eastAsia="zh-CN"/>
              </w:rPr>
              <w:t xml:space="preserve">政务云平台服务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软件和信息技术服务业</w:t>
            </w:r>
            <w:r>
              <w:rPr>
                <w:rFonts w:hint="eastAsia"/>
                <w:color w:val="auto"/>
                <w:u w:val="single"/>
              </w:rPr>
              <w:t xml:space="preserve"> </w:t>
            </w:r>
            <w:r>
              <w:rPr>
                <w:rFonts w:hint="eastAsia" w:ascii="宋体" w:hAnsi="宋体"/>
                <w:color w:val="auto"/>
                <w:sz w:val="24"/>
                <w:highlight w:val="none"/>
              </w:rPr>
              <w:t>行业；</w:t>
            </w:r>
          </w:p>
          <w:p>
            <w:pPr>
              <w:jc w:val="both"/>
              <w:rPr>
                <w:color w:val="auto"/>
                <w:lang w:val="en-US"/>
              </w:rPr>
            </w:pPr>
            <w:r>
              <w:rPr>
                <w:rFonts w:hint="eastAsia"/>
                <w:color w:val="auto"/>
                <w:lang w:val="en-US" w:eastAsia="zh-CN"/>
              </w:rPr>
              <w:t xml:space="preserve"> </w:t>
            </w:r>
            <w:r>
              <w:rPr>
                <w:rFonts w:hint="eastAsia" w:ascii="宋体" w:hAnsi="宋体"/>
                <w:color w:val="auto"/>
                <w:sz w:val="24"/>
                <w:highlight w:val="none"/>
              </w:rPr>
              <w:t>中小企业的划分标准依据《关于印发中小企业划型标准规定的通知》（工信部联企业〔2011〕300号）文件执行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pPr>
              <w:spacing w:line="360" w:lineRule="auto"/>
              <w:jc w:val="both"/>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both"/>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pPr>
              <w:snapToGrid w:val="0"/>
              <w:spacing w:line="360" w:lineRule="auto"/>
              <w:ind w:firstLine="482" w:firstLineChars="200"/>
              <w:jc w:val="both"/>
              <w:rPr>
                <w:rFonts w:ascii="宋体" w:hAnsi="宋体" w:cs="宋体"/>
                <w:b/>
                <w:sz w:val="24"/>
              </w:rPr>
            </w:pPr>
            <w:r>
              <w:rPr>
                <w:rFonts w:hint="eastAsia" w:ascii="宋体" w:hAnsi="宋体" w:cs="宋体"/>
                <w:b/>
                <w:sz w:val="24"/>
              </w:rPr>
              <w:t>分包</w:t>
            </w:r>
          </w:p>
        </w:tc>
        <w:tc>
          <w:tcPr>
            <w:tcW w:w="6095" w:type="dxa"/>
            <w:tcBorders>
              <w:tl2br w:val="nil"/>
              <w:tr2bl w:val="nil"/>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val="en-US" w:eastAsia="zh-CN"/>
              </w:rPr>
              <w:t xml:space="preserve">      </w:t>
            </w:r>
            <w:r>
              <w:rPr>
                <w:rFonts w:hint="eastAsia" w:ascii="宋体" w:hAnsi="宋体" w:cs="宋体"/>
                <w:color w:val="auto"/>
                <w:sz w:val="24"/>
              </w:rPr>
              <w:t>。</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jc w:val="both"/>
              <w:rPr>
                <w:rFonts w:ascii="宋体" w:hAnsi="宋体" w:cs="宋体"/>
                <w:sz w:val="24"/>
              </w:rPr>
            </w:pPr>
            <w:r>
              <w:rPr>
                <w:rFonts w:hint="eastAsia" w:ascii="宋体" w:hAnsi="宋体" w:cs="宋体"/>
                <w:color w:val="auto"/>
                <w:sz w:val="24"/>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pPr>
              <w:spacing w:line="360" w:lineRule="auto"/>
              <w:jc w:val="both"/>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jc w:val="both"/>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pPr>
              <w:spacing w:line="360" w:lineRule="auto"/>
              <w:jc w:val="both"/>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jc w:val="both"/>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jc w:val="both"/>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jc w:val="both"/>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jc w:val="both"/>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jc w:val="both"/>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jc w:val="both"/>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jc w:val="both"/>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jc w:val="both"/>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pPr>
              <w:snapToGrid w:val="0"/>
              <w:spacing w:line="360" w:lineRule="auto"/>
              <w:jc w:val="both"/>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pPr>
              <w:spacing w:line="360" w:lineRule="auto"/>
              <w:jc w:val="both"/>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jc w:val="both"/>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jc w:val="both"/>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jc w:val="both"/>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jc w:val="both"/>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jc w:val="both"/>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jc w:val="both"/>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pPr>
              <w:spacing w:line="360" w:lineRule="auto"/>
              <w:jc w:val="both"/>
              <w:rPr>
                <w:rFonts w:ascii="宋体" w:hAnsi="宋体" w:cs="宋体"/>
                <w:sz w:val="24"/>
              </w:rPr>
            </w:pPr>
            <w:r>
              <w:rPr>
                <w:rFonts w:hint="eastAsia" w:ascii="宋体" w:hAnsi="宋体" w:cs="宋体"/>
                <w:sz w:val="24"/>
              </w:rPr>
              <w:t>（1）资格证明文件：见招标文件第二部分11.1。</w:t>
            </w:r>
          </w:p>
          <w:p>
            <w:pPr>
              <w:spacing w:line="360" w:lineRule="auto"/>
              <w:jc w:val="both"/>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sz w:val="24"/>
              </w:rPr>
            </w:pPr>
          </w:p>
        </w:tc>
        <w:tc>
          <w:tcPr>
            <w:tcW w:w="1843" w:type="dxa"/>
            <w:vMerge w:val="continue"/>
            <w:tcBorders>
              <w:tl2br w:val="nil"/>
              <w:tr2bl w:val="nil"/>
            </w:tcBorders>
            <w:vAlign w:val="center"/>
          </w:tcPr>
          <w:p>
            <w:pPr>
              <w:snapToGrid w:val="0"/>
              <w:spacing w:line="360" w:lineRule="auto"/>
              <w:jc w:val="both"/>
              <w:rPr>
                <w:rFonts w:ascii="宋体" w:hAnsi="宋体" w:cs="宋体"/>
                <w:b/>
                <w:sz w:val="24"/>
              </w:rPr>
            </w:pPr>
          </w:p>
        </w:tc>
        <w:tc>
          <w:tcPr>
            <w:tcW w:w="6095" w:type="dxa"/>
            <w:tcBorders>
              <w:tl2br w:val="nil"/>
              <w:tr2bl w:val="nil"/>
            </w:tcBorders>
            <w:vAlign w:val="center"/>
          </w:tcPr>
          <w:p>
            <w:pPr>
              <w:spacing w:line="360" w:lineRule="auto"/>
              <w:jc w:val="both"/>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pPr>
              <w:snapToGrid w:val="0"/>
              <w:spacing w:line="360" w:lineRule="auto"/>
              <w:jc w:val="both"/>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w:t>
            </w:r>
            <w:r>
              <w:rPr>
                <w:rFonts w:hint="eastAsia" w:ascii="宋体" w:hAnsi="宋体" w:cs="宋体"/>
                <w:kern w:val="0"/>
                <w:sz w:val="24"/>
                <w:lang w:val="zh-CN"/>
              </w:rPr>
              <w:t>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both"/>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both"/>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both"/>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jc w:val="both"/>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jc w:val="both"/>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pPr>
              <w:spacing w:line="360" w:lineRule="auto"/>
              <w:ind w:firstLine="480" w:firstLineChars="200"/>
              <w:jc w:val="both"/>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pPr>
              <w:pStyle w:val="34"/>
              <w:spacing w:line="360" w:lineRule="auto"/>
              <w:jc w:val="both"/>
              <w:rPr>
                <w:rFonts w:hint="default" w:hAnsi="宋体" w:eastAsia="宋体" w:cs="宋体"/>
                <w:b w:val="0"/>
                <w:bCs/>
                <w:color w:val="auto"/>
                <w:kern w:val="28"/>
                <w:sz w:val="24"/>
                <w:lang w:val="en-US" w:eastAsia="zh-CN"/>
              </w:rPr>
            </w:pPr>
            <w:r>
              <w:rPr>
                <w:rFonts w:hint="eastAsia" w:ascii="宋体" w:hAnsi="宋体" w:eastAsia="宋体" w:cs="宋体"/>
                <w:snapToGrid w:val="0"/>
                <w:kern w:val="28"/>
                <w:sz w:val="24"/>
                <w:szCs w:val="24"/>
                <w:lang w:val="en-US" w:eastAsia="zh-CN" w:bidi="ar-SA"/>
              </w:rPr>
              <w:t>备份投标文件送达地点</w:t>
            </w:r>
            <w:r>
              <w:rPr>
                <w:rFonts w:hint="eastAsia" w:hAnsi="宋体" w:cs="宋体"/>
                <w:color w:val="auto"/>
                <w:kern w:val="28"/>
                <w:sz w:val="24"/>
                <w:szCs w:val="24"/>
                <w:u w:val="none"/>
              </w:rPr>
              <w:t>：</w:t>
            </w:r>
            <w:r>
              <w:rPr>
                <w:rFonts w:cs="宋体"/>
                <w:color w:val="auto"/>
                <w:highlight w:val="none"/>
                <w:u w:val="single"/>
              </w:rPr>
              <w:t>温州市会展路1268号“温州市民中心”A座412室</w:t>
            </w:r>
            <w:r>
              <w:rPr>
                <w:rFonts w:hint="eastAsia" w:hAnsi="宋体" w:cs="宋体"/>
                <w:color w:val="auto"/>
                <w:kern w:val="28"/>
                <w:sz w:val="24"/>
                <w:szCs w:val="24"/>
                <w:u w:val="none"/>
              </w:rPr>
              <w:t>；</w:t>
            </w:r>
            <w:r>
              <w:rPr>
                <w:rFonts w:hint="eastAsia" w:ascii="宋体" w:hAnsi="宋体" w:eastAsia="宋体" w:cs="宋体"/>
                <w:snapToGrid w:val="0"/>
                <w:kern w:val="28"/>
                <w:sz w:val="24"/>
                <w:szCs w:val="24"/>
                <w:lang w:val="en-US" w:eastAsia="zh-CN" w:bidi="ar-SA"/>
              </w:rPr>
              <w:t>备份投标文件签收人员联系电话：</w:t>
            </w:r>
            <w:r>
              <w:rPr>
                <w:rFonts w:hint="eastAsia" w:ascii="宋体" w:hAnsi="宋体" w:eastAsia="宋体" w:cs="宋体"/>
                <w:snapToGrid w:val="0"/>
                <w:kern w:val="28"/>
                <w:sz w:val="24"/>
                <w:szCs w:val="24"/>
                <w:u w:val="single"/>
                <w:lang w:val="en-US" w:eastAsia="zh-CN" w:bidi="ar-SA"/>
              </w:rPr>
              <w:t xml:space="preserve">0577-88926838 </w:t>
            </w:r>
            <w:r>
              <w:rPr>
                <w:rFonts w:hint="eastAsia" w:ascii="宋体" w:hAnsi="宋体" w:eastAsia="宋体" w:cs="宋体"/>
                <w:snapToGrid w:val="0"/>
                <w:kern w:val="28"/>
                <w:sz w:val="24"/>
                <w:szCs w:val="24"/>
                <w:lang w:val="en-US" w:eastAsia="zh-CN" w:bidi="ar-SA"/>
              </w:rPr>
              <w:t>。</w:t>
            </w:r>
            <w:r>
              <w:rPr>
                <w:rFonts w:hint="eastAsia" w:ascii="宋体" w:hAnsi="宋体" w:eastAsia="宋体" w:cs="宋体"/>
                <w:b/>
                <w:bCs/>
                <w:snapToGrid w:val="0"/>
                <w:kern w:val="28"/>
                <w:sz w:val="24"/>
                <w:szCs w:val="24"/>
                <w:lang w:val="en-US" w:eastAsia="zh-CN" w:bidi="ar-SA"/>
              </w:rPr>
              <w:t>采购人、采购代理机构不强制或变相强制投标人提交备份投标文件</w:t>
            </w:r>
            <w:r>
              <w:rPr>
                <w:rFonts w:hint="eastAsia" w:ascii="宋体" w:hAnsi="宋体" w:eastAsia="宋体" w:cs="宋体"/>
                <w:snapToGrid w:val="0"/>
                <w:kern w:val="28"/>
                <w:sz w:val="24"/>
                <w:szCs w:val="24"/>
                <w:lang w:val="en-US" w:eastAsia="zh-CN" w:bidi="ar-SA"/>
              </w:rPr>
              <w:t>。采购活动结束后，备份投标文件存储介质请于3个工作日内取回，逾期未取回，不负保管义务。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vMerge w:val="restart"/>
            <w:tcBorders>
              <w:tl2br w:val="nil"/>
              <w:tr2bl w:val="nil"/>
            </w:tcBorders>
            <w:vAlign w:val="center"/>
          </w:tcPr>
          <w:p>
            <w:pPr>
              <w:snapToGrid w:val="0"/>
              <w:spacing w:line="360" w:lineRule="auto"/>
              <w:jc w:val="both"/>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l2br w:val="nil"/>
              <w:tr2bl w:val="nil"/>
            </w:tcBorders>
            <w:vAlign w:val="center"/>
          </w:tcPr>
          <w:p>
            <w:pPr>
              <w:spacing w:line="360" w:lineRule="auto"/>
              <w:jc w:val="both"/>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sz w:val="24"/>
              </w:rPr>
            </w:pPr>
          </w:p>
        </w:tc>
        <w:tc>
          <w:tcPr>
            <w:tcW w:w="1843" w:type="dxa"/>
            <w:vMerge w:val="continue"/>
            <w:tcBorders>
              <w:tl2br w:val="nil"/>
              <w:tr2bl w:val="nil"/>
            </w:tcBorders>
            <w:vAlign w:val="center"/>
          </w:tcPr>
          <w:p>
            <w:pPr>
              <w:snapToGrid w:val="0"/>
              <w:spacing w:line="360" w:lineRule="auto"/>
              <w:jc w:val="both"/>
              <w:rPr>
                <w:rFonts w:ascii="宋体" w:hAnsi="宋体" w:cs="宋体"/>
                <w:b/>
                <w:sz w:val="24"/>
              </w:rPr>
            </w:pPr>
          </w:p>
        </w:tc>
        <w:tc>
          <w:tcPr>
            <w:tcW w:w="6095" w:type="dxa"/>
            <w:tcBorders>
              <w:tl2br w:val="nil"/>
              <w:tr2bl w:val="nil"/>
            </w:tcBorders>
            <w:vAlign w:val="center"/>
          </w:tcPr>
          <w:p>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color w:val="auto"/>
          <w:sz w:val="24"/>
        </w:rPr>
        <w:t xml:space="preserve"> “▲</w:t>
      </w:r>
      <w:r>
        <w:rPr>
          <w:rFonts w:hint="eastAsia" w:ascii="宋体" w:hAnsi="宋体" w:cs="宋体"/>
          <w:color w:val="auto"/>
          <w:sz w:val="24"/>
          <w:lang w:val="en-US" w:eastAsia="zh-CN"/>
        </w:rPr>
        <w:t>且加下划线部分</w:t>
      </w:r>
      <w:r>
        <w:rPr>
          <w:rFonts w:hint="eastAsia" w:ascii="宋体" w:hAnsi="宋体" w:cs="宋体"/>
          <w:color w:val="auto"/>
          <w:sz w:val="24"/>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3.3.2.2在工程采购项目中，工程由中小企业承建，即工程施工单位为中小企业；</w:t>
      </w:r>
    </w:p>
    <w:p>
      <w:pPr>
        <w:widowControl/>
        <w:spacing w:line="360" w:lineRule="auto"/>
        <w:ind w:firstLine="480" w:firstLineChars="200"/>
        <w:jc w:val="left"/>
        <w:rPr>
          <w:rFonts w:cs="仿宋" w:asciiTheme="minorEastAsia" w:hAnsiTheme="minorEastAsia"/>
          <w:color w:val="auto"/>
          <w:kern w:val="0"/>
          <w:sz w:val="24"/>
        </w:rPr>
      </w:pPr>
      <w:r>
        <w:rPr>
          <w:rFonts w:hint="eastAsia" w:cs="仿宋" w:asciiTheme="minorEastAsia" w:hAnsiTheme="minorEastAsia"/>
          <w:kern w:val="0"/>
          <w:sz w:val="24"/>
        </w:rPr>
        <w:t>3.3.2.3在服务采购项目中，服务由中小企业承接，即提供服务的人员为中小企业依照</w:t>
      </w:r>
      <w:r>
        <w:rPr>
          <w:rFonts w:hint="eastAsia" w:cs="仿宋" w:asciiTheme="minorEastAsia" w:hAnsiTheme="minorEastAsia"/>
          <w:color w:val="auto"/>
          <w:kern w:val="0"/>
          <w:sz w:val="24"/>
        </w:rPr>
        <w:t>《</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cs="仿宋" w:asciiTheme="minorEastAsia" w:hAnsiTheme="minorEastAsia"/>
          <w:color w:val="auto"/>
          <w:kern w:val="0"/>
          <w:sz w:val="24"/>
        </w:rPr>
        <w:t>》订立劳动合同的从业人员。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color w:val="auto"/>
          <w:kern w:val="0"/>
          <w:sz w:val="24"/>
        </w:rPr>
        <w:t>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宋体"/>
          <w:color w:val="auto"/>
          <w:kern w:val="0"/>
          <w:sz w:val="24"/>
          <w:u w:val="none"/>
        </w:rPr>
        <w:t>》</w:t>
      </w:r>
      <w:r>
        <w:rPr>
          <w:rFonts w:hint="eastAsia" w:ascii="宋体" w:hAnsi="宋体" w:cs="宋体"/>
          <w:color w:val="auto"/>
          <w:kern w:val="0"/>
          <w:sz w:val="24"/>
        </w:rPr>
        <w:t>订</w:t>
      </w:r>
      <w:r>
        <w:rPr>
          <w:rFonts w:hint="eastAsia" w:ascii="宋体" w:hAnsi="宋体" w:cs="宋体"/>
          <w:kern w:val="0"/>
          <w:sz w:val="24"/>
        </w:rPr>
        <w:t>立劳动合同的从业人员。</w:t>
      </w:r>
      <w:r>
        <w:rPr>
          <w:rFonts w:hint="eastAsia" w:cs="仿宋" w:asciiTheme="minorEastAsia" w:hAnsiTheme="minorEastAsia"/>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rPr>
        <w:t>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w:t>
      </w:r>
      <w:r>
        <w:rPr>
          <w:rFonts w:hint="eastAsia" w:ascii="宋体" w:hAnsi="宋体" w:cs="宋体"/>
          <w:sz w:val="24"/>
        </w:rPr>
        <w:t>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pPr>
        <w:pStyle w:val="34"/>
        <w:spacing w:line="360" w:lineRule="auto"/>
        <w:ind w:firstLine="480" w:firstLineChars="200"/>
        <w:rPr>
          <w:rFonts w:hint="eastAsia" w:ascii="宋体" w:hAnsi="宋体" w:eastAsia="宋体" w:cs="宋体"/>
          <w:snapToGrid/>
          <w:kern w:val="0"/>
          <w:sz w:val="24"/>
          <w:szCs w:val="24"/>
          <w:lang w:val="zh-CN" w:eastAsia="zh-CN" w:bidi="ar-SA"/>
        </w:rPr>
      </w:pPr>
      <w:r>
        <w:rPr>
          <w:rFonts w:hint="eastAsia" w:hAnsi="宋体" w:cs="宋体"/>
          <w:kern w:val="0"/>
          <w:sz w:val="24"/>
          <w:lang w:val="zh-CN"/>
        </w:rPr>
        <w:t>　</w:t>
      </w:r>
      <w:r>
        <w:rPr>
          <w:rFonts w:hint="eastAsia" w:ascii="宋体" w:hAnsi="宋体" w:eastAsia="宋体" w:cs="宋体"/>
          <w:snapToGrid/>
          <w:kern w:val="0"/>
          <w:sz w:val="24"/>
          <w:szCs w:val="24"/>
          <w:lang w:val="zh-CN" w:eastAsia="zh-CN" w:bidi="ar-SA"/>
        </w:rPr>
        <w:t>　4.3.3.5必要的法律依据；</w:t>
      </w:r>
    </w:p>
    <w:p>
      <w:pPr>
        <w:pStyle w:val="34"/>
        <w:spacing w:line="360" w:lineRule="auto"/>
        <w:ind w:firstLine="960" w:firstLineChars="400"/>
        <w:rPr>
          <w:rFonts w:hint="eastAsia" w:ascii="宋体" w:hAnsi="宋体" w:eastAsia="宋体" w:cs="宋体"/>
          <w:snapToGrid/>
          <w:kern w:val="0"/>
          <w:sz w:val="24"/>
          <w:szCs w:val="24"/>
          <w:lang w:val="zh-CN" w:eastAsia="zh-CN" w:bidi="ar-SA"/>
        </w:rPr>
      </w:pPr>
      <w:r>
        <w:rPr>
          <w:rFonts w:hint="eastAsia" w:ascii="宋体" w:hAnsi="宋体" w:eastAsia="宋体" w:cs="宋体"/>
          <w:snapToGrid/>
          <w:kern w:val="0"/>
          <w:sz w:val="24"/>
          <w:szCs w:val="24"/>
          <w:lang w:val="zh-CN" w:eastAsia="zh-CN" w:bidi="ar-SA"/>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default"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pStyle w:val="886"/>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pPr>
        <w:pStyle w:val="886"/>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pPr>
        <w:pStyle w:val="886"/>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5．招标文件的构成</w:t>
      </w:r>
    </w:p>
    <w:p>
      <w:pPr>
        <w:pStyle w:val="129"/>
        <w:snapToGrid w:val="0"/>
        <w:spacing w:before="0"/>
        <w:ind w:firstLine="480"/>
        <w:rPr>
          <w:rFonts w:hint="eastAsia" w:ascii="宋体" w:hAnsi="宋体" w:cs="宋体"/>
          <w:lang w:eastAsia="zh-CN"/>
        </w:rPr>
      </w:pPr>
      <w:r>
        <w:rPr>
          <w:rFonts w:hint="eastAsia" w:ascii="宋体" w:hAnsi="宋体" w:cs="宋体"/>
          <w:lang w:eastAsia="zh-CN"/>
        </w:rPr>
        <w:t>5.1 招标文件包括下列文件及附件：</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5.1.1招标公告；</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5.1.2投标人须知；</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5.1.3采购需求；</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5.1.4评标办法；</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5.1.5拟签订的合同文本；</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5.1.6应提交的有关格式范例。</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5.2与本项目有关的澄清或者修改的内容为招标文件的组成部分。</w:t>
      </w:r>
    </w:p>
    <w:p>
      <w:pPr>
        <w:pStyle w:val="34"/>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6. 招标文件的澄清、修改</w:t>
      </w:r>
    </w:p>
    <w:p>
      <w:pPr>
        <w:pStyle w:val="129"/>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960" w:firstLineChars="40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val="0"/>
          <w:bCs/>
          <w:sz w:val="30"/>
          <w:szCs w:val="20"/>
        </w:rPr>
      </w:pPr>
      <w:r>
        <w:rPr>
          <w:rFonts w:hint="eastAsia" w:ascii="宋体" w:hAnsi="宋体" w:cs="宋体"/>
          <w:b w:val="0"/>
          <w:bCs/>
          <w:sz w:val="30"/>
          <w:szCs w:val="20"/>
        </w:rPr>
        <w:t>三、投标</w:t>
      </w:r>
    </w:p>
    <w:p>
      <w:pPr>
        <w:pStyle w:val="34"/>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7. 招标文件的获取</w:t>
      </w:r>
    </w:p>
    <w:p>
      <w:pPr>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详见招标公告中获取招标文件的时间期限、地点、方式及招标文件售价。</w:t>
      </w:r>
    </w:p>
    <w:p>
      <w:pPr>
        <w:pStyle w:val="34"/>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8.开标前答疑会或现场考察</w:t>
      </w:r>
    </w:p>
    <w:p>
      <w:pPr>
        <w:pStyle w:val="34"/>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10. 投标文件的语言</w:t>
      </w:r>
    </w:p>
    <w:p>
      <w:pPr>
        <w:pStyle w:val="34"/>
        <w:spacing w:line="360" w:lineRule="auto"/>
        <w:ind w:firstLine="480" w:firstLineChars="2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en-US" w:eastAsia="zh-CN" w:bidi="ar-SA"/>
        </w:rPr>
        <w:t>投标文件及投标人与采购有关的来往通知、函件和文件均应使用中文。</w:t>
      </w:r>
    </w:p>
    <w:p>
      <w:pPr>
        <w:pStyle w:val="34"/>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pStyle w:val="23"/>
        <w:ind w:firstLine="960" w:firstLineChars="400"/>
        <w:rPr>
          <w:rFonts w:hint="default"/>
          <w:color w:val="auto"/>
          <w:lang w:val="en-US"/>
        </w:rPr>
      </w:pPr>
      <w:r>
        <w:rPr>
          <w:rFonts w:hint="eastAsia" w:cs="仿宋" w:asciiTheme="minorEastAsia" w:hAnsiTheme="minorEastAsia"/>
          <w:color w:val="auto"/>
          <w:sz w:val="24"/>
          <w:lang w:val="en-US" w:eastAsia="zh-CN"/>
        </w:rPr>
        <w:t>11.2.8认为需要的其他文件资料或说明.</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color w:val="auto"/>
          <w:u w:val="single"/>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15.备份投标文件</w:t>
      </w:r>
    </w:p>
    <w:p>
      <w:pPr>
        <w:pStyle w:val="34"/>
        <w:spacing w:line="360" w:lineRule="auto"/>
        <w:ind w:firstLine="360" w:firstLineChars="150"/>
        <w:rPr>
          <w:rFonts w:hint="eastAsia"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napToGrid/>
          <w:kern w:val="2"/>
          <w:sz w:val="24"/>
          <w:szCs w:val="24"/>
          <w:lang w:val="en-US" w:eastAsia="zh-CN" w:bidi="ar-SA"/>
        </w:rPr>
        <w:t>但采购人、采购代理机构不强制或变相强制投标人提交备份投标文件。</w:t>
      </w:r>
    </w:p>
    <w:p>
      <w:pPr>
        <w:pStyle w:val="34"/>
        <w:spacing w:line="360" w:lineRule="auto"/>
        <w:ind w:firstLine="480" w:firstLineChars="200"/>
        <w:rPr>
          <w:rFonts w:hint="default"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kern w:val="2"/>
          <w:sz w:val="24"/>
          <w:szCs w:val="24"/>
          <w:lang w:val="en-US" w:eastAsia="zh-CN" w:bidi="ar-SA"/>
        </w:rPr>
        <w:t xml:space="preserve">不符合上述制作、存储、密封规定的备份投标文件将被视为无效或者被拒绝接收。 </w:t>
      </w:r>
    </w:p>
    <w:p>
      <w:pPr>
        <w:pStyle w:val="34"/>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15.5投标人仅提交备份投标文件，未在电子交易平台传输递交投标文件的，投标无效。</w:t>
      </w:r>
    </w:p>
    <w:p>
      <w:pPr>
        <w:pStyle w:val="129"/>
        <w:spacing w:before="0"/>
        <w:ind w:firstLine="0" w:firstLineChars="0"/>
        <w:rPr>
          <w:rFonts w:ascii="宋体" w:hAnsi="宋体" w:cs="宋体"/>
          <w:b/>
          <w:bCs w:val="0"/>
          <w:szCs w:val="24"/>
        </w:rPr>
      </w:pPr>
      <w:r>
        <w:rPr>
          <w:rFonts w:hint="eastAsia" w:ascii="宋体" w:hAnsi="宋体" w:cs="宋体"/>
          <w:b/>
          <w:bCs w:val="0"/>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kern w:val="0"/>
          <w:sz w:val="24"/>
        </w:rPr>
        <w:t>1</w:t>
      </w:r>
      <w:r>
        <w:rPr>
          <w:rFonts w:hint="eastAsia" w:ascii="宋体" w:hAnsi="宋体" w:cs="宋体"/>
          <w:color w:val="auto"/>
          <w:kern w:val="0"/>
          <w:sz w:val="24"/>
        </w:rPr>
        <w:t>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w:t>
      </w:r>
      <w:r>
        <w:rPr>
          <w:rFonts w:hint="eastAsia" w:ascii="宋体" w:hAnsi="宋体" w:cs="宋体"/>
          <w:kern w:val="0"/>
          <w:szCs w:val="24"/>
          <w:lang w:val="en-US" w:eastAsia="zh-CN"/>
        </w:rPr>
        <w:t>人</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hint="eastAsia" w:ascii="宋体" w:hAnsi="宋体" w:cs="宋体"/>
          <w:color w:val="auto"/>
          <w:kern w:val="0"/>
          <w:sz w:val="24"/>
        </w:rPr>
        <w:t>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hint="eastAsia"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011"/>
      <w:bookmarkEnd w:id="14"/>
      <w:bookmarkStart w:id="15" w:name="_Hlt68072990"/>
      <w:bookmarkEnd w:id="15"/>
      <w:bookmarkStart w:id="16" w:name="_Hlt68057669"/>
      <w:bookmarkEnd w:id="16"/>
      <w:bookmarkStart w:id="17" w:name="_Hlt74730295"/>
      <w:bookmarkEnd w:id="17"/>
      <w:bookmarkStart w:id="18" w:name="_Hlt74714665"/>
      <w:bookmarkEnd w:id="18"/>
      <w:bookmarkStart w:id="19" w:name="_Hlt68073093"/>
      <w:bookmarkEnd w:id="19"/>
      <w:bookmarkStart w:id="20" w:name="_Hlt75236290"/>
      <w:bookmarkEnd w:id="20"/>
      <w:bookmarkStart w:id="21" w:name="_Hlt75236101"/>
      <w:bookmarkEnd w:id="21"/>
      <w:bookmarkStart w:id="22" w:name="_Hlt74707468"/>
      <w:bookmarkEnd w:id="22"/>
      <w:bookmarkStart w:id="23" w:name="_Hlt68072998"/>
      <w:bookmarkEnd w:id="23"/>
      <w:bookmarkStart w:id="24" w:name="_Hlt74729768"/>
      <w:bookmarkEnd w:id="24"/>
      <w:bookmarkStart w:id="25" w:name="_Hlt68403820"/>
      <w:bookmarkEnd w:id="25"/>
    </w:p>
    <w:bookmarkEnd w:id="10"/>
    <w:bookmarkEnd w:id="11"/>
    <w:p>
      <w:pPr>
        <w:numPr>
          <w:ilvl w:val="0"/>
          <w:numId w:val="2"/>
        </w:num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 xml:space="preserve">  采购需求</w:t>
      </w:r>
    </w:p>
    <w:p>
      <w:pPr>
        <w:jc w:val="center"/>
        <w:rPr>
          <w:rFonts w:hint="eastAsia" w:ascii="黑体" w:hAnsi="新宋体" w:eastAsia="黑体"/>
          <w:b/>
          <w:bCs/>
          <w:sz w:val="30"/>
          <w:szCs w:val="30"/>
        </w:rPr>
      </w:pPr>
      <w:bookmarkStart w:id="27" w:name="_Toc184314429"/>
      <w:bookmarkEnd w:id="27"/>
      <w:bookmarkStart w:id="28" w:name="_Toc184312078"/>
      <w:bookmarkEnd w:id="28"/>
      <w:bookmarkStart w:id="29" w:name="_Toc184312100"/>
      <w:bookmarkEnd w:id="29"/>
      <w:bookmarkStart w:id="30" w:name="_Toc184312117"/>
      <w:bookmarkEnd w:id="30"/>
      <w:bookmarkStart w:id="31" w:name="_Toc184312109"/>
      <w:bookmarkEnd w:id="31"/>
      <w:bookmarkStart w:id="32" w:name="_Toc184312073"/>
      <w:bookmarkEnd w:id="32"/>
      <w:bookmarkStart w:id="33" w:name="_Toc184313295"/>
      <w:bookmarkEnd w:id="33"/>
      <w:bookmarkStart w:id="34" w:name="_Toc184308074"/>
      <w:bookmarkEnd w:id="34"/>
      <w:bookmarkStart w:id="35" w:name="_Toc184313264"/>
      <w:bookmarkEnd w:id="35"/>
      <w:bookmarkStart w:id="36" w:name="_Toc184310318"/>
      <w:bookmarkEnd w:id="36"/>
      <w:bookmarkStart w:id="37" w:name="_Toc184310285"/>
      <w:bookmarkEnd w:id="37"/>
      <w:bookmarkStart w:id="38" w:name="_Toc184314430"/>
      <w:bookmarkEnd w:id="38"/>
      <w:bookmarkStart w:id="39" w:name="_Toc184310278"/>
      <w:bookmarkEnd w:id="39"/>
      <w:bookmarkStart w:id="40" w:name="_Toc184308061"/>
      <w:bookmarkEnd w:id="40"/>
      <w:bookmarkStart w:id="41" w:name="_Toc184310288"/>
      <w:bookmarkEnd w:id="41"/>
      <w:bookmarkStart w:id="42" w:name="_Toc184313299"/>
      <w:bookmarkEnd w:id="42"/>
      <w:bookmarkStart w:id="43" w:name="_Toc184308091"/>
      <w:bookmarkEnd w:id="43"/>
      <w:bookmarkStart w:id="44" w:name="_Toc184312115"/>
      <w:bookmarkEnd w:id="44"/>
      <w:bookmarkStart w:id="45" w:name="_Toc184312075"/>
      <w:bookmarkEnd w:id="45"/>
      <w:bookmarkStart w:id="46" w:name="_Toc184313285"/>
      <w:bookmarkEnd w:id="46"/>
      <w:bookmarkStart w:id="47" w:name="_Toc184314432"/>
      <w:bookmarkEnd w:id="47"/>
      <w:bookmarkStart w:id="48" w:name="_Toc184313308"/>
      <w:bookmarkEnd w:id="48"/>
      <w:bookmarkStart w:id="49" w:name="_Toc184313269"/>
      <w:bookmarkEnd w:id="49"/>
      <w:bookmarkStart w:id="50" w:name="_Toc184308089"/>
      <w:bookmarkEnd w:id="50"/>
      <w:bookmarkStart w:id="51" w:name="_Toc184308076"/>
      <w:bookmarkEnd w:id="51"/>
      <w:bookmarkStart w:id="52" w:name="_Toc184308041"/>
      <w:bookmarkEnd w:id="52"/>
      <w:bookmarkStart w:id="53" w:name="_Toc184310281"/>
      <w:bookmarkEnd w:id="53"/>
      <w:bookmarkStart w:id="54" w:name="_Toc184313276"/>
      <w:bookmarkEnd w:id="54"/>
      <w:bookmarkStart w:id="55" w:name="_Toc184312070"/>
      <w:bookmarkEnd w:id="55"/>
      <w:bookmarkStart w:id="56" w:name="_Toc184314449"/>
      <w:bookmarkEnd w:id="56"/>
      <w:bookmarkStart w:id="57" w:name="_Toc184310274"/>
      <w:bookmarkEnd w:id="57"/>
      <w:bookmarkStart w:id="58" w:name="_Toc184313290"/>
      <w:bookmarkEnd w:id="58"/>
      <w:bookmarkStart w:id="59" w:name="_Toc184314438"/>
      <w:bookmarkEnd w:id="59"/>
      <w:bookmarkStart w:id="60" w:name="_Toc184313287"/>
      <w:bookmarkEnd w:id="60"/>
      <w:bookmarkStart w:id="61" w:name="_Toc184310309"/>
      <w:bookmarkEnd w:id="61"/>
      <w:bookmarkStart w:id="62" w:name="_Toc184314470"/>
      <w:bookmarkEnd w:id="62"/>
      <w:bookmarkStart w:id="63" w:name="_Toc184313253"/>
      <w:bookmarkEnd w:id="63"/>
      <w:bookmarkStart w:id="64" w:name="_Toc184310279"/>
      <w:bookmarkEnd w:id="64"/>
      <w:bookmarkStart w:id="65" w:name="_Toc184314416"/>
      <w:bookmarkEnd w:id="65"/>
      <w:bookmarkStart w:id="66" w:name="_Toc184313296"/>
      <w:bookmarkEnd w:id="66"/>
      <w:bookmarkStart w:id="67" w:name="_Toc184308104"/>
      <w:bookmarkEnd w:id="67"/>
      <w:bookmarkStart w:id="68" w:name="_Toc184310344"/>
      <w:bookmarkEnd w:id="68"/>
      <w:bookmarkStart w:id="69" w:name="_Toc184308085"/>
      <w:bookmarkEnd w:id="69"/>
      <w:bookmarkStart w:id="70" w:name="_Toc184308040"/>
      <w:bookmarkEnd w:id="70"/>
      <w:bookmarkStart w:id="71" w:name="_Toc184310303"/>
      <w:bookmarkEnd w:id="71"/>
      <w:bookmarkStart w:id="72" w:name="_Toc184314414"/>
      <w:bookmarkEnd w:id="72"/>
      <w:bookmarkStart w:id="73" w:name="_Toc184314418"/>
      <w:bookmarkEnd w:id="73"/>
      <w:bookmarkStart w:id="74" w:name="_Toc184310308"/>
      <w:bookmarkEnd w:id="74"/>
      <w:bookmarkStart w:id="75" w:name="_Toc184310340"/>
      <w:bookmarkEnd w:id="75"/>
      <w:bookmarkStart w:id="76" w:name="_Toc184314441"/>
      <w:bookmarkEnd w:id="76"/>
      <w:bookmarkStart w:id="77" w:name="_Toc184312077"/>
      <w:bookmarkEnd w:id="77"/>
      <w:bookmarkStart w:id="78" w:name="_Toc184310312"/>
      <w:bookmarkEnd w:id="78"/>
      <w:bookmarkStart w:id="79" w:name="_Toc184312105"/>
      <w:bookmarkEnd w:id="79"/>
      <w:bookmarkStart w:id="80" w:name="_Toc184314417"/>
      <w:bookmarkEnd w:id="80"/>
      <w:bookmarkStart w:id="81" w:name="_Toc184312139"/>
      <w:bookmarkEnd w:id="81"/>
      <w:bookmarkStart w:id="82" w:name="_Toc184312118"/>
      <w:bookmarkEnd w:id="82"/>
      <w:bookmarkStart w:id="83" w:name="_Toc184308055"/>
      <w:bookmarkEnd w:id="83"/>
      <w:bookmarkStart w:id="84" w:name="_Toc184310326"/>
      <w:bookmarkEnd w:id="84"/>
      <w:bookmarkStart w:id="85" w:name="_Toc184308050"/>
      <w:bookmarkEnd w:id="85"/>
      <w:bookmarkStart w:id="86" w:name="_Toc184310301"/>
      <w:bookmarkEnd w:id="86"/>
      <w:bookmarkStart w:id="87" w:name="_Toc184308060"/>
      <w:bookmarkEnd w:id="87"/>
      <w:bookmarkStart w:id="88" w:name="_Toc184312111"/>
      <w:bookmarkEnd w:id="88"/>
      <w:bookmarkStart w:id="89" w:name="_Toc184312133"/>
      <w:bookmarkEnd w:id="89"/>
      <w:bookmarkStart w:id="90" w:name="_Toc184310307"/>
      <w:bookmarkEnd w:id="90"/>
      <w:bookmarkStart w:id="91" w:name="_Toc184314464"/>
      <w:bookmarkEnd w:id="91"/>
      <w:bookmarkStart w:id="92" w:name="_Toc184308090"/>
      <w:bookmarkEnd w:id="92"/>
      <w:bookmarkStart w:id="93" w:name="_Toc184313291"/>
      <w:bookmarkEnd w:id="93"/>
      <w:bookmarkStart w:id="94" w:name="_Toc184312098"/>
      <w:bookmarkEnd w:id="94"/>
      <w:bookmarkStart w:id="95" w:name="_Toc184312094"/>
      <w:bookmarkEnd w:id="95"/>
      <w:bookmarkStart w:id="96" w:name="_Toc184313284"/>
      <w:bookmarkEnd w:id="96"/>
      <w:bookmarkStart w:id="97" w:name="_Toc184312079"/>
      <w:bookmarkEnd w:id="97"/>
      <w:bookmarkStart w:id="98" w:name="_Toc184313304"/>
      <w:bookmarkEnd w:id="98"/>
      <w:bookmarkStart w:id="99" w:name="_Toc184310337"/>
      <w:bookmarkEnd w:id="99"/>
      <w:bookmarkStart w:id="100" w:name="_Toc184314460"/>
      <w:bookmarkEnd w:id="100"/>
      <w:bookmarkStart w:id="101" w:name="_Toc184312131"/>
      <w:bookmarkEnd w:id="101"/>
      <w:bookmarkStart w:id="102" w:name="_Toc184312123"/>
      <w:bookmarkEnd w:id="102"/>
      <w:bookmarkStart w:id="103" w:name="_Toc184313256"/>
      <w:bookmarkEnd w:id="103"/>
      <w:bookmarkStart w:id="104" w:name="_Toc184314475"/>
      <w:bookmarkEnd w:id="104"/>
      <w:bookmarkStart w:id="105" w:name="_Toc184312108"/>
      <w:bookmarkEnd w:id="105"/>
      <w:bookmarkStart w:id="106" w:name="_Toc184312101"/>
      <w:bookmarkEnd w:id="106"/>
      <w:bookmarkStart w:id="107" w:name="_Toc184313279"/>
      <w:bookmarkEnd w:id="107"/>
      <w:bookmarkStart w:id="108" w:name="_Toc184312135"/>
      <w:bookmarkEnd w:id="108"/>
      <w:bookmarkStart w:id="109" w:name="_Toc184308036"/>
      <w:bookmarkEnd w:id="109"/>
      <w:bookmarkStart w:id="110" w:name="_Toc184312129"/>
      <w:bookmarkEnd w:id="110"/>
      <w:bookmarkStart w:id="111" w:name="_Toc184310330"/>
      <w:bookmarkEnd w:id="111"/>
      <w:bookmarkStart w:id="112" w:name="_Toc184312116"/>
      <w:bookmarkEnd w:id="112"/>
      <w:bookmarkStart w:id="113" w:name="_Toc184312097"/>
      <w:bookmarkEnd w:id="113"/>
      <w:bookmarkStart w:id="114" w:name="_Toc184310343"/>
      <w:bookmarkEnd w:id="114"/>
      <w:bookmarkStart w:id="115" w:name="_Toc184308086"/>
      <w:bookmarkEnd w:id="115"/>
      <w:bookmarkStart w:id="116" w:name="_Toc184313243"/>
      <w:bookmarkEnd w:id="116"/>
      <w:bookmarkStart w:id="117" w:name="_Toc184313257"/>
      <w:bookmarkEnd w:id="117"/>
      <w:bookmarkStart w:id="118" w:name="_Toc184314419"/>
      <w:bookmarkEnd w:id="118"/>
      <w:bookmarkStart w:id="119" w:name="_Toc184312121"/>
      <w:bookmarkEnd w:id="119"/>
      <w:bookmarkStart w:id="120" w:name="_Toc184312081"/>
      <w:bookmarkEnd w:id="120"/>
      <w:bookmarkStart w:id="121" w:name="_Toc184310286"/>
      <w:bookmarkEnd w:id="121"/>
      <w:bookmarkStart w:id="122" w:name="_Toc184308045"/>
      <w:bookmarkEnd w:id="122"/>
      <w:bookmarkStart w:id="123" w:name="_Toc184313255"/>
      <w:bookmarkEnd w:id="123"/>
      <w:bookmarkStart w:id="124" w:name="_Toc184314426"/>
      <w:bookmarkEnd w:id="124"/>
      <w:bookmarkStart w:id="125" w:name="_Toc184308088"/>
      <w:bookmarkEnd w:id="125"/>
      <w:bookmarkStart w:id="126" w:name="_Toc184313262"/>
      <w:bookmarkEnd w:id="126"/>
      <w:bookmarkStart w:id="127" w:name="_Toc184308043"/>
      <w:bookmarkEnd w:id="127"/>
      <w:bookmarkStart w:id="128" w:name="_Toc184308108"/>
      <w:bookmarkEnd w:id="128"/>
      <w:bookmarkStart w:id="129" w:name="_Toc184308037"/>
      <w:bookmarkEnd w:id="129"/>
      <w:bookmarkStart w:id="130" w:name="_Toc184314468"/>
      <w:bookmarkEnd w:id="130"/>
      <w:bookmarkStart w:id="131" w:name="_Toc184308099"/>
      <w:bookmarkEnd w:id="131"/>
      <w:bookmarkStart w:id="132" w:name="_Toc184308080"/>
      <w:bookmarkEnd w:id="132"/>
      <w:bookmarkStart w:id="133" w:name="_Toc184310321"/>
      <w:bookmarkEnd w:id="133"/>
      <w:bookmarkStart w:id="134" w:name="_Toc184312089"/>
      <w:bookmarkEnd w:id="134"/>
      <w:bookmarkStart w:id="135" w:name="_Toc184313267"/>
      <w:bookmarkEnd w:id="135"/>
      <w:bookmarkStart w:id="136" w:name="_Toc184312084"/>
      <w:bookmarkEnd w:id="136"/>
      <w:bookmarkStart w:id="137" w:name="_Toc184312095"/>
      <w:bookmarkEnd w:id="137"/>
      <w:bookmarkStart w:id="138" w:name="_Toc184308107"/>
      <w:bookmarkEnd w:id="138"/>
      <w:bookmarkStart w:id="139" w:name="_Toc184314450"/>
      <w:bookmarkEnd w:id="139"/>
      <w:bookmarkStart w:id="140" w:name="_Toc184313289"/>
      <w:bookmarkEnd w:id="140"/>
      <w:bookmarkStart w:id="141" w:name="_Toc184314437"/>
      <w:bookmarkEnd w:id="141"/>
      <w:bookmarkStart w:id="142" w:name="_Toc184314448"/>
      <w:bookmarkEnd w:id="142"/>
      <w:bookmarkStart w:id="143" w:name="_Toc184310290"/>
      <w:bookmarkEnd w:id="143"/>
      <w:bookmarkStart w:id="144" w:name="_Toc184312104"/>
      <w:bookmarkEnd w:id="144"/>
      <w:bookmarkStart w:id="145" w:name="_Toc184308064"/>
      <w:bookmarkEnd w:id="145"/>
      <w:bookmarkStart w:id="146" w:name="_Toc184308100"/>
      <w:bookmarkEnd w:id="146"/>
      <w:bookmarkStart w:id="147" w:name="_Toc184313271"/>
      <w:bookmarkEnd w:id="147"/>
      <w:bookmarkStart w:id="148" w:name="_Toc184310299"/>
      <w:bookmarkEnd w:id="148"/>
      <w:bookmarkStart w:id="149" w:name="_Toc184308079"/>
      <w:bookmarkEnd w:id="149"/>
      <w:bookmarkStart w:id="150" w:name="_Toc184312074"/>
      <w:bookmarkEnd w:id="150"/>
      <w:bookmarkStart w:id="151" w:name="_Toc184313274"/>
      <w:bookmarkEnd w:id="151"/>
      <w:bookmarkStart w:id="152" w:name="_Toc184308093"/>
      <w:bookmarkEnd w:id="152"/>
      <w:bookmarkStart w:id="153" w:name="_Toc184314457"/>
      <w:bookmarkEnd w:id="153"/>
      <w:bookmarkStart w:id="154" w:name="_Toc184313306"/>
      <w:bookmarkEnd w:id="154"/>
      <w:bookmarkStart w:id="155" w:name="_Toc184310287"/>
      <w:bookmarkEnd w:id="155"/>
      <w:bookmarkStart w:id="156" w:name="_Toc184313260"/>
      <w:bookmarkEnd w:id="156"/>
      <w:bookmarkStart w:id="157" w:name="_Toc184310341"/>
      <w:bookmarkEnd w:id="157"/>
      <w:bookmarkStart w:id="158" w:name="_Toc184314455"/>
      <w:bookmarkEnd w:id="158"/>
      <w:bookmarkStart w:id="159" w:name="_Toc184308094"/>
      <w:bookmarkEnd w:id="159"/>
      <w:bookmarkStart w:id="160" w:name="_Toc184313277"/>
      <w:bookmarkEnd w:id="160"/>
      <w:bookmarkStart w:id="161" w:name="_Toc184313294"/>
      <w:bookmarkEnd w:id="161"/>
      <w:bookmarkStart w:id="162" w:name="_Toc184313252"/>
      <w:bookmarkEnd w:id="162"/>
      <w:bookmarkStart w:id="163" w:name="_Toc184313263"/>
      <w:bookmarkEnd w:id="163"/>
      <w:bookmarkStart w:id="164" w:name="_Toc184314452"/>
      <w:bookmarkEnd w:id="164"/>
      <w:bookmarkStart w:id="165" w:name="_Toc184310302"/>
      <w:bookmarkEnd w:id="165"/>
      <w:bookmarkStart w:id="166" w:name="_Toc184313273"/>
      <w:bookmarkEnd w:id="166"/>
      <w:bookmarkStart w:id="167" w:name="_Toc184314467"/>
      <w:bookmarkEnd w:id="167"/>
      <w:bookmarkStart w:id="168" w:name="_Toc184313244"/>
      <w:bookmarkEnd w:id="168"/>
      <w:bookmarkStart w:id="169" w:name="_Toc184308053"/>
      <w:bookmarkEnd w:id="169"/>
      <w:bookmarkStart w:id="170" w:name="_Toc184313310"/>
      <w:bookmarkEnd w:id="170"/>
      <w:bookmarkStart w:id="171" w:name="_Toc184308065"/>
      <w:bookmarkEnd w:id="171"/>
      <w:bookmarkStart w:id="172" w:name="_Toc184314427"/>
      <w:bookmarkEnd w:id="172"/>
      <w:bookmarkStart w:id="173" w:name="_Toc184310284"/>
      <w:bookmarkEnd w:id="173"/>
      <w:bookmarkStart w:id="174" w:name="_Toc184310319"/>
      <w:bookmarkEnd w:id="174"/>
      <w:bookmarkStart w:id="175" w:name="_Toc184312068"/>
      <w:bookmarkEnd w:id="175"/>
      <w:bookmarkStart w:id="176" w:name="_Toc184308078"/>
      <w:bookmarkEnd w:id="176"/>
      <w:bookmarkStart w:id="177" w:name="_Toc184313280"/>
      <w:bookmarkEnd w:id="177"/>
      <w:bookmarkStart w:id="178" w:name="_Toc184313292"/>
      <w:bookmarkEnd w:id="178"/>
      <w:bookmarkStart w:id="179" w:name="_Toc184313238"/>
      <w:bookmarkEnd w:id="179"/>
      <w:bookmarkStart w:id="180" w:name="_Toc184310331"/>
      <w:bookmarkEnd w:id="180"/>
      <w:bookmarkStart w:id="181" w:name="_Toc184308044"/>
      <w:bookmarkEnd w:id="181"/>
      <w:bookmarkStart w:id="182" w:name="_Toc184310328"/>
      <w:bookmarkEnd w:id="182"/>
      <w:bookmarkStart w:id="183" w:name="_Toc184308070"/>
      <w:bookmarkEnd w:id="183"/>
      <w:bookmarkStart w:id="184" w:name="_Toc184310305"/>
      <w:bookmarkEnd w:id="184"/>
      <w:bookmarkStart w:id="185" w:name="_Toc184314481"/>
      <w:bookmarkEnd w:id="185"/>
      <w:bookmarkStart w:id="186" w:name="_Toc184312114"/>
      <w:bookmarkEnd w:id="186"/>
      <w:bookmarkStart w:id="187" w:name="_Toc184313288"/>
      <w:bookmarkEnd w:id="187"/>
      <w:bookmarkStart w:id="188" w:name="_Toc184314440"/>
      <w:bookmarkEnd w:id="188"/>
      <w:bookmarkStart w:id="189" w:name="_Toc184312110"/>
      <w:bookmarkEnd w:id="189"/>
      <w:bookmarkStart w:id="190" w:name="_Toc184312087"/>
      <w:bookmarkEnd w:id="190"/>
      <w:bookmarkStart w:id="191" w:name="_Toc184310320"/>
      <w:bookmarkEnd w:id="191"/>
      <w:bookmarkStart w:id="192" w:name="_Toc184310322"/>
      <w:bookmarkEnd w:id="192"/>
      <w:bookmarkStart w:id="193" w:name="_Toc184313248"/>
      <w:bookmarkEnd w:id="193"/>
      <w:bookmarkStart w:id="194" w:name="_Toc184310295"/>
      <w:bookmarkEnd w:id="194"/>
      <w:bookmarkStart w:id="195" w:name="_Toc184313249"/>
      <w:bookmarkEnd w:id="195"/>
      <w:bookmarkStart w:id="196" w:name="_Toc184314474"/>
      <w:bookmarkEnd w:id="196"/>
      <w:bookmarkStart w:id="197" w:name="_Toc184314447"/>
      <w:bookmarkEnd w:id="197"/>
      <w:bookmarkStart w:id="198" w:name="_Toc184310273"/>
      <w:bookmarkEnd w:id="198"/>
      <w:bookmarkStart w:id="199" w:name="_Toc184314422"/>
      <w:bookmarkEnd w:id="199"/>
      <w:bookmarkStart w:id="200" w:name="_Toc184314445"/>
      <w:bookmarkEnd w:id="200"/>
      <w:bookmarkStart w:id="201" w:name="_Toc184310294"/>
      <w:bookmarkEnd w:id="201"/>
      <w:bookmarkStart w:id="202" w:name="_Toc184314476"/>
      <w:bookmarkEnd w:id="202"/>
      <w:bookmarkStart w:id="203" w:name="_Toc184314456"/>
      <w:bookmarkEnd w:id="203"/>
      <w:bookmarkStart w:id="204" w:name="_Toc184314469"/>
      <w:bookmarkEnd w:id="204"/>
      <w:bookmarkStart w:id="205" w:name="_Toc184312106"/>
      <w:bookmarkEnd w:id="205"/>
      <w:bookmarkStart w:id="206" w:name="_Toc184310306"/>
      <w:bookmarkEnd w:id="206"/>
      <w:bookmarkStart w:id="207" w:name="_Toc184310310"/>
      <w:bookmarkEnd w:id="207"/>
      <w:bookmarkStart w:id="208" w:name="_Toc184313247"/>
      <w:bookmarkEnd w:id="208"/>
      <w:bookmarkStart w:id="209" w:name="_Toc184308096"/>
      <w:bookmarkEnd w:id="209"/>
      <w:bookmarkStart w:id="210" w:name="_Toc184314428"/>
      <w:bookmarkEnd w:id="210"/>
      <w:bookmarkStart w:id="211" w:name="_Toc184310304"/>
      <w:bookmarkEnd w:id="211"/>
      <w:bookmarkStart w:id="212" w:name="_Toc184310311"/>
      <w:bookmarkEnd w:id="212"/>
      <w:bookmarkStart w:id="213" w:name="_Toc184310283"/>
      <w:bookmarkEnd w:id="213"/>
      <w:bookmarkStart w:id="214" w:name="_Toc184308103"/>
      <w:bookmarkEnd w:id="214"/>
      <w:bookmarkStart w:id="215" w:name="_Toc184312132"/>
      <w:bookmarkEnd w:id="215"/>
      <w:bookmarkStart w:id="216" w:name="_Toc184308095"/>
      <w:bookmarkEnd w:id="216"/>
      <w:bookmarkStart w:id="217" w:name="_Toc184308075"/>
      <w:bookmarkEnd w:id="217"/>
      <w:bookmarkStart w:id="218" w:name="_Toc184310325"/>
      <w:bookmarkEnd w:id="218"/>
      <w:bookmarkStart w:id="219" w:name="_Toc184314479"/>
      <w:bookmarkEnd w:id="219"/>
      <w:bookmarkStart w:id="220" w:name="_Toc184314471"/>
      <w:bookmarkEnd w:id="220"/>
      <w:bookmarkStart w:id="221" w:name="_Toc184313302"/>
      <w:bookmarkEnd w:id="221"/>
      <w:bookmarkStart w:id="222" w:name="_Toc184308082"/>
      <w:bookmarkEnd w:id="222"/>
      <w:bookmarkStart w:id="223" w:name="_Toc184310335"/>
      <w:bookmarkEnd w:id="223"/>
      <w:bookmarkStart w:id="224" w:name="_Toc184312096"/>
      <w:bookmarkEnd w:id="224"/>
      <w:bookmarkStart w:id="225" w:name="_Toc184308084"/>
      <w:bookmarkEnd w:id="225"/>
      <w:bookmarkStart w:id="226" w:name="_Toc184308081"/>
      <w:bookmarkEnd w:id="226"/>
      <w:bookmarkStart w:id="227" w:name="_Toc184310297"/>
      <w:bookmarkEnd w:id="227"/>
      <w:bookmarkStart w:id="228" w:name="_Toc184314446"/>
      <w:bookmarkEnd w:id="228"/>
      <w:bookmarkStart w:id="229" w:name="_Toc184312120"/>
      <w:bookmarkEnd w:id="229"/>
      <w:bookmarkStart w:id="230" w:name="_Toc184312137"/>
      <w:bookmarkEnd w:id="230"/>
      <w:bookmarkStart w:id="231" w:name="_Toc184312099"/>
      <w:bookmarkEnd w:id="231"/>
      <w:bookmarkStart w:id="232" w:name="_Toc184310333"/>
      <w:bookmarkEnd w:id="232"/>
      <w:bookmarkStart w:id="233" w:name="_Toc184314435"/>
      <w:bookmarkEnd w:id="233"/>
      <w:bookmarkStart w:id="234" w:name="_Toc184308049"/>
      <w:bookmarkEnd w:id="234"/>
      <w:bookmarkStart w:id="235" w:name="_Toc184310334"/>
      <w:bookmarkEnd w:id="235"/>
      <w:bookmarkStart w:id="236" w:name="_Toc184308059"/>
      <w:bookmarkEnd w:id="236"/>
      <w:bookmarkStart w:id="237" w:name="_Toc184314431"/>
      <w:bookmarkEnd w:id="237"/>
      <w:bookmarkStart w:id="238" w:name="_Toc184313245"/>
      <w:bookmarkEnd w:id="238"/>
      <w:bookmarkStart w:id="239" w:name="_Toc184314466"/>
      <w:bookmarkEnd w:id="239"/>
      <w:bookmarkStart w:id="240" w:name="_Toc184314444"/>
      <w:bookmarkEnd w:id="240"/>
      <w:bookmarkStart w:id="241" w:name="_Toc184308092"/>
      <w:bookmarkEnd w:id="241"/>
      <w:bookmarkStart w:id="242" w:name="_Toc184313259"/>
      <w:bookmarkEnd w:id="242"/>
      <w:bookmarkStart w:id="243" w:name="_Toc184310324"/>
      <w:bookmarkEnd w:id="243"/>
      <w:bookmarkStart w:id="244" w:name="_Toc184313309"/>
      <w:bookmarkEnd w:id="244"/>
      <w:bookmarkStart w:id="245" w:name="_Toc184308062"/>
      <w:bookmarkEnd w:id="245"/>
      <w:bookmarkStart w:id="246" w:name="_Toc184312138"/>
      <w:bookmarkEnd w:id="246"/>
      <w:bookmarkStart w:id="247" w:name="_Toc184308068"/>
      <w:bookmarkEnd w:id="247"/>
      <w:bookmarkStart w:id="248" w:name="_Toc184312085"/>
      <w:bookmarkEnd w:id="248"/>
      <w:bookmarkStart w:id="249" w:name="_Toc184314424"/>
      <w:bookmarkEnd w:id="249"/>
      <w:bookmarkStart w:id="250" w:name="_Toc184313307"/>
      <w:bookmarkEnd w:id="250"/>
      <w:bookmarkStart w:id="251" w:name="_Toc184308098"/>
      <w:bookmarkEnd w:id="251"/>
      <w:bookmarkStart w:id="252" w:name="_Toc184310277"/>
      <w:bookmarkEnd w:id="252"/>
      <w:bookmarkStart w:id="253" w:name="_Toc184308106"/>
      <w:bookmarkEnd w:id="253"/>
      <w:bookmarkStart w:id="254" w:name="_Toc184312069"/>
      <w:bookmarkEnd w:id="254"/>
      <w:bookmarkStart w:id="255" w:name="_Toc184313293"/>
      <w:bookmarkEnd w:id="255"/>
      <w:bookmarkStart w:id="256" w:name="_Toc184312112"/>
      <w:bookmarkEnd w:id="256"/>
      <w:bookmarkStart w:id="257" w:name="_Toc184312127"/>
      <w:bookmarkEnd w:id="257"/>
      <w:bookmarkStart w:id="258" w:name="_Toc184314459"/>
      <w:bookmarkEnd w:id="258"/>
      <w:bookmarkStart w:id="259" w:name="_Toc184310298"/>
      <w:bookmarkEnd w:id="259"/>
      <w:bookmarkStart w:id="260" w:name="_Toc184312102"/>
      <w:bookmarkEnd w:id="260"/>
      <w:bookmarkStart w:id="261" w:name="_Toc184312136"/>
      <w:bookmarkEnd w:id="261"/>
      <w:bookmarkStart w:id="262" w:name="_Toc184313303"/>
      <w:bookmarkEnd w:id="262"/>
      <w:bookmarkStart w:id="263" w:name="_Toc184314415"/>
      <w:bookmarkEnd w:id="263"/>
      <w:bookmarkStart w:id="264" w:name="_Toc184314436"/>
      <w:bookmarkEnd w:id="264"/>
      <w:bookmarkStart w:id="265" w:name="_Toc184310342"/>
      <w:bookmarkEnd w:id="265"/>
      <w:bookmarkStart w:id="266" w:name="_Toc184308058"/>
      <w:bookmarkEnd w:id="266"/>
      <w:bookmarkStart w:id="267" w:name="_Toc184313286"/>
      <w:bookmarkEnd w:id="267"/>
      <w:bookmarkStart w:id="268" w:name="_Toc184314423"/>
      <w:bookmarkEnd w:id="268"/>
      <w:bookmarkStart w:id="269" w:name="_Toc184313251"/>
      <w:bookmarkEnd w:id="269"/>
      <w:bookmarkStart w:id="270" w:name="_Toc184314463"/>
      <w:bookmarkEnd w:id="270"/>
      <w:bookmarkStart w:id="271" w:name="_Toc184314434"/>
      <w:bookmarkEnd w:id="271"/>
      <w:bookmarkStart w:id="272" w:name="_Toc184312092"/>
      <w:bookmarkEnd w:id="272"/>
      <w:bookmarkStart w:id="273" w:name="_Toc184313297"/>
      <w:bookmarkEnd w:id="273"/>
      <w:bookmarkStart w:id="274" w:name="_Toc184312128"/>
      <w:bookmarkEnd w:id="274"/>
      <w:bookmarkStart w:id="275" w:name="_Toc184312076"/>
      <w:bookmarkEnd w:id="275"/>
      <w:bookmarkStart w:id="276" w:name="_Toc184310338"/>
      <w:bookmarkEnd w:id="276"/>
      <w:bookmarkStart w:id="277" w:name="_Toc184314478"/>
      <w:bookmarkEnd w:id="277"/>
      <w:bookmarkStart w:id="278" w:name="_Toc184314454"/>
      <w:bookmarkEnd w:id="278"/>
      <w:bookmarkStart w:id="279" w:name="_Toc184312122"/>
      <w:bookmarkEnd w:id="279"/>
      <w:bookmarkStart w:id="280" w:name="_Toc184313301"/>
      <w:bookmarkEnd w:id="280"/>
      <w:bookmarkStart w:id="281" w:name="_Toc184308073"/>
      <w:bookmarkEnd w:id="281"/>
      <w:bookmarkStart w:id="282" w:name="_Toc184313265"/>
      <w:bookmarkEnd w:id="282"/>
      <w:bookmarkStart w:id="283" w:name="_Toc184314477"/>
      <w:bookmarkEnd w:id="283"/>
      <w:bookmarkStart w:id="284" w:name="_Toc184312130"/>
      <w:bookmarkEnd w:id="284"/>
      <w:bookmarkStart w:id="285" w:name="_Toc184314412"/>
      <w:bookmarkEnd w:id="285"/>
      <w:bookmarkStart w:id="286" w:name="_Toc184310280"/>
      <w:bookmarkEnd w:id="286"/>
      <w:bookmarkStart w:id="287" w:name="_Toc184314453"/>
      <w:bookmarkEnd w:id="287"/>
      <w:bookmarkStart w:id="288" w:name="_Toc184308072"/>
      <w:bookmarkEnd w:id="288"/>
      <w:bookmarkStart w:id="289" w:name="_Toc184314442"/>
      <w:bookmarkEnd w:id="289"/>
      <w:bookmarkStart w:id="290" w:name="_Toc184313278"/>
      <w:bookmarkEnd w:id="290"/>
      <w:bookmarkStart w:id="291" w:name="_Toc184312113"/>
      <w:bookmarkEnd w:id="291"/>
      <w:bookmarkStart w:id="292" w:name="_Toc184313240"/>
      <w:bookmarkEnd w:id="292"/>
      <w:bookmarkStart w:id="293" w:name="_Toc184312067"/>
      <w:bookmarkEnd w:id="293"/>
      <w:bookmarkStart w:id="294" w:name="_Toc184312103"/>
      <w:bookmarkEnd w:id="294"/>
      <w:bookmarkStart w:id="295" w:name="_Toc184308063"/>
      <w:bookmarkEnd w:id="295"/>
      <w:bookmarkStart w:id="296" w:name="_Toc184314421"/>
      <w:bookmarkEnd w:id="296"/>
      <w:bookmarkStart w:id="297" w:name="_Toc184312125"/>
      <w:bookmarkEnd w:id="297"/>
      <w:bookmarkStart w:id="298" w:name="_Toc184314462"/>
      <w:bookmarkEnd w:id="298"/>
      <w:bookmarkStart w:id="299" w:name="_Toc184313281"/>
      <w:bookmarkEnd w:id="299"/>
      <w:bookmarkStart w:id="300" w:name="_Toc184308097"/>
      <w:bookmarkEnd w:id="300"/>
      <w:bookmarkStart w:id="301" w:name="_Toc184313272"/>
      <w:bookmarkEnd w:id="301"/>
      <w:bookmarkStart w:id="302" w:name="_Toc184312072"/>
      <w:bookmarkEnd w:id="302"/>
      <w:bookmarkStart w:id="303" w:name="_Toc184310293"/>
      <w:bookmarkEnd w:id="303"/>
      <w:bookmarkStart w:id="304" w:name="_Toc184313282"/>
      <w:bookmarkEnd w:id="304"/>
      <w:bookmarkStart w:id="305" w:name="_Toc184314420"/>
      <w:bookmarkEnd w:id="305"/>
      <w:bookmarkStart w:id="306" w:name="_Toc184308038"/>
      <w:bookmarkEnd w:id="306"/>
      <w:bookmarkStart w:id="307" w:name="_Toc184314451"/>
      <w:bookmarkEnd w:id="307"/>
      <w:bookmarkStart w:id="308" w:name="_Toc184308054"/>
      <w:bookmarkEnd w:id="308"/>
      <w:bookmarkStart w:id="309" w:name="_Toc184310276"/>
      <w:bookmarkEnd w:id="309"/>
      <w:bookmarkStart w:id="310" w:name="_Toc184313250"/>
      <w:bookmarkEnd w:id="310"/>
      <w:bookmarkStart w:id="311" w:name="_Toc184313241"/>
      <w:bookmarkEnd w:id="311"/>
      <w:bookmarkStart w:id="312" w:name="_Toc184312080"/>
      <w:bookmarkEnd w:id="312"/>
      <w:bookmarkStart w:id="313" w:name="_Toc184312083"/>
      <w:bookmarkEnd w:id="313"/>
      <w:bookmarkStart w:id="314" w:name="_Toc184308051"/>
      <w:bookmarkEnd w:id="314"/>
      <w:bookmarkStart w:id="315" w:name="_Toc184312134"/>
      <w:bookmarkEnd w:id="315"/>
      <w:bookmarkStart w:id="316" w:name="_Toc184312088"/>
      <w:bookmarkEnd w:id="316"/>
      <w:bookmarkStart w:id="317" w:name="_Toc184308039"/>
      <w:bookmarkEnd w:id="317"/>
      <w:bookmarkStart w:id="318" w:name="_Toc184310291"/>
      <w:bookmarkEnd w:id="318"/>
      <w:bookmarkStart w:id="319" w:name="_Toc184314413"/>
      <w:bookmarkEnd w:id="319"/>
      <w:bookmarkStart w:id="320" w:name="_Toc184313246"/>
      <w:bookmarkEnd w:id="320"/>
      <w:bookmarkStart w:id="321" w:name="_Toc184310292"/>
      <w:bookmarkEnd w:id="321"/>
      <w:bookmarkStart w:id="322" w:name="_Toc184310314"/>
      <w:bookmarkEnd w:id="322"/>
      <w:bookmarkStart w:id="323" w:name="_Toc184310272"/>
      <w:bookmarkEnd w:id="323"/>
      <w:bookmarkStart w:id="324" w:name="_Toc184314473"/>
      <w:bookmarkEnd w:id="324"/>
      <w:bookmarkStart w:id="325" w:name="_Toc184310316"/>
      <w:bookmarkEnd w:id="325"/>
      <w:bookmarkStart w:id="326" w:name="_Toc184312119"/>
      <w:bookmarkEnd w:id="326"/>
      <w:bookmarkStart w:id="327" w:name="_Toc184312093"/>
      <w:bookmarkEnd w:id="327"/>
      <w:bookmarkStart w:id="328" w:name="_Toc184308046"/>
      <w:bookmarkEnd w:id="328"/>
      <w:bookmarkStart w:id="329" w:name="_Toc184310336"/>
      <w:bookmarkEnd w:id="329"/>
      <w:bookmarkStart w:id="330" w:name="_Toc184312082"/>
      <w:bookmarkEnd w:id="330"/>
      <w:bookmarkStart w:id="331" w:name="_Toc184308056"/>
      <w:bookmarkEnd w:id="331"/>
      <w:bookmarkStart w:id="332" w:name="_Toc184310289"/>
      <w:bookmarkEnd w:id="332"/>
      <w:bookmarkStart w:id="333" w:name="_Toc184308087"/>
      <w:bookmarkEnd w:id="333"/>
      <w:bookmarkStart w:id="334" w:name="_Toc184313270"/>
      <w:bookmarkEnd w:id="334"/>
      <w:bookmarkStart w:id="335" w:name="_Toc184314433"/>
      <w:bookmarkEnd w:id="335"/>
      <w:bookmarkStart w:id="336" w:name="_Toc184313254"/>
      <w:bookmarkEnd w:id="336"/>
      <w:bookmarkStart w:id="337" w:name="_Toc184308102"/>
      <w:bookmarkEnd w:id="337"/>
      <w:bookmarkStart w:id="338" w:name="_Toc184314411"/>
      <w:bookmarkEnd w:id="338"/>
      <w:bookmarkStart w:id="339" w:name="_Toc184312091"/>
      <w:bookmarkEnd w:id="339"/>
      <w:bookmarkStart w:id="340" w:name="_Toc184310315"/>
      <w:bookmarkEnd w:id="340"/>
      <w:bookmarkStart w:id="341" w:name="_Toc184308101"/>
      <w:bookmarkEnd w:id="341"/>
      <w:bookmarkStart w:id="342" w:name="_Toc184312090"/>
      <w:bookmarkEnd w:id="342"/>
      <w:bookmarkStart w:id="343" w:name="_Toc184313305"/>
      <w:bookmarkEnd w:id="343"/>
      <w:bookmarkStart w:id="344" w:name="_Toc184313266"/>
      <w:bookmarkEnd w:id="344"/>
      <w:bookmarkStart w:id="345" w:name="_Toc184313242"/>
      <w:bookmarkEnd w:id="345"/>
      <w:bookmarkStart w:id="346" w:name="_Toc184310300"/>
      <w:bookmarkEnd w:id="346"/>
      <w:bookmarkStart w:id="347" w:name="_Toc184308083"/>
      <w:bookmarkEnd w:id="347"/>
      <w:bookmarkStart w:id="348" w:name="_Toc184314410"/>
      <w:bookmarkEnd w:id="348"/>
      <w:bookmarkStart w:id="349" w:name="_Toc184310332"/>
      <w:bookmarkEnd w:id="349"/>
      <w:bookmarkStart w:id="350" w:name="_Toc184314439"/>
      <w:bookmarkEnd w:id="350"/>
      <w:bookmarkStart w:id="351" w:name="_Toc184310327"/>
      <w:bookmarkEnd w:id="351"/>
      <w:bookmarkStart w:id="352" w:name="_Toc184314458"/>
      <w:bookmarkEnd w:id="352"/>
      <w:bookmarkStart w:id="353" w:name="_Toc184308077"/>
      <w:bookmarkEnd w:id="353"/>
      <w:bookmarkStart w:id="354" w:name="_Toc184308048"/>
      <w:bookmarkEnd w:id="354"/>
      <w:bookmarkStart w:id="355" w:name="_Toc184313300"/>
      <w:bookmarkEnd w:id="355"/>
      <w:bookmarkStart w:id="356" w:name="_Toc184308105"/>
      <w:bookmarkEnd w:id="356"/>
      <w:bookmarkStart w:id="357" w:name="_Toc184314425"/>
      <w:bookmarkEnd w:id="357"/>
      <w:bookmarkStart w:id="358" w:name="_Toc184313275"/>
      <w:bookmarkEnd w:id="358"/>
      <w:bookmarkStart w:id="359" w:name="_Toc184310329"/>
      <w:bookmarkEnd w:id="359"/>
      <w:bookmarkStart w:id="360" w:name="_Toc184310317"/>
      <w:bookmarkEnd w:id="360"/>
      <w:bookmarkStart w:id="361" w:name="_Toc184314472"/>
      <w:bookmarkEnd w:id="361"/>
      <w:bookmarkStart w:id="362" w:name="_Toc184314465"/>
      <w:bookmarkEnd w:id="362"/>
      <w:bookmarkStart w:id="363" w:name="_Toc184312124"/>
      <w:bookmarkEnd w:id="363"/>
      <w:bookmarkStart w:id="364" w:name="_Toc184308066"/>
      <w:bookmarkEnd w:id="364"/>
      <w:bookmarkStart w:id="365" w:name="_Toc184313261"/>
      <w:bookmarkEnd w:id="365"/>
      <w:bookmarkStart w:id="366" w:name="_Toc184312071"/>
      <w:bookmarkEnd w:id="366"/>
      <w:bookmarkStart w:id="367" w:name="_Toc184310296"/>
      <w:bookmarkEnd w:id="367"/>
      <w:bookmarkStart w:id="368" w:name="_Toc184310275"/>
      <w:bookmarkEnd w:id="368"/>
      <w:bookmarkStart w:id="369" w:name="_Toc184312126"/>
      <w:bookmarkEnd w:id="369"/>
      <w:bookmarkStart w:id="370" w:name="_Toc184314482"/>
      <w:bookmarkEnd w:id="370"/>
      <w:bookmarkStart w:id="371" w:name="_Toc184313268"/>
      <w:bookmarkEnd w:id="371"/>
      <w:bookmarkStart w:id="372" w:name="_Toc184312107"/>
      <w:bookmarkEnd w:id="372"/>
      <w:bookmarkStart w:id="373" w:name="_Toc184314461"/>
      <w:bookmarkEnd w:id="373"/>
      <w:bookmarkStart w:id="374" w:name="_Toc184310323"/>
      <w:bookmarkEnd w:id="374"/>
      <w:bookmarkStart w:id="375" w:name="_Toc184310339"/>
      <w:bookmarkEnd w:id="375"/>
      <w:bookmarkStart w:id="376" w:name="_Toc184310282"/>
      <w:bookmarkEnd w:id="376"/>
      <w:bookmarkStart w:id="377" w:name="_Toc184314443"/>
      <w:bookmarkEnd w:id="377"/>
      <w:bookmarkStart w:id="378" w:name="_Toc184312086"/>
      <w:bookmarkEnd w:id="378"/>
      <w:bookmarkStart w:id="379" w:name="_Toc184313239"/>
      <w:bookmarkEnd w:id="379"/>
      <w:bookmarkStart w:id="380" w:name="_Toc184310313"/>
      <w:bookmarkEnd w:id="380"/>
      <w:bookmarkStart w:id="381" w:name="_Toc184308047"/>
      <w:bookmarkEnd w:id="381"/>
      <w:bookmarkStart w:id="382" w:name="_Toc184308067"/>
      <w:bookmarkEnd w:id="382"/>
      <w:bookmarkStart w:id="383" w:name="_Toc184314480"/>
      <w:bookmarkEnd w:id="383"/>
      <w:bookmarkStart w:id="384" w:name="_Toc184308069"/>
      <w:bookmarkEnd w:id="384"/>
      <w:bookmarkStart w:id="385" w:name="_Toc184308042"/>
      <w:bookmarkEnd w:id="385"/>
      <w:bookmarkStart w:id="386" w:name="_Toc184313283"/>
      <w:bookmarkEnd w:id="386"/>
      <w:bookmarkStart w:id="387" w:name="_Toc184313258"/>
      <w:bookmarkEnd w:id="387"/>
      <w:bookmarkStart w:id="388" w:name="_Toc184308052"/>
      <w:bookmarkEnd w:id="388"/>
      <w:bookmarkStart w:id="389" w:name="_Toc184308057"/>
      <w:bookmarkEnd w:id="389"/>
      <w:bookmarkStart w:id="390" w:name="_Toc184313298"/>
      <w:bookmarkEnd w:id="390"/>
      <w:bookmarkStart w:id="391" w:name="_Toc184308071"/>
      <w:bookmarkEnd w:id="391"/>
      <w:r>
        <w:rPr>
          <w:rFonts w:hint="eastAsia" w:ascii="黑体" w:hAnsi="新宋体" w:eastAsia="黑体"/>
          <w:b/>
          <w:bCs/>
          <w:sz w:val="30"/>
          <w:szCs w:val="30"/>
        </w:rPr>
        <w:t>（一）总则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1、采购的服务所涉及的产品标准、规范，验收标准、规范，应符合国家有关条例及规范，如有新的标准应采纳新标准，如是国外相应标准应征得采购人认可。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2、本次招标采购为</w:t>
      </w:r>
      <w:r>
        <w:rPr>
          <w:rFonts w:hint="eastAsia" w:ascii="宋体" w:hAnsi="宋体"/>
          <w:sz w:val="24"/>
          <w:szCs w:val="24"/>
        </w:rPr>
        <w:fldChar w:fldCharType="begin"/>
      </w:r>
      <w:r>
        <w:rPr>
          <w:rFonts w:hint="eastAsia" w:ascii="宋体" w:hAnsi="宋体"/>
          <w:sz w:val="24"/>
          <w:szCs w:val="24"/>
        </w:rPr>
        <w:instrText xml:space="preserve"> HYPERLINK "https://www.zcygov.cn/proj-procurement/project-result-detail/5ee80cd0c504722a?utm=web-bid-inviting-front.6a89804f.0.0.b0bc53800b8911ec9f4db3814ed08c6a" \t "https://www.zcygov.cn/bid-inviting/purchaseFileMake/_blank" </w:instrText>
      </w:r>
      <w:r>
        <w:rPr>
          <w:rFonts w:hint="eastAsia" w:ascii="宋体" w:hAnsi="宋体"/>
          <w:sz w:val="24"/>
          <w:szCs w:val="24"/>
        </w:rPr>
        <w:fldChar w:fldCharType="separate"/>
      </w:r>
      <w:r>
        <w:rPr>
          <w:rFonts w:hint="eastAsia" w:ascii="宋体" w:hAnsi="宋体"/>
          <w:sz w:val="24"/>
          <w:szCs w:val="24"/>
        </w:rPr>
        <w:t>温州市市级政务云（私有云）服务</w:t>
      </w:r>
      <w:r>
        <w:rPr>
          <w:rFonts w:hint="eastAsia" w:ascii="宋体" w:hAnsi="宋体"/>
          <w:sz w:val="24"/>
          <w:szCs w:val="24"/>
        </w:rPr>
        <w:fldChar w:fldCharType="end"/>
      </w:r>
      <w:r>
        <w:rPr>
          <w:rFonts w:hint="eastAsia" w:ascii="宋体" w:hAnsi="宋体"/>
          <w:sz w:val="24"/>
          <w:szCs w:val="24"/>
        </w:rPr>
        <w:t>，投标人应根据招标文件所提出的技术规格和服务要求，综合考虑，选择具有最佳性能价格比的服务前来投标。希望投标人以精良的设备、优良的服务和优惠的价格，充分显示你们的竞争实力。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sz w:val="24"/>
          <w:szCs w:val="24"/>
        </w:rPr>
      </w:pPr>
      <w:r>
        <w:rPr>
          <w:rFonts w:ascii="宋体" w:hAnsi="宋体"/>
          <w:sz w:val="24"/>
          <w:szCs w:val="24"/>
        </w:rPr>
        <w:t>3、</w:t>
      </w:r>
      <w:r>
        <w:rPr>
          <w:rFonts w:hint="eastAsia" w:ascii="宋体" w:hAnsi="宋体"/>
          <w:sz w:val="24"/>
          <w:szCs w:val="24"/>
          <w:u w:val="single"/>
        </w:rPr>
        <w:t>▲投标人必须根据自己的技术及商务和报价优势对全部内容进行投标，不得只投部分内容。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4、</w:t>
      </w:r>
      <w:r>
        <w:rPr>
          <w:rFonts w:hint="eastAsia" w:ascii="宋体" w:hAnsi="宋体"/>
          <w:color w:val="auto"/>
          <w:sz w:val="24"/>
          <w:szCs w:val="24"/>
          <w:lang w:val="en-US" w:eastAsia="zh-CN"/>
        </w:rPr>
        <w:t>本项目服务期限为自合同签订之日起12个月。</w:t>
      </w:r>
    </w:p>
    <w:p>
      <w:pPr>
        <w:pStyle w:val="3"/>
        <w:spacing w:line="240" w:lineRule="atLeast"/>
        <w:jc w:val="center"/>
        <w:rPr>
          <w:rFonts w:hint="eastAsia" w:ascii="黑体" w:hAnsi="新宋体" w:eastAsia="黑体"/>
          <w:kern w:val="2"/>
          <w:sz w:val="30"/>
          <w:szCs w:val="30"/>
        </w:rPr>
      </w:pPr>
      <w:bookmarkStart w:id="392" w:name="_Toc10032555"/>
      <w:bookmarkStart w:id="393" w:name="_Toc47481002"/>
      <w:r>
        <w:rPr>
          <w:rFonts w:hint="eastAsia" w:ascii="黑体" w:hAnsi="新宋体" w:eastAsia="黑体"/>
          <w:kern w:val="2"/>
          <w:sz w:val="30"/>
          <w:szCs w:val="30"/>
        </w:rPr>
        <w:t>（二）采购内容及要求</w:t>
      </w:r>
      <w:bookmarkEnd w:id="392"/>
      <w:bookmarkEnd w:id="393"/>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24"/>
        </w:rPr>
      </w:pPr>
      <w:r>
        <w:rPr>
          <w:rFonts w:hint="eastAsia" w:ascii="宋体" w:hAnsi="宋体"/>
          <w:sz w:val="24"/>
          <w:szCs w:val="24"/>
        </w:rPr>
        <w:t>根据温州市政府《关于推进政府大数据平台建设的实施意见》相关要求，市数据局组织进行温州市政务云平台及运营管理服务采购。其中，市政务云（私有云）主要为全市各政务部门提供</w:t>
      </w:r>
      <w:r>
        <w:rPr>
          <w:rFonts w:ascii="宋体" w:hAnsi="宋体"/>
          <w:sz w:val="24"/>
          <w:szCs w:val="24"/>
        </w:rPr>
        <w:t>云主机、</w:t>
      </w:r>
      <w:r>
        <w:rPr>
          <w:rFonts w:hint="eastAsia" w:ascii="宋体" w:hAnsi="宋体"/>
          <w:sz w:val="24"/>
          <w:szCs w:val="24"/>
        </w:rPr>
        <w:t>云计算、云应用、云安全</w:t>
      </w:r>
      <w:r>
        <w:rPr>
          <w:rFonts w:ascii="宋体" w:hAnsi="宋体"/>
          <w:sz w:val="24"/>
          <w:szCs w:val="24"/>
        </w:rPr>
        <w:t>、异地备份</w:t>
      </w:r>
      <w:r>
        <w:rPr>
          <w:rFonts w:hint="eastAsia" w:ascii="宋体" w:hAnsi="宋体"/>
          <w:sz w:val="24"/>
          <w:szCs w:val="24"/>
        </w:rPr>
        <w:t>等基础设施资源共享服务，为各政务部门私有业务系统上云提供基础平台支撑。</w:t>
      </w:r>
    </w:p>
    <w:p>
      <w:pPr>
        <w:pStyle w:val="2"/>
        <w:rPr>
          <w:rFonts w:hint="eastAsia"/>
        </w:rPr>
      </w:pPr>
      <w:r>
        <w:t>一</w:t>
      </w:r>
      <w:r>
        <w:rPr>
          <w:rFonts w:hint="eastAsia"/>
        </w:rPr>
        <w:t>、</w:t>
      </w:r>
      <w:r>
        <w:t>采购内容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kern w:val="0"/>
          <w:sz w:val="24"/>
          <w:szCs w:val="32"/>
        </w:rPr>
      </w:pPr>
      <w:r>
        <w:rPr>
          <w:rFonts w:hint="eastAsia" w:ascii="宋体" w:hAnsi="宋体" w:cs="宋体"/>
          <w:kern w:val="0"/>
          <w:sz w:val="24"/>
          <w:szCs w:val="32"/>
        </w:rPr>
        <w:t>本项目采用企业建设和运维、运营，政府按需购买服务方式进行，通过明确各项服务内容的采购单价和计价规则，对经准确登记云资源进行计费并支付费用。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采购的服务内容主要包括：</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ascii="宋体" w:hAnsi="宋体"/>
          <w:sz w:val="24"/>
          <w:szCs w:val="32"/>
        </w:rPr>
        <w:t>1</w:t>
      </w:r>
      <w:r>
        <w:rPr>
          <w:rFonts w:hint="eastAsia" w:ascii="宋体" w:hAnsi="宋体"/>
          <w:sz w:val="24"/>
          <w:szCs w:val="32"/>
        </w:rPr>
        <w:t>．云基础服务：包括云主机（含安全管理模块EDR）</w:t>
      </w:r>
      <w:r>
        <w:rPr>
          <w:rFonts w:ascii="宋体" w:hAnsi="宋体"/>
          <w:sz w:val="24"/>
          <w:szCs w:val="32"/>
        </w:rPr>
        <w:t>、</w:t>
      </w:r>
      <w:r>
        <w:rPr>
          <w:rFonts w:hint="eastAsia" w:ascii="宋体" w:hAnsi="宋体"/>
          <w:sz w:val="24"/>
          <w:szCs w:val="32"/>
        </w:rPr>
        <w:t>云主机数据盘、共享互联网出口带宽、云存储、云数据库、云负载均衡等。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ascii="宋体" w:hAnsi="宋体"/>
          <w:sz w:val="24"/>
          <w:szCs w:val="32"/>
        </w:rPr>
        <w:t>2</w:t>
      </w:r>
      <w:r>
        <w:rPr>
          <w:rFonts w:hint="eastAsia" w:ascii="宋体" w:hAnsi="宋体"/>
          <w:sz w:val="24"/>
          <w:szCs w:val="32"/>
        </w:rPr>
        <w:t>．云应用服务：包括云管理服务、云备份等。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ascii="宋体" w:hAnsi="宋体"/>
          <w:sz w:val="24"/>
          <w:szCs w:val="32"/>
        </w:rPr>
        <w:t>3</w:t>
      </w:r>
      <w:r>
        <w:rPr>
          <w:rFonts w:hint="eastAsia" w:ascii="宋体" w:hAnsi="宋体"/>
          <w:sz w:val="24"/>
          <w:szCs w:val="32"/>
        </w:rPr>
        <w:t>．云安全服务：包括统一基础云安全服务、共享云安全服务、自主云安全服务（独立虚拟设备）。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4．云基础设施服务：包括</w:t>
      </w:r>
      <w:r>
        <w:rPr>
          <w:rFonts w:ascii="宋体" w:hAnsi="宋体"/>
          <w:sz w:val="24"/>
          <w:szCs w:val="32"/>
        </w:rPr>
        <w:t>IDC</w:t>
      </w:r>
      <w:r>
        <w:rPr>
          <w:rFonts w:hint="eastAsia" w:ascii="宋体" w:hAnsi="宋体"/>
          <w:sz w:val="24"/>
          <w:szCs w:val="32"/>
        </w:rPr>
        <w:t>托管服务。</w:t>
      </w:r>
      <w:r>
        <w:rPr>
          <w:rFonts w:ascii="宋体" w:hAnsi="宋体"/>
          <w:sz w:val="24"/>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5</w:t>
      </w:r>
      <w:r>
        <w:rPr>
          <w:rFonts w:ascii="宋体" w:hAnsi="宋体"/>
          <w:sz w:val="24"/>
          <w:szCs w:val="32"/>
        </w:rPr>
        <w:t xml:space="preserve">. </w:t>
      </w:r>
      <w:r>
        <w:rPr>
          <w:rFonts w:hint="eastAsia" w:ascii="宋体" w:hAnsi="宋体"/>
          <w:sz w:val="24"/>
          <w:szCs w:val="32"/>
        </w:rPr>
        <w:t>云管</w:t>
      </w:r>
      <w:r>
        <w:rPr>
          <w:rFonts w:ascii="宋体" w:hAnsi="宋体"/>
          <w:sz w:val="24"/>
          <w:szCs w:val="32"/>
        </w:rPr>
        <w:t>系统：</w:t>
      </w:r>
      <w:r>
        <w:rPr>
          <w:rFonts w:hint="eastAsia" w:ascii="宋体" w:hAnsi="宋体"/>
          <w:sz w:val="24"/>
          <w:szCs w:val="32"/>
        </w:rPr>
        <w:t>满足</w:t>
      </w:r>
      <w:r>
        <w:rPr>
          <w:rFonts w:ascii="宋体" w:hAnsi="宋体"/>
          <w:sz w:val="24"/>
          <w:szCs w:val="32"/>
        </w:rPr>
        <w:t>租户对订购</w:t>
      </w:r>
      <w:r>
        <w:rPr>
          <w:rFonts w:hint="eastAsia" w:ascii="宋体" w:hAnsi="宋体"/>
          <w:sz w:val="24"/>
          <w:szCs w:val="32"/>
        </w:rPr>
        <w:t>的云</w:t>
      </w:r>
      <w:r>
        <w:rPr>
          <w:rFonts w:ascii="宋体" w:hAnsi="宋体"/>
          <w:sz w:val="24"/>
          <w:szCs w:val="32"/>
        </w:rPr>
        <w:t>资源清单、性能、运行状态查询导出功能</w:t>
      </w:r>
      <w:r>
        <w:rPr>
          <w:rFonts w:hint="eastAsia" w:ascii="宋体" w:hAnsi="宋体"/>
          <w:sz w:val="24"/>
          <w:szCs w:val="32"/>
        </w:rPr>
        <w:t>，具备</w:t>
      </w:r>
      <w:r>
        <w:rPr>
          <w:rFonts w:ascii="宋体" w:hAnsi="宋体"/>
          <w:sz w:val="24"/>
          <w:szCs w:val="32"/>
        </w:rPr>
        <w:t>与内跑平台资源开通流程进行对接。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sz w:val="24"/>
          <w:szCs w:val="32"/>
        </w:rPr>
      </w:pPr>
      <w:r>
        <w:rPr>
          <w:rFonts w:hint="eastAsia" w:ascii="宋体" w:hAnsi="宋体"/>
          <w:sz w:val="24"/>
          <w:szCs w:val="32"/>
        </w:rPr>
        <w:t>6.异地备份：对</w:t>
      </w:r>
      <w:r>
        <w:rPr>
          <w:rFonts w:ascii="宋体" w:hAnsi="宋体"/>
          <w:sz w:val="24"/>
          <w:szCs w:val="32"/>
        </w:rPr>
        <w:t>现有云资源和数据库</w:t>
      </w:r>
      <w:r>
        <w:rPr>
          <w:rFonts w:hint="eastAsia" w:ascii="宋体" w:hAnsi="宋体"/>
          <w:sz w:val="24"/>
          <w:szCs w:val="32"/>
        </w:rPr>
        <w:t>重要数据进行异地备份。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sz w:val="24"/>
          <w:szCs w:val="32"/>
        </w:rPr>
      </w:pPr>
      <w:r>
        <w:rPr>
          <w:rFonts w:hint="eastAsia" w:ascii="宋体" w:hAnsi="宋体"/>
          <w:sz w:val="24"/>
          <w:szCs w:val="32"/>
        </w:rPr>
        <w:t>7.运营服务：根据市数据局管理规范，为市本级用户提供政务云业务支持和云上应用安全服务，并做好云服务的应用和推广工作。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sz w:val="24"/>
          <w:szCs w:val="32"/>
        </w:rPr>
      </w:pPr>
    </w:p>
    <w:p>
      <w:pPr>
        <w:pStyle w:val="2"/>
      </w:pPr>
      <w:r>
        <w:rPr>
          <w:rFonts w:hint="eastAsia"/>
        </w:rPr>
        <w:t>二、服务交付期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highlight w:val="none"/>
          <w:u w:val="single"/>
        </w:rPr>
        <w:t>▲本项目在收到中标通知书后</w:t>
      </w:r>
      <w:r>
        <w:rPr>
          <w:rFonts w:ascii="宋体" w:hAnsi="宋体"/>
          <w:sz w:val="24"/>
          <w:szCs w:val="32"/>
          <w:highlight w:val="none"/>
          <w:u w:val="single"/>
        </w:rPr>
        <w:t>按各条实际需求审核完成后</w:t>
      </w:r>
      <w:r>
        <w:rPr>
          <w:rFonts w:hint="eastAsia" w:ascii="宋体" w:hAnsi="宋体"/>
          <w:sz w:val="24"/>
          <w:szCs w:val="32"/>
          <w:highlight w:val="none"/>
          <w:u w:val="single"/>
        </w:rPr>
        <w:t>7</w:t>
      </w:r>
      <w:r>
        <w:rPr>
          <w:rFonts w:ascii="宋体" w:hAnsi="宋体"/>
          <w:sz w:val="24"/>
          <w:szCs w:val="32"/>
          <w:highlight w:val="none"/>
          <w:u w:val="single"/>
        </w:rPr>
        <w:t>天</w:t>
      </w:r>
      <w:r>
        <w:rPr>
          <w:rFonts w:hint="eastAsia" w:ascii="宋体" w:hAnsi="宋体"/>
          <w:sz w:val="24"/>
          <w:szCs w:val="32"/>
          <w:highlight w:val="none"/>
          <w:u w:val="single"/>
        </w:rPr>
        <w:t>内提供本地化的云主机、云存储、云负载均衡、云数据库、互联网出口、政务外网互联链路等服务</w:t>
      </w:r>
      <w:r>
        <w:rPr>
          <w:rFonts w:hint="eastAsia" w:ascii="宋体" w:hAnsi="宋体"/>
          <w:sz w:val="24"/>
          <w:szCs w:val="32"/>
          <w:highlight w:val="none"/>
          <w:u w:val="single"/>
          <w:lang w:eastAsia="zh-CN"/>
        </w:rPr>
        <w:t>，</w:t>
      </w:r>
      <w:r>
        <w:rPr>
          <w:rFonts w:hint="eastAsia" w:ascii="宋体" w:hAnsi="宋体"/>
          <w:sz w:val="24"/>
          <w:szCs w:val="24"/>
          <w:u w:val="single"/>
          <w:lang w:val="en-US" w:eastAsia="zh-CN"/>
        </w:rPr>
        <w:t>提供履约服务承诺函（格式自拟）。</w:t>
      </w:r>
      <w:r>
        <w:rPr>
          <w:rFonts w:hint="eastAsia" w:ascii="宋体" w:hAnsi="宋体" w:cs="宋体"/>
          <w:bCs/>
          <w:kern w:val="0"/>
          <w:sz w:val="24"/>
          <w:szCs w:val="32"/>
        </w:rPr>
        <w:t>如若未按规定执行，招标人</w:t>
      </w:r>
      <w:r>
        <w:rPr>
          <w:rFonts w:hint="eastAsia" w:ascii="宋体" w:hAnsi="宋体"/>
          <w:sz w:val="24"/>
          <w:szCs w:val="32"/>
        </w:rPr>
        <w:t>上报采购监管部门后有权</w:t>
      </w:r>
      <w:r>
        <w:rPr>
          <w:rFonts w:hint="eastAsia" w:ascii="宋体" w:hAnsi="宋体" w:cs="宋体"/>
          <w:bCs/>
          <w:kern w:val="0"/>
          <w:sz w:val="24"/>
          <w:szCs w:val="32"/>
        </w:rPr>
        <w:t>取消其中标资格，并重新组织招标或将合同授予第二候选人。</w:t>
      </w:r>
    </w:p>
    <w:p>
      <w:pPr>
        <w:pStyle w:val="2"/>
      </w:pPr>
      <w:r>
        <w:rPr>
          <w:rFonts w:hint="eastAsia"/>
        </w:rPr>
        <w:t>三、云服务基本要求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投标人提供的云服务需要满足以下基本条件：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ascii="宋体" w:hAnsi="宋体"/>
          <w:b/>
          <w:sz w:val="24"/>
          <w:szCs w:val="32"/>
        </w:rPr>
      </w:pPr>
      <w:r>
        <w:rPr>
          <w:rFonts w:ascii="宋体" w:hAnsi="宋体"/>
          <w:b/>
          <w:sz w:val="24"/>
          <w:szCs w:val="32"/>
        </w:rPr>
        <w:t>1</w:t>
      </w:r>
      <w:r>
        <w:rPr>
          <w:rFonts w:hint="eastAsia" w:ascii="宋体" w:hAnsi="宋体"/>
          <w:b/>
          <w:sz w:val="24"/>
          <w:szCs w:val="32"/>
        </w:rPr>
        <w:t>．政务专用要求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要求提供的云平台为温州市政务外网用户专用，市、县两级部门申请使用政务云服务的应由采购方或采购方指定的部门统一受理、审核。未经采购方或采购方指定的部门审核同意，云服务提供商不得擅自对外提供或开放任何政务云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ascii="宋体" w:hAnsi="宋体"/>
          <w:b/>
          <w:sz w:val="24"/>
          <w:szCs w:val="32"/>
        </w:rPr>
      </w:pPr>
      <w:r>
        <w:rPr>
          <w:rFonts w:ascii="宋体" w:hAnsi="宋体"/>
          <w:b/>
          <w:sz w:val="24"/>
          <w:szCs w:val="32"/>
        </w:rPr>
        <w:t>2</w:t>
      </w:r>
      <w:r>
        <w:rPr>
          <w:rFonts w:hint="eastAsia" w:ascii="宋体" w:hAnsi="宋体"/>
          <w:b/>
          <w:sz w:val="24"/>
          <w:szCs w:val="32"/>
        </w:rPr>
        <w:t>．机房地点要求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要求提供云服务的机房地点必须在温州市区范围内。</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ascii="宋体" w:hAnsi="宋体"/>
          <w:b/>
          <w:sz w:val="24"/>
          <w:szCs w:val="32"/>
        </w:rPr>
      </w:pPr>
      <w:r>
        <w:rPr>
          <w:rFonts w:ascii="宋体" w:hAnsi="宋体"/>
          <w:b/>
          <w:sz w:val="24"/>
          <w:szCs w:val="32"/>
        </w:rPr>
        <w:t>3</w:t>
      </w:r>
      <w:r>
        <w:rPr>
          <w:rFonts w:hint="eastAsia" w:ascii="宋体" w:hAnsi="宋体"/>
          <w:b/>
          <w:sz w:val="24"/>
          <w:szCs w:val="32"/>
        </w:rPr>
        <w:t>．政务云平台的带宽基本要求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要求提供的政务云平台与温州市政务外网的专用互联光纤带宽不小于</w:t>
      </w:r>
      <w:r>
        <w:rPr>
          <w:rFonts w:ascii="宋体" w:hAnsi="宋体"/>
          <w:sz w:val="24"/>
          <w:szCs w:val="32"/>
        </w:rPr>
        <w:t>10G</w:t>
      </w:r>
      <w:r>
        <w:rPr>
          <w:rFonts w:hint="eastAsia" w:ascii="宋体" w:hAnsi="宋体"/>
          <w:sz w:val="24"/>
          <w:szCs w:val="32"/>
        </w:rPr>
        <w:t>，以满足网络互访的要求，并提供高可靠的双物理路由保护措施。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要求提供的政务云平台和互联网独享出口总带宽不少于</w:t>
      </w:r>
      <w:r>
        <w:rPr>
          <w:rFonts w:ascii="宋体" w:hAnsi="宋体"/>
          <w:sz w:val="24"/>
          <w:szCs w:val="32"/>
        </w:rPr>
        <w:t>2G,</w:t>
      </w:r>
      <w:r>
        <w:rPr>
          <w:rFonts w:hint="eastAsia" w:ascii="宋体" w:hAnsi="宋体"/>
          <w:sz w:val="24"/>
          <w:szCs w:val="32"/>
        </w:rPr>
        <w:t>可扩充到</w:t>
      </w:r>
      <w:r>
        <w:rPr>
          <w:rFonts w:ascii="宋体" w:hAnsi="宋体"/>
          <w:sz w:val="24"/>
          <w:szCs w:val="32"/>
        </w:rPr>
        <w:t>20G</w:t>
      </w:r>
      <w:r>
        <w:rPr>
          <w:rFonts w:hint="eastAsia" w:ascii="宋体" w:hAnsi="宋体"/>
          <w:sz w:val="24"/>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ascii="宋体" w:hAnsi="宋体"/>
          <w:b/>
          <w:sz w:val="24"/>
          <w:szCs w:val="32"/>
        </w:rPr>
      </w:pPr>
      <w:r>
        <w:rPr>
          <w:rFonts w:ascii="宋体" w:hAnsi="宋体"/>
          <w:b/>
          <w:sz w:val="24"/>
          <w:szCs w:val="32"/>
        </w:rPr>
        <w:t>4</w:t>
      </w:r>
      <w:r>
        <w:rPr>
          <w:rFonts w:hint="eastAsia" w:ascii="宋体" w:hAnsi="宋体"/>
          <w:b/>
          <w:sz w:val="24"/>
          <w:szCs w:val="32"/>
        </w:rPr>
        <w:t>．服务区域划分要求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本次采购要求提供包括政务云政务外网资源共享专网、政务外网公共服务专网等不同网络环境，同时提供满足对不同安全级别、不同业务、不同业务专网的需要，并提供应用测试区域等环境。支持虚拟专有域功能（</w:t>
      </w:r>
      <w:r>
        <w:rPr>
          <w:rFonts w:ascii="宋体" w:hAnsi="宋体"/>
          <w:sz w:val="24"/>
          <w:szCs w:val="32"/>
        </w:rPr>
        <w:t>VPC），能够划分隔离的区域为特定的用户提供云服务，区域内的资源与别的用户完全隔离，完全为该用户使用。各局办可通过专线方式接入私有云平台，实现与原有业务专网互通，IP地址自定义划分，与云上其他局办业务隔离。</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ascii="宋体" w:hAnsi="宋体"/>
          <w:b/>
          <w:sz w:val="24"/>
          <w:szCs w:val="32"/>
        </w:rPr>
      </w:pPr>
      <w:r>
        <w:rPr>
          <w:rFonts w:ascii="宋体" w:hAnsi="宋体"/>
          <w:b/>
          <w:sz w:val="24"/>
          <w:szCs w:val="32"/>
        </w:rPr>
        <w:t>5</w:t>
      </w:r>
      <w:r>
        <w:rPr>
          <w:rFonts w:hint="eastAsia" w:ascii="宋体" w:hAnsi="宋体"/>
          <w:b/>
          <w:sz w:val="24"/>
          <w:szCs w:val="32"/>
        </w:rPr>
        <w:t>．安全等级要求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要求对于核心业务应能实现应用级容灾保护，非关键性业务实现数据级容灾保护。</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ascii="宋体" w:hAnsi="宋体"/>
          <w:b/>
          <w:sz w:val="24"/>
          <w:szCs w:val="32"/>
        </w:rPr>
      </w:pPr>
      <w:r>
        <w:rPr>
          <w:rFonts w:ascii="宋体" w:hAnsi="宋体"/>
          <w:b/>
          <w:sz w:val="24"/>
          <w:szCs w:val="32"/>
        </w:rPr>
        <w:t>6</w:t>
      </w:r>
      <w:r>
        <w:rPr>
          <w:rFonts w:hint="eastAsia" w:ascii="宋体" w:hAnsi="宋体"/>
          <w:b/>
          <w:sz w:val="24"/>
          <w:szCs w:val="32"/>
        </w:rPr>
        <w:t>．服务支撑要求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为保证政务云稳定可靠运行，供应商须提供且不低于下列服务支撑要求：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w:t>
      </w:r>
      <w:r>
        <w:rPr>
          <w:rFonts w:ascii="宋体" w:hAnsi="宋体"/>
          <w:sz w:val="24"/>
          <w:szCs w:val="32"/>
        </w:rPr>
        <w:t>1</w:t>
      </w:r>
      <w:r>
        <w:rPr>
          <w:rFonts w:hint="eastAsia" w:ascii="宋体" w:hAnsi="宋体"/>
          <w:sz w:val="24"/>
          <w:szCs w:val="32"/>
        </w:rPr>
        <w:t>）要求本期至少</w:t>
      </w:r>
      <w:r>
        <w:rPr>
          <w:rFonts w:ascii="宋体" w:hAnsi="宋体"/>
          <w:sz w:val="24"/>
          <w:szCs w:val="32"/>
        </w:rPr>
        <w:t>4</w:t>
      </w:r>
      <w:r>
        <w:rPr>
          <w:rFonts w:hint="eastAsia" w:ascii="宋体" w:hAnsi="宋体"/>
          <w:sz w:val="24"/>
          <w:szCs w:val="32"/>
        </w:rPr>
        <w:t>人次常驻机房服务，提供</w:t>
      </w:r>
      <w:r>
        <w:rPr>
          <w:rFonts w:ascii="宋体" w:hAnsi="宋体"/>
          <w:sz w:val="24"/>
          <w:szCs w:val="32"/>
        </w:rPr>
        <w:t>7*24</w:t>
      </w:r>
      <w:r>
        <w:rPr>
          <w:rFonts w:hint="eastAsia" w:ascii="宋体" w:hAnsi="宋体"/>
          <w:sz w:val="24"/>
          <w:szCs w:val="32"/>
        </w:rPr>
        <w:t>小时运行值班监控服务；同时要求</w:t>
      </w:r>
      <w:r>
        <w:rPr>
          <w:rFonts w:ascii="宋体" w:hAnsi="宋体"/>
          <w:sz w:val="24"/>
          <w:szCs w:val="32"/>
        </w:rPr>
        <w:t>指定</w:t>
      </w:r>
      <w:r>
        <w:rPr>
          <w:rFonts w:hint="eastAsia" w:ascii="宋体" w:hAnsi="宋体"/>
          <w:sz w:val="24"/>
          <w:szCs w:val="32"/>
        </w:rPr>
        <w:t>一名</w:t>
      </w:r>
      <w:r>
        <w:rPr>
          <w:rFonts w:ascii="宋体" w:hAnsi="宋体"/>
          <w:sz w:val="24"/>
          <w:szCs w:val="32"/>
        </w:rPr>
        <w:t>专职人员</w:t>
      </w:r>
      <w:r>
        <w:rPr>
          <w:rFonts w:hint="eastAsia" w:ascii="宋体" w:hAnsi="宋体"/>
          <w:sz w:val="24"/>
          <w:szCs w:val="32"/>
        </w:rPr>
        <w:t>负责协调处理各类有关业务</w:t>
      </w:r>
      <w:r>
        <w:rPr>
          <w:rFonts w:ascii="宋体" w:hAnsi="宋体"/>
          <w:sz w:val="24"/>
          <w:szCs w:val="32"/>
        </w:rPr>
        <w:t>，并配备服务终端两台</w:t>
      </w:r>
      <w:r>
        <w:rPr>
          <w:rFonts w:hint="eastAsia" w:ascii="宋体" w:hAnsi="宋体"/>
          <w:sz w:val="24"/>
          <w:szCs w:val="32"/>
        </w:rPr>
        <w:t>。相关人员资质及技术能力须由采购方认可。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w:t>
      </w:r>
      <w:r>
        <w:rPr>
          <w:rFonts w:ascii="宋体" w:hAnsi="宋体"/>
          <w:sz w:val="24"/>
          <w:szCs w:val="32"/>
        </w:rPr>
        <w:t>2</w:t>
      </w:r>
      <w:r>
        <w:rPr>
          <w:rFonts w:hint="eastAsia" w:ascii="宋体" w:hAnsi="宋体"/>
          <w:sz w:val="24"/>
          <w:szCs w:val="32"/>
        </w:rPr>
        <w:t>）要求组建本地专业政务云维护团队，人员组成必须包含网络、数据库、信息安全、</w:t>
      </w:r>
      <w:r>
        <w:rPr>
          <w:rFonts w:ascii="宋体" w:hAnsi="宋体"/>
          <w:sz w:val="24"/>
          <w:szCs w:val="32"/>
        </w:rPr>
        <w:t>IT</w:t>
      </w:r>
      <w:r>
        <w:rPr>
          <w:rFonts w:hint="eastAsia" w:ascii="宋体" w:hAnsi="宋体"/>
          <w:sz w:val="24"/>
          <w:szCs w:val="32"/>
        </w:rPr>
        <w:t>管理等领域专业人员组成，并需提供人员相关资质证明，相关人员资质及技术能力须由采购方认可。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w:t>
      </w:r>
      <w:r>
        <w:rPr>
          <w:rFonts w:ascii="宋体" w:hAnsi="宋体"/>
          <w:sz w:val="24"/>
          <w:szCs w:val="32"/>
        </w:rPr>
        <w:t>3</w:t>
      </w:r>
      <w:r>
        <w:rPr>
          <w:rFonts w:hint="eastAsia" w:ascii="宋体" w:hAnsi="宋体"/>
          <w:sz w:val="24"/>
          <w:szCs w:val="32"/>
        </w:rPr>
        <w:t>）要求定期举办现场或网络视频培训，免费提供仿真的开发与测试环境，供各级部门应用系统上线前的开发与测试，测试时间内不得收费。</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w:t>
      </w:r>
      <w:r>
        <w:rPr>
          <w:rFonts w:ascii="宋体" w:hAnsi="宋体"/>
          <w:sz w:val="24"/>
          <w:szCs w:val="32"/>
        </w:rPr>
        <w:t>4</w:t>
      </w:r>
      <w:r>
        <w:rPr>
          <w:rFonts w:hint="eastAsia" w:ascii="宋体" w:hAnsi="宋体"/>
          <w:sz w:val="24"/>
          <w:szCs w:val="32"/>
        </w:rPr>
        <w:t>）要求对应用系统上线、迁移、测试进行规划、设计，协助采购方制定建设方案，协助采购方完成相应应用系统的功能、性能、安全等测试，测试未通过严禁系统上线。免费协助采购方进行新开发应用系统部署，并协助完成相关原有应用系统迁移到政务云平台。</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w:t>
      </w:r>
      <w:r>
        <w:rPr>
          <w:rFonts w:ascii="宋体" w:hAnsi="宋体"/>
          <w:sz w:val="24"/>
          <w:szCs w:val="32"/>
        </w:rPr>
        <w:t>5</w:t>
      </w:r>
      <w:r>
        <w:rPr>
          <w:rFonts w:hint="eastAsia" w:ascii="宋体" w:hAnsi="宋体"/>
          <w:sz w:val="24"/>
          <w:szCs w:val="32"/>
        </w:rPr>
        <w:t>）要求交付云服务时提供详细的云服务租用清单，并定期（一般按月）提供云服务使用量报表和政务云平台运维日志（包含各类云服务总体的运维工作日志，云安全服务的管理、升级与配置记录，以及招标人认为需要掌握的其他信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sz w:val="24"/>
          <w:szCs w:val="32"/>
        </w:rPr>
      </w:pPr>
      <w:r>
        <w:rPr>
          <w:rFonts w:hint="eastAsia" w:ascii="宋体" w:hAnsi="宋体"/>
          <w:sz w:val="24"/>
          <w:szCs w:val="32"/>
        </w:rPr>
        <w:t>（6）要求云</w:t>
      </w:r>
      <w:r>
        <w:rPr>
          <w:rFonts w:ascii="宋体" w:hAnsi="宋体"/>
          <w:sz w:val="24"/>
          <w:szCs w:val="32"/>
        </w:rPr>
        <w:t>服务商协助</w:t>
      </w:r>
      <w:r>
        <w:rPr>
          <w:rFonts w:hint="eastAsia" w:ascii="宋体" w:hAnsi="宋体"/>
          <w:sz w:val="24"/>
          <w:szCs w:val="32"/>
        </w:rPr>
        <w:t>局办</w:t>
      </w:r>
      <w:r>
        <w:rPr>
          <w:rFonts w:ascii="宋体" w:hAnsi="宋体"/>
          <w:sz w:val="24"/>
          <w:szCs w:val="32"/>
        </w:rPr>
        <w:t>单位开展每年不少于</w:t>
      </w:r>
      <w:r>
        <w:rPr>
          <w:rFonts w:hint="eastAsia" w:ascii="宋体" w:hAnsi="宋体"/>
          <w:sz w:val="24"/>
          <w:szCs w:val="32"/>
        </w:rPr>
        <w:t>1次</w:t>
      </w:r>
      <w:r>
        <w:rPr>
          <w:rFonts w:ascii="宋体" w:hAnsi="宋体"/>
          <w:sz w:val="24"/>
          <w:szCs w:val="32"/>
        </w:rPr>
        <w:t>的</w:t>
      </w:r>
      <w:r>
        <w:rPr>
          <w:rFonts w:hint="eastAsia" w:ascii="宋体" w:hAnsi="宋体"/>
          <w:sz w:val="24"/>
          <w:szCs w:val="32"/>
        </w:rPr>
        <w:t>云</w:t>
      </w:r>
      <w:r>
        <w:rPr>
          <w:rFonts w:ascii="宋体" w:hAnsi="宋体"/>
          <w:sz w:val="24"/>
          <w:szCs w:val="32"/>
        </w:rPr>
        <w:t>平台应急演练</w:t>
      </w:r>
      <w:r>
        <w:rPr>
          <w:rFonts w:hint="eastAsia" w:ascii="宋体" w:hAnsi="宋体"/>
          <w:sz w:val="24"/>
          <w:szCs w:val="32"/>
        </w:rPr>
        <w:t>；每月</w:t>
      </w:r>
      <w:r>
        <w:rPr>
          <w:rFonts w:ascii="宋体" w:hAnsi="宋体"/>
          <w:sz w:val="24"/>
          <w:szCs w:val="32"/>
        </w:rPr>
        <w:t>对</w:t>
      </w:r>
      <w:r>
        <w:rPr>
          <w:rFonts w:hint="eastAsia" w:ascii="宋体" w:hAnsi="宋体"/>
          <w:sz w:val="24"/>
          <w:szCs w:val="32"/>
        </w:rPr>
        <w:t>云</w:t>
      </w:r>
      <w:r>
        <w:rPr>
          <w:rFonts w:ascii="宋体" w:hAnsi="宋体"/>
          <w:sz w:val="24"/>
          <w:szCs w:val="32"/>
        </w:rPr>
        <w:t>上政务系统</w:t>
      </w:r>
      <w:r>
        <w:rPr>
          <w:rFonts w:hint="eastAsia" w:ascii="宋体" w:hAnsi="宋体"/>
          <w:sz w:val="24"/>
          <w:szCs w:val="32"/>
        </w:rPr>
        <w:t>开展</w:t>
      </w:r>
      <w:r>
        <w:rPr>
          <w:rFonts w:ascii="宋体" w:hAnsi="宋体"/>
          <w:sz w:val="24"/>
          <w:szCs w:val="32"/>
        </w:rPr>
        <w:t>安全漏洞扫描工作，并出具相关报告</w:t>
      </w:r>
      <w:r>
        <w:rPr>
          <w:rFonts w:hint="eastAsia" w:ascii="宋体" w:hAnsi="宋体"/>
          <w:sz w:val="24"/>
          <w:szCs w:val="32"/>
        </w:rPr>
        <w:t>；积极配合测评</w:t>
      </w:r>
      <w:r>
        <w:rPr>
          <w:rFonts w:ascii="宋体" w:hAnsi="宋体"/>
          <w:sz w:val="24"/>
          <w:szCs w:val="32"/>
        </w:rPr>
        <w:t>公司</w:t>
      </w:r>
      <w:r>
        <w:rPr>
          <w:rFonts w:hint="eastAsia" w:ascii="宋体" w:hAnsi="宋体"/>
          <w:sz w:val="24"/>
          <w:szCs w:val="32"/>
        </w:rPr>
        <w:t>落实租户</w:t>
      </w:r>
      <w:r>
        <w:rPr>
          <w:rFonts w:ascii="宋体" w:hAnsi="宋体"/>
          <w:sz w:val="24"/>
          <w:szCs w:val="32"/>
        </w:rPr>
        <w:t>业务系统等保测评</w:t>
      </w:r>
      <w:r>
        <w:rPr>
          <w:rFonts w:hint="eastAsia" w:ascii="宋体" w:hAnsi="宋体"/>
          <w:sz w:val="24"/>
          <w:szCs w:val="32"/>
        </w:rPr>
        <w:t>工作</w:t>
      </w:r>
      <w:r>
        <w:rPr>
          <w:rFonts w:ascii="宋体" w:hAnsi="宋体"/>
          <w:sz w:val="24"/>
          <w:szCs w:val="32"/>
        </w:rPr>
        <w:t>。</w:t>
      </w:r>
      <w:r>
        <w:rPr>
          <w:rFonts w:hint="eastAsia" w:ascii="宋体" w:hAnsi="宋体"/>
          <w:sz w:val="24"/>
          <w:szCs w:val="32"/>
        </w:rPr>
        <w:t>对上云</w:t>
      </w:r>
      <w:r>
        <w:rPr>
          <w:rFonts w:ascii="宋体" w:hAnsi="宋体"/>
          <w:sz w:val="24"/>
          <w:szCs w:val="32"/>
        </w:rPr>
        <w:t>的政务系统要求</w:t>
      </w:r>
      <w:r>
        <w:rPr>
          <w:rFonts w:hint="eastAsia" w:ascii="宋体" w:hAnsi="宋体"/>
          <w:sz w:val="24"/>
          <w:szCs w:val="32"/>
        </w:rPr>
        <w:t>定制</w:t>
      </w:r>
      <w:r>
        <w:rPr>
          <w:rFonts w:ascii="宋体" w:hAnsi="宋体"/>
          <w:sz w:val="24"/>
          <w:szCs w:val="32"/>
        </w:rPr>
        <w:t>快照备份策略</w:t>
      </w:r>
      <w:r>
        <w:rPr>
          <w:rFonts w:hint="eastAsia" w:ascii="宋体" w:hAnsi="宋体"/>
          <w:sz w:val="24"/>
          <w:szCs w:val="32"/>
        </w:rPr>
        <w:t>，</w:t>
      </w:r>
      <w:r>
        <w:rPr>
          <w:rFonts w:ascii="宋体" w:hAnsi="宋体"/>
          <w:sz w:val="24"/>
          <w:szCs w:val="32"/>
        </w:rPr>
        <w:t>做好数据备份</w:t>
      </w:r>
      <w:r>
        <w:rPr>
          <w:rFonts w:hint="eastAsia" w:ascii="宋体" w:hAnsi="宋体"/>
          <w:sz w:val="24"/>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ascii="宋体" w:hAnsi="宋体"/>
          <w:b/>
          <w:sz w:val="24"/>
          <w:szCs w:val="32"/>
        </w:rPr>
      </w:pPr>
      <w:r>
        <w:rPr>
          <w:rFonts w:hint="eastAsia" w:ascii="宋体" w:hAnsi="宋体"/>
          <w:b/>
          <w:sz w:val="24"/>
          <w:szCs w:val="32"/>
        </w:rPr>
        <w:t>7</w:t>
      </w:r>
      <w:r>
        <w:rPr>
          <w:rFonts w:ascii="宋体" w:hAnsi="宋体"/>
          <w:b/>
          <w:sz w:val="24"/>
          <w:szCs w:val="32"/>
        </w:rPr>
        <w:t>.安全要求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sz w:val="24"/>
          <w:szCs w:val="32"/>
        </w:rPr>
      </w:pPr>
      <w:r>
        <w:rPr>
          <w:rFonts w:hint="eastAsia" w:ascii="宋体" w:hAnsi="宋体"/>
          <w:sz w:val="24"/>
          <w:szCs w:val="32"/>
        </w:rPr>
        <w:t>要求云服务商保证政务云平台的整体安全，如果云平台出现安全问题，由云服务商承担相应的安全责任。</w:t>
      </w:r>
    </w:p>
    <w:p>
      <w:pPr>
        <w:pStyle w:val="2"/>
        <w:pageBreakBefore w:val="0"/>
        <w:widowControl w:val="0"/>
        <w:kinsoku/>
        <w:wordWrap/>
        <w:overflowPunct/>
        <w:topLinePunct w:val="0"/>
        <w:autoSpaceDE/>
        <w:autoSpaceDN/>
        <w:bidi w:val="0"/>
        <w:spacing w:line="360" w:lineRule="auto"/>
        <w:textAlignment w:val="auto"/>
        <w:rPr>
          <w:rFonts w:hint="eastAsia" w:ascii="黑体" w:hAnsi="黑体" w:eastAsia="黑体" w:cs="黑体"/>
          <w:sz w:val="24"/>
          <w:szCs w:val="24"/>
        </w:rPr>
      </w:pPr>
      <w:r>
        <w:rPr>
          <w:rFonts w:hint="eastAsia" w:ascii="黑体" w:hAnsi="黑体" w:eastAsia="黑体" w:cs="黑体"/>
          <w:sz w:val="24"/>
          <w:szCs w:val="24"/>
        </w:rPr>
        <w:t>四、政务云平台要求</w:t>
      </w:r>
    </w:p>
    <w:p>
      <w:pPr>
        <w:pageBreakBefore w:val="0"/>
        <w:widowControl w:val="0"/>
        <w:numPr>
          <w:ilvl w:val="0"/>
          <w:numId w:val="3"/>
        </w:numPr>
        <w:tabs>
          <w:tab w:val="clear" w:pos="862"/>
        </w:tabs>
        <w:kinsoku/>
        <w:wordWrap/>
        <w:overflowPunct/>
        <w:topLinePunct w:val="0"/>
        <w:autoSpaceDE/>
        <w:autoSpaceDN/>
        <w:bidi w:val="0"/>
        <w:snapToGrid w:val="0"/>
        <w:spacing w:line="360" w:lineRule="auto"/>
        <w:ind w:left="0" w:firstLine="420"/>
        <w:textAlignment w:val="auto"/>
        <w:rPr>
          <w:rFonts w:ascii="宋体" w:hAnsi="宋体"/>
          <w:b/>
          <w:sz w:val="24"/>
          <w:szCs w:val="24"/>
        </w:rPr>
      </w:pPr>
      <w:r>
        <w:rPr>
          <w:rFonts w:ascii="宋体" w:hAnsi="宋体"/>
          <w:b/>
          <w:sz w:val="24"/>
          <w:szCs w:val="24"/>
        </w:rPr>
        <w:t>云平台机房环境及相关物理硬件要求</w:t>
      </w:r>
    </w:p>
    <w:p>
      <w:pPr>
        <w:pageBreakBefore w:val="0"/>
        <w:widowControl w:val="0"/>
        <w:numPr>
          <w:ilvl w:val="1"/>
          <w:numId w:val="3"/>
        </w:numPr>
        <w:tabs>
          <w:tab w:val="clear" w:pos="1282"/>
        </w:tabs>
        <w:kinsoku/>
        <w:wordWrap/>
        <w:overflowPunct/>
        <w:topLinePunct w:val="0"/>
        <w:autoSpaceDE/>
        <w:autoSpaceDN/>
        <w:bidi w:val="0"/>
        <w:snapToGrid w:val="0"/>
        <w:spacing w:line="360" w:lineRule="auto"/>
        <w:ind w:left="-23" w:firstLine="420"/>
        <w:textAlignment w:val="auto"/>
        <w:rPr>
          <w:rFonts w:ascii="宋体" w:hAnsi="宋体"/>
          <w:sz w:val="24"/>
          <w:szCs w:val="24"/>
        </w:rPr>
      </w:pPr>
      <w:r>
        <w:rPr>
          <w:rFonts w:hint="eastAsia" w:ascii="宋体" w:hAnsi="宋体"/>
          <w:sz w:val="24"/>
          <w:szCs w:val="24"/>
        </w:rPr>
        <w:t>云平台数据中心机房标准要求</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要求机房符合国际标准的数据中心机房，能够稳定的</w:t>
      </w:r>
      <w:r>
        <w:rPr>
          <w:rFonts w:ascii="宋体" w:hAnsi="宋体"/>
          <w:sz w:val="24"/>
          <w:szCs w:val="24"/>
        </w:rPr>
        <w:t>365</w:t>
      </w:r>
      <w:r>
        <w:rPr>
          <w:rFonts w:hint="eastAsia" w:ascii="宋体" w:hAnsi="宋体"/>
          <w:sz w:val="24"/>
          <w:szCs w:val="24"/>
        </w:rPr>
        <w:t>天全天候的提供优质的电力、空调、消防、监控、机架、空气清风系统等服务</w:t>
      </w:r>
      <w:r>
        <w:rPr>
          <w:rFonts w:ascii="宋体" w:hAnsi="宋体"/>
          <w:sz w:val="24"/>
          <w:szCs w:val="24"/>
        </w:rPr>
        <w:t>,</w:t>
      </w:r>
      <w:r>
        <w:rPr>
          <w:rFonts w:hint="eastAsia" w:ascii="宋体" w:hAnsi="宋体"/>
          <w:sz w:val="24"/>
          <w:szCs w:val="24"/>
        </w:rPr>
        <w:t>保证</w:t>
      </w:r>
      <w:r>
        <w:rPr>
          <w:rFonts w:ascii="宋体" w:hAnsi="宋体"/>
          <w:sz w:val="24"/>
          <w:szCs w:val="24"/>
        </w:rPr>
        <w:t>7*24</w:t>
      </w:r>
      <w:r>
        <w:rPr>
          <w:rFonts w:hint="eastAsia" w:ascii="宋体" w:hAnsi="宋体"/>
          <w:sz w:val="24"/>
          <w:szCs w:val="24"/>
        </w:rPr>
        <w:t>小时电力供应，供电保障系统需配置保障油机</w:t>
      </w:r>
      <w:r>
        <w:rPr>
          <w:rFonts w:ascii="宋体" w:hAnsi="宋体"/>
          <w:sz w:val="24"/>
          <w:szCs w:val="24"/>
        </w:rPr>
        <w:t>1500KWA</w:t>
      </w:r>
      <w:r>
        <w:rPr>
          <w:rFonts w:hint="eastAsia" w:ascii="宋体" w:hAnsi="宋体"/>
          <w:sz w:val="24"/>
          <w:szCs w:val="24"/>
        </w:rPr>
        <w:t>或更高的规格</w:t>
      </w:r>
      <w:r>
        <w:rPr>
          <w:rFonts w:ascii="宋体" w:hAnsi="宋体"/>
          <w:sz w:val="24"/>
          <w:szCs w:val="24"/>
        </w:rPr>
        <w:t>,</w:t>
      </w:r>
      <w:r>
        <w:rPr>
          <w:rFonts w:hint="eastAsia" w:ascii="宋体" w:hAnsi="宋体"/>
          <w:sz w:val="24"/>
          <w:szCs w:val="24"/>
        </w:rPr>
        <w:t>并实现油机</w:t>
      </w:r>
      <w:r>
        <w:rPr>
          <w:rFonts w:ascii="宋体" w:hAnsi="宋体"/>
          <w:sz w:val="24"/>
          <w:szCs w:val="24"/>
        </w:rPr>
        <w:t>1+1</w:t>
      </w:r>
      <w:r>
        <w:rPr>
          <w:rFonts w:hint="eastAsia" w:ascii="宋体" w:hAnsi="宋体"/>
          <w:sz w:val="24"/>
          <w:szCs w:val="24"/>
        </w:rPr>
        <w:t>备份、不间断电源系统需配置</w:t>
      </w:r>
      <w:r>
        <w:rPr>
          <w:rFonts w:ascii="宋体" w:hAnsi="宋体"/>
          <w:sz w:val="24"/>
          <w:szCs w:val="24"/>
        </w:rPr>
        <w:t>400KVA</w:t>
      </w:r>
      <w:r>
        <w:rPr>
          <w:rFonts w:hint="eastAsia" w:ascii="宋体" w:hAnsi="宋体"/>
          <w:sz w:val="24"/>
          <w:szCs w:val="24"/>
        </w:rPr>
        <w:t>（</w:t>
      </w:r>
      <w:r>
        <w:rPr>
          <w:rFonts w:ascii="宋体" w:hAnsi="宋体"/>
          <w:sz w:val="24"/>
          <w:szCs w:val="24"/>
        </w:rPr>
        <w:t>1+1</w:t>
      </w:r>
      <w:r>
        <w:rPr>
          <w:rFonts w:hint="eastAsia" w:ascii="宋体" w:hAnsi="宋体"/>
          <w:sz w:val="24"/>
          <w:szCs w:val="24"/>
        </w:rPr>
        <w:t>）或更高的</w:t>
      </w:r>
      <w:r>
        <w:rPr>
          <w:rFonts w:ascii="宋体" w:hAnsi="宋体"/>
          <w:sz w:val="24"/>
          <w:szCs w:val="24"/>
        </w:rPr>
        <w:t>UPS</w:t>
      </w:r>
      <w:r>
        <w:rPr>
          <w:rFonts w:hint="eastAsia" w:ascii="宋体" w:hAnsi="宋体"/>
          <w:sz w:val="24"/>
          <w:szCs w:val="24"/>
        </w:rPr>
        <w:t>规格，机房基础安全设施需配置管网式气体消防、早期烟雾告警、门禁系统等系统。</w:t>
      </w:r>
    </w:p>
    <w:p>
      <w:pPr>
        <w:pageBreakBefore w:val="0"/>
        <w:widowControl w:val="0"/>
        <w:numPr>
          <w:ilvl w:val="1"/>
          <w:numId w:val="3"/>
        </w:numPr>
        <w:tabs>
          <w:tab w:val="clear" w:pos="1282"/>
        </w:tabs>
        <w:kinsoku/>
        <w:wordWrap/>
        <w:overflowPunct/>
        <w:topLinePunct w:val="0"/>
        <w:autoSpaceDE/>
        <w:autoSpaceDN/>
        <w:bidi w:val="0"/>
        <w:snapToGrid w:val="0"/>
        <w:spacing w:line="360" w:lineRule="auto"/>
        <w:ind w:left="-23" w:firstLine="420"/>
        <w:textAlignment w:val="auto"/>
        <w:rPr>
          <w:rFonts w:ascii="宋体" w:hAnsi="宋体"/>
          <w:sz w:val="24"/>
          <w:szCs w:val="24"/>
        </w:rPr>
      </w:pPr>
      <w:r>
        <w:rPr>
          <w:rFonts w:hint="eastAsia" w:ascii="宋体" w:hAnsi="宋体"/>
          <w:sz w:val="24"/>
          <w:szCs w:val="24"/>
        </w:rPr>
        <w:t>物理服务器要求</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物理服务器数量不少于60台，主要用于承载业务系统的ECS云主机服务（不包括RDS、对象存储等云产品）。服务器不低于如下配置：</w:t>
      </w:r>
      <w:r>
        <w:rPr>
          <w:rFonts w:ascii="宋体" w:hAnsi="宋体"/>
          <w:sz w:val="24"/>
          <w:szCs w:val="24"/>
        </w:rPr>
        <w:t>2</w:t>
      </w:r>
      <w:r>
        <w:rPr>
          <w:rFonts w:hint="eastAsia" w:ascii="宋体" w:hAnsi="宋体"/>
          <w:sz w:val="24"/>
          <w:szCs w:val="24"/>
        </w:rPr>
        <w:t>路</w:t>
      </w:r>
      <w:r>
        <w:rPr>
          <w:rFonts w:ascii="宋体" w:hAnsi="宋体"/>
          <w:sz w:val="24"/>
          <w:szCs w:val="24"/>
        </w:rPr>
        <w:t>INTEL XeonE5-2650V2 CPU</w:t>
      </w:r>
      <w:r>
        <w:rPr>
          <w:rFonts w:hint="eastAsia" w:ascii="宋体" w:hAnsi="宋体"/>
          <w:sz w:val="24"/>
          <w:szCs w:val="24"/>
        </w:rPr>
        <w:t>（核数</w:t>
      </w:r>
      <w:r>
        <w:rPr>
          <w:rFonts w:ascii="宋体" w:hAnsi="宋体"/>
          <w:sz w:val="24"/>
          <w:szCs w:val="24"/>
        </w:rPr>
        <w:t>8</w:t>
      </w:r>
      <w:r>
        <w:rPr>
          <w:rFonts w:hint="eastAsia" w:ascii="宋体" w:hAnsi="宋体"/>
          <w:sz w:val="24"/>
          <w:szCs w:val="24"/>
        </w:rPr>
        <w:t>核，主频</w:t>
      </w:r>
      <w:r>
        <w:rPr>
          <w:rFonts w:ascii="宋体" w:hAnsi="宋体"/>
          <w:sz w:val="24"/>
          <w:szCs w:val="24"/>
        </w:rPr>
        <w:t>2.6GHz</w:t>
      </w:r>
      <w:r>
        <w:rPr>
          <w:rFonts w:hint="eastAsia" w:ascii="宋体" w:hAnsi="宋体"/>
          <w:sz w:val="24"/>
          <w:szCs w:val="24"/>
        </w:rPr>
        <w:t>），内存≥</w:t>
      </w:r>
      <w:r>
        <w:rPr>
          <w:rFonts w:ascii="宋体" w:hAnsi="宋体"/>
          <w:sz w:val="24"/>
          <w:szCs w:val="24"/>
        </w:rPr>
        <w:t>128G</w:t>
      </w:r>
      <w:r>
        <w:rPr>
          <w:rFonts w:hint="eastAsia" w:ascii="宋体" w:hAnsi="宋体"/>
          <w:sz w:val="24"/>
          <w:szCs w:val="24"/>
        </w:rPr>
        <w:t>，双电源。要求可根据用户使用情况进行扩展，不会导致业务中断。云平台单集群支持不少于</w:t>
      </w:r>
      <w:r>
        <w:rPr>
          <w:rFonts w:ascii="宋体" w:hAnsi="宋体"/>
          <w:sz w:val="24"/>
          <w:szCs w:val="24"/>
        </w:rPr>
        <w:t>5000</w:t>
      </w:r>
      <w:r>
        <w:rPr>
          <w:rFonts w:hint="eastAsia" w:ascii="宋体" w:hAnsi="宋体"/>
          <w:sz w:val="24"/>
          <w:szCs w:val="24"/>
        </w:rPr>
        <w:t>台物理服务器。</w:t>
      </w:r>
    </w:p>
    <w:p>
      <w:pPr>
        <w:pageBreakBefore w:val="0"/>
        <w:widowControl w:val="0"/>
        <w:numPr>
          <w:ilvl w:val="1"/>
          <w:numId w:val="3"/>
        </w:numPr>
        <w:tabs>
          <w:tab w:val="clear" w:pos="1282"/>
        </w:tabs>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物理存储设备要求</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物理存储初期容量不少于</w:t>
      </w:r>
      <w:r>
        <w:rPr>
          <w:rFonts w:ascii="宋体" w:hAnsi="宋体"/>
          <w:sz w:val="24"/>
          <w:szCs w:val="24"/>
        </w:rPr>
        <w:t>1</w:t>
      </w:r>
      <w:r>
        <w:rPr>
          <w:rFonts w:hint="eastAsia" w:ascii="宋体" w:hAnsi="宋体"/>
          <w:sz w:val="24"/>
          <w:szCs w:val="24"/>
        </w:rPr>
        <w:t xml:space="preserve"> PB，要求可根据用户使用情况进行扩展，扩展过程中不会导致业务中断。云存储采用分布式文件系统。</w:t>
      </w:r>
    </w:p>
    <w:p>
      <w:pPr>
        <w:pageBreakBefore w:val="0"/>
        <w:widowControl w:val="0"/>
        <w:numPr>
          <w:ilvl w:val="1"/>
          <w:numId w:val="3"/>
        </w:numPr>
        <w:tabs>
          <w:tab w:val="clear" w:pos="1282"/>
        </w:tabs>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物理网络要求</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为保证网络高可靠性、高可用性、高扩展性、冗余性，要求采用双核心和接入两层扁平化的组网架构，分别构建独立的业务网、管理网、存储网，核心接入之间万兆捆绑互联；所有服务器分别双归属接入业务网、管理网、存储网。</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要求保证产品成熟可靠。为了适应云计算中心出现的</w:t>
      </w:r>
      <w:r>
        <w:rPr>
          <w:rFonts w:ascii="宋体" w:hAnsi="宋体"/>
          <w:sz w:val="24"/>
          <w:szCs w:val="24"/>
        </w:rPr>
        <w:t>40GE</w:t>
      </w:r>
      <w:r>
        <w:rPr>
          <w:rFonts w:hint="eastAsia" w:ascii="宋体" w:hAnsi="宋体"/>
          <w:sz w:val="24"/>
          <w:szCs w:val="24"/>
        </w:rPr>
        <w:t>和</w:t>
      </w:r>
      <w:r>
        <w:rPr>
          <w:rFonts w:ascii="宋体" w:hAnsi="宋体"/>
          <w:sz w:val="24"/>
          <w:szCs w:val="24"/>
        </w:rPr>
        <w:t>100GE</w:t>
      </w:r>
      <w:r>
        <w:rPr>
          <w:rFonts w:hint="eastAsia" w:ascii="宋体" w:hAnsi="宋体"/>
          <w:sz w:val="24"/>
          <w:szCs w:val="24"/>
        </w:rPr>
        <w:t>以太网标准，并且充分满足数据中心级的应用及发展需求，核心层设备应采用具有新一代交换架构的产品。</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要求满足今后</w:t>
      </w:r>
      <w:r>
        <w:rPr>
          <w:rFonts w:ascii="宋体" w:hAnsi="宋体"/>
          <w:sz w:val="24"/>
          <w:szCs w:val="24"/>
        </w:rPr>
        <w:t>5</w:t>
      </w:r>
      <w:r>
        <w:rPr>
          <w:rFonts w:hint="eastAsia" w:ascii="宋体" w:hAnsi="宋体"/>
          <w:sz w:val="24"/>
          <w:szCs w:val="24"/>
        </w:rPr>
        <w:t>年内市、县两级部门（单位）对政务云平台中业务应用网络带宽、业务平稳、持续不间断运行等应用需要。</w:t>
      </w:r>
    </w:p>
    <w:p>
      <w:pPr>
        <w:pageBreakBefore w:val="0"/>
        <w:widowControl w:val="0"/>
        <w:kinsoku/>
        <w:wordWrap/>
        <w:overflowPunct/>
        <w:topLinePunct w:val="0"/>
        <w:autoSpaceDE/>
        <w:autoSpaceDN/>
        <w:bidi w:val="0"/>
        <w:snapToGrid w:val="0"/>
        <w:spacing w:line="360" w:lineRule="auto"/>
        <w:ind w:firstLine="422"/>
        <w:textAlignment w:val="auto"/>
        <w:rPr>
          <w:rFonts w:ascii="宋体" w:hAnsi="宋体"/>
          <w:b/>
          <w:sz w:val="24"/>
          <w:szCs w:val="24"/>
        </w:rPr>
      </w:pPr>
      <w:r>
        <w:rPr>
          <w:rFonts w:ascii="宋体" w:hAnsi="宋体"/>
          <w:b/>
          <w:sz w:val="24"/>
          <w:szCs w:val="24"/>
        </w:rPr>
        <w:t>2.云平台软件要求</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供应商的云平台软件需要基于成熟、大规模商用、安全的云平台，有成功应用案例。</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ascii="宋体" w:hAnsi="宋体"/>
          <w:sz w:val="24"/>
          <w:szCs w:val="24"/>
        </w:rPr>
        <w:t>基本要求</w:t>
      </w:r>
      <w:r>
        <w:rPr>
          <w:rFonts w:hint="eastAsia" w:ascii="宋体" w:hAnsi="宋体"/>
          <w:sz w:val="24"/>
          <w:szCs w:val="24"/>
        </w:rPr>
        <w:t>：</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ascii="宋体" w:hAnsi="宋体"/>
          <w:sz w:val="24"/>
          <w:szCs w:val="24"/>
        </w:rPr>
        <w:t>1）云平台自主知识产权</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云平台软件，必须提供原厂知识产权证明，并能够不依赖于第三方，具备对全部软件代码的自主研发、升级、及时的</w:t>
      </w:r>
      <w:r>
        <w:rPr>
          <w:rFonts w:ascii="宋体" w:hAnsi="宋体"/>
          <w:sz w:val="24"/>
          <w:szCs w:val="24"/>
        </w:rPr>
        <w:t>bug修复能力。</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ascii="宋体" w:hAnsi="宋体"/>
          <w:sz w:val="24"/>
          <w:szCs w:val="24"/>
        </w:rPr>
        <w:t>2）大数据服务能力</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云平台需具备分布式大数据服务能力，提供成熟大规模数据处理平台案例。提供统一的数据开发平台，云平台集成统一的大数据运维管理。</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ascii="宋体" w:hAnsi="宋体"/>
          <w:sz w:val="24"/>
          <w:szCs w:val="24"/>
        </w:rPr>
        <w:t>3）云平台安全合规</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云平台需通过工信部可信云认证。</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4</w:t>
      </w:r>
      <w:r>
        <w:rPr>
          <w:rFonts w:ascii="宋体" w:hAnsi="宋体"/>
          <w:sz w:val="24"/>
          <w:szCs w:val="24"/>
        </w:rPr>
        <w:t>）与现有云平台的兼容性</w:t>
      </w:r>
    </w:p>
    <w:p>
      <w:pPr>
        <w:pageBreakBefore w:val="0"/>
        <w:widowControl w:val="0"/>
        <w:kinsoku/>
        <w:wordWrap/>
        <w:overflowPunct/>
        <w:topLinePunct w:val="0"/>
        <w:autoSpaceDE/>
        <w:autoSpaceDN/>
        <w:bidi w:val="0"/>
        <w:snapToGrid w:val="0"/>
        <w:spacing w:line="360" w:lineRule="auto"/>
        <w:ind w:firstLine="420"/>
        <w:textAlignment w:val="auto"/>
        <w:rPr>
          <w:rFonts w:ascii="宋体" w:hAnsi="宋体"/>
          <w:sz w:val="24"/>
          <w:szCs w:val="24"/>
        </w:rPr>
      </w:pPr>
      <w:r>
        <w:rPr>
          <w:rFonts w:hint="eastAsia" w:ascii="宋体" w:hAnsi="宋体"/>
          <w:sz w:val="24"/>
          <w:szCs w:val="24"/>
        </w:rPr>
        <w:t>新的云平台要求与现有市政务云（私有云）平台全面兼容，如与现平台采用不同的技术路线，则要求能在业务不中断的情况下实现所有云资源的整体迁移。</w:t>
      </w:r>
    </w:p>
    <w:p>
      <w:pPr>
        <w:pageBreakBefore w:val="0"/>
        <w:widowControl w:val="0"/>
        <w:kinsoku/>
        <w:wordWrap/>
        <w:overflowPunct/>
        <w:topLinePunct w:val="0"/>
        <w:autoSpaceDE/>
        <w:autoSpaceDN/>
        <w:bidi w:val="0"/>
        <w:snapToGrid w:val="0"/>
        <w:spacing w:line="360" w:lineRule="auto"/>
        <w:ind w:firstLine="422"/>
        <w:textAlignment w:val="auto"/>
        <w:rPr>
          <w:rFonts w:ascii="宋体" w:hAnsi="宋体"/>
          <w:b/>
          <w:sz w:val="24"/>
          <w:szCs w:val="24"/>
        </w:rPr>
      </w:pPr>
      <w:r>
        <w:rPr>
          <w:rFonts w:hint="eastAsia" w:ascii="宋体" w:hAnsi="宋体"/>
          <w:b/>
          <w:sz w:val="24"/>
          <w:szCs w:val="24"/>
        </w:rPr>
        <w:t>3.</w:t>
      </w:r>
      <w:r>
        <w:rPr>
          <w:rFonts w:ascii="宋体" w:hAnsi="宋体"/>
          <w:b/>
          <w:sz w:val="24"/>
          <w:szCs w:val="24"/>
        </w:rPr>
        <w:t>云平台架构要求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803"/>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r>
              <w:rPr>
                <w:rFonts w:hint="eastAsia" w:ascii="宋体" w:hAnsi="宋体" w:cs="宋体"/>
              </w:rPr>
              <w:t>指标项</w:t>
            </w: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r>
              <w:rPr>
                <w:rFonts w:hint="eastAsia" w:ascii="宋体" w:hAnsi="宋体" w:cs="宋体"/>
              </w:rPr>
              <w:t>规格要求</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标准规范</w:t>
            </w: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采用统一管理集群资源，统一管理集群内的CPU、内存、磁盘和网络资源使得这些关键资源可以被高效地使用。</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具备分布式系统底层服务、分布式文件系统、任务调度、集群监控和部署能力并提供技术白皮佐证。</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根据应用对资源进行全局的调度，提高资源的利用率。</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采用自动故障切换提高系统整体的可用性。</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采用统一的安全措施，保证用户数据的安全性。</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采用统一运维的方式，提高系统的安全并降低成本。</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扩展规模</w:t>
            </w: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支持在线集群扩容和应用服务的在线升级。</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单个集群最大规模可达到5000台物理服务器并行作业。</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资源管理</w:t>
            </w: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提供计算存储设备，网络设备和安全设备等物理设备的管理功能。</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提供虚拟化后的“分布式计算资源池”、“网络资源池”和“存储资源池”的管理功能。</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提供对网络资源的管理功能，包括：IP地址资源和带宽资源的管理。</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提供资源协同能力，包括资源的注册、创建、销毁、回收、状态同步、分布式锁服务，支持分布式共识协议。</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提供集群并行作业能力，实现资源的高可用和集群的负载均衡能力。</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远程过程调用</w:t>
            </w: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提供可靠高效的进程间远程调用服务，支持通讯信道的数据压缩和一致性校验。</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虚拟化功能</w:t>
            </w: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支持并配置计算资源虚拟化，形成“分布式计算资源池”。硬件采用标准X86服务器，不使用IP SAN和FC SAN等专用存储作为存储资源。</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支持并配置计算设备“一虚多”，同一台物理主机上同时支持多种操作系统，或是相同操作系统的不同版本。分区与分区之间相互独立，互不影响。</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支持并配置资源的动态调配与弹性可伸缩，资源池具备各级资源的按需获取功能，提高资源消费者的可用性、容错与扩展能力。</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分布式文件系统</w:t>
            </w: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云平台操作系统支持分布式文件系统，支持存储资源虚拟化,形成“存储资源池”。</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数据存储在不同机架的多个节点上，集群中的节点出现硬件、软件故障,集群系统能够自动进行数据的备份和迁移,保证数据的高可用性在并提供技术白皮书佐证。</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支持IO优先级控制和QoS保证；</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支持增量扩容和自动数据平衡能力，允许用户定制数据分布策略；</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具备高可扩展性，可支持上亿个文件和100PB以上量级的文件存储；支持不重启系统，增加物理服务器后自动扩容；</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在不依赖RAID卡和NAS等特殊硬件设备的条件下，提供高可用性和高可靠性；</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支持SATA磁盘块存储和SSD高性能块存储两种分布式存储规格。</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普通分布式存储吞吐大于等80M/s，高性能分布式存储吞吐大于等于280M/s，随机IOPS大于等于20000。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采用多管理节点设计，为避免集群单点故障，分布式文件系统必须支持多Master设计，至少有3个及以上的存储Master控制节点。</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分布式文件系统上创建出的单个存储盘，能够被多个虚机同时挂载，实现共享存储功能。</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任务调度</w:t>
            </w: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提供并行任务调度能力，且具备高可扩展性，最高可支持十万以上级的并行任务调度。</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42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实现自动检测故障和系统热点，重试失败任务，保证作业稳定可靠运行完成。</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bl>
    <w:p>
      <w:pPr>
        <w:pStyle w:val="2"/>
      </w:pPr>
      <w:r>
        <w:rPr>
          <w:rFonts w:hint="eastAsia"/>
        </w:rPr>
        <w:t>五、采购服务内容要求</w:t>
      </w:r>
    </w:p>
    <w:p>
      <w:pPr>
        <w:pStyle w:val="4"/>
        <w:rPr>
          <w:rFonts w:hint="eastAsia"/>
        </w:rPr>
      </w:pPr>
      <w:r>
        <w:rPr>
          <w:rFonts w:hint="eastAsia"/>
        </w:rPr>
        <w:t>1、云基础服务要求</w:t>
      </w:r>
    </w:p>
    <w:p>
      <w:pPr>
        <w:snapToGrid w:val="0"/>
        <w:rPr>
          <w:rFonts w:ascii="宋体" w:hAnsi="宋体"/>
          <w:b/>
        </w:rPr>
      </w:pPr>
      <w:r>
        <w:rPr>
          <w:rFonts w:hint="eastAsia" w:ascii="宋体" w:hAnsi="宋体"/>
          <w:b/>
        </w:rPr>
        <w:t>（一）</w:t>
      </w:r>
      <w:r>
        <w:rPr>
          <w:rFonts w:ascii="宋体" w:hAnsi="宋体"/>
          <w:b/>
        </w:rPr>
        <w:t>云主机要求</w:t>
      </w:r>
      <w:r>
        <w:rPr>
          <w:rFonts w:hint="eastAsia" w:ascii="宋体" w:hAnsi="宋体"/>
          <w:b/>
        </w:rPr>
        <w:t>（含安全管理模块EDR）</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622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指标项</w:t>
            </w: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r>
              <w:rPr>
                <w:rFonts w:hint="eastAsia" w:ascii="宋体" w:hAnsi="宋体" w:cs="宋体"/>
              </w:rPr>
              <w:t>规格要求</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基本功能</w:t>
            </w: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仿宋" w:hAnsi="仿宋" w:cs="宋体"/>
              </w:rPr>
              <w:t>云主机CPU核数可选范围1-</w:t>
            </w:r>
            <w:r>
              <w:rPr>
                <w:rFonts w:ascii="仿宋" w:hAnsi="仿宋" w:cs="宋体"/>
              </w:rPr>
              <w:t>32</w:t>
            </w:r>
            <w:r>
              <w:rPr>
                <w:rFonts w:hint="eastAsia" w:ascii="仿宋" w:hAnsi="仿宋" w:cs="宋体"/>
              </w:rPr>
              <w:t>核，</w:t>
            </w:r>
            <w:r>
              <w:rPr>
                <w:rFonts w:ascii="仿宋" w:hAnsi="仿宋" w:cs="宋体"/>
              </w:rPr>
              <w:t>1-128</w:t>
            </w:r>
            <w:r>
              <w:rPr>
                <w:rFonts w:hint="eastAsia" w:ascii="仿宋" w:hAnsi="仿宋" w:cs="宋体"/>
              </w:rPr>
              <w:t>G内存、8TB数据盘。</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互联网出口独享带宽可选范围2-100Mb。</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虚拟主机支持主流的WINDOWS、LINUX等操作系统，兼容常见的操作系统</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continue"/>
            <w:tcBorders>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支持SATA磁盘块存储和SSD高性能块存储两种分布式存储规格。</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扩展功能</w:t>
            </w: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按需开通。根据用户的需求动态的创建和分配计算、存储、网络带宽等资源；用户可以在线按时长购买云主机，并支持任意时刻的续费管理。</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云主机创建。创建后，云主机已包含有操作系统，可立即使用，从创建到启动在5分钟以内。</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云主机升级。当云主机现有配置不满足要求时，用户可自主进行云主机配置快速升级，可升级配置包括：CPU，内存，网络带宽等；配置升级生效时间在10分钟以内。</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云主机克隆。指创建一台跟现有云主机一模一样的机器，根据云主机数据盘的大小整个克隆过程一般在15分钟以内。</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云主机迁移。云平台根据物理主机负载情况综合调度，将云主机在不停机状态下从一台物理主机迁移到另外一台物理主机；在线迁移时，云主机应用完全不中断，用户完全无感知。</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管理功能</w:t>
            </w: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提供用户自服务门户和API接口，用户可自行创建不同规格的虚拟主机，自定义CPU、内存、网络、磁盘等属性。</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提供虚拟主机的动态升级、快照备份、性能监测分析、异常告警、日志管理等功能。</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提供快照和自定义镜像能力，支持对运行或停止状态的虚拟主机生成快照，应提供分钟级别快照回滚功能。</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可靠性</w:t>
            </w: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数据备份。云主机数据在云计算平台有三份（含）以上数据拷贝，单份数据损坏对云主机使用没任何影响，且一份数据损坏后，后台系统会自动拷贝，使数据始终保证三重备份。</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磁盘快照。需要提供云主机任一时刻的磁盘快照功能，含快照制作，快照回滚，快照恢复等。</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故障恢复。云主机发生故障后，切换恢复时间在30分钟以内。</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虚拟主机服务采用全冗余架构，无单点故障，平均可用性不低于99.9%。</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安全性</w:t>
            </w: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防ARP欺骗，防DDos攻击，提供流量清洗服务</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62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用户可自助开通安全组，并定义安全组规则。</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bl>
    <w:p>
      <w:pPr>
        <w:snapToGrid w:val="0"/>
        <w:rPr>
          <w:rFonts w:ascii="宋体" w:hAnsi="宋体"/>
          <w:b/>
          <w:szCs w:val="21"/>
        </w:rPr>
      </w:pPr>
    </w:p>
    <w:p>
      <w:pPr>
        <w:snapToGrid w:val="0"/>
        <w:rPr>
          <w:rFonts w:ascii="宋体" w:hAnsi="宋体"/>
          <w:b/>
          <w:bCs/>
          <w:szCs w:val="21"/>
        </w:rPr>
      </w:pPr>
      <w:r>
        <w:rPr>
          <w:rFonts w:hint="eastAsia" w:ascii="宋体" w:hAnsi="宋体"/>
          <w:b/>
          <w:bCs/>
          <w:kern w:val="0"/>
          <w:szCs w:val="21"/>
        </w:rPr>
        <w:t>（二）安全管理模块</w:t>
      </w:r>
      <w:r>
        <w:rPr>
          <w:rFonts w:hint="eastAsia" w:ascii="宋体" w:hAnsi="宋体"/>
          <w:b/>
          <w:bCs/>
          <w:szCs w:val="21"/>
        </w:rPr>
        <w:t>EDR要求</w:t>
      </w:r>
    </w:p>
    <w:tbl>
      <w:tblPr>
        <w:tblStyle w:val="63"/>
        <w:tblW w:w="5000" w:type="pct"/>
        <w:tblInd w:w="0" w:type="dxa"/>
        <w:tblLayout w:type="autofit"/>
        <w:tblCellMar>
          <w:top w:w="0" w:type="dxa"/>
          <w:left w:w="108" w:type="dxa"/>
          <w:bottom w:w="0" w:type="dxa"/>
          <w:right w:w="108" w:type="dxa"/>
        </w:tblCellMar>
      </w:tblPr>
      <w:tblGrid>
        <w:gridCol w:w="1354"/>
        <w:gridCol w:w="6333"/>
        <w:gridCol w:w="1599"/>
      </w:tblGrid>
      <w:tr>
        <w:tblPrEx>
          <w:tblCellMar>
            <w:top w:w="0" w:type="dxa"/>
            <w:left w:w="108" w:type="dxa"/>
            <w:bottom w:w="0" w:type="dxa"/>
            <w:right w:w="108" w:type="dxa"/>
          </w:tblCellMar>
        </w:tblPrEx>
        <w:trPr>
          <w:trHeight w:val="280" w:hRule="atLeast"/>
        </w:trPr>
        <w:tc>
          <w:tcPr>
            <w:tcW w:w="1354" w:type="dxa"/>
            <w:tcBorders>
              <w:top w:val="single" w:color="auto" w:sz="8"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指标项</w:t>
            </w:r>
          </w:p>
        </w:tc>
        <w:tc>
          <w:tcPr>
            <w:tcW w:w="6334" w:type="dxa"/>
            <w:tcBorders>
              <w:top w:val="single" w:color="auto" w:sz="8" w:space="0"/>
              <w:left w:val="nil"/>
              <w:bottom w:val="single" w:color="auto" w:sz="4" w:space="0"/>
              <w:right w:val="single" w:color="auto" w:sz="4" w:space="0"/>
            </w:tcBorders>
            <w:shd w:val="clear" w:color="auto" w:fill="FFFFFF"/>
            <w:noWrap w:val="0"/>
            <w:vAlign w:val="bottom"/>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技术参数</w:t>
            </w:r>
          </w:p>
        </w:tc>
        <w:tc>
          <w:tcPr>
            <w:tcW w:w="1599" w:type="dxa"/>
            <w:tcBorders>
              <w:top w:val="single" w:color="auto" w:sz="8" w:space="0"/>
              <w:left w:val="nil"/>
              <w:bottom w:val="single" w:color="auto" w:sz="4" w:space="0"/>
              <w:right w:val="single" w:color="auto" w:sz="4" w:space="0"/>
            </w:tcBorders>
            <w:shd w:val="clear" w:color="auto" w:fill="FFFFFF"/>
            <w:noWrap w:val="0"/>
            <w:vAlign w:val="bottom"/>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备注</w:t>
            </w:r>
          </w:p>
        </w:tc>
      </w:tr>
      <w:tr>
        <w:tblPrEx>
          <w:tblCellMar>
            <w:top w:w="0" w:type="dxa"/>
            <w:left w:w="108" w:type="dxa"/>
            <w:bottom w:w="0" w:type="dxa"/>
            <w:right w:w="108" w:type="dxa"/>
          </w:tblCellMar>
        </w:tblPrEx>
        <w:trPr>
          <w:trHeight w:val="280" w:hRule="atLeast"/>
        </w:trPr>
        <w:tc>
          <w:tcPr>
            <w:tcW w:w="1354" w:type="dxa"/>
            <w:vMerge w:val="restart"/>
            <w:tcBorders>
              <w:top w:val="single" w:color="auto" w:sz="8"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宋体" w:hAnsi="宋体" w:cs="宋体"/>
                <w:kern w:val="0"/>
              </w:rPr>
            </w:pPr>
            <w:r>
              <w:rPr>
                <w:rFonts w:hint="eastAsia" w:ascii="宋体" w:hAnsi="宋体" w:cs="宋体"/>
                <w:kern w:val="0"/>
              </w:rPr>
              <w:t>产品资质</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rPr>
              <w:t>★</w:t>
            </w:r>
            <w:r>
              <w:rPr>
                <w:rFonts w:hint="eastAsia" w:ascii="宋体" w:hAnsi="宋体" w:cs="宋体"/>
                <w:kern w:val="0"/>
              </w:rPr>
              <w:t>具备公安部颁发的《计算机信息系统安全专用产品销售许可证》</w:t>
            </w:r>
          </w:p>
        </w:tc>
        <w:tc>
          <w:tcPr>
            <w:tcW w:w="1599"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rPr>
              <w:t>★</w:t>
            </w:r>
            <w:r>
              <w:rPr>
                <w:rFonts w:hint="eastAsia" w:ascii="宋体" w:hAnsi="宋体" w:cs="宋体"/>
                <w:kern w:val="0"/>
              </w:rPr>
              <w:t>具备中国国家版权局颁布的《计算机软件著作权证书》</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584"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通过公安部信息安全产品检测中心检测并获得销售许可证书，提供证书复印件</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rPr>
              <w:t>★</w:t>
            </w:r>
            <w:r>
              <w:rPr>
                <w:rFonts w:hint="eastAsia" w:ascii="宋体" w:hAnsi="宋体" w:cs="宋体"/>
                <w:kern w:val="0"/>
              </w:rPr>
              <w:t>通过IPv6论坛IPv6 Ready Logo委员会认证并获得认证证书，提供证书复印件</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732" w:hRule="atLeast"/>
        </w:trPr>
        <w:tc>
          <w:tcPr>
            <w:tcW w:w="135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软件要求在中华人民共和国境内开发，具备自主知识产权，提供软件著作权登记证书复印件；</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基本要求</w:t>
            </w: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支持通过云安全管理平台自动化部署管理端，防护端通过软件代理的方式部署在主机上；</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支持的操作系统：Windows server 2003、Windows server 2008、Windows server 2012、Windows server 2016、win xp 、win 7、win 8、win 10、Centos 5.0 +、Redhat 5.0 + 、Suse11 +、Ubuntu 14 +等；</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性能监控</w:t>
            </w: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支持对防护资产的CPU使用率、内存使用率、磁盘使用情况、网络上下行流量进行性能监控，并支持对性能监控项设置阈值，达到阈值后告警；支持对CPU、内存达到一定阈值时客户端进行熔断。</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高级威胁防护模块</w:t>
            </w: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支持对本机的扩展行为（信息收集、权限提升）进行监测，防止提权行为和信息泄露</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识别渗透过程中的隧道代理（端口映射、端口转发、内网代理），可阻断隧道代理搭建行为</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识别渗透过程中的隧道代理（端口映射、端口转发、内网代理），可阻断隧道代理搭建行为</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识别渗透过程中的隧道代理（端口映射、端口转发、内网代理），可阻断隧道代理搭建行为</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可对渗透的收尾阶段的数据清除行为进行识别和阻断</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restart"/>
            <w:tcBorders>
              <w:top w:val="single" w:color="auto" w:sz="4" w:space="0"/>
              <w:left w:val="single" w:color="auto" w:sz="4" w:space="0"/>
              <w:bottom w:val="nil"/>
              <w:right w:val="single" w:color="auto" w:sz="4" w:space="0"/>
            </w:tcBorders>
            <w:noWrap/>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kern w:val="0"/>
              </w:rPr>
            </w:pPr>
            <w:r>
              <w:rPr>
                <w:rFonts w:hint="eastAsia" w:ascii="宋体" w:hAnsi="宋体" w:cs="宋体"/>
                <w:kern w:val="0"/>
              </w:rPr>
              <w:t>功能要求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支持占用系统资源低，网络版杀毒软件的客户端程序在监控状态占用系统资源CPU不高于3%，内存占用不超过30MB；</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ign w:val="bottom"/>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提供包括Web安装在内的多种安装方式，以适应大型网络的安装部署工作，而且要求采用Web安装过程中，可以不需要客户端进行任何干预；</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提供基于Web的B/S移动管理架构，管理员可以在网内任意一台计算机上通过web方式随时随地登录控制台实现全网管理，而勿须在实现该功能的客户机上安装特定的管理组件；</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支持文件实时监控，在进程启动、文件创建、存储介质连接时自动触发；</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支持自定义病毒处理方式，包括自动处理、记录、删除。优先对病毒文件进行修复，并且将修复前的病毒文件进行备份；</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提供专门的勒索风险评估功能。包括弱口令检测、系统漏洞检测、恶意进程检测、高危端口检测等能力；</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提供专门的挖矿实时防御工具，并提供功能开关；</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支持强力查杀，对于无法普通隔离的病毒文件强制停止进程并隔离或动态移除到删除队列；</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支持部分病毒感染文件的修复功能，对于二进制文件可剥离感染部分，保证应用正常使用；</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支持查杀映像劫持类型的病毒；</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支持对压缩文件、打包文件查、杀毒（默认支持9层压缩扫描，可根据客户需求增加扫描层数）；</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支持查杀各类Office文档中的宏病毒、夹带型木马；</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支持在线、离线病毒库升级；</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支持管理员通过控制台，集中地实现所有节点上防毒软件的监控、配置、查询等管理工作，包括Windows、Linux、虚拟化、移动端等系统上的防病毒软件。</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安全防护模块</w:t>
            </w:r>
          </w:p>
        </w:tc>
        <w:tc>
          <w:tcPr>
            <w:tcW w:w="6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kern w:val="0"/>
              </w:rPr>
              <w:t>支持防端口扫描，防违规外联，锁定恶意的端口扫描及外联行为，并记录告警</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kern w:val="0"/>
              </w:rPr>
              <w:t>违规外联支持黑、白名单双模式，白名单模式下可选择断开互联网模式，一键添加三类私有地址；黑名单模式可自定义IP，支持黑名单告警和阻断；</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kern w:val="0"/>
              </w:rPr>
              <w:t>支持网站防护，包括SQL注入、XSS、Web应用漏洞防护、访问控制、屏蔽扫描器等</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支持智能检测防御CC攻击，并可进行高、中、低三档设置。</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kern w:val="0"/>
              </w:rPr>
              <w:t>内核级防火墙（业务间流量东西向隔离）功能，包括IP、端口、协议、流向等细粒度权限控制</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kern w:val="0"/>
              </w:rPr>
              <w:t>支持流量画像，支持全网流量可视化、应用级流量可视化；支持威胁横向扩散路径可视化与一键阻断；支持违规外联路径可视化与一键阻断</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kern w:val="0"/>
              </w:rPr>
              <w:t>支持登录防护，包括以系统账号为粒度的异常登录防护、支持五个任意维度(任意地理位置，任意IP，任意域名，任意计算机名，任意时间)的系统登录访问策略设置。</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文件推送</w:t>
            </w:r>
          </w:p>
        </w:tc>
        <w:tc>
          <w:tcPr>
            <w:tcW w:w="6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支持下发文件、安装应用程序、远程执行命令</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CellMar>
            <w:top w:w="0" w:type="dxa"/>
            <w:left w:w="108" w:type="dxa"/>
            <w:bottom w:w="0" w:type="dxa"/>
            <w:right w:w="108" w:type="dxa"/>
          </w:tblCellMar>
        </w:tblPrEx>
        <w:trPr>
          <w:trHeight w:val="28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告警功能</w:t>
            </w:r>
          </w:p>
        </w:tc>
        <w:tc>
          <w:tcPr>
            <w:tcW w:w="6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告警类型包括：高级威胁、系统防护、网络防护、Web应用防护。</w:t>
            </w:r>
          </w:p>
        </w:tc>
        <w:tc>
          <w:tcPr>
            <w:tcW w:w="1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bl>
    <w:p>
      <w:pPr>
        <w:snapToGrid w:val="0"/>
        <w:ind w:firstLine="420"/>
        <w:rPr>
          <w:rFonts w:ascii="宋体" w:hAnsi="宋体"/>
          <w:color w:val="FF0000"/>
          <w:szCs w:val="21"/>
          <w:u w:val="wave"/>
        </w:rPr>
      </w:pPr>
    </w:p>
    <w:p>
      <w:pPr>
        <w:snapToGrid w:val="0"/>
        <w:rPr>
          <w:rFonts w:ascii="宋体" w:hAnsi="宋体"/>
          <w:b/>
          <w:szCs w:val="21"/>
        </w:rPr>
      </w:pPr>
      <w:r>
        <w:rPr>
          <w:rFonts w:hint="eastAsia" w:ascii="宋体" w:hAnsi="宋体"/>
          <w:b/>
          <w:szCs w:val="21"/>
        </w:rPr>
        <w:t>（三）</w:t>
      </w:r>
      <w:r>
        <w:rPr>
          <w:rFonts w:ascii="宋体" w:hAnsi="宋体"/>
          <w:b/>
          <w:szCs w:val="21"/>
        </w:rPr>
        <w:t>云数据库要求</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633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指标项</w:t>
            </w: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r>
              <w:rPr>
                <w:rFonts w:hint="eastAsia" w:ascii="宋体" w:hAnsi="宋体" w:cs="宋体"/>
              </w:rPr>
              <w:t>规格要求</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0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基本功能</w:t>
            </w: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基于高效的调度、备份、HA控制、在线迁移以及监控系统，为用户提供为专业的云数据库服务。</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支持关系型数据库的基本功能，并进行优化服务。</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云平台提供MsSqlserver、Mysql主流关系型数据库服务；云主机上可安装Oracle数据库。</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单数据库实例内存可达24G，IOPS可达12000次，并发连接数可达2000。</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MsSqlserver单数据库实例可创建的数据库数量达20个，用户数达20个。</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Mysql单数据库实例可创建的数据库数量达200个，用户数达50个。</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每份数据都保留两份并可实时切换。</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支持数据库在线升级、云内动态迁移、故障自动切换，实现业务秒级无缝切换，不中断用户服务。</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自动多重备份数据库，支持从备份文件创建临时实例，支持从备份文件恢复到实例，可下载备份文件，</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0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扩展功能</w:t>
            </w: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按需开通，即开即用，按需计费，为用户提供方便的Web管理界面。</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随着用户数和访问量的变化，可以弹性的调整数据库的规格，包含内存、连接数、IOPS、存储容量等，调整时服务不间断。</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提供数据导入、导出工具，方便用户进行数据迁移。</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提供完整的API接口、SDK开发包、文档说明。</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提供日志记录功能，包括错误日志、操作日志、访问日志等，可追查访问来源以及进行多维度的统计分析。</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安全性</w:t>
            </w: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支持IP授权访问。</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云服务端提供加密用户身份验证，提供不同的访问权限控制。</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hint="eastAsia" w:ascii="宋体" w:hAnsi="宋体" w:cs="宋体"/>
              </w:rPr>
            </w:pPr>
          </w:p>
        </w:tc>
        <w:tc>
          <w:tcPr>
            <w:tcW w:w="3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textAlignment w:val="auto"/>
              <w:rPr>
                <w:rFonts w:hint="eastAsia" w:ascii="宋体" w:hAnsi="宋体" w:cs="宋体"/>
              </w:rPr>
            </w:pPr>
            <w:r>
              <w:rPr>
                <w:rFonts w:hint="eastAsia" w:ascii="宋体" w:hAnsi="宋体" w:cs="宋体"/>
              </w:rPr>
              <w:t>提供数据库存储加密服务。</w:t>
            </w:r>
          </w:p>
        </w:tc>
        <w:tc>
          <w:tcPr>
            <w:tcW w:w="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40" w:leftChars="-19"/>
              <w:jc w:val="center"/>
              <w:textAlignment w:val="auto"/>
              <w:rPr>
                <w:rFonts w:hint="eastAsia" w:ascii="宋体" w:hAnsi="宋体" w:cs="宋体"/>
              </w:rPr>
            </w:pPr>
          </w:p>
        </w:tc>
      </w:tr>
    </w:tbl>
    <w:p>
      <w:pPr>
        <w:snapToGrid w:val="0"/>
        <w:ind w:firstLine="420"/>
        <w:rPr>
          <w:rFonts w:ascii="宋体" w:hAnsi="宋体"/>
          <w:szCs w:val="21"/>
        </w:rPr>
      </w:pPr>
    </w:p>
    <w:p>
      <w:pPr>
        <w:snapToGrid w:val="0"/>
        <w:rPr>
          <w:rFonts w:ascii="宋体" w:hAnsi="宋体"/>
          <w:b/>
          <w:szCs w:val="21"/>
        </w:rPr>
      </w:pPr>
      <w:r>
        <w:rPr>
          <w:rFonts w:hint="eastAsia" w:ascii="宋体" w:hAnsi="宋体"/>
          <w:b/>
          <w:szCs w:val="21"/>
        </w:rPr>
        <w:t>（四）云存储（对象存储）要求</w:t>
      </w:r>
    </w:p>
    <w:tbl>
      <w:tblPr>
        <w:tblStyle w:val="63"/>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13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指标项</w:t>
            </w: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r>
              <w:rPr>
                <w:rFonts w:hint="eastAsia" w:ascii="宋体" w:hAnsi="宋体" w:cs="宋体"/>
              </w:rPr>
              <w:t>规格要求</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50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基本功能</w:t>
            </w: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支持海量存储，文件数量无限制，容量按用户需求扩展。</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采用分布式存储，一份数据在不同的物理服务器上存三份备份。</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采用分布式存储系统，支持大规模强结构化数据存储，如SQL关系性数据库，单库容量可达1TB。</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采用分布式存储系统，支持大规模结构、半结构化数据存储，如NOSQL数据库,单表支持的存储空间可达100TB。</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0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扩展功能</w:t>
            </w: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提供存储对象的读、写、删除、拷贝、查找等基本功能。</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支持大存储对象的分片并发上传和下载，支持断点续传。</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提供易用的用户Web控制台文件管理界面，与更多第三方工具、插件，满足各种应用需求。</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提供完整的API接口、SDK开发包、文档说明。</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存储管理</w:t>
            </w: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支持将数据以对象方式进行存储，用户可以通过调用API以对象为单位操纵存储的数据，实现在任何应用、任何时间、任何地点上传和下载数据，也可以通过用户Web控制台对数据进行简单的管理。</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大文件支持</w:t>
            </w: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支持并配置分段上传大文件，单个分段最大5GB，最大分段数≥5000段。支持断点续传。</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hint="eastAsia" w:ascii="宋体" w:hAnsi="宋体" w:cs="宋体"/>
              </w:rPr>
            </w:pPr>
            <w:r>
              <w:rPr>
                <w:rFonts w:hint="eastAsia" w:ascii="宋体" w:hAnsi="宋体" w:cs="宋体"/>
              </w:rPr>
              <w:t>安全性</w:t>
            </w: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具备完善的多用户隔离机制，保障用户数据的私密性。</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c>
          <w:tcPr>
            <w:tcW w:w="6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left"/>
              <w:textAlignment w:val="auto"/>
              <w:rPr>
                <w:rFonts w:hint="eastAsia" w:ascii="宋体" w:hAnsi="宋体" w:cs="宋体"/>
              </w:rPr>
            </w:pPr>
            <w:r>
              <w:rPr>
                <w:rFonts w:hint="eastAsia" w:ascii="宋体" w:hAnsi="宋体" w:cs="宋体"/>
              </w:rPr>
              <w:t>云服务端提供加密用户身份验证，提供签名权限控制与防盗链功能。</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hint="eastAsia" w:ascii="宋体" w:hAnsi="宋体" w:cs="宋体"/>
              </w:rPr>
            </w:pPr>
          </w:p>
        </w:tc>
      </w:tr>
    </w:tbl>
    <w:p>
      <w:pPr>
        <w:snapToGrid w:val="0"/>
        <w:ind w:firstLine="422"/>
        <w:rPr>
          <w:rFonts w:ascii="宋体" w:hAnsi="宋体"/>
          <w:b/>
          <w:szCs w:val="21"/>
        </w:rPr>
      </w:pPr>
    </w:p>
    <w:p>
      <w:pPr>
        <w:snapToGrid w:val="0"/>
        <w:rPr>
          <w:rFonts w:ascii="宋体" w:hAnsi="宋体"/>
          <w:b/>
          <w:szCs w:val="21"/>
        </w:rPr>
      </w:pPr>
      <w:r>
        <w:rPr>
          <w:rFonts w:hint="eastAsia" w:ascii="宋体" w:hAnsi="宋体"/>
          <w:b/>
          <w:szCs w:val="21"/>
        </w:rPr>
        <w:t>（五）共享互联网出口</w:t>
      </w:r>
    </w:p>
    <w:p>
      <w:pPr>
        <w:pStyle w:val="256"/>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服务提供商必须保证政务云互联网出口不出现流量拥塞，在出口流量峰值达到90%时应立即安排出口带宽扩容。</w:t>
      </w:r>
    </w:p>
    <w:p>
      <w:pPr>
        <w:snapToGrid w:val="0"/>
        <w:rPr>
          <w:rFonts w:ascii="宋体" w:hAnsi="宋体"/>
          <w:b/>
          <w:szCs w:val="21"/>
        </w:rPr>
      </w:pPr>
      <w:r>
        <w:rPr>
          <w:rFonts w:hint="eastAsia" w:ascii="宋体" w:hAnsi="宋体"/>
          <w:b/>
          <w:szCs w:val="21"/>
        </w:rPr>
        <w:t>（六）</w:t>
      </w:r>
      <w:r>
        <w:rPr>
          <w:rFonts w:ascii="宋体" w:hAnsi="宋体"/>
          <w:b/>
          <w:szCs w:val="21"/>
        </w:rPr>
        <w:t>云负载均衡要求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023"/>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指标项</w:t>
            </w:r>
          </w:p>
        </w:tc>
        <w:tc>
          <w:tcPr>
            <w:tcW w:w="60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规格要求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安全稳定</w:t>
            </w:r>
          </w:p>
        </w:tc>
        <w:tc>
          <w:tcPr>
            <w:tcW w:w="60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采用分布式结构，具有高度的冗余和可靠性，可根据系统负载弹性扩容。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透明接入</w:t>
            </w:r>
          </w:p>
        </w:tc>
        <w:tc>
          <w:tcPr>
            <w:tcW w:w="60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提供4层和7层的负载均衡；Web和中间件服务器，无需更改配置即可透明接入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健康检查</w:t>
            </w:r>
          </w:p>
        </w:tc>
        <w:tc>
          <w:tcPr>
            <w:tcW w:w="60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可以按照指定规则进行健康检查，自动隔离异常状态云主机，并迅速将服务切换，服务切换时间秒级。</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会话保持</w:t>
            </w:r>
          </w:p>
        </w:tc>
        <w:tc>
          <w:tcPr>
            <w:tcW w:w="60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可以将用户和后台服务器绑定到同一会话，确保会话不中断。其中4层负载均衡可以设置连接持久时间。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权重转发</w:t>
            </w:r>
          </w:p>
        </w:tc>
        <w:tc>
          <w:tcPr>
            <w:tcW w:w="60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可根据后台云服务器的性能设置不同的转发权重，权重支持轮询，最小连接数转发等方式。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易用简单</w:t>
            </w:r>
          </w:p>
        </w:tc>
        <w:tc>
          <w:tcPr>
            <w:tcW w:w="60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提供API或控制台调用方式，可以随时开启，关闭负载均衡，立即生效，灵活简单。</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按需计费</w:t>
            </w:r>
          </w:p>
        </w:tc>
        <w:tc>
          <w:tcPr>
            <w:tcW w:w="60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支持按流量、使用时间进行计费。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bl>
    <w:p>
      <w:pPr>
        <w:pStyle w:val="4"/>
      </w:pPr>
      <w:r>
        <w:rPr>
          <w:rFonts w:hint="eastAsia"/>
        </w:rPr>
        <w:t>2、云应用服务要求</w:t>
      </w:r>
    </w:p>
    <w:p>
      <w:pPr>
        <w:snapToGrid w:val="0"/>
        <w:rPr>
          <w:rFonts w:ascii="宋体" w:hAnsi="宋体"/>
          <w:b/>
        </w:rPr>
      </w:pPr>
      <w:r>
        <w:rPr>
          <w:rFonts w:hint="eastAsia" w:ascii="宋体" w:hAnsi="宋体"/>
          <w:b/>
        </w:rPr>
        <w:t>（一）云管理服务要求</w:t>
      </w:r>
    </w:p>
    <w:p>
      <w:pPr>
        <w:snapToGrid w:val="0"/>
        <w:ind w:firstLine="420"/>
        <w:rPr>
          <w:rFonts w:hint="eastAsia" w:ascii="宋体" w:hAnsi="宋体"/>
          <w:sz w:val="24"/>
          <w:szCs w:val="24"/>
        </w:rPr>
      </w:pPr>
      <w:r>
        <w:rPr>
          <w:rFonts w:hint="eastAsia" w:ascii="宋体" w:hAnsi="宋体"/>
          <w:sz w:val="24"/>
          <w:szCs w:val="24"/>
        </w:rPr>
        <w:t>招标方将集中受理、审核政务用户的需求，并统一发布给云供应商；并集中管理政务用户云资源，实时监控云资源运行状况。云供应商应为招标方提供专用的综合管理平台，需求见下表：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6016"/>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功能项</w:t>
            </w:r>
          </w:p>
        </w:tc>
        <w:tc>
          <w:tcPr>
            <w:tcW w:w="6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rPr>
            </w:pPr>
            <w:r>
              <w:rPr>
                <w:rFonts w:hint="eastAsia" w:ascii="宋体" w:hAnsi="宋体" w:cs="宋体"/>
              </w:rPr>
              <w:t>规格要求</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审核管理需求</w:t>
            </w:r>
          </w:p>
        </w:tc>
        <w:tc>
          <w:tcPr>
            <w:tcW w:w="6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单位管理、用户管理、系统管理、申请审批流程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邮件、手机、短消息</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管理员需求</w:t>
            </w:r>
          </w:p>
        </w:tc>
        <w:tc>
          <w:tcPr>
            <w:tcW w:w="6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rPr>
            </w:pPr>
            <w:r>
              <w:rPr>
                <w:rFonts w:hint="eastAsia" w:ascii="宋体" w:hAnsi="宋体" w:cs="宋体"/>
              </w:rPr>
              <w:t>开通管理、登录管理、日志管理、统计报表、用户管理、云主机管理、系统重装、快照管理、系统镜像管理、安全组管理、工单管理、计费管理、产品管理、云主机迁移、负载均衡管理、云数据库管理、事件历史管理</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普通用户需求</w:t>
            </w:r>
          </w:p>
        </w:tc>
        <w:tc>
          <w:tcPr>
            <w:tcW w:w="6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rPr>
            </w:pPr>
            <w:r>
              <w:rPr>
                <w:rFonts w:hint="eastAsia" w:ascii="宋体" w:hAnsi="宋体" w:cs="宋体"/>
              </w:rPr>
              <w:t>用户管理、手机绑定、日志管理、云主机管理、安全组管理、工单管理、快照管理、监控管理、告警管理、事件历史管理</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运维人员需求</w:t>
            </w:r>
          </w:p>
        </w:tc>
        <w:tc>
          <w:tcPr>
            <w:tcW w:w="6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监控管理、告警管理、故障管理、云主机管理、云主机迁移、变更管理、事件历史管理</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资源管理需求</w:t>
            </w:r>
          </w:p>
        </w:tc>
        <w:tc>
          <w:tcPr>
            <w:tcW w:w="6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云产品物理资源管理、云产品逻辑资源管理、云产品虚拟资源管理、资源利用统计</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监控需求</w:t>
            </w:r>
          </w:p>
        </w:tc>
        <w:tc>
          <w:tcPr>
            <w:tcW w:w="6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r>
              <w:rPr>
                <w:rFonts w:hint="eastAsia" w:ascii="宋体" w:hAnsi="宋体" w:cs="宋体"/>
              </w:rPr>
              <w:t>日志管理、统计报表、监控管理、事件历史管理</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rPr>
            </w:pPr>
          </w:p>
        </w:tc>
      </w:tr>
    </w:tbl>
    <w:p>
      <w:pPr>
        <w:snapToGrid w:val="0"/>
        <w:ind w:firstLine="420"/>
        <w:jc w:val="center"/>
        <w:rPr>
          <w:rFonts w:hint="eastAsia" w:ascii="宋体" w:hAnsi="宋体"/>
        </w:rPr>
      </w:pPr>
    </w:p>
    <w:p>
      <w:pPr>
        <w:snapToGrid w:val="0"/>
        <w:rPr>
          <w:rFonts w:hint="eastAsia" w:ascii="宋体" w:hAnsi="宋体" w:cs="宋体"/>
          <w:b/>
        </w:rPr>
      </w:pPr>
      <w:r>
        <w:rPr>
          <w:rFonts w:hint="eastAsia" w:ascii="宋体" w:hAnsi="宋体" w:cs="宋体"/>
          <w:b/>
        </w:rPr>
        <w:t>（二）云备份服务要求（数据库备份与恢复）</w:t>
      </w:r>
    </w:p>
    <w:p>
      <w:pPr>
        <w:keepNext w:val="0"/>
        <w:keepLines w:val="0"/>
        <w:pageBreakBefore w:val="0"/>
        <w:widowControl w:val="0"/>
        <w:numPr>
          <w:ilvl w:val="1"/>
          <w:numId w:val="4"/>
        </w:numPr>
        <w:tabs>
          <w:tab w:val="clear" w:pos="1282"/>
        </w:tabs>
        <w:kinsoku/>
        <w:wordWrap/>
        <w:overflowPunct/>
        <w:topLinePunct w:val="0"/>
        <w:autoSpaceDE/>
        <w:autoSpaceDN/>
        <w:bidi w:val="0"/>
        <w:adjustRightInd w:val="0"/>
        <w:snapToGrid w:val="0"/>
        <w:spacing w:line="360" w:lineRule="auto"/>
        <w:ind w:left="0" w:firstLine="420"/>
        <w:textAlignment w:val="auto"/>
        <w:rPr>
          <w:rFonts w:hint="eastAsia" w:ascii="宋体" w:hAnsi="宋体" w:cs="宋体"/>
          <w:sz w:val="24"/>
          <w:szCs w:val="32"/>
        </w:rPr>
      </w:pPr>
      <w:r>
        <w:rPr>
          <w:rFonts w:hint="eastAsia" w:ascii="宋体" w:hAnsi="宋体" w:cs="宋体"/>
          <w:sz w:val="24"/>
          <w:szCs w:val="32"/>
        </w:rPr>
        <w:t>要求采用B/S的管理和使用架构，备份管理、恢复管理、远程复制管理、用户及权限管理等均在一个管理界面内，中文界面，基于WEB管理模式，易于管理与维护。</w:t>
      </w:r>
    </w:p>
    <w:p>
      <w:pPr>
        <w:keepNext w:val="0"/>
        <w:keepLines w:val="0"/>
        <w:pageBreakBefore w:val="0"/>
        <w:widowControl w:val="0"/>
        <w:numPr>
          <w:ilvl w:val="1"/>
          <w:numId w:val="4"/>
        </w:numPr>
        <w:tabs>
          <w:tab w:val="clear" w:pos="1282"/>
        </w:tabs>
        <w:kinsoku/>
        <w:wordWrap/>
        <w:overflowPunct/>
        <w:topLinePunct w:val="0"/>
        <w:autoSpaceDE/>
        <w:autoSpaceDN/>
        <w:bidi w:val="0"/>
        <w:adjustRightInd w:val="0"/>
        <w:snapToGrid w:val="0"/>
        <w:spacing w:line="360" w:lineRule="auto"/>
        <w:ind w:left="0" w:firstLine="420"/>
        <w:textAlignment w:val="auto"/>
        <w:rPr>
          <w:rFonts w:hint="eastAsia" w:ascii="宋体" w:hAnsi="宋体" w:cs="宋体"/>
          <w:sz w:val="24"/>
          <w:szCs w:val="32"/>
        </w:rPr>
      </w:pPr>
      <w:r>
        <w:rPr>
          <w:rFonts w:hint="eastAsia" w:ascii="宋体" w:hAnsi="宋体" w:cs="宋体"/>
          <w:sz w:val="24"/>
          <w:szCs w:val="32"/>
        </w:rPr>
        <w:t>支持多任务的时间计划，具有独立的存储空间（与云平台存储相隔离）。</w:t>
      </w:r>
    </w:p>
    <w:p>
      <w:pPr>
        <w:keepNext w:val="0"/>
        <w:keepLines w:val="0"/>
        <w:pageBreakBefore w:val="0"/>
        <w:widowControl w:val="0"/>
        <w:numPr>
          <w:ilvl w:val="1"/>
          <w:numId w:val="4"/>
        </w:numPr>
        <w:tabs>
          <w:tab w:val="clear" w:pos="1282"/>
        </w:tabs>
        <w:kinsoku/>
        <w:wordWrap/>
        <w:overflowPunct/>
        <w:topLinePunct w:val="0"/>
        <w:autoSpaceDE/>
        <w:autoSpaceDN/>
        <w:bidi w:val="0"/>
        <w:adjustRightInd w:val="0"/>
        <w:snapToGrid w:val="0"/>
        <w:spacing w:line="360" w:lineRule="auto"/>
        <w:ind w:left="0" w:firstLine="420"/>
        <w:textAlignment w:val="auto"/>
        <w:rPr>
          <w:rFonts w:hint="eastAsia" w:ascii="宋体" w:hAnsi="宋体" w:cs="宋体"/>
          <w:sz w:val="24"/>
          <w:szCs w:val="32"/>
        </w:rPr>
      </w:pPr>
      <w:r>
        <w:rPr>
          <w:rFonts w:hint="eastAsia" w:ascii="宋体" w:hAnsi="宋体" w:cs="宋体"/>
          <w:sz w:val="24"/>
          <w:szCs w:val="32"/>
        </w:rPr>
        <w:t>支持对SQL Server、Oracle、Sybase、Exchange Server、Lotus Domino、DB2、MySQL、AD等主流应用进行在线备份保护。</w:t>
      </w:r>
    </w:p>
    <w:p>
      <w:pPr>
        <w:keepNext w:val="0"/>
        <w:keepLines w:val="0"/>
        <w:pageBreakBefore w:val="0"/>
        <w:widowControl w:val="0"/>
        <w:numPr>
          <w:ilvl w:val="1"/>
          <w:numId w:val="4"/>
        </w:numPr>
        <w:tabs>
          <w:tab w:val="clear" w:pos="1282"/>
        </w:tabs>
        <w:kinsoku/>
        <w:wordWrap/>
        <w:overflowPunct/>
        <w:topLinePunct w:val="0"/>
        <w:autoSpaceDE/>
        <w:autoSpaceDN/>
        <w:bidi w:val="0"/>
        <w:adjustRightInd w:val="0"/>
        <w:snapToGrid w:val="0"/>
        <w:spacing w:line="360" w:lineRule="auto"/>
        <w:ind w:left="0" w:firstLine="420"/>
        <w:textAlignment w:val="auto"/>
        <w:rPr>
          <w:rFonts w:hint="eastAsia" w:ascii="宋体" w:hAnsi="宋体" w:cs="宋体"/>
          <w:sz w:val="24"/>
          <w:szCs w:val="32"/>
        </w:rPr>
      </w:pPr>
      <w:r>
        <w:rPr>
          <w:rFonts w:hint="eastAsia" w:ascii="宋体" w:hAnsi="宋体" w:cs="宋体"/>
          <w:sz w:val="24"/>
          <w:szCs w:val="32"/>
        </w:rPr>
        <w:t>具备管理员和审计管理员双管理员角色，同时和业务系统嵌入后，保持和备份系统的权限独立。审计管理员则可以进行备份内容审计、备份系统安全性审计和备份行为审计，以保证备份的安全性。</w:t>
      </w:r>
    </w:p>
    <w:p>
      <w:pPr>
        <w:keepNext w:val="0"/>
        <w:keepLines w:val="0"/>
        <w:pageBreakBefore w:val="0"/>
        <w:widowControl w:val="0"/>
        <w:numPr>
          <w:ilvl w:val="1"/>
          <w:numId w:val="4"/>
        </w:numPr>
        <w:tabs>
          <w:tab w:val="clear" w:pos="1282"/>
        </w:tabs>
        <w:kinsoku/>
        <w:wordWrap/>
        <w:overflowPunct/>
        <w:topLinePunct w:val="0"/>
        <w:autoSpaceDE/>
        <w:autoSpaceDN/>
        <w:bidi w:val="0"/>
        <w:adjustRightInd w:val="0"/>
        <w:snapToGrid w:val="0"/>
        <w:spacing w:line="360" w:lineRule="auto"/>
        <w:ind w:left="0" w:firstLine="420"/>
        <w:textAlignment w:val="auto"/>
        <w:rPr>
          <w:rFonts w:hint="eastAsia" w:ascii="宋体" w:hAnsi="宋体" w:cs="宋体"/>
          <w:sz w:val="24"/>
          <w:szCs w:val="32"/>
        </w:rPr>
      </w:pPr>
      <w:r>
        <w:rPr>
          <w:rFonts w:hint="eastAsia" w:ascii="宋体" w:hAnsi="宋体" w:cs="宋体"/>
          <w:sz w:val="24"/>
          <w:szCs w:val="32"/>
        </w:rPr>
        <w:t>支持Oracle数据库任意时间点恢复功能，在Oracle（支持单机、双机和RAC架构）数据库恢复时，可以将数据库恢复至备份数据保留周期内任意一秒钟，所有操作包括时间的指定均图形化实现，无需任何的人工脚本干预，在无需专业人员操作的情况下，大幅提高数据恢复的时间精度，降低数据丢失量。</w:t>
      </w:r>
    </w:p>
    <w:p>
      <w:pPr>
        <w:keepNext w:val="0"/>
        <w:keepLines w:val="0"/>
        <w:pageBreakBefore w:val="0"/>
        <w:widowControl w:val="0"/>
        <w:numPr>
          <w:ilvl w:val="1"/>
          <w:numId w:val="4"/>
        </w:numPr>
        <w:tabs>
          <w:tab w:val="clear" w:pos="1282"/>
        </w:tabs>
        <w:kinsoku/>
        <w:wordWrap/>
        <w:overflowPunct/>
        <w:topLinePunct w:val="0"/>
        <w:autoSpaceDE/>
        <w:autoSpaceDN/>
        <w:bidi w:val="0"/>
        <w:adjustRightInd w:val="0"/>
        <w:snapToGrid w:val="0"/>
        <w:spacing w:line="360" w:lineRule="auto"/>
        <w:ind w:left="0" w:firstLine="420"/>
        <w:textAlignment w:val="auto"/>
        <w:rPr>
          <w:rFonts w:hint="eastAsia" w:ascii="宋体" w:hAnsi="宋体" w:cs="宋体"/>
          <w:sz w:val="24"/>
          <w:szCs w:val="32"/>
        </w:rPr>
      </w:pPr>
      <w:r>
        <w:rPr>
          <w:rFonts w:hint="eastAsia" w:ascii="宋体" w:hAnsi="宋体" w:cs="宋体"/>
          <w:sz w:val="24"/>
          <w:szCs w:val="32"/>
        </w:rPr>
        <w:t>支持异地备份数据的安全管理机制，异地备份存储系统需要得到本地授权许可后，才可以浏览、恢复本地传输过去的备份数据，最大限度避免备份数据的泄密可能。</w:t>
      </w:r>
    </w:p>
    <w:p>
      <w:pPr>
        <w:pStyle w:val="4"/>
      </w:pPr>
      <w:r>
        <w:rPr>
          <w:rFonts w:hint="eastAsia"/>
        </w:rPr>
        <w:t>3、云安全服务要求</w:t>
      </w:r>
    </w:p>
    <w:p>
      <w:pPr>
        <w:snapToGrid w:val="0"/>
        <w:rPr>
          <w:rFonts w:ascii="宋体" w:hAnsi="宋体"/>
          <w:b/>
        </w:rPr>
      </w:pPr>
      <w:r>
        <w:rPr>
          <w:rFonts w:hint="eastAsia" w:ascii="宋体" w:hAnsi="宋体"/>
          <w:b/>
        </w:rPr>
        <w:t>（一）统一基础云安全服务要求</w:t>
      </w:r>
    </w:p>
    <w:p>
      <w:pPr>
        <w:numPr>
          <w:ilvl w:val="0"/>
          <w:numId w:val="5"/>
        </w:numPr>
        <w:tabs>
          <w:tab w:val="clear" w:pos="1282"/>
        </w:tabs>
        <w:snapToGrid w:val="0"/>
        <w:ind w:left="0" w:firstLine="424" w:firstLineChars="202"/>
        <w:rPr>
          <w:rFonts w:ascii="宋体" w:hAnsi="宋体"/>
        </w:rPr>
      </w:pPr>
      <w:r>
        <w:rPr>
          <w:rFonts w:hint="eastAsia" w:ascii="宋体" w:hAnsi="宋体"/>
        </w:rPr>
        <w:t>漏洞扫描</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6123"/>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项目</w:t>
            </w:r>
          </w:p>
        </w:tc>
        <w:tc>
          <w:tcPr>
            <w:tcW w:w="6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要求</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firstLine="420"/>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漏洞扫描</w:t>
            </w:r>
          </w:p>
        </w:tc>
        <w:tc>
          <w:tcPr>
            <w:tcW w:w="6124"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提供网站漏洞扫描系统，可扫描的漏洞类型包括</w:t>
            </w:r>
            <w:r>
              <w:rPr>
                <w:rFonts w:ascii="宋体" w:hAnsi="宋体"/>
              </w:rPr>
              <w:t>OWASP、WASC、CNVD等。</w:t>
            </w:r>
            <w:r>
              <w:rPr>
                <w:rFonts w:hint="eastAsia" w:ascii="宋体" w:hAnsi="宋体"/>
              </w:rPr>
              <w:t>支持恶意篡改检测，支持</w:t>
            </w:r>
            <w:r>
              <w:rPr>
                <w:rFonts w:ascii="宋体" w:hAnsi="宋体"/>
              </w:rPr>
              <w:t>Web2.0、AJAX、各种脚本语言、PHP、ASP、.NET 和 Java 等环境，支持复杂字符编码、chunk,gzip,deflate等压缩方式、多种认证方式（Basic、NTLM、Cookie、SSL 等），支持代理、HTTPS 、DNS绑定扫描等。</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olor w:val="FF0000"/>
              </w:rPr>
            </w:pPr>
            <w:r>
              <w:rPr>
                <w:rFonts w:hint="eastAsia" w:ascii="宋体" w:hAnsi="宋体"/>
              </w:rPr>
              <w:t>仪表盘功能，直观展示最近</w:t>
            </w:r>
            <w:r>
              <w:rPr>
                <w:rFonts w:ascii="宋体" w:hAnsi="宋体"/>
              </w:rPr>
              <w:t>10天整体风险等级、最近10天扫描站点列表、最近30天危险站点TOP10等内容</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能够扫描主流虚拟机管理系统的安全漏洞，如：</w:t>
            </w:r>
            <w:r>
              <w:rPr>
                <w:rFonts w:ascii="宋体" w:hAnsi="宋体"/>
              </w:rPr>
              <w:t>VMWare ESX/ESXi，要求能够扫描大于300条相关漏洞，并提供详细的漏洞列表</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漏洞知识库漏洞信息大于</w:t>
            </w:r>
            <w:r>
              <w:rPr>
                <w:rFonts w:ascii="宋体" w:hAnsi="宋体"/>
              </w:rPr>
              <w:t>15000条，兼容CVE、CNCVE、CNNVD、CNVD、Bugtraq等主流标准</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系统内置</w:t>
            </w:r>
            <w:r>
              <w:rPr>
                <w:rFonts w:ascii="宋体" w:hAnsi="宋体"/>
              </w:rPr>
              <w:t>Exploit DB漏洞、Metasploit漏洞、Exploit Pack漏洞检测模板</w:t>
            </w:r>
          </w:p>
        </w:tc>
        <w:tc>
          <w:tcPr>
            <w:tcW w:w="165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firstLine="420"/>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textAlignment w:val="auto"/>
              <w:rPr>
                <w:rFonts w:ascii="宋体" w:hAnsi="宋体"/>
              </w:rPr>
            </w:pPr>
            <w:r>
              <w:rPr>
                <w:rFonts w:hint="eastAsia" w:ascii="宋体" w:hAnsi="宋体"/>
              </w:rPr>
              <w:t>服务要求</w:t>
            </w:r>
          </w:p>
        </w:tc>
        <w:tc>
          <w:tcPr>
            <w:tcW w:w="6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每月进行一次全面漏洞扫描，并向政务云平台租户提供漏洞分析报告和修复建议。网络安保重点时期可根据采购方要求，适当增加扫描频次和范围。</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firstLine="420"/>
              <w:jc w:val="center"/>
              <w:textAlignment w:val="auto"/>
              <w:rPr>
                <w:rFonts w:ascii="宋体" w:hAnsi="宋体"/>
              </w:rPr>
            </w:pPr>
          </w:p>
        </w:tc>
      </w:tr>
    </w:tbl>
    <w:p>
      <w:pPr>
        <w:snapToGrid w:val="0"/>
        <w:ind w:left="1282" w:firstLine="420"/>
        <w:rPr>
          <w:rFonts w:ascii="宋体" w:hAnsi="宋体"/>
          <w:szCs w:val="21"/>
        </w:rPr>
      </w:pPr>
    </w:p>
    <w:p>
      <w:pPr>
        <w:numPr>
          <w:ilvl w:val="0"/>
          <w:numId w:val="5"/>
        </w:numPr>
        <w:tabs>
          <w:tab w:val="clear" w:pos="1282"/>
        </w:tabs>
        <w:snapToGrid w:val="0"/>
        <w:ind w:left="0" w:firstLine="420"/>
        <w:rPr>
          <w:rFonts w:ascii="宋体" w:hAnsi="宋体"/>
        </w:rPr>
      </w:pPr>
      <w:r>
        <w:rPr>
          <w:rFonts w:hint="eastAsia" w:ascii="宋体" w:hAnsi="宋体"/>
        </w:rPr>
        <w:t>入侵防御</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105"/>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项目</w:t>
            </w:r>
          </w:p>
        </w:tc>
        <w:tc>
          <w:tcPr>
            <w:tcW w:w="4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要求</w:t>
            </w:r>
          </w:p>
        </w:tc>
        <w:tc>
          <w:tcPr>
            <w:tcW w:w="2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9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入侵防御</w:t>
            </w:r>
          </w:p>
        </w:tc>
        <w:tc>
          <w:tcPr>
            <w:tcW w:w="4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防护对象</w:t>
            </w:r>
            <w:r>
              <w:rPr>
                <w:rFonts w:ascii="宋体" w:hAnsi="宋体"/>
              </w:rPr>
              <w:t xml:space="preserve"> 支持以下两种防护对象：自定义防护对象 </w:t>
            </w:r>
            <w:r>
              <w:rPr>
                <w:rFonts w:hint="eastAsia" w:ascii="宋体" w:hAnsi="宋体"/>
              </w:rPr>
              <w:t>默认防护对象</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rPr>
            </w:pPr>
            <w:r>
              <w:rPr>
                <w:rFonts w:ascii="宋体" w:hAnsi="宋体"/>
              </w:rPr>
              <w:t>引流支持以下两种方式：策略路由引流 BGP引流</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防御模式</w:t>
            </w:r>
            <w:r>
              <w:rPr>
                <w:rFonts w:ascii="宋体" w:hAnsi="宋体"/>
              </w:rPr>
              <w:t xml:space="preserve"> 防御模式支持以下几种方式：自动 手动 不防御</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白名单支持以下几种方式：全局白名单</w:t>
            </w:r>
            <w:r>
              <w:rPr>
                <w:rFonts w:ascii="宋体" w:hAnsi="宋体"/>
              </w:rPr>
              <w:t xml:space="preserve"> 防护对象白名单</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黑名单</w:t>
            </w:r>
            <w:r>
              <w:rPr>
                <w:rFonts w:ascii="宋体" w:hAnsi="宋体"/>
              </w:rPr>
              <w:t xml:space="preserve"> 黑名单支持以下几种方式：全局黑名单 接口板黑名单 防护对象黑名单</w:t>
            </w:r>
          </w:p>
        </w:tc>
        <w:tc>
          <w:tcPr>
            <w:tcW w:w="2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6"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ascii="宋体" w:hAnsi="宋体"/>
              </w:rPr>
            </w:pPr>
          </w:p>
        </w:tc>
        <w:tc>
          <w:tcPr>
            <w:tcW w:w="4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ascii="宋体" w:hAnsi="宋体"/>
              </w:rPr>
              <w:t xml:space="preserve">回注支持以下几种方式：二层回注 </w:t>
            </w:r>
            <w:r>
              <w:rPr>
                <w:rFonts w:hint="eastAsia" w:ascii="宋体" w:hAnsi="宋体"/>
              </w:rPr>
              <w:t>静态路由回注</w:t>
            </w:r>
            <w:r>
              <w:rPr>
                <w:rFonts w:ascii="宋体" w:hAnsi="宋体"/>
              </w:rPr>
              <w:t xml:space="preserve"> </w:t>
            </w:r>
            <w:r>
              <w:rPr>
                <w:rFonts w:hint="eastAsia" w:ascii="宋体" w:hAnsi="宋体"/>
              </w:rPr>
              <w:t>策略路由回注</w:t>
            </w:r>
            <w:r>
              <w:rPr>
                <w:rFonts w:ascii="宋体" w:hAnsi="宋体"/>
              </w:rPr>
              <w:t xml:space="preserve"> GRE回注 MPLS LSP回注 MPLS VPN回注</w:t>
            </w:r>
          </w:p>
        </w:tc>
        <w:tc>
          <w:tcPr>
            <w:tcW w:w="2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96"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ascii="宋体" w:hAnsi="宋体"/>
              </w:rPr>
            </w:pPr>
          </w:p>
        </w:tc>
        <w:tc>
          <w:tcPr>
            <w:tcW w:w="4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基于接口的防御策略</w:t>
            </w:r>
            <w:r>
              <w:rPr>
                <w:rFonts w:ascii="宋体" w:hAnsi="宋体"/>
              </w:rPr>
              <w:t xml:space="preserve"> 支持的基于接口的防御类型包括以下几种攻击：SYN Flood SYN-ACK Flood ACK Flood RST Flood  TCP-abnormal Flood TCP Fragment Flood UDP Flood UDP Fragment Flood ICMP Flood DNS Request Flood DNS Reply Flood HTTP Flood SIP Flood</w:t>
            </w:r>
          </w:p>
        </w:tc>
        <w:tc>
          <w:tcPr>
            <w:tcW w:w="2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96"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textAlignment w:val="auto"/>
              <w:rPr>
                <w:rFonts w:ascii="宋体" w:hAnsi="宋体"/>
              </w:rPr>
            </w:pPr>
            <w:r>
              <w:rPr>
                <w:rFonts w:hint="eastAsia" w:ascii="宋体" w:hAnsi="宋体"/>
              </w:rPr>
              <w:t>服务要求</w:t>
            </w:r>
          </w:p>
        </w:tc>
        <w:tc>
          <w:tcPr>
            <w:tcW w:w="4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部署在政务云平台边界，对全流量进行清洗分析，含运维管理服务，安排专人定期巡检和分析日志，及时向政务云平台采购方和租户通报入侵防御重要安全风险事件，并协助租户按需完成策略调整与优化。</w:t>
            </w:r>
          </w:p>
        </w:tc>
        <w:tc>
          <w:tcPr>
            <w:tcW w:w="2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bl>
    <w:p>
      <w:pPr>
        <w:snapToGrid w:val="0"/>
        <w:ind w:firstLine="420"/>
        <w:rPr>
          <w:rFonts w:ascii="宋体" w:hAnsi="宋体"/>
          <w:szCs w:val="21"/>
        </w:rPr>
      </w:pPr>
    </w:p>
    <w:p>
      <w:pPr>
        <w:numPr>
          <w:ilvl w:val="0"/>
          <w:numId w:val="5"/>
        </w:numPr>
        <w:tabs>
          <w:tab w:val="clear" w:pos="1282"/>
        </w:tabs>
        <w:snapToGrid w:val="0"/>
        <w:ind w:left="0" w:firstLine="420"/>
        <w:rPr>
          <w:rFonts w:ascii="宋体" w:hAnsi="宋体"/>
          <w:szCs w:val="21"/>
        </w:rPr>
      </w:pPr>
      <w:r>
        <w:rPr>
          <w:rFonts w:hint="eastAsia" w:ascii="宋体" w:hAnsi="宋体"/>
          <w:szCs w:val="21"/>
        </w:rPr>
        <w:t>防DDOS攻击</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030"/>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项目</w:t>
            </w:r>
          </w:p>
        </w:tc>
        <w:tc>
          <w:tcPr>
            <w:tcW w:w="43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要求</w:t>
            </w:r>
          </w:p>
        </w:tc>
        <w:tc>
          <w:tcPr>
            <w:tcW w:w="2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kern w:val="0"/>
              </w:rPr>
              <w:t>防DDOS</w:t>
            </w:r>
          </w:p>
        </w:tc>
        <w:tc>
          <w:tcPr>
            <w:tcW w:w="43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在网络边界部署。</w:t>
            </w:r>
          </w:p>
        </w:tc>
        <w:tc>
          <w:tcPr>
            <w:tcW w:w="2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ascii="宋体" w:hAnsi="宋体"/>
              </w:rPr>
            </w:pPr>
          </w:p>
        </w:tc>
        <w:tc>
          <w:tcPr>
            <w:tcW w:w="43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支持支持</w:t>
            </w:r>
            <w:r>
              <w:rPr>
                <w:rFonts w:ascii="宋体" w:hAnsi="宋体"/>
              </w:rPr>
              <w:t>10G的清理能力</w:t>
            </w:r>
            <w:r>
              <w:rPr>
                <w:rFonts w:hint="eastAsia" w:ascii="宋体" w:hAnsi="宋体"/>
              </w:rPr>
              <w:t>，可以准确识别正常流量，清洗各类异常流量，包括流量型攻击、应用层攻击、扫描窥探型攻击及畸形包攻击。</w:t>
            </w:r>
          </w:p>
        </w:tc>
        <w:tc>
          <w:tcPr>
            <w:tcW w:w="2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jc w:val="center"/>
              <w:textAlignment w:val="auto"/>
              <w:rPr>
                <w:rFonts w:ascii="宋体" w:hAnsi="宋体"/>
              </w:rPr>
            </w:pPr>
          </w:p>
        </w:tc>
        <w:tc>
          <w:tcPr>
            <w:tcW w:w="43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单台设备同时支持检测与清洗功能。</w:t>
            </w:r>
          </w:p>
        </w:tc>
        <w:tc>
          <w:tcPr>
            <w:tcW w:w="2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before="100" w:beforeAutospacing="1" w:after="100" w:afterAutospacing="1" w:line="360" w:lineRule="auto"/>
              <w:textAlignment w:val="auto"/>
              <w:rPr>
                <w:rFonts w:ascii="宋体" w:hAnsi="宋体"/>
              </w:rPr>
            </w:pPr>
            <w:r>
              <w:rPr>
                <w:rFonts w:hint="eastAsia" w:ascii="宋体" w:hAnsi="宋体"/>
              </w:rPr>
              <w:t>服务要求</w:t>
            </w:r>
          </w:p>
        </w:tc>
        <w:tc>
          <w:tcPr>
            <w:tcW w:w="43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textAlignment w:val="auto"/>
              <w:rPr>
                <w:rFonts w:ascii="宋体" w:hAnsi="宋体"/>
              </w:rPr>
            </w:pPr>
            <w:r>
              <w:rPr>
                <w:rFonts w:hint="eastAsia" w:ascii="宋体" w:hAnsi="宋体"/>
              </w:rPr>
              <w:t>部署在政务云平台边界，对全流量进行清洗分析，含运维管理服务，安排专人定期巡检和分析日志，及时向政务云平台采购方和租户通报重要安全风险事件。</w:t>
            </w:r>
          </w:p>
        </w:tc>
        <w:tc>
          <w:tcPr>
            <w:tcW w:w="2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jc w:val="center"/>
              <w:textAlignment w:val="auto"/>
              <w:rPr>
                <w:rFonts w:ascii="宋体" w:hAnsi="宋体"/>
              </w:rPr>
            </w:pPr>
          </w:p>
        </w:tc>
      </w:tr>
    </w:tbl>
    <w:p>
      <w:pPr>
        <w:snapToGrid w:val="0"/>
        <w:ind w:left="862" w:firstLine="422"/>
        <w:rPr>
          <w:rFonts w:ascii="宋体" w:hAnsi="宋体"/>
          <w:b/>
          <w:szCs w:val="21"/>
        </w:rPr>
      </w:pPr>
    </w:p>
    <w:p>
      <w:pPr>
        <w:snapToGrid w:val="0"/>
        <w:rPr>
          <w:rFonts w:ascii="宋体" w:hAnsi="宋体"/>
          <w:b/>
        </w:rPr>
      </w:pPr>
      <w:r>
        <w:rPr>
          <w:rFonts w:hint="eastAsia" w:ascii="宋体" w:hAnsi="宋体"/>
          <w:b/>
        </w:rPr>
        <w:t>（二）共享云安全服务要求</w:t>
      </w:r>
    </w:p>
    <w:p>
      <w:pPr>
        <w:keepNext w:val="0"/>
        <w:keepLines w:val="0"/>
        <w:pageBreakBefore w:val="0"/>
        <w:widowControl w:val="0"/>
        <w:numPr>
          <w:ilvl w:val="0"/>
          <w:numId w:val="6"/>
        </w:numPr>
        <w:tabs>
          <w:tab w:val="clear" w:pos="1282"/>
        </w:tabs>
        <w:kinsoku/>
        <w:wordWrap/>
        <w:overflowPunct/>
        <w:topLinePunct w:val="0"/>
        <w:autoSpaceDE/>
        <w:autoSpaceDN/>
        <w:bidi w:val="0"/>
        <w:adjustRightInd w:val="0"/>
        <w:snapToGrid w:val="0"/>
        <w:spacing w:line="360" w:lineRule="auto"/>
        <w:ind w:left="0" w:firstLine="420"/>
        <w:textAlignment w:val="auto"/>
        <w:rPr>
          <w:rFonts w:ascii="宋体" w:hAnsi="宋体"/>
          <w:sz w:val="24"/>
          <w:szCs w:val="32"/>
        </w:rPr>
      </w:pPr>
      <w:r>
        <w:rPr>
          <w:rFonts w:hint="eastAsia" w:ascii="宋体" w:hAnsi="宋体"/>
          <w:sz w:val="24"/>
          <w:szCs w:val="32"/>
        </w:rPr>
        <w:t>云杀毒</w:t>
      </w:r>
    </w:p>
    <w:p>
      <w:pPr>
        <w:pStyle w:val="256"/>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firstLine="426" w:firstLineChars="0"/>
        <w:textAlignment w:val="auto"/>
        <w:rPr>
          <w:rFonts w:ascii="宋体" w:hAnsi="宋体" w:eastAsia="宋体" w:cs="Times New Roman"/>
          <w:kern w:val="2"/>
          <w:sz w:val="24"/>
          <w:szCs w:val="32"/>
          <w:lang w:val="en-US" w:eastAsia="zh-CN" w:bidi="ar-SA"/>
        </w:rPr>
      </w:pPr>
      <w:r>
        <w:rPr>
          <w:rFonts w:ascii="宋体" w:hAnsi="宋体" w:eastAsia="宋体" w:cs="Times New Roman"/>
          <w:kern w:val="2"/>
          <w:sz w:val="24"/>
          <w:szCs w:val="32"/>
          <w:lang w:val="en-US" w:eastAsia="zh-CN" w:bidi="ar-SA"/>
        </w:rPr>
        <w:t>在云主机上部署主机保护系统，实现恶意代码检测、web信誉评估</w:t>
      </w:r>
      <w:r>
        <w:rPr>
          <w:rFonts w:hint="eastAsia" w:ascii="宋体" w:hAnsi="宋体" w:eastAsia="宋体" w:cs="Times New Roman"/>
          <w:kern w:val="2"/>
          <w:sz w:val="24"/>
          <w:szCs w:val="32"/>
          <w:lang w:val="en-US" w:eastAsia="zh-CN" w:bidi="ar-SA"/>
        </w:rPr>
        <w:t>、入侵检测和防火墙功能</w:t>
      </w:r>
      <w:r>
        <w:rPr>
          <w:rFonts w:ascii="宋体" w:hAnsi="宋体" w:eastAsia="宋体" w:cs="Times New Roman"/>
          <w:kern w:val="2"/>
          <w:sz w:val="24"/>
          <w:szCs w:val="32"/>
          <w:lang w:val="en-US" w:eastAsia="zh-CN" w:bidi="ar-SA"/>
        </w:rPr>
        <w:t>。</w:t>
      </w:r>
    </w:p>
    <w:p>
      <w:pPr>
        <w:pStyle w:val="256"/>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firstLine="425" w:firstLineChars="0"/>
        <w:textAlignment w:val="auto"/>
        <w:rPr>
          <w:rFonts w:ascii="宋体" w:hAnsi="宋体" w:eastAsia="宋体" w:cs="Times New Roman"/>
          <w:kern w:val="2"/>
          <w:sz w:val="24"/>
          <w:szCs w:val="32"/>
          <w:lang w:val="en-US" w:eastAsia="zh-CN" w:bidi="ar-SA"/>
        </w:rPr>
      </w:pPr>
      <w:r>
        <w:rPr>
          <w:rFonts w:ascii="宋体" w:hAnsi="宋体" w:eastAsia="宋体" w:cs="Times New Roman"/>
          <w:kern w:val="2"/>
          <w:sz w:val="24"/>
          <w:szCs w:val="32"/>
          <w:lang w:val="en-US" w:eastAsia="zh-CN" w:bidi="ar-SA"/>
        </w:rPr>
        <w:t>在虚拟化环境中在尚无原厂补丁的情况下，要通过虚拟补丁功能及时防御通过漏洞入侵系统等措施实现安全加固；</w:t>
      </w:r>
    </w:p>
    <w:p>
      <w:pPr>
        <w:pStyle w:val="256"/>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firstLine="426" w:firstLineChars="0"/>
        <w:textAlignment w:val="auto"/>
        <w:rPr>
          <w:rFonts w:ascii="宋体" w:hAnsi="宋体" w:eastAsia="宋体" w:cs="Times New Roman"/>
          <w:kern w:val="2"/>
          <w:sz w:val="24"/>
          <w:szCs w:val="32"/>
          <w:lang w:val="en-US" w:eastAsia="zh-CN" w:bidi="ar-SA"/>
        </w:rPr>
      </w:pPr>
      <w:r>
        <w:rPr>
          <w:rFonts w:ascii="宋体" w:hAnsi="宋体" w:eastAsia="宋体" w:cs="Times New Roman"/>
          <w:kern w:val="2"/>
          <w:sz w:val="24"/>
          <w:szCs w:val="32"/>
          <w:lang w:val="en-US" w:eastAsia="zh-CN" w:bidi="ar-SA"/>
        </w:rPr>
        <w:t>提供自动扫描功能，针对服务器弱点、漏洞进行安全检测并自动形成防护，产品必须能够防御应用层攻击、SQL Injection 及Cross-site跨网站程序代码改写的攻击。</w:t>
      </w:r>
    </w:p>
    <w:p>
      <w:pPr>
        <w:pStyle w:val="256"/>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firstLine="426" w:firstLineChars="0"/>
        <w:textAlignment w:val="auto"/>
        <w:rPr>
          <w:rFonts w:ascii="宋体" w:hAnsi="宋体" w:eastAsia="宋体" w:cs="Times New Roman"/>
          <w:kern w:val="2"/>
          <w:sz w:val="24"/>
          <w:szCs w:val="32"/>
          <w:lang w:val="en-US" w:eastAsia="zh-CN" w:bidi="ar-SA"/>
        </w:rPr>
      </w:pPr>
      <w:r>
        <w:rPr>
          <w:rFonts w:ascii="宋体" w:hAnsi="宋体" w:eastAsia="宋体" w:cs="Times New Roman"/>
          <w:kern w:val="2"/>
          <w:sz w:val="24"/>
          <w:szCs w:val="32"/>
          <w:lang w:val="en-US" w:eastAsia="zh-CN" w:bidi="ar-SA"/>
        </w:rPr>
        <w:t>所有产品必须是自主开发，拥有自主知识产权，必须具有产品销售许可证和著作权证明。</w:t>
      </w:r>
    </w:p>
    <w:p>
      <w:pPr>
        <w:keepNext w:val="0"/>
        <w:keepLines w:val="0"/>
        <w:pageBreakBefore w:val="0"/>
        <w:widowControl w:val="0"/>
        <w:numPr>
          <w:ilvl w:val="0"/>
          <w:numId w:val="6"/>
        </w:numPr>
        <w:tabs>
          <w:tab w:val="clear" w:pos="1282"/>
        </w:tabs>
        <w:kinsoku/>
        <w:wordWrap/>
        <w:overflowPunct/>
        <w:topLinePunct w:val="0"/>
        <w:autoSpaceDE/>
        <w:autoSpaceDN/>
        <w:bidi w:val="0"/>
        <w:adjustRightInd w:val="0"/>
        <w:snapToGrid w:val="0"/>
        <w:spacing w:line="360" w:lineRule="auto"/>
        <w:ind w:left="0" w:firstLine="420"/>
        <w:textAlignment w:val="auto"/>
        <w:rPr>
          <w:rFonts w:ascii="宋体" w:hAnsi="宋体"/>
          <w:sz w:val="24"/>
          <w:szCs w:val="32"/>
        </w:rPr>
      </w:pPr>
      <w:r>
        <w:rPr>
          <w:rFonts w:hint="eastAsia" w:ascii="宋体" w:hAnsi="宋体"/>
          <w:sz w:val="24"/>
          <w:szCs w:val="32"/>
        </w:rPr>
        <w:t>SSL</w:t>
      </w:r>
      <w:r>
        <w:rPr>
          <w:rFonts w:ascii="宋体" w:hAnsi="宋体"/>
          <w:sz w:val="24"/>
          <w:szCs w:val="32"/>
        </w:rPr>
        <w:t xml:space="preserve"> </w:t>
      </w:r>
      <w:r>
        <w:rPr>
          <w:rFonts w:hint="eastAsia" w:ascii="宋体" w:hAnsi="宋体"/>
          <w:sz w:val="24"/>
          <w:szCs w:val="32"/>
        </w:rPr>
        <w:t>VPN</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ascii="宋体" w:hAnsi="宋体"/>
          <w:sz w:val="24"/>
          <w:szCs w:val="32"/>
        </w:rPr>
        <w:t>三层吞吐量6G，应用吞吐量2G，最大并发会话数200W,2U设备，最大14个GE电口，最高8个SFP接口,1个SLOT插槽,1管理接口，1个RJ45，2个USB口，同时含IPSEC和SLL VPN功能。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服务要求：含并发用户许可授权，含运维管理服务，包括用户管理和技术支撑服务等。</w:t>
      </w:r>
    </w:p>
    <w:p>
      <w:pPr>
        <w:keepNext w:val="0"/>
        <w:keepLines w:val="0"/>
        <w:pageBreakBefore w:val="0"/>
        <w:widowControl w:val="0"/>
        <w:numPr>
          <w:ilvl w:val="0"/>
          <w:numId w:val="6"/>
        </w:numPr>
        <w:tabs>
          <w:tab w:val="clear" w:pos="1282"/>
        </w:tabs>
        <w:kinsoku/>
        <w:wordWrap/>
        <w:overflowPunct/>
        <w:topLinePunct w:val="0"/>
        <w:autoSpaceDE/>
        <w:autoSpaceDN/>
        <w:bidi w:val="0"/>
        <w:adjustRightInd w:val="0"/>
        <w:snapToGrid w:val="0"/>
        <w:spacing w:line="360" w:lineRule="auto"/>
        <w:ind w:left="0" w:firstLine="420"/>
        <w:textAlignment w:val="auto"/>
        <w:rPr>
          <w:rFonts w:ascii="宋体" w:hAnsi="宋体"/>
          <w:sz w:val="24"/>
          <w:szCs w:val="32"/>
        </w:rPr>
      </w:pPr>
      <w:r>
        <w:rPr>
          <w:rFonts w:hint="eastAsia" w:ascii="宋体" w:hAnsi="宋体"/>
          <w:sz w:val="24"/>
          <w:szCs w:val="32"/>
        </w:rPr>
        <w:t>运维审计服务</w:t>
      </w:r>
    </w:p>
    <w:tbl>
      <w:tblPr>
        <w:tblStyle w:val="63"/>
        <w:tblW w:w="50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622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3" w:type="dxa"/>
            <w:noWrap/>
            <w:vAlign w:val="bottom"/>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r>
              <w:rPr>
                <w:rFonts w:hint="eastAsia" w:ascii="宋体" w:hAnsi="宋体" w:cs="宋体"/>
                <w:kern w:val="0"/>
              </w:rPr>
              <w:t>项目</w:t>
            </w:r>
          </w:p>
        </w:tc>
        <w:tc>
          <w:tcPr>
            <w:tcW w:w="6225" w:type="dxa"/>
            <w:noWrap/>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r>
              <w:rPr>
                <w:rFonts w:hint="eastAsia" w:ascii="宋体" w:hAnsi="宋体" w:cs="宋体"/>
                <w:kern w:val="0"/>
              </w:rPr>
              <w:t>技术要求</w:t>
            </w:r>
          </w:p>
        </w:tc>
        <w:tc>
          <w:tcPr>
            <w:tcW w:w="1667"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3"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r>
              <w:rPr>
                <w:rFonts w:hint="eastAsia" w:ascii="宋体" w:hAnsi="宋体" w:cs="宋体"/>
                <w:kern w:val="0"/>
              </w:rPr>
              <w:t>主体功能要求</w:t>
            </w: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支持用户安全策略功能，如密码锁定次数、密码有效期、密码复杂度、用户有效期、用户登录时间限制、用户登录 IP 范围等</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须内嵌认证引擎，除用户名/密码认证方式外，能够提供动态令牌、USBkey 等认证方式</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支持定期自动修改windows服务器、网络设备、linux/unix等目标设备密码功能，自动修改windows服务器密码无需在目标服务器上安装agent、开启telnet服务等</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支持完善的自动改密策略，包括改密前发送密码、改密后发送密码、密码文件加密、密码传输加密、密码强度控制、自动密码恢复等。发送方式包括邮件、FTP、SFTP等</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对运维操作会话的在线监控、实时阻断、日志回放、起止时间、来源用户、来源IP、目标设备、协议/应用类型、命令记录、操作内容（如对文件的上传、下载、删除、修改等操作等）的详细行为日志，支持以首页中的设备为基准，支持直接查询该主账号有权限运维的所有设备。</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支持SSH、Telnet、远程桌面，VNC、FTP/SFTP、数据库、Http/HTTPS等协议和应用的运维，要能支持B/S和C/S两种运维方式，支持SSH密钥批量登录、批量命令执行等。</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支持对运维过程审计录像，并支持远程桌面磁盘映射、复制粘贴、Linux的xmodel等文件传输的原文件记录。</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支持批量导入/导出/修改用户帐号信息和目标设备信息</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支持自动填写特权密码，从普通管理模式进入到特权模式</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用户登录后可在首页分组显示该用户有权限管理的目标设备，设备分组可按最近访问、最常访问、访问策略、按照个性化配置中的分类等分组显示可登录的设备；并可按全部/工单相关来查询设备</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访问策略支持设备视图和用户视图，管理员可以对运维权限一目了然，视图可以按照xls格式导出，方便管理员管理</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3"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服务要求</w:t>
            </w:r>
          </w:p>
        </w:tc>
        <w:tc>
          <w:tcPr>
            <w:tcW w:w="622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含管理对象授权许可，含运维管理服务，含用户VPN接入服务；安排专人定期进行运行监控，支持电话、网上值班等响应方式。</w:t>
            </w:r>
          </w:p>
        </w:tc>
        <w:tc>
          <w:tcPr>
            <w:tcW w:w="1667"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r>
    </w:tbl>
    <w:p>
      <w:pPr>
        <w:snapToGrid w:val="0"/>
        <w:ind w:left="1282" w:firstLine="420"/>
        <w:rPr>
          <w:rFonts w:ascii="宋体" w:hAnsi="宋体"/>
          <w:szCs w:val="21"/>
        </w:rPr>
      </w:pPr>
    </w:p>
    <w:p>
      <w:pPr>
        <w:numPr>
          <w:ilvl w:val="0"/>
          <w:numId w:val="6"/>
        </w:numPr>
        <w:tabs>
          <w:tab w:val="clear" w:pos="1282"/>
        </w:tabs>
        <w:snapToGrid w:val="0"/>
        <w:ind w:left="0" w:firstLine="420"/>
        <w:rPr>
          <w:rFonts w:ascii="宋体" w:hAnsi="宋体"/>
          <w:szCs w:val="21"/>
        </w:rPr>
      </w:pPr>
      <w:r>
        <w:rPr>
          <w:rFonts w:hint="eastAsia" w:ascii="宋体" w:hAnsi="宋体"/>
          <w:szCs w:val="21"/>
        </w:rPr>
        <w:t>日志审计</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6179"/>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08"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项目</w:t>
            </w:r>
          </w:p>
        </w:tc>
        <w:tc>
          <w:tcPr>
            <w:tcW w:w="3328"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要求</w:t>
            </w:r>
          </w:p>
        </w:tc>
        <w:tc>
          <w:tcPr>
            <w:tcW w:w="863"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服务形态</w:t>
            </w:r>
          </w:p>
        </w:tc>
        <w:tc>
          <w:tcPr>
            <w:tcW w:w="3328" w:type="pct"/>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承载于云安全资源池内，以软件形态提供云上安全综合审计服务。</w:t>
            </w:r>
          </w:p>
        </w:tc>
        <w:tc>
          <w:tcPr>
            <w:tcW w:w="863"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使用方式</w:t>
            </w:r>
          </w:p>
        </w:tc>
        <w:tc>
          <w:tcPr>
            <w:tcW w:w="3328" w:type="pct"/>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rPr>
            </w:pPr>
            <w:r>
              <w:rPr>
                <w:rFonts w:ascii="宋体" w:hAnsi="宋体"/>
              </w:rPr>
              <w:t>W</w:t>
            </w:r>
            <w:r>
              <w:rPr>
                <w:rFonts w:hint="eastAsia" w:ascii="宋体" w:hAnsi="宋体"/>
              </w:rPr>
              <w:t>indows云主机通过部署轻量</w:t>
            </w:r>
            <w:r>
              <w:rPr>
                <w:rFonts w:ascii="宋体" w:hAnsi="宋体"/>
              </w:rPr>
              <w:t>A</w:t>
            </w:r>
            <w:r>
              <w:rPr>
                <w:rFonts w:hint="eastAsia" w:ascii="宋体" w:hAnsi="宋体"/>
              </w:rPr>
              <w:t>gent程序进行数据采集、Linux云主机配置sys</w:t>
            </w:r>
            <w:r>
              <w:rPr>
                <w:rFonts w:ascii="宋体" w:hAnsi="宋体"/>
              </w:rPr>
              <w:t>log</w:t>
            </w:r>
            <w:r>
              <w:rPr>
                <w:rFonts w:hint="eastAsia" w:ascii="宋体" w:hAnsi="宋体"/>
              </w:rPr>
              <w:t>进行数据采集，从而实现综合日志审计效果</w:t>
            </w:r>
          </w:p>
        </w:tc>
        <w:tc>
          <w:tcPr>
            <w:tcW w:w="863"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Merge w:val="restart"/>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主要功能要求</w:t>
            </w:r>
          </w:p>
        </w:tc>
        <w:tc>
          <w:tcPr>
            <w:tcW w:w="3328" w:type="pct"/>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支持Syslog、SNMP Trap、FTP、代理(Agent)等方式收集日志</w:t>
            </w:r>
          </w:p>
        </w:tc>
        <w:tc>
          <w:tcPr>
            <w:tcW w:w="863"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rPr>
            </w:pPr>
          </w:p>
        </w:tc>
        <w:tc>
          <w:tcPr>
            <w:tcW w:w="3328" w:type="pct"/>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支持目前主流的安全设备、操作系统、应用系统等日志收集</w:t>
            </w:r>
          </w:p>
        </w:tc>
        <w:tc>
          <w:tcPr>
            <w:tcW w:w="863"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rPr>
            </w:pPr>
          </w:p>
        </w:tc>
        <w:tc>
          <w:tcPr>
            <w:tcW w:w="3328" w:type="pct"/>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支持对收集到的日志进行解析，解析规则可以根据客户要求定制扩展</w:t>
            </w:r>
          </w:p>
        </w:tc>
        <w:tc>
          <w:tcPr>
            <w:tcW w:w="863"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p>
        </w:tc>
        <w:tc>
          <w:tcPr>
            <w:tcW w:w="3328" w:type="pct"/>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支持按认证操作、授权操作、账号操作、访问控制、配置变更、攻击威胁等纬度进行报表统计</w:t>
            </w:r>
          </w:p>
        </w:tc>
        <w:tc>
          <w:tcPr>
            <w:tcW w:w="863"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08" w:type="pct"/>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服务要求</w:t>
            </w:r>
          </w:p>
        </w:tc>
        <w:tc>
          <w:tcPr>
            <w:tcW w:w="3328" w:type="pct"/>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含运维管理服务，安排专人定期进行日志分析，并定期向租户提供专项分析报表。</w:t>
            </w:r>
          </w:p>
        </w:tc>
        <w:tc>
          <w:tcPr>
            <w:tcW w:w="863" w:type="pct"/>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hAnsi="宋体"/>
              </w:rPr>
            </w:pPr>
          </w:p>
        </w:tc>
      </w:tr>
    </w:tbl>
    <w:p>
      <w:pPr>
        <w:snapToGrid w:val="0"/>
        <w:ind w:left="1282" w:firstLine="420"/>
        <w:rPr>
          <w:rFonts w:ascii="宋体" w:hAnsi="宋体"/>
          <w:szCs w:val="21"/>
        </w:rPr>
      </w:pPr>
    </w:p>
    <w:p>
      <w:pPr>
        <w:keepNext w:val="0"/>
        <w:keepLines w:val="0"/>
        <w:pageBreakBefore w:val="0"/>
        <w:widowControl w:val="0"/>
        <w:numPr>
          <w:ilvl w:val="0"/>
          <w:numId w:val="6"/>
        </w:numPr>
        <w:tabs>
          <w:tab w:val="clear" w:pos="1282"/>
        </w:tabs>
        <w:kinsoku/>
        <w:wordWrap/>
        <w:overflowPunct/>
        <w:topLinePunct w:val="0"/>
        <w:autoSpaceDE/>
        <w:autoSpaceDN/>
        <w:bidi w:val="0"/>
        <w:adjustRightInd w:val="0"/>
        <w:snapToGrid w:val="0"/>
        <w:spacing w:line="360" w:lineRule="auto"/>
        <w:ind w:left="0" w:firstLine="420"/>
        <w:textAlignment w:val="auto"/>
        <w:rPr>
          <w:rFonts w:ascii="宋体" w:hAnsi="宋体"/>
          <w:sz w:val="24"/>
          <w:szCs w:val="32"/>
        </w:rPr>
      </w:pPr>
      <w:r>
        <w:rPr>
          <w:rFonts w:ascii="宋体" w:hAnsi="宋体"/>
          <w:sz w:val="24"/>
          <w:szCs w:val="32"/>
        </w:rPr>
        <w:t>Web</w:t>
      </w:r>
      <w:r>
        <w:rPr>
          <w:rFonts w:hint="eastAsia" w:ascii="宋体" w:hAnsi="宋体"/>
          <w:sz w:val="24"/>
          <w:szCs w:val="32"/>
        </w:rPr>
        <w:t>应用防火墙</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sz w:val="24"/>
          <w:szCs w:val="32"/>
        </w:rPr>
      </w:pPr>
      <w:r>
        <w:rPr>
          <w:rFonts w:hint="eastAsia" w:ascii="宋体" w:hAnsi="宋体"/>
          <w:sz w:val="24"/>
          <w:szCs w:val="32"/>
        </w:rPr>
        <w:t>标准</w:t>
      </w:r>
      <w:r>
        <w:rPr>
          <w:rFonts w:ascii="宋体" w:hAnsi="宋体"/>
          <w:sz w:val="24"/>
          <w:szCs w:val="32"/>
        </w:rPr>
        <w:t>2U设备,双冗余电源，1个HA口，1个RJ-45 Console口，1个10/100/1000 Base-T带外管理口，4个网络接口板扩展槽位，可选配WAF-NIM-L通用接口板，默认含3个接口（含1个HA接口）永久使用授权），2个USB口；2个万兆SFP+ 接口，万兆多模光模块；网络层吞吐量≥8G ；应用层吞吐量≥4G；最大HTTP并发连接数≥200万；</w:t>
      </w:r>
      <w:r>
        <w:rPr>
          <w:rFonts w:hint="eastAsia" w:ascii="宋体" w:hAnsi="宋体"/>
          <w:sz w:val="24"/>
          <w:szCs w:val="32"/>
        </w:rPr>
        <w:t>每秒新建</w:t>
      </w:r>
      <w:r>
        <w:rPr>
          <w:rFonts w:ascii="宋体" w:hAnsi="宋体"/>
          <w:sz w:val="24"/>
          <w:szCs w:val="32"/>
        </w:rPr>
        <w:t>HTTP连接数不少于2.5万；</w:t>
      </w:r>
    </w:p>
    <w:tbl>
      <w:tblPr>
        <w:tblStyle w:val="63"/>
        <w:tblW w:w="50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6336"/>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7" w:type="dxa"/>
            <w:noWrap/>
            <w:vAlign w:val="bottom"/>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r>
              <w:rPr>
                <w:rFonts w:hint="eastAsia" w:ascii="宋体" w:hAnsi="宋体" w:cs="宋体"/>
                <w:kern w:val="0"/>
              </w:rPr>
              <w:t>项目</w:t>
            </w:r>
          </w:p>
        </w:tc>
        <w:tc>
          <w:tcPr>
            <w:tcW w:w="6336" w:type="dxa"/>
            <w:noWrap/>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r>
              <w:rPr>
                <w:rFonts w:hint="eastAsia" w:ascii="宋体" w:hAnsi="宋体" w:cs="宋体"/>
                <w:kern w:val="0"/>
              </w:rPr>
              <w:t>技术要求</w:t>
            </w:r>
          </w:p>
        </w:tc>
        <w:tc>
          <w:tcPr>
            <w:tcW w:w="1552"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基础防护</w:t>
            </w: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Web服务器/插件防护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HTTP访问控制</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爬虫防护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Web通用防护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文件非法上传防护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非法下载限制</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信息泄露防护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Webshell防护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7"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高级防护</w:t>
            </w: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盗链防护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跨站请求伪造防护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扫描防护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Cookie安全</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内容过滤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敏感信息过滤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暴力破解防护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XML防护</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智能引擎检测</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7"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服务要求</w:t>
            </w:r>
          </w:p>
        </w:tc>
        <w:tc>
          <w:tcPr>
            <w:tcW w:w="6336"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部署在政务云平台边界，可根据需要对流量进行清洗分析，含运维管理服务，安排专人定期巡检和分析日志，及时向政务云平台采购方和租户通报重要安全风险事件，并协助租户按需完成策略调整与优化。</w:t>
            </w:r>
          </w:p>
        </w:tc>
        <w:tc>
          <w:tcPr>
            <w:tcW w:w="1552"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p>
        </w:tc>
      </w:tr>
    </w:tbl>
    <w:p>
      <w:pPr>
        <w:snapToGrid w:val="0"/>
        <w:ind w:firstLine="420"/>
        <w:rPr>
          <w:rFonts w:ascii="宋体" w:hAnsi="宋体"/>
        </w:rPr>
      </w:pPr>
    </w:p>
    <w:p>
      <w:pPr>
        <w:snapToGrid w:val="0"/>
        <w:rPr>
          <w:rFonts w:ascii="宋体" w:hAnsi="宋体"/>
          <w:b/>
        </w:rPr>
      </w:pPr>
      <w:r>
        <w:rPr>
          <w:rFonts w:hint="eastAsia" w:ascii="宋体" w:hAnsi="宋体"/>
          <w:b/>
        </w:rPr>
        <w:t>（三）自主云安全服务要求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kern w:val="0"/>
          <w:sz w:val="24"/>
          <w:szCs w:val="32"/>
        </w:rPr>
      </w:pPr>
      <w:r>
        <w:rPr>
          <w:rFonts w:hint="eastAsia" w:ascii="宋体" w:hAnsi="宋体"/>
          <w:sz w:val="24"/>
          <w:szCs w:val="32"/>
        </w:rPr>
        <w:t>以下安全服务要求提供独立虚拟安全设备，能够根据用户要求，提供自服务管理界面。</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ascii="宋体" w:hAnsi="宋体"/>
          <w:sz w:val="24"/>
          <w:szCs w:val="32"/>
        </w:rPr>
      </w:pPr>
      <w:r>
        <w:rPr>
          <w:rFonts w:hint="eastAsia" w:ascii="宋体" w:hAnsi="宋体"/>
          <w:sz w:val="24"/>
          <w:szCs w:val="32"/>
        </w:rPr>
        <w:t>自主云安全产品整体服务要求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6340"/>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项目</w:t>
            </w: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要求</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服务形态</w:t>
            </w: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承载于云安全资源池内，以软件形态提供云上安全防护服务</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ascii="宋体" w:hAnsi="宋体"/>
              </w:rPr>
              <w:t>交付</w:t>
            </w:r>
            <w:r>
              <w:rPr>
                <w:rFonts w:hint="eastAsia" w:ascii="宋体" w:hAnsi="宋体"/>
              </w:rPr>
              <w:t>方式</w:t>
            </w: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★资源池必须具备安全需求弹性扩展，安全灵活部署。按需交付。安全功能以基于不同安全需求以安全服务包的形式交付。（需提供产品功能截图）</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角色授权及使用方式</w:t>
            </w: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三权分立安全原则，可实现虚拟防火墙、虚拟IPS、虚拟化web应用防火墙、网页防篡改、云堡垒机、云数据库审计、云日志审计、云主机防御（东西向流量隔离、防病毒）等所有安全产品的角色统一授权，授权粒度精细到每一个安全产品的每一个角色，同时可以给用户批量授权，如一次性给用户A授权堡垒机的运维管理员角色，给用户B授权堡垒机的审计管理员角色</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用户认证统一，被授权的用户可以通过登录到云安全管理平台单点登录到各个安全产品，包括虚拟防火墙、虚拟IPS、虚拟化web应用防火墙、网页防篡改、云堡垒机、云数据库审计、云日志审计、云主机防御（东西向流量隔离、防病毒）等所有安全产品。</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资产管理</w:t>
            </w: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支持通过管理平台统一添加资产自动同步到相关安全产品，添加主机资产自动同步到堡垒机、主机扫描，添加网站资产自动同步到网站扫务等，无需到不同的安全产品模块逐一添加 。</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运维态势</w:t>
            </w: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管理员通过可视化大屏获取整个安全资源池的物理节点总数量和物理节点在线／离线数量，虚拟机总数量和虚拟机在线／离线数量信息，且包含安全资源池总CPU、内存、磁盘使用率，CPU、内存、磁盘占用趋势，网络总流入流出速率趋势等信息。</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许可管理</w:t>
            </w: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许可自动化导入激活安全产品，云安全管理平台会根据开通安全产品的规格、数量、时间周期等信息自动导入许可到安全产品，实现安全产品自动化激活，包括虚拟防火墙、虚拟IPS、虚拟化web应用防火墙、网页防篡改、云堡垒机、云数据库审计、云日志审计、云主机防御（东西向流量隔离、防病毒）等所有安全产品许可的自动化导入激活。</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技术支撑</w:t>
            </w: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★提供产品原厂商常驻浙江省内不少于</w:t>
            </w:r>
            <w:r>
              <w:rPr>
                <w:rFonts w:ascii="宋体" w:hAnsi="宋体"/>
              </w:rPr>
              <w:t>5个CISP-CSE云安全工程师</w:t>
            </w:r>
            <w:r>
              <w:rPr>
                <w:rFonts w:hint="eastAsia" w:ascii="宋体" w:hAnsi="宋体"/>
              </w:rPr>
              <w:t>（</w:t>
            </w:r>
            <w:r>
              <w:rPr>
                <w:rFonts w:hint="eastAsia" w:ascii="宋体" w:hAnsi="宋体" w:eastAsia="宋体" w:cs="Times New Roman"/>
                <w:color w:val="auto"/>
              </w:rPr>
              <w:t>（须提供在本单位202</w:t>
            </w:r>
            <w:r>
              <w:rPr>
                <w:rFonts w:hint="eastAsia" w:ascii="宋体" w:hAnsi="宋体" w:eastAsia="宋体" w:cs="Times New Roman"/>
                <w:color w:val="auto"/>
                <w:lang w:val="en-US" w:eastAsia="zh-CN"/>
              </w:rPr>
              <w:t>4</w:t>
            </w:r>
            <w:r>
              <w:rPr>
                <w:rFonts w:hint="eastAsia" w:ascii="宋体" w:hAnsi="宋体" w:eastAsia="宋体" w:cs="Times New Roman"/>
                <w:color w:val="auto"/>
              </w:rPr>
              <w:t>年</w:t>
            </w:r>
            <w:r>
              <w:rPr>
                <w:rFonts w:hint="eastAsia" w:ascii="宋体" w:hAnsi="宋体" w:eastAsia="宋体" w:cs="Times New Roman"/>
                <w:color w:val="auto"/>
                <w:lang w:val="en-US" w:eastAsia="zh-CN"/>
              </w:rPr>
              <w:t>5</w:t>
            </w:r>
            <w:r>
              <w:rPr>
                <w:rFonts w:hint="eastAsia" w:ascii="宋体" w:hAnsi="宋体" w:eastAsia="宋体" w:cs="Times New Roman"/>
                <w:color w:val="auto"/>
              </w:rPr>
              <w:t>月1日至今任意一月缴费情况（个人参保证明以已到账为准、单位参保证明以养老保险参保为准）的社会险参保证明）</w:t>
            </w:r>
            <w:r>
              <w:rPr>
                <w:rFonts w:hint="eastAsia" w:ascii="宋体" w:hAnsi="宋体"/>
              </w:rPr>
              <w:t>，</w:t>
            </w:r>
            <w:r>
              <w:rPr>
                <w:rFonts w:ascii="宋体" w:hAnsi="宋体"/>
              </w:rPr>
              <w:t>以便提供快速的售后服务</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4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★提供产品原厂商常驻浙江省内不少于</w:t>
            </w:r>
            <w:r>
              <w:rPr>
                <w:rFonts w:ascii="宋体" w:hAnsi="宋体"/>
              </w:rPr>
              <w:t>5个CISP-BDSA（大数据安全分析师）工程师</w:t>
            </w:r>
            <w:r>
              <w:rPr>
                <w:rFonts w:hint="eastAsia" w:ascii="宋体" w:hAnsi="宋体"/>
              </w:rPr>
              <w:t>（</w:t>
            </w:r>
            <w:r>
              <w:rPr>
                <w:rFonts w:hint="eastAsia" w:ascii="宋体" w:hAnsi="宋体" w:eastAsia="宋体" w:cs="Times New Roman"/>
                <w:color w:val="auto"/>
              </w:rPr>
              <w:t>（须提供在本单位202</w:t>
            </w:r>
            <w:r>
              <w:rPr>
                <w:rFonts w:hint="eastAsia" w:ascii="宋体" w:hAnsi="宋体" w:eastAsia="宋体" w:cs="Times New Roman"/>
                <w:color w:val="auto"/>
                <w:lang w:val="en-US" w:eastAsia="zh-CN"/>
              </w:rPr>
              <w:t>4</w:t>
            </w:r>
            <w:r>
              <w:rPr>
                <w:rFonts w:hint="eastAsia" w:ascii="宋体" w:hAnsi="宋体" w:eastAsia="宋体" w:cs="Times New Roman"/>
                <w:color w:val="auto"/>
              </w:rPr>
              <w:t>年</w:t>
            </w:r>
            <w:r>
              <w:rPr>
                <w:rFonts w:hint="eastAsia" w:ascii="宋体" w:hAnsi="宋体" w:eastAsia="宋体" w:cs="Times New Roman"/>
                <w:color w:val="auto"/>
                <w:lang w:val="en-US" w:eastAsia="zh-CN"/>
              </w:rPr>
              <w:t>5</w:t>
            </w:r>
            <w:r>
              <w:rPr>
                <w:rFonts w:hint="eastAsia" w:ascii="宋体" w:hAnsi="宋体" w:eastAsia="宋体" w:cs="Times New Roman"/>
                <w:color w:val="auto"/>
              </w:rPr>
              <w:t>月1日至今任意一月缴费情况（个人参保证明以已到账为准、单位参保证明以养老保险参保为准）的社会险参保证明）</w:t>
            </w:r>
            <w:r>
              <w:rPr>
                <w:rFonts w:ascii="宋体" w:hAnsi="宋体"/>
              </w:rPr>
              <w:t>，以便提供快速的售后服务</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bl>
    <w:p>
      <w:pPr>
        <w:numPr>
          <w:ilvl w:val="0"/>
          <w:numId w:val="8"/>
        </w:numPr>
        <w:snapToGrid w:val="0"/>
        <w:rPr>
          <w:rFonts w:ascii="宋体" w:hAnsi="宋体"/>
          <w:szCs w:val="21"/>
        </w:rPr>
      </w:pPr>
      <w:r>
        <w:rPr>
          <w:rFonts w:hint="eastAsia" w:ascii="宋体" w:hAnsi="宋体"/>
          <w:szCs w:val="21"/>
        </w:rPr>
        <w:t>云</w:t>
      </w:r>
      <w:r>
        <w:rPr>
          <w:rFonts w:ascii="宋体" w:hAnsi="宋体"/>
          <w:szCs w:val="21"/>
        </w:rPr>
        <w:t>W</w:t>
      </w:r>
      <w:r>
        <w:rPr>
          <w:rFonts w:hint="eastAsia" w:ascii="宋体" w:hAnsi="宋体"/>
          <w:szCs w:val="21"/>
        </w:rPr>
        <w:t>eb应用防火墙服务要求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634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0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项目</w:t>
            </w: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要求</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服务形态</w:t>
            </w: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承载于云安全资源池内，以软件形态提供云上安全防护服务。</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使用方式</w:t>
            </w: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云租户通过登录云安全管理平台，单点登录到WEB应用防火墙服务模块，对网站进行安全防护配置管理</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主要功能要求</w:t>
            </w: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支持对SQL注入、XSS、命令注入、webshell等OWAP10的攻击防护</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支持对服务器返回的内容包括身份证信息、银行卡号、手机号等敏感信息进行隐藏</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支持网站自学习建模功能，能通过自学习形成网站URL树、生成安全防护策略、发现参数的名称、类型、匹配频率；可配置匹配到自学习特征后放行，匹配不到自学习特征直接阻断请求；</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支持对访问流程的校验</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可配置页面合规页面流程</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可配置页面思考时间</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违反合规的访问直接被拦截并产生告警日志（需提供第三方测评机构（公安部三所、国家保密局、ISCCC其中一家）的检测报告）</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rPr>
              <w:t>★</w:t>
            </w:r>
            <w:r>
              <w:rPr>
                <w:rFonts w:hint="eastAsia" w:ascii="宋体" w:hAnsi="宋体" w:cs="宋体"/>
              </w:rPr>
              <w:t>按地理区域对攻击次数等进行统计，通过地图展示，并在地图上可以指定某一地理区域进行访问控制，阻断此区域 IP的访问</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（需提供第三方测评机构（公安部三所、国家保密局、ISCCC其中一家）的检测报告）</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支持CC攻击防护：</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支持多种算法检测方法，对指定URL访问速率、对指定URL访问集中度检测</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检测对象支持IP或IP+URL算法；</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支持挑战模式，客户端访问时WAF发起302重定向与js挑战验证是真实客户还是CC工具发起的访问</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支持学习业务流量模型，在业务流量异常时开启CC防护，并支持启动配置阈值（需提供第三方测评机构（公安部三所、国家保密局、ISCCC其中一家）的检测报告）</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规格</w:t>
            </w:r>
          </w:p>
        </w:tc>
        <w:tc>
          <w:tcPr>
            <w:tcW w:w="633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保护站点授权2个，防护流量20Mbps</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kern w:val="0"/>
              </w:rPr>
              <w:t>保护站点授权4个，防护流量50Mbps</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kern w:val="0"/>
              </w:rPr>
              <w:t>保护站点授权8个，防护流量100Mbps</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保护站定授权16个，防护流量200Mbps</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保护站定授权32个，防护流量1Gbps</w:t>
            </w:r>
          </w:p>
        </w:tc>
        <w:tc>
          <w:tcPr>
            <w:tcW w:w="14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bl>
    <w:p>
      <w:pPr>
        <w:snapToGrid w:val="0"/>
        <w:ind w:firstLine="420"/>
        <w:rPr>
          <w:rFonts w:ascii="宋体" w:hAnsi="宋体"/>
          <w:szCs w:val="21"/>
        </w:rPr>
      </w:pPr>
    </w:p>
    <w:p>
      <w:pPr>
        <w:numPr>
          <w:ilvl w:val="0"/>
          <w:numId w:val="8"/>
        </w:numPr>
        <w:snapToGrid w:val="0"/>
        <w:rPr>
          <w:rFonts w:ascii="宋体" w:hAnsi="宋体"/>
          <w:szCs w:val="21"/>
        </w:rPr>
      </w:pPr>
      <w:r>
        <w:rPr>
          <w:rFonts w:hint="eastAsia" w:ascii="宋体" w:hAnsi="宋体"/>
          <w:szCs w:val="21"/>
        </w:rPr>
        <w:t>SSL</w:t>
      </w:r>
      <w:r>
        <w:rPr>
          <w:rFonts w:ascii="宋体" w:hAnsi="宋体"/>
          <w:szCs w:val="21"/>
        </w:rPr>
        <w:t xml:space="preserve"> VPN</w:t>
      </w:r>
      <w:r>
        <w:rPr>
          <w:rFonts w:hint="eastAsia" w:ascii="宋体" w:hAnsi="宋体"/>
          <w:szCs w:val="21"/>
        </w:rPr>
        <w:t>服务要求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633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项目</w:t>
            </w:r>
          </w:p>
        </w:tc>
        <w:tc>
          <w:tcPr>
            <w:tcW w:w="633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要求</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服务形态</w:t>
            </w:r>
          </w:p>
        </w:tc>
        <w:tc>
          <w:tcPr>
            <w:tcW w:w="633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承载于云安全资源池内，以软件形态提供云上安全防护服务</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使用方式</w:t>
            </w:r>
          </w:p>
        </w:tc>
        <w:tc>
          <w:tcPr>
            <w:tcW w:w="633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云租户通过登录云安全管理平台，单点登录到</w:t>
            </w:r>
            <w:r>
              <w:rPr>
                <w:rFonts w:ascii="宋体" w:hAnsi="宋体"/>
              </w:rPr>
              <w:t>SSL VPN</w:t>
            </w:r>
            <w:r>
              <w:rPr>
                <w:rFonts w:hint="eastAsia" w:ascii="宋体" w:hAnsi="宋体"/>
              </w:rPr>
              <w:t>服务模块，对S</w:t>
            </w:r>
            <w:r>
              <w:rPr>
                <w:rFonts w:ascii="宋体" w:hAnsi="宋体"/>
              </w:rPr>
              <w:t xml:space="preserve">SL </w:t>
            </w:r>
            <w:r>
              <w:rPr>
                <w:rFonts w:hint="eastAsia" w:ascii="宋体" w:hAnsi="宋体"/>
              </w:rPr>
              <w:t>V</w:t>
            </w:r>
            <w:r>
              <w:rPr>
                <w:rFonts w:ascii="宋体" w:hAnsi="宋体"/>
              </w:rPr>
              <w:t>PN</w:t>
            </w:r>
            <w:r>
              <w:rPr>
                <w:rFonts w:hint="eastAsia" w:ascii="宋体" w:hAnsi="宋体"/>
              </w:rPr>
              <w:t>配置管理</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主要功能要求</w:t>
            </w:r>
          </w:p>
        </w:tc>
        <w:tc>
          <w:tcPr>
            <w:tcW w:w="633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支持site to site 和远程接入VPN方式,支持主模式，野蛮模式，野蛮模式支持FQDN、USER-FQDN和通配符设置</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支持VPN零配置上线、VPN批量下发</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支持专有SSL VPN客户端，客户端支持Windows  32位/64系统，支持开源的SSL VPN客户端系统包括IOS 安卓 linux</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规格</w:t>
            </w:r>
          </w:p>
        </w:tc>
        <w:tc>
          <w:tcPr>
            <w:tcW w:w="633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2</w:t>
            </w:r>
            <w:r>
              <w:rPr>
                <w:rFonts w:ascii="宋体" w:hAnsi="宋体"/>
              </w:rPr>
              <w:t>0</w:t>
            </w:r>
            <w:r>
              <w:rPr>
                <w:rFonts w:hint="eastAsia" w:ascii="宋体" w:hAnsi="宋体"/>
              </w:rPr>
              <w:t>个并发用户</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ascii="宋体" w:hAnsi="宋体"/>
              </w:rPr>
              <w:t>50</w:t>
            </w:r>
            <w:r>
              <w:rPr>
                <w:rFonts w:hint="eastAsia" w:ascii="宋体" w:hAnsi="宋体"/>
              </w:rPr>
              <w:t>个并发用户</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ascii="宋体" w:hAnsi="宋体"/>
              </w:rPr>
              <w:t>100</w:t>
            </w:r>
            <w:r>
              <w:rPr>
                <w:rFonts w:hint="eastAsia" w:ascii="宋体" w:hAnsi="宋体"/>
              </w:rPr>
              <w:t>个并发用户</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bl>
    <w:p>
      <w:pPr>
        <w:snapToGrid w:val="0"/>
        <w:ind w:firstLine="420"/>
        <w:rPr>
          <w:rFonts w:ascii="宋体" w:hAnsi="宋体"/>
          <w:szCs w:val="21"/>
        </w:rPr>
      </w:pPr>
    </w:p>
    <w:p>
      <w:pPr>
        <w:numPr>
          <w:ilvl w:val="0"/>
          <w:numId w:val="8"/>
        </w:numPr>
        <w:snapToGrid w:val="0"/>
        <w:rPr>
          <w:rFonts w:ascii="宋体" w:hAnsi="宋体"/>
        </w:rPr>
      </w:pPr>
      <w:r>
        <w:rPr>
          <w:rFonts w:hint="eastAsia" w:ascii="宋体" w:hAnsi="宋体"/>
        </w:rPr>
        <w:t>运维审计（云堡垒机）服务要求</w:t>
      </w:r>
    </w:p>
    <w:tbl>
      <w:tblPr>
        <w:tblStyle w:val="63"/>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6342"/>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0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项目</w:t>
            </w: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要求</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服务形态</w:t>
            </w: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承载于云安全资源池内，以软件形态提供云上安全运维审计服务。</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使用方式</w:t>
            </w: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云租户通过登录云安全管理平台，单点登录到运维审计服务模块，对云主机、业务系统进行统一运维管理</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主要功能要求</w:t>
            </w: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bookmarkStart w:id="421" w:name="_GoBack"/>
            <w:r>
              <w:rPr>
                <w:rFonts w:hint="eastAsia" w:ascii="宋体" w:hAnsi="宋体"/>
                <w:highlight w:val="none"/>
              </w:rPr>
              <w:t>★</w:t>
            </w:r>
            <w:r>
              <w:rPr>
                <w:rFonts w:hint="eastAsia" w:ascii="宋体" w:hAnsi="宋体" w:cs="宋体"/>
                <w:highlight w:val="none"/>
              </w:rPr>
              <w:t>支持oracle、mysql、sqlserver数据库协议代理运维，可直接调用本地windows系统的数据库客户端工具，支持自动登录、无需应用发布前置机。（须提供相关截图证明）</w:t>
            </w:r>
            <w:bookmarkEnd w:id="421"/>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支持自动收集设备IP、运维协议、端口号、账号、密码、与用户的权限关系，甚至可自动完成授权</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导出的设备信息文件加密存储，解密时须由2个管理员同时解密才能查看到设备信息文件内容</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在不依赖于应用发布的条件下，支持通过堡垒机页面直接调用本地windows的plsql、sqlplus、sqlwb、ssms、mysql.exe等数据库客户端工具</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rPr>
              <w:t>★</w:t>
            </w:r>
            <w:r>
              <w:rPr>
                <w:rFonts w:hint="eastAsia" w:ascii="宋体" w:hAnsi="宋体" w:cs="宋体"/>
              </w:rPr>
              <w:t>支持保存RDP传输的原始文件（提供第三方权威机构检测报告证明及功能截图）</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支持可管理SSH、RDP、SFTP、FTP、TELNET、web类的服务器，以及可管理其他远程工具或自定义的应用客户端</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支持对运维操作会话的在线监控、实时阻断、日志回放、起止时间、来源用户、来源IP、目标设备、协议/应用类型、命令记录、操作内容（如对文件的上传、下载、删除、修改等操作等）的详细审计日志</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支持文件传输协议控制、命令控制、访问控制的三种安全策略</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 xml:space="preserve">支持自动化运维功能，可将结果通过邮件通知管理员；可对linux/windows云主机进行自动改密 </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规格</w:t>
            </w:r>
          </w:p>
        </w:tc>
        <w:tc>
          <w:tcPr>
            <w:tcW w:w="6339"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kern w:val="0"/>
              </w:rPr>
              <w:t>10个管理对象</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20个管理对象</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50个管理对象</w:t>
            </w:r>
          </w:p>
        </w:tc>
        <w:tc>
          <w:tcPr>
            <w:tcW w:w="161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bl>
    <w:p>
      <w:pPr>
        <w:snapToGrid w:val="0"/>
        <w:ind w:firstLine="420"/>
        <w:rPr>
          <w:rFonts w:ascii="宋体" w:hAnsi="宋体"/>
          <w:szCs w:val="21"/>
        </w:rPr>
      </w:pPr>
    </w:p>
    <w:p>
      <w:pPr>
        <w:numPr>
          <w:ilvl w:val="0"/>
          <w:numId w:val="8"/>
        </w:numPr>
        <w:snapToGrid w:val="0"/>
        <w:rPr>
          <w:rFonts w:ascii="宋体" w:hAnsi="宋体"/>
        </w:rPr>
      </w:pPr>
      <w:r>
        <w:rPr>
          <w:rFonts w:hint="eastAsia" w:ascii="宋体" w:hAnsi="宋体"/>
        </w:rPr>
        <w:t>云综合日志审计服务要求</w:t>
      </w:r>
    </w:p>
    <w:tbl>
      <w:tblPr>
        <w:tblStyle w:val="63"/>
        <w:tblW w:w="50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634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05"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项目</w:t>
            </w:r>
          </w:p>
        </w:tc>
        <w:tc>
          <w:tcPr>
            <w:tcW w:w="6341"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要求</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服务形态</w:t>
            </w:r>
          </w:p>
        </w:tc>
        <w:tc>
          <w:tcPr>
            <w:tcW w:w="6341"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承载于云安全资源池内，以软件形态提供云上安全综合审计服务。</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使用方式</w:t>
            </w:r>
          </w:p>
        </w:tc>
        <w:tc>
          <w:tcPr>
            <w:tcW w:w="6341"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云租户通过登录云安全管理平台，单点登录到数据库审计服务模块，进行中心端的统一运维管理。Windows云主机通过部署轻量Agent程序进行数据采集、Linux云主机配置syslog进行数据采集，从而实现综合日志审计效果</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主要功能要求</w:t>
            </w:r>
          </w:p>
        </w:tc>
        <w:tc>
          <w:tcPr>
            <w:tcW w:w="6341"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支持Syslog、SNMP Trap、FTP、代理(Agent)等方式收集日志</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支持目前主流的安全设备、操作系统、应用系统等日志收集</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支持对收集到的日志进行解析，解析规则可以根据客户要求定制扩展</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支持按认证操作、授权操作、账号操作、访问控制、配置变更、攻击威胁等纬度进行报表统计</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支持基于内存的实时关联分析，跨设备的多事件关联分析</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top"/>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支持自定义条件的事件进行聚合</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top"/>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进行关联分析的规则可定制</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top"/>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支持根据资产价值、资产漏洞、针对漏洞的威胁事件三者进行威胁的自动关联分析（三维关联），所有的三维关联算法和准则以CVE、Bugtraq、OWASP公开协议和标准为为基础（提供第三方检测报告）</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top"/>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支持日志备份自动传送到远程服务器</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top"/>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极高的日志高查询性能，支持亿级的日志里根据做任意的关键字及其它的检索条件，在秒级里返回查询结果</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05" w:type="dxa"/>
            <w:vMerge w:val="restart"/>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规格</w:t>
            </w:r>
          </w:p>
        </w:tc>
        <w:tc>
          <w:tcPr>
            <w:tcW w:w="634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支持5个日志源</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支持20个日志源</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支持50个日志源</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支持100个日志源</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05"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41"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支持200个日志源</w:t>
            </w:r>
          </w:p>
        </w:tc>
        <w:tc>
          <w:tcPr>
            <w:tcW w:w="158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bl>
    <w:p>
      <w:pPr>
        <w:snapToGrid w:val="0"/>
        <w:ind w:firstLine="420"/>
        <w:rPr>
          <w:rFonts w:ascii="宋体" w:hAnsi="宋体"/>
          <w:szCs w:val="21"/>
        </w:rPr>
      </w:pPr>
    </w:p>
    <w:p>
      <w:pPr>
        <w:pStyle w:val="256"/>
        <w:numPr>
          <w:ilvl w:val="0"/>
          <w:numId w:val="8"/>
        </w:numPr>
        <w:ind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云数据库审计服务要求</w:t>
      </w:r>
    </w:p>
    <w:tbl>
      <w:tblPr>
        <w:tblStyle w:val="63"/>
        <w:tblW w:w="50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6342"/>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03"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项目</w:t>
            </w: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要求</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服务形态</w:t>
            </w: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承载于云安全资源池内，以软件形态提供云上安全审计服务。</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使用方式</w:t>
            </w: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云租户通过登录云安全管理平台，单点登录到数据库审计服务模块，进行中心端的统一运维管理。RDS数据库可以通过API的方式进行数据采集从而实现数据库审计的效果。非RDS数据库需要在数据库云主机上部署轻量Agent程序进行书记采集，来实现数据库审计效果</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主要功能要求</w:t>
            </w: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支持Oracle、SQL-Server、DB2、Informix、Sybase、MySQL等主流数据库审计</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支持对SQLserver 2005以上版本采用通讯加密的数据库，可以导入证书的方式实现审计解密；</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操作时间、SQL语句、执行结果、返回结果集、影响行数、执行时长、数据库用户名、实例名、源/目的IP、源/目的端口、源/目的MAC、客户端主机名、客户端程序名称、客户端操作系统用户名、业务主机群、SQL模板、会话ID、事件唯一ID等至少21个条件进行审计</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支持数据库请求和返回的双向审计，特别是返回字段和结果集、执行状态、返回行数、执行时长等内容，支持通过返回行数和内容大小控制返回结果集大小。</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支持定期自动扫描数据库漏洞和不安全配置，提供漏洞扫描报告；</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支持基于数据库访问日期、时间、源/目的IP、来源、数据库名、数据库表名、字段值、数据库登陆账号、SQL关键词、数据库返回码、SQL响应时间、数据库操作类型、影响行数等条件的审计查询</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支持对数据库自动建模及智能对异常行为告警功能。</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支持审计记录中敏感数据的模糊化处理，内置常见敏感数据掩码规则，支持自定义敏感数据掩码规则</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noWrap w:val="0"/>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rPr>
            </w:pPr>
            <w:r>
              <w:rPr>
                <w:rFonts w:hint="eastAsia" w:ascii="宋体" w:hAnsi="宋体" w:cs="宋体"/>
              </w:rPr>
              <w:t>规格</w:t>
            </w:r>
          </w:p>
        </w:tc>
        <w:tc>
          <w:tcPr>
            <w:tcW w:w="6339"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支持1数据库实例，2000TPS（每秒数据数）</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支持2数据库实例，4000TPS（每秒数据数）</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rPr>
            </w:pPr>
            <w:r>
              <w:rPr>
                <w:rFonts w:hint="eastAsia" w:ascii="宋体" w:hAnsi="宋体" w:cs="宋体"/>
              </w:rPr>
              <w:t>支持4数据库实例，8000TPS（每秒数据数）</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03" w:type="dxa"/>
            <w:vMerge w:val="continue"/>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c>
          <w:tcPr>
            <w:tcW w:w="6339"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kern w:val="0"/>
              </w:rPr>
            </w:pPr>
            <w:r>
              <w:rPr>
                <w:rFonts w:hint="eastAsia" w:ascii="宋体" w:hAnsi="宋体" w:cs="宋体"/>
              </w:rPr>
              <w:t>支持8数据库实例，16000TPS（每秒数据数）</w:t>
            </w:r>
          </w:p>
        </w:tc>
        <w:tc>
          <w:tcPr>
            <w:tcW w:w="1564" w:type="dxa"/>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cs="宋体"/>
              </w:rPr>
            </w:pPr>
          </w:p>
        </w:tc>
      </w:tr>
    </w:tbl>
    <w:p>
      <w:pPr>
        <w:snapToGrid w:val="0"/>
        <w:ind w:firstLine="420"/>
        <w:rPr>
          <w:rFonts w:ascii="宋体" w:hAnsi="宋体"/>
          <w:szCs w:val="21"/>
        </w:rPr>
      </w:pPr>
    </w:p>
    <w:p>
      <w:pPr>
        <w:numPr>
          <w:ilvl w:val="0"/>
          <w:numId w:val="8"/>
        </w:numPr>
        <w:snapToGrid w:val="0"/>
        <w:rPr>
          <w:rFonts w:ascii="宋体" w:hAnsi="宋体"/>
        </w:rPr>
      </w:pPr>
      <w:r>
        <w:rPr>
          <w:rFonts w:hint="eastAsia" w:ascii="宋体" w:hAnsi="宋体"/>
        </w:rPr>
        <w:t>网页防篡改服务要求</w:t>
      </w:r>
    </w:p>
    <w:tbl>
      <w:tblPr>
        <w:tblStyle w:val="63"/>
        <w:tblW w:w="50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634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项目</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要求</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服务形态</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承载于云安全资源池内，以软件形态提供云上安全防护服务</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使用方式</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云租户通过登录云安全管理平台，单点登录网页防篡改服务模块，进行中心端的统一运维管理。同时网站所在虚拟机上需安装轻量</w:t>
            </w:r>
            <w:r>
              <w:rPr>
                <w:rFonts w:ascii="宋体" w:hAnsi="宋体"/>
              </w:rPr>
              <w:t>A</w:t>
            </w:r>
            <w:r>
              <w:rPr>
                <w:rFonts w:hint="eastAsia" w:ascii="宋体" w:hAnsi="宋体"/>
              </w:rPr>
              <w:t>gent程序，实现网页防篡改效果</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主要功能要求</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支持windows、linux等主流操作系统的</w:t>
            </w:r>
            <w:r>
              <w:rPr>
                <w:rFonts w:ascii="宋体" w:hAnsi="宋体"/>
              </w:rPr>
              <w:t>文件</w:t>
            </w:r>
            <w:r>
              <w:rPr>
                <w:rFonts w:hint="eastAsia" w:ascii="宋体" w:hAnsi="宋体"/>
              </w:rPr>
              <w:t>和目录的</w:t>
            </w:r>
            <w:r>
              <w:rPr>
                <w:rFonts w:ascii="宋体" w:hAnsi="宋体"/>
              </w:rPr>
              <w:t>保护：支持各类网页文件的保护，支持对指定文件夹以及子文件夹的保护，避免上传非法文件及木马等恶意文件或插入恶意代码</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w:t>
            </w:r>
            <w:r>
              <w:rPr>
                <w:rFonts w:ascii="宋体" w:hAnsi="宋体"/>
              </w:rPr>
              <w:t>一键启停文件保护：一键启停所有监控端对文件保护，不必登录WEB服务</w:t>
            </w:r>
            <w:r>
              <w:rPr>
                <w:rFonts w:hint="eastAsia" w:ascii="宋体" w:hAnsi="宋体"/>
              </w:rPr>
              <w:t>器</w:t>
            </w:r>
            <w:r>
              <w:rPr>
                <w:rFonts w:ascii="宋体" w:hAnsi="宋体"/>
              </w:rPr>
              <w:t>进行停启</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kern w:val="0"/>
              </w:rPr>
            </w:pPr>
            <w:r>
              <w:rPr>
                <w:rFonts w:hint="eastAsia" w:ascii="宋体" w:hAnsi="宋体"/>
              </w:rPr>
              <w:t>篡改规则：支持基于目录、进程、文件、文件类型等进行设置篡改规则，支持正则表达式策略</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w:t>
            </w:r>
            <w:r>
              <w:rPr>
                <w:rFonts w:ascii="宋体" w:hAnsi="宋体"/>
              </w:rPr>
              <w:t>模板配置：支持在同一种操作系统下，网站路径相同，可通过规则模板，用模板统一将规则下发到各监控端，无需对监控端进行一一配置</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Docker容器：防护端agent兼容docker容器环境的部署</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规格</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每台</w:t>
            </w:r>
            <w:r>
              <w:rPr>
                <w:rFonts w:ascii="宋体" w:hAnsi="宋体"/>
              </w:rPr>
              <w:t>web</w:t>
            </w:r>
            <w:r>
              <w:rPr>
                <w:rFonts w:hint="eastAsia" w:ascii="宋体" w:hAnsi="宋体"/>
              </w:rPr>
              <w:t>云主机一套</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bl>
    <w:p>
      <w:pPr>
        <w:ind w:firstLine="420"/>
        <w:rPr>
          <w:rFonts w:ascii="宋体" w:hAnsi="宋体"/>
          <w:szCs w:val="21"/>
        </w:rPr>
      </w:pPr>
    </w:p>
    <w:p>
      <w:pPr>
        <w:pStyle w:val="256"/>
        <w:numPr>
          <w:ilvl w:val="0"/>
          <w:numId w:val="8"/>
        </w:numPr>
        <w:ind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云防火墙(IPS\防病毒网关\内容过滤)服务要求</w:t>
      </w:r>
    </w:p>
    <w:tbl>
      <w:tblPr>
        <w:tblStyle w:val="63"/>
        <w:tblW w:w="50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634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项目</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要求</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服务形态</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承载于云安全资源池内，以软件形态提供云上安全防护服务</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使用方式</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云租户通过登录云安全管理平台，单点登录云防火墙服务模块，进行安全运维管理。</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rPr>
            </w:pPr>
            <w:r>
              <w:rPr>
                <w:rFonts w:hint="eastAsia" w:ascii="宋体" w:hAnsi="宋体"/>
              </w:rPr>
              <w:t>主要功能要求</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支持访问控制功能</w:t>
            </w:r>
            <w:r>
              <w:rPr>
                <w:rFonts w:ascii="宋体" w:hAnsi="宋体"/>
              </w:rPr>
              <w:t xml:space="preserve">: </w:t>
            </w:r>
            <w:r>
              <w:rPr>
                <w:rFonts w:hint="eastAsia" w:ascii="宋体" w:hAnsi="宋体"/>
              </w:rPr>
              <w:t>基于用户、应用、时间、地址、服务等方式进行网络访问控制</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支持攻击源地图实时展示，支持攻击源、攻击目的、攻击事件统计功能</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★支持入侵防御的功能：</w:t>
            </w:r>
            <w:r>
              <w:rPr>
                <w:rFonts w:ascii="宋体" w:hAnsi="宋体"/>
              </w:rPr>
              <w:t>IPS</w:t>
            </w:r>
            <w:r>
              <w:rPr>
                <w:rFonts w:hint="eastAsia" w:ascii="宋体" w:hAnsi="宋体"/>
              </w:rPr>
              <w:t>特征库数量不少于</w:t>
            </w:r>
            <w:r>
              <w:rPr>
                <w:rFonts w:ascii="宋体" w:hAnsi="宋体"/>
              </w:rPr>
              <w:t>2000</w:t>
            </w:r>
            <w:r>
              <w:rPr>
                <w:rFonts w:hint="eastAsia" w:ascii="宋体" w:hAnsi="宋体"/>
              </w:rPr>
              <w:t>多条，支持事件集自定义自动和手动两种更新，支持应急事件及时更新（提供产品截图或官方技术说明文档）</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支持防病毒功能</w:t>
            </w:r>
            <w:r>
              <w:rPr>
                <w:rFonts w:ascii="宋体" w:hAnsi="宋体"/>
              </w:rPr>
              <w:t>:</w:t>
            </w:r>
            <w:r>
              <w:rPr>
                <w:rFonts w:hint="eastAsia" w:ascii="宋体" w:hAnsi="宋体"/>
              </w:rPr>
              <w:t>支持HTTP，FTP，POP3，SMTP，IMAP协议的病毒查杀、病毒库自动更新、虚拟脱壳、自定义查杀文件大小</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hint="eastAsia" w:ascii="宋体" w:hAnsi="宋体"/>
              </w:rPr>
              <w:t>规格</w:t>
            </w: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ascii="宋体" w:hAnsi="宋体"/>
              </w:rPr>
              <w:t>防护流量100Mbps</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ascii="宋体" w:hAnsi="宋体"/>
              </w:rPr>
              <w:t>防护流量200Mbps</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ascii="宋体" w:hAnsi="宋体"/>
              </w:rPr>
              <w:t>防护流量5</w:t>
            </w:r>
            <w:r>
              <w:rPr>
                <w:rFonts w:hint="eastAsia" w:ascii="宋体" w:hAnsi="宋体"/>
              </w:rPr>
              <w:t>0</w:t>
            </w:r>
            <w:r>
              <w:rPr>
                <w:rFonts w:ascii="宋体" w:hAnsi="宋体"/>
              </w:rPr>
              <w:t>0Mbps</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c>
          <w:tcPr>
            <w:tcW w:w="63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rPr>
            </w:pPr>
            <w:r>
              <w:rPr>
                <w:rFonts w:ascii="宋体" w:hAnsi="宋体"/>
              </w:rPr>
              <w:t>防护流量</w:t>
            </w:r>
            <w:r>
              <w:rPr>
                <w:rFonts w:hint="eastAsia" w:ascii="宋体" w:hAnsi="宋体"/>
              </w:rPr>
              <w:t>1</w:t>
            </w:r>
            <w:r>
              <w:rPr>
                <w:rFonts w:ascii="宋体" w:hAnsi="宋体"/>
              </w:rPr>
              <w:t>Gbps</w:t>
            </w:r>
          </w:p>
        </w:tc>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p>
        </w:tc>
      </w:tr>
    </w:tbl>
    <w:p>
      <w:pPr>
        <w:pStyle w:val="4"/>
      </w:pPr>
      <w:r>
        <w:rPr>
          <w:rFonts w:hint="eastAsia"/>
        </w:rPr>
        <w:t>4、云基础设施服务要求</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（一）IDC机房</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供应商提供的政务云专用机房面积不小于300平方，且为完全独立空间、独立门禁，不得同时提供其他非电子政务类云托管业务，要求机房托管业务获得国内信息安全管理体系认证。机房供电保障系统需配置保障油机1500KWA或更高的规格,并实现油机1+1备份、不间断电源系统需配置400KVA（1+1）或更高的UPS规格，机房基础安全设施需配置管网式气体消防、早期烟雾告警、门禁系统等系统。</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（二）网络支撑</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投标人应具有对全市党政单位、企事业单位、乡镇、行政村（社区）等接入单位的完整网络覆盖能力。网络线路要求自用户提出需求起７个工作日完成施工，若无法竣工，招标方有权选择使用其他电信运营商提供的网络。</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highlight w:val="yellow"/>
        </w:rPr>
      </w:pPr>
      <w:r>
        <w:rPr>
          <w:rFonts w:hint="eastAsia" w:ascii="宋体" w:hAnsi="宋体" w:cs="宋体"/>
          <w:sz w:val="24"/>
          <w:szCs w:val="32"/>
          <w:highlight w:val="none"/>
          <w:u w:val="single"/>
        </w:rPr>
        <w:t>▲投标人必须承诺其提供的IDC机房接受其他电信运营商的网络接入</w:t>
      </w:r>
      <w:r>
        <w:rPr>
          <w:rFonts w:hint="eastAsia" w:ascii="宋体" w:hAnsi="宋体" w:cs="宋体"/>
          <w:sz w:val="24"/>
          <w:szCs w:val="32"/>
          <w:highlight w:val="none"/>
          <w:u w:val="single"/>
          <w:lang w:eastAsia="zh-CN"/>
        </w:rPr>
        <w:t>，</w:t>
      </w:r>
      <w:r>
        <w:rPr>
          <w:rFonts w:hint="eastAsia" w:ascii="宋体" w:hAnsi="宋体"/>
          <w:sz w:val="24"/>
          <w:szCs w:val="24"/>
          <w:u w:val="single"/>
          <w:lang w:val="en-US" w:eastAsia="zh-CN"/>
        </w:rPr>
        <w:t>提供履约服务承诺函（格式自拟）。</w:t>
      </w:r>
    </w:p>
    <w:p>
      <w:pPr>
        <w:pStyle w:val="4"/>
      </w:pPr>
      <w:r>
        <w:rPr>
          <w:rFonts w:hint="eastAsia"/>
        </w:rPr>
        <w:t>5、云管系统要求</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sz w:val="24"/>
          <w:szCs w:val="32"/>
        </w:rPr>
      </w:pPr>
      <w:r>
        <w:rPr>
          <w:rFonts w:hint="eastAsia"/>
          <w:sz w:val="24"/>
          <w:szCs w:val="32"/>
        </w:rPr>
        <w:t>满足租户对订购的云资源清单、性能、运行状态查询导出功能，具备与内跑平台资源开通流程进行对接。</w:t>
      </w:r>
    </w:p>
    <w:tbl>
      <w:tblPr>
        <w:tblStyle w:val="63"/>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634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0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功能项</w:t>
            </w:r>
          </w:p>
        </w:tc>
        <w:tc>
          <w:tcPr>
            <w:tcW w:w="635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center"/>
              <w:textAlignment w:val="auto"/>
              <w:rPr>
                <w:rFonts w:hint="eastAsia" w:ascii="宋体" w:hAnsi="宋体"/>
                <w:kern w:val="0"/>
              </w:rPr>
            </w:pPr>
            <w:r>
              <w:rPr>
                <w:rFonts w:hint="eastAsia" w:ascii="宋体" w:hAnsi="宋体"/>
                <w:kern w:val="0"/>
              </w:rPr>
              <w:t>要求</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center"/>
              <w:textAlignment w:val="auto"/>
              <w:rPr>
                <w:rFonts w:hint="eastAsia"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150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系统管理</w:t>
            </w:r>
          </w:p>
        </w:tc>
        <w:tc>
          <w:tcPr>
            <w:tcW w:w="635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r>
              <w:rPr>
                <w:rFonts w:hint="eastAsia" w:ascii="宋体" w:hAnsi="宋体"/>
                <w:kern w:val="0"/>
              </w:rPr>
              <w:t>组织管理，角色管理，人员管理，界面管理</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0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账单管理</w:t>
            </w:r>
          </w:p>
        </w:tc>
        <w:tc>
          <w:tcPr>
            <w:tcW w:w="635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r>
              <w:rPr>
                <w:rFonts w:hint="eastAsia" w:ascii="宋体" w:hAnsi="宋体"/>
                <w:kern w:val="0"/>
              </w:rPr>
              <w:t>账单查询，账单统计，账单导出。账单确认</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0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实例查询</w:t>
            </w:r>
          </w:p>
        </w:tc>
        <w:tc>
          <w:tcPr>
            <w:tcW w:w="635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r>
              <w:rPr>
                <w:rFonts w:hint="eastAsia" w:ascii="宋体" w:hAnsi="宋体"/>
                <w:kern w:val="0"/>
              </w:rPr>
              <w:t>云应用服务，云安全服务--统一基础安全服务，云安全服务--自主安全服务，</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0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首页优化</w:t>
            </w:r>
          </w:p>
        </w:tc>
        <w:tc>
          <w:tcPr>
            <w:tcW w:w="635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r>
              <w:rPr>
                <w:rFonts w:hint="eastAsia" w:ascii="宋体" w:hAnsi="宋体"/>
                <w:kern w:val="0"/>
              </w:rPr>
              <w:t>首页展示，模块互换，费用展示，资源使用</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0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任务订单</w:t>
            </w:r>
          </w:p>
        </w:tc>
        <w:tc>
          <w:tcPr>
            <w:tcW w:w="635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r>
              <w:rPr>
                <w:rFonts w:hint="eastAsia" w:ascii="宋体" w:hAnsi="宋体"/>
                <w:kern w:val="0"/>
              </w:rPr>
              <w:t>工作台，任务列表</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leftChars="-16" w:hanging="33" w:hangingChars="16"/>
              <w:jc w:val="left"/>
              <w:textAlignment w:val="auto"/>
              <w:rPr>
                <w:rFonts w:hint="eastAsia" w:ascii="宋体" w:hAnsi="宋体"/>
                <w:kern w:val="0"/>
              </w:rPr>
            </w:pPr>
          </w:p>
        </w:tc>
      </w:tr>
    </w:tbl>
    <w:p>
      <w:pPr>
        <w:ind w:firstLine="420"/>
        <w:rPr>
          <w:rFonts w:hint="eastAsia"/>
        </w:rPr>
      </w:pPr>
    </w:p>
    <w:p>
      <w:pPr>
        <w:pStyle w:val="4"/>
        <w:rPr>
          <w:rFonts w:hint="eastAsia"/>
        </w:rPr>
      </w:pPr>
      <w:r>
        <w:rPr>
          <w:rFonts w:hint="eastAsia"/>
        </w:rPr>
        <w:t>6、异地备份服务要求</w:t>
      </w:r>
    </w:p>
    <w:tbl>
      <w:tblPr>
        <w:tblStyle w:val="63"/>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634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1504"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kern w:val="0"/>
              </w:rPr>
            </w:pPr>
            <w:r>
              <w:rPr>
                <w:rFonts w:hint="eastAsia" w:ascii="宋体" w:hAnsi="宋体"/>
                <w:kern w:val="0"/>
              </w:rPr>
              <w:t>指标项</w:t>
            </w:r>
          </w:p>
        </w:tc>
        <w:tc>
          <w:tcPr>
            <w:tcW w:w="633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kern w:val="0"/>
              </w:rPr>
            </w:pPr>
            <w:r>
              <w:rPr>
                <w:rFonts w:hint="eastAsia" w:ascii="宋体" w:hAnsi="宋体"/>
                <w:kern w:val="0"/>
              </w:rPr>
              <w:t>要求</w:t>
            </w:r>
          </w:p>
        </w:tc>
        <w:tc>
          <w:tcPr>
            <w:tcW w:w="1616"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04"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远程复制</w:t>
            </w:r>
          </w:p>
        </w:tc>
        <w:tc>
          <w:tcPr>
            <w:tcW w:w="633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支持catalog、备份集等备份数据的异地容灾，即通过异地存储的备份数据，对本地、异地中备份服务器、存储服务器、代理端等设备，实现在本机或异机上进行恢复</w:t>
            </w:r>
          </w:p>
        </w:tc>
        <w:tc>
          <w:tcPr>
            <w:tcW w:w="1616"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04"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kern w:val="0"/>
              </w:rPr>
            </w:pPr>
          </w:p>
        </w:tc>
        <w:tc>
          <w:tcPr>
            <w:tcW w:w="633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支持备份任务执行时，采用接龙式的点到点复制方式，实现备份集在存储服务器中的多份同步复制，避免源端服务器在备份集进行1对多并发复制时造成的占用多倍传输资源。</w:t>
            </w:r>
          </w:p>
        </w:tc>
        <w:tc>
          <w:tcPr>
            <w:tcW w:w="1616"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04"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数据加密</w:t>
            </w:r>
          </w:p>
        </w:tc>
        <w:tc>
          <w:tcPr>
            <w:tcW w:w="633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支持AES、Blowfish等加密算法。对于AES加密需要支持选择不同密钥长度，以便用户根据源端计算资源情况选择合适的数据加密处理。</w:t>
            </w:r>
          </w:p>
        </w:tc>
        <w:tc>
          <w:tcPr>
            <w:tcW w:w="1616"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04"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云端存储</w:t>
            </w:r>
          </w:p>
        </w:tc>
        <w:tc>
          <w:tcPr>
            <w:tcW w:w="633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r>
              <w:rPr>
                <w:rFonts w:hint="eastAsia" w:ascii="宋体" w:hAnsi="宋体"/>
                <w:kern w:val="0"/>
              </w:rPr>
              <w:t>基于对象存储技术，支持采用D2C方式，把本地数据备份到云平台，实现本地与云端数据的协同保护。</w:t>
            </w:r>
          </w:p>
        </w:tc>
        <w:tc>
          <w:tcPr>
            <w:tcW w:w="1616"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kern w:val="0"/>
              </w:rPr>
            </w:pPr>
          </w:p>
        </w:tc>
      </w:tr>
    </w:tbl>
    <w:p>
      <w:pPr>
        <w:rPr>
          <w:rFonts w:hint="eastAsia"/>
        </w:rPr>
      </w:pPr>
    </w:p>
    <w:p>
      <w:pPr>
        <w:pStyle w:val="4"/>
        <w:rPr>
          <w:rFonts w:hint="eastAsia"/>
        </w:rPr>
      </w:pPr>
      <w:r>
        <w:rPr>
          <w:rFonts w:hint="eastAsia"/>
        </w:rPr>
        <w:t>7、运营服务要求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32"/>
        </w:rPr>
      </w:pPr>
      <w:r>
        <w:rPr>
          <w:rFonts w:hint="eastAsia"/>
          <w:sz w:val="24"/>
          <w:szCs w:val="32"/>
        </w:rPr>
        <w:t>根据市数据局管理规范，为市本级用户提供政务云业务支持，做好云上应用安全检查工作，包括基线核查、渗透测试等，并做好云服务的应用推广工作，包括用户咨询答疑、用户培训、涉云业务流程审核把关、用户体验管理、以及政策与合规性管理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32"/>
        </w:rPr>
      </w:pPr>
    </w:p>
    <w:p>
      <w:pPr>
        <w:rPr>
          <w:rFonts w:hint="eastAsia"/>
        </w:rPr>
      </w:pPr>
    </w:p>
    <w:p>
      <w:pPr>
        <w:pStyle w:val="2"/>
      </w:pPr>
      <w:r>
        <w:rPr>
          <w:rFonts w:hint="eastAsia"/>
        </w:rPr>
        <w:t>六、云技术支持服务要求</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sz w:val="24"/>
          <w:szCs w:val="32"/>
        </w:rPr>
      </w:pPr>
      <w:r>
        <w:rPr>
          <w:sz w:val="24"/>
          <w:szCs w:val="32"/>
        </w:rPr>
        <w:t>（一）应用迁移咨询服务</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sz w:val="24"/>
          <w:szCs w:val="32"/>
        </w:rPr>
      </w:pPr>
      <w:r>
        <w:rPr>
          <w:sz w:val="24"/>
          <w:szCs w:val="32"/>
        </w:rPr>
        <w:t>投标人应制定云平台应用开发及迁移部署规范、关系型数据库使用规范、政务云安全防护体系等规范标准，协助各级部门进行云应用开发，配合做好所有业务应用系统的部署、运行和安全保障。</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sz w:val="24"/>
          <w:szCs w:val="32"/>
        </w:rPr>
      </w:pPr>
      <w:r>
        <w:rPr>
          <w:sz w:val="24"/>
          <w:szCs w:val="32"/>
        </w:rPr>
        <w:t>投标人应承诺在项目服务期内，针对上云的业务应用提供架构设计咨询，对采购人指定的云业务系统进行统筹规划，指导业务系统的原软件开发商进行代码修改和系统部署，在系统迁移部署提供非代码级别的迁移支持服务。</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sz w:val="24"/>
          <w:szCs w:val="32"/>
        </w:rPr>
      </w:pPr>
      <w:r>
        <w:rPr>
          <w:sz w:val="24"/>
          <w:szCs w:val="32"/>
        </w:rPr>
        <w:t xml:space="preserve">投标人应配合采购人对现业务系统进行调查摸底，根据实际情况配合制定迁移方案，配合各业务部门做好应用迁移工作，确保平稳过渡、顺利迁移。 </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sz w:val="24"/>
          <w:szCs w:val="32"/>
        </w:rPr>
      </w:pPr>
      <w:r>
        <w:rPr>
          <w:sz w:val="24"/>
          <w:szCs w:val="32"/>
        </w:rPr>
        <w:t>具体服务要求如下：</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7113"/>
        <w:gridCol w:w="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rPr>
            </w:pPr>
            <w:r>
              <w:rPr>
                <w:rFonts w:hint="eastAsia" w:ascii="宋体" w:hAnsi="宋体"/>
              </w:rPr>
              <w:t>指标项</w:t>
            </w:r>
          </w:p>
        </w:tc>
        <w:tc>
          <w:tcPr>
            <w:tcW w:w="32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rPr>
            </w:pPr>
            <w:r>
              <w:rPr>
                <w:rFonts w:hint="eastAsia" w:ascii="宋体" w:hAnsi="宋体"/>
              </w:rPr>
              <w:t>服务要求</w:t>
            </w:r>
          </w:p>
        </w:tc>
        <w:tc>
          <w:tcPr>
            <w:tcW w:w="81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政务整体云架构设计规划</w:t>
            </w:r>
          </w:p>
        </w:tc>
        <w:tc>
          <w:tcPr>
            <w:tcW w:w="327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提供政务整体</w:t>
            </w:r>
            <w:r>
              <w:rPr>
                <w:rFonts w:ascii="宋体" w:hAnsi="宋体"/>
              </w:rPr>
              <w:t>IT</w:t>
            </w:r>
            <w:r>
              <w:rPr>
                <w:rFonts w:hint="eastAsia" w:ascii="宋体" w:hAnsi="宋体"/>
              </w:rPr>
              <w:t>架构云化解决方案，包括现有业务应用的梳理、云架构的设计以及上云的策略等。</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业务应用上云架构设计</w:t>
            </w:r>
          </w:p>
        </w:tc>
        <w:tc>
          <w:tcPr>
            <w:tcW w:w="327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提供对单个业务应用的上云架构设计，包括架构设计、改造方案和云资源需求评估等。</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软件设计及开发技术咨询</w:t>
            </w:r>
          </w:p>
        </w:tc>
        <w:tc>
          <w:tcPr>
            <w:tcW w:w="327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提供基于云计算平台的软件设计与开发咨询与技术指导</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开发测试环境</w:t>
            </w:r>
          </w:p>
        </w:tc>
        <w:tc>
          <w:tcPr>
            <w:tcW w:w="3274" w:type="pct"/>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免费提供仿真的开发与测试环境，供应用系统上线前的开发与测试。测试时间一般为</w:t>
            </w:r>
            <w:r>
              <w:rPr>
                <w:rFonts w:ascii="宋体" w:hAnsi="宋体"/>
              </w:rPr>
              <w:t>7-30</w:t>
            </w:r>
            <w:r>
              <w:rPr>
                <w:rFonts w:hint="eastAsia" w:ascii="宋体" w:hAnsi="宋体"/>
              </w:rPr>
              <w:t>天，测试时间内不得收费。</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测试</w:t>
            </w:r>
          </w:p>
        </w:tc>
        <w:tc>
          <w:tcPr>
            <w:tcW w:w="3274" w:type="pct"/>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协助用户完成应用系统的功能、性能、安全等测试，测试未通过则禁止应用系统上线运行。</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安全咨询</w:t>
            </w:r>
          </w:p>
        </w:tc>
        <w:tc>
          <w:tcPr>
            <w:tcW w:w="327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提供基于云计算平台的业务应用和政务整体</w:t>
            </w:r>
            <w:r>
              <w:rPr>
                <w:rFonts w:ascii="宋体" w:hAnsi="宋体"/>
              </w:rPr>
              <w:t>IT</w:t>
            </w:r>
            <w:r>
              <w:rPr>
                <w:rFonts w:hint="eastAsia" w:ascii="宋体" w:hAnsi="宋体"/>
              </w:rPr>
              <w:t>规划的安全方面咨询服务</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业务应用上云分析诊断</w:t>
            </w:r>
          </w:p>
        </w:tc>
        <w:tc>
          <w:tcPr>
            <w:tcW w:w="327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提供业务应用上云的方法指导，并提供相关上云指导手册，对上云过程中的技术问题提供支持。</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rPr>
            </w:pPr>
          </w:p>
        </w:tc>
      </w:tr>
    </w:tbl>
    <w:p>
      <w:pPr>
        <w:ind w:firstLine="420"/>
        <w:rPr>
          <w:rFonts w:hint="eastAsia" w:ascii="宋体" w:hAnsi="宋体" w:cs="宋体"/>
        </w:rPr>
      </w:pP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（二）其他技术服务</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 xml:space="preserve">投标人应提供灾难时数据恢复服务和容灾系统规划服务；提供虚拟机(含操作系统)、存储(含数据库)和网络服务的监控、配置、管理和优化服务；提供故障警告、日志采集、计量统计的功能；提供专家级系统安全和网络安全优化；建设一套规范的资源使用与管理制度；需在项目建设实施期间以及日后维护过程中全部提供原厂服务。 </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 xml:space="preserve">投标人保证在云平台出现故障和缺陷时，或接到采购人提出的技术服务要求后 1 小时内作出响应。 </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投标人应负责云平台整体运维服务,包括IDC 基础运维、云平台运维等,并提供具体的服务方案。</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（三）培训要求</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sz w:val="24"/>
          <w:szCs w:val="32"/>
        </w:rPr>
      </w:pPr>
      <w:r>
        <w:rPr>
          <w:rFonts w:hint="eastAsia" w:ascii="宋体" w:hAnsi="宋体" w:cs="宋体"/>
          <w:sz w:val="24"/>
          <w:szCs w:val="32"/>
        </w:rPr>
        <w:t>投标人应根据本项目的特点制定培训方案，应提供培训，使招标方相关人员在培训后能够独立的使用系统，而不必依赖投标人现场指导。培训课程应安排在整个项目计划的合适时间段内，培训的内容至少应涵盖政务云平台日常使用所需功能。培训应分为使用及管理培训（针对技术管理人员）和业务开发培训（针对业务开发人员），中标人负责安排专业培训讲师授课，并提供全套培训教材和培训课程计划表。</w:t>
      </w:r>
    </w:p>
    <w:p>
      <w:pPr>
        <w:pStyle w:val="2"/>
        <w:spacing w:line="360" w:lineRule="auto"/>
      </w:pPr>
      <w:r>
        <w:rPr>
          <w:rFonts w:hint="eastAsia"/>
        </w:rPr>
        <w:t>七、测评要求</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sz w:val="24"/>
          <w:szCs w:val="32"/>
        </w:rPr>
      </w:pPr>
      <w:r>
        <w:rPr>
          <w:sz w:val="24"/>
          <w:szCs w:val="32"/>
        </w:rPr>
        <w:t>投标人所投的软件及硬件部分必须满足基本要求，如果采购人对中标后产品功能存在有疑议，可邀请第三方测评中心对投标方所投软件、硬件进行测试。如果无法满足标书要求的，以虚假应标处理，采购人有权终止合同，并保留追究投标方违约责任的权力。测评所产生的费用由投标人承担，并赔偿因项目延误造成的一切损失。</w:t>
      </w:r>
    </w:p>
    <w:p>
      <w:pPr>
        <w:pStyle w:val="2"/>
        <w:rPr>
          <w:rFonts w:hint="eastAsia"/>
        </w:rPr>
      </w:pPr>
      <w:r>
        <w:rPr>
          <w:rFonts w:hint="eastAsia"/>
        </w:rPr>
        <w:t>八、服务退出和考核</w:t>
      </w:r>
    </w:p>
    <w:tbl>
      <w:tblPr>
        <w:tblStyle w:val="63"/>
        <w:tblW w:w="8720" w:type="dxa"/>
        <w:jc w:val="center"/>
        <w:tblLayout w:type="fixed"/>
        <w:tblCellMar>
          <w:top w:w="0" w:type="dxa"/>
          <w:left w:w="108" w:type="dxa"/>
          <w:bottom w:w="0" w:type="dxa"/>
          <w:right w:w="108" w:type="dxa"/>
        </w:tblCellMar>
      </w:tblPr>
      <w:tblGrid>
        <w:gridCol w:w="1207"/>
        <w:gridCol w:w="1333"/>
        <w:gridCol w:w="4397"/>
        <w:gridCol w:w="936"/>
        <w:gridCol w:w="847"/>
      </w:tblGrid>
      <w:tr>
        <w:tblPrEx>
          <w:tblCellMar>
            <w:top w:w="0" w:type="dxa"/>
            <w:left w:w="108" w:type="dxa"/>
            <w:bottom w:w="0" w:type="dxa"/>
            <w:right w:w="108" w:type="dxa"/>
          </w:tblCellMar>
        </w:tblPrEx>
        <w:trPr>
          <w:trHeight w:val="743" w:hRule="atLeast"/>
          <w:jc w:val="center"/>
        </w:trPr>
        <w:tc>
          <w:tcPr>
            <w:tcW w:w="8720" w:type="dxa"/>
            <w:gridSpan w:val="5"/>
            <w:tcBorders>
              <w:top w:val="nil"/>
              <w:left w:val="nil"/>
              <w:bottom w:val="nil"/>
              <w:right w:val="nil"/>
            </w:tcBorders>
            <w:noWrap w:val="0"/>
            <w:vAlign w:val="center"/>
          </w:tcPr>
          <w:p>
            <w:pPr>
              <w:widowControl/>
              <w:jc w:val="center"/>
              <w:rPr>
                <w:rFonts w:ascii="Times New Roman" w:hAnsi="Times New Roman" w:eastAsia="方正小标宋_GBK"/>
                <w:b/>
                <w:bCs/>
                <w:color w:val="666666"/>
                <w:kern w:val="0"/>
                <w:sz w:val="32"/>
                <w:szCs w:val="32"/>
              </w:rPr>
            </w:pPr>
            <w:r>
              <w:rPr>
                <w:rFonts w:ascii="Times New Roman" w:hAnsi="Times New Roman" w:eastAsia="黑体"/>
                <w:b/>
                <w:bCs/>
                <w:kern w:val="0"/>
                <w:sz w:val="32"/>
                <w:szCs w:val="32"/>
              </w:rPr>
              <w:t>温州市电子政务云管理考核办法（季度）</w:t>
            </w:r>
          </w:p>
        </w:tc>
      </w:tr>
      <w:tr>
        <w:tblPrEx>
          <w:tblCellMar>
            <w:top w:w="0" w:type="dxa"/>
            <w:left w:w="108" w:type="dxa"/>
            <w:bottom w:w="0" w:type="dxa"/>
            <w:right w:w="108" w:type="dxa"/>
          </w:tblCellMar>
        </w:tblPrEx>
        <w:trPr>
          <w:trHeight w:val="570" w:hRule="atLeast"/>
          <w:jc w:val="center"/>
        </w:trPr>
        <w:tc>
          <w:tcPr>
            <w:tcW w:w="12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一级指标</w:t>
            </w:r>
          </w:p>
        </w:tc>
        <w:tc>
          <w:tcPr>
            <w:tcW w:w="133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二级指标</w:t>
            </w:r>
          </w:p>
        </w:tc>
        <w:tc>
          <w:tcPr>
            <w:tcW w:w="4397"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考核办法</w:t>
            </w:r>
          </w:p>
        </w:tc>
        <w:tc>
          <w:tcPr>
            <w:tcW w:w="93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满分值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570" w:hRule="atLeast"/>
          <w:jc w:val="center"/>
        </w:trPr>
        <w:tc>
          <w:tcPr>
            <w:tcW w:w="120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基础保障</w:t>
            </w:r>
          </w:p>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（40分）</w:t>
            </w: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云服务符合性检查（20分）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按合同约定，针对云服务各项内容符合性检查情况打分，未符合1项扣2分。</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20</w:t>
            </w:r>
          </w:p>
        </w:tc>
        <w:tc>
          <w:tcPr>
            <w:tcW w:w="84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42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云资源可用性（20分）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确保云资源的充足及实时可用，资源水位线不高于85%，包括但不限于CPU、内存、储存、RDS等均需满足客户的新增需求，因资源不足导致无法交付，每发现一次扣2分。</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20</w:t>
            </w:r>
          </w:p>
        </w:tc>
        <w:tc>
          <w:tcPr>
            <w:tcW w:w="84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140" w:hRule="atLeast"/>
          <w:jc w:val="center"/>
        </w:trPr>
        <w:tc>
          <w:tcPr>
            <w:tcW w:w="120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运营管理</w:t>
            </w:r>
          </w:p>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（30分）</w:t>
            </w: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规范审批（5分）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云资源使用严格落实审批制度，每发现一起未批先开、批开不符等行为扣2分；因自身原因造成市本级工单审批超期的，每起扣2分。</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5</w:t>
            </w:r>
          </w:p>
        </w:tc>
        <w:tc>
          <w:tcPr>
            <w:tcW w:w="84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85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资产同步（5分）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及时对云管平台内资产信息进行更新维护（含云上互联网IP和政务网IP使用和变更），云管平台内可信资产占比每降低20%，扣1分。</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5</w:t>
            </w:r>
          </w:p>
        </w:tc>
        <w:tc>
          <w:tcPr>
            <w:tcW w:w="84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42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云效监管（5分）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按照地标对云效进行管理，云效异常占比每超过5%，扣1分。通过内跑-云上预警一件事已发起预警的，如云效异常告知记录、已主动发起降配/释放建议申请等可不纳入统计。</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5</w:t>
            </w:r>
          </w:p>
        </w:tc>
        <w:tc>
          <w:tcPr>
            <w:tcW w:w="84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140"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多云纳管（5分）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必须配合多云纳管平台实现数据对接，相关数据有效采集率不低于99%。采集率=（采集数据项/应采数据项）*(1-中断时间/应采数据时间）</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5</w:t>
            </w:r>
          </w:p>
        </w:tc>
        <w:tc>
          <w:tcPr>
            <w:tcW w:w="84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85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报表台账（10分）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工作月报、巡查记录、安全监测、风险评估、账单等报告及时提交并保障质量，延期或提供质量不高，一份扣2分。</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10</w:t>
            </w:r>
          </w:p>
        </w:tc>
        <w:tc>
          <w:tcPr>
            <w:tcW w:w="84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425" w:hRule="atLeast"/>
          <w:jc w:val="center"/>
        </w:trPr>
        <w:tc>
          <w:tcPr>
            <w:tcW w:w="120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运维管理</w:t>
            </w:r>
            <w:r>
              <w:rPr>
                <w:rFonts w:hint="eastAsia" w:ascii="宋体" w:hAnsi="宋体" w:cs="宋体"/>
                <w:kern w:val="0"/>
                <w:sz w:val="22"/>
                <w:szCs w:val="22"/>
              </w:rPr>
              <w:br w:type="page"/>
            </w:r>
            <w:r>
              <w:rPr>
                <w:rFonts w:hint="eastAsia" w:ascii="宋体" w:hAnsi="宋体" w:cs="宋体"/>
                <w:kern w:val="0"/>
                <w:sz w:val="22"/>
                <w:szCs w:val="22"/>
              </w:rPr>
              <w:t>（30分）</w:t>
            </w: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服务覆盖（8分）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云主机需全部预装EDR、堡垒机、监测组件，并引导租户安装部署，部署率应达100%，每少10%扣1分。通过内跑-云上预警一件事已发起预警的或提供相关提醒记录，如异常告知记录等可不纳入统计。</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8</w:t>
            </w:r>
          </w:p>
        </w:tc>
        <w:tc>
          <w:tcPr>
            <w:tcW w:w="84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85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应急演练（2分）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按客户要求每年进行应急演练不少于2次；应编制应急演练方案，记录应急过程台账，总结演练成果。</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2</w:t>
            </w:r>
          </w:p>
        </w:tc>
        <w:tc>
          <w:tcPr>
            <w:tcW w:w="84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85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安全保障（10分）</w:t>
            </w:r>
          </w:p>
        </w:tc>
        <w:tc>
          <w:tcPr>
            <w:tcW w:w="4397"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监测：每月开展或收集资产漏洞扫描、基线核查及渗</w:t>
            </w:r>
            <w:r>
              <w:rPr>
                <w:rFonts w:hint="eastAsia" w:ascii="宋体" w:hAnsi="宋体" w:cs="宋体"/>
                <w:kern w:val="0"/>
                <w:sz w:val="22"/>
                <w:szCs w:val="22"/>
                <w:u w:val="single"/>
              </w:rPr>
              <w:t>透测试工作</w:t>
            </w:r>
            <w:r>
              <w:rPr>
                <w:rFonts w:hint="eastAsia" w:ascii="宋体" w:hAnsi="宋体" w:cs="宋体"/>
                <w:kern w:val="0"/>
                <w:sz w:val="22"/>
                <w:szCs w:val="22"/>
              </w:rPr>
              <w:t>。缺少1次或1类报告扣1分，扣完为止。</w:t>
            </w:r>
          </w:p>
        </w:tc>
        <w:tc>
          <w:tcPr>
            <w:tcW w:w="93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10</w:t>
            </w:r>
          </w:p>
        </w:tc>
        <w:tc>
          <w:tcPr>
            <w:tcW w:w="84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140"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运营：提供平台侧每月监测预警、隐患整改、策略加固等运营记录（须包含但不限于监测报告内容）。每缺少1个月或缺少1类内容扣1分，扣完为止。</w:t>
            </w:r>
          </w:p>
        </w:tc>
        <w:tc>
          <w:tcPr>
            <w:tcW w:w="93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8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5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确保云上租户安全产品开通，每月提供未按要求部署云上安全服务的清单以及云上安全服务使用情况报表，每少1份扣1分</w:t>
            </w:r>
          </w:p>
        </w:tc>
        <w:tc>
          <w:tcPr>
            <w:tcW w:w="93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8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5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确保云区专用，未经市大数据局许可，每发现一起擅自改变涉云网络结构、违规接入、云资源私自提供情况的，一次扣5分。</w:t>
            </w:r>
          </w:p>
        </w:tc>
        <w:tc>
          <w:tcPr>
            <w:tcW w:w="93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8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570" w:hRule="atLeast"/>
          <w:jc w:val="center"/>
        </w:trPr>
        <w:tc>
          <w:tcPr>
            <w:tcW w:w="120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133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4397"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每月对上月新增应用提供安全检测报告，每少1份扣1分</w:t>
            </w:r>
          </w:p>
        </w:tc>
        <w:tc>
          <w:tcPr>
            <w:tcW w:w="93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8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5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问题处置（10分）</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对云平台存在安全事件和隐患，应及时完成整改，按期整改率须达100%。根据按期整改率打分，每少5%扣1分。</w:t>
            </w:r>
          </w:p>
        </w:tc>
        <w:tc>
          <w:tcPr>
            <w:tcW w:w="936"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10</w:t>
            </w:r>
          </w:p>
        </w:tc>
        <w:tc>
          <w:tcPr>
            <w:tcW w:w="847"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42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对云平台侧、租户侧安全事故、事件和隐患，需及时同步市大数据局和安全运营团队，并通知部门整改，未及时同步并造成安全事故的，一次扣1分，属平台侧问题，视响应情况和影响情况酌情扣分，最高扣5分。</w:t>
            </w:r>
          </w:p>
        </w:tc>
        <w:tc>
          <w:tcPr>
            <w:tcW w:w="93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84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55" w:hRule="atLeast"/>
          <w:jc w:val="center"/>
        </w:trPr>
        <w:tc>
          <w:tcPr>
            <w:tcW w:w="120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13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hint="eastAsia" w:ascii="宋体" w:hAnsi="宋体" w:cs="宋体"/>
                <w:kern w:val="0"/>
                <w:sz w:val="22"/>
                <w:szCs w:val="22"/>
              </w:rPr>
            </w:pP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被上级部门通报的安全事件或隐患，涉及云平台的每件扣2分，涉及云平台租户侧的，云未发现或同步的，每件扣0.1分。</w:t>
            </w:r>
          </w:p>
        </w:tc>
        <w:tc>
          <w:tcPr>
            <w:tcW w:w="93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84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570" w:hRule="atLeast"/>
          <w:jc w:val="center"/>
        </w:trPr>
        <w:tc>
          <w:tcPr>
            <w:tcW w:w="120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133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4397"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每发现IP地址无法溯源或信息不准确的，扣0.5分，扣完为止。</w:t>
            </w:r>
          </w:p>
        </w:tc>
        <w:tc>
          <w:tcPr>
            <w:tcW w:w="93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c>
          <w:tcPr>
            <w:tcW w:w="84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2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合计</w:t>
            </w:r>
          </w:p>
        </w:tc>
        <w:tc>
          <w:tcPr>
            <w:tcW w:w="1333"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　</w:t>
            </w:r>
          </w:p>
        </w:tc>
        <w:tc>
          <w:tcPr>
            <w:tcW w:w="4397"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　</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uto"/>
              <w:jc w:val="center"/>
              <w:rPr>
                <w:rFonts w:hint="eastAsia" w:ascii="宋体" w:hAnsi="宋体" w:cs="宋体"/>
                <w:kern w:val="0"/>
                <w:sz w:val="22"/>
                <w:szCs w:val="22"/>
              </w:rPr>
            </w:pPr>
          </w:p>
        </w:tc>
        <w:tc>
          <w:tcPr>
            <w:tcW w:w="84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43" w:hRule="atLeast"/>
          <w:jc w:val="center"/>
        </w:trPr>
        <w:tc>
          <w:tcPr>
            <w:tcW w:w="8720"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jc w:val="left"/>
              <w:rPr>
                <w:rFonts w:hint="eastAsia" w:ascii="宋体" w:hAnsi="宋体" w:cs="宋体"/>
                <w:b/>
                <w:bCs/>
                <w:kern w:val="0"/>
                <w:sz w:val="22"/>
                <w:szCs w:val="22"/>
              </w:rPr>
            </w:pPr>
            <w:r>
              <w:rPr>
                <w:rFonts w:hint="eastAsia" w:ascii="宋体" w:hAnsi="宋体" w:cs="宋体"/>
                <w:b/>
                <w:bCs/>
                <w:kern w:val="0"/>
                <w:sz w:val="22"/>
                <w:szCs w:val="22"/>
              </w:rPr>
              <w:t>备注：得分95分以上，全额支付季度云服务费；90-95分，扣除3%季度云服务费；85-90分，扣除5%季度云服务费；之后每少一档扣5%，以此类推，最高20%。</w:t>
            </w:r>
          </w:p>
        </w:tc>
      </w:tr>
    </w:tbl>
    <w:p/>
    <w:p>
      <w:pPr>
        <w:pStyle w:val="2"/>
      </w:pPr>
      <w:r>
        <w:rPr>
          <w:rFonts w:hint="eastAsia"/>
        </w:rPr>
        <w:t>九、付款方式：</w:t>
      </w:r>
    </w:p>
    <w:p>
      <w:pPr>
        <w:snapToGrid w:val="0"/>
        <w:spacing w:line="460" w:lineRule="atLeast"/>
        <w:ind w:firstLine="442"/>
        <w:rPr>
          <w:rFonts w:hint="eastAsia" w:ascii="宋体" w:hAnsi="宋体" w:cs="楷体"/>
          <w:bCs/>
          <w:sz w:val="24"/>
          <w:szCs w:val="24"/>
          <w:highlight w:val="yellow"/>
          <w:u w:val="single"/>
        </w:rPr>
      </w:pPr>
      <w:r>
        <w:rPr>
          <w:rFonts w:hint="eastAsia" w:ascii="宋体" w:hAnsi="宋体" w:cs="楷体"/>
          <w:bCs/>
          <w:sz w:val="24"/>
          <w:szCs w:val="24"/>
          <w:highlight w:val="none"/>
          <w:u w:val="single"/>
        </w:rPr>
        <w:t>9.</w:t>
      </w:r>
      <w:r>
        <w:rPr>
          <w:rFonts w:ascii="宋体" w:hAnsi="宋体" w:cs="楷体"/>
          <w:bCs/>
          <w:sz w:val="24"/>
          <w:szCs w:val="24"/>
          <w:highlight w:val="none"/>
          <w:u w:val="single"/>
        </w:rPr>
        <w:t>1</w:t>
      </w:r>
      <w:r>
        <w:rPr>
          <w:rFonts w:hint="eastAsia" w:ascii="宋体" w:hAnsi="宋体" w:cs="楷体"/>
          <w:bCs/>
          <w:sz w:val="24"/>
          <w:szCs w:val="24"/>
          <w:highlight w:val="none"/>
          <w:u w:val="single"/>
        </w:rPr>
        <w:t>▲合同签订后，服务提供方按实际需求提供服务，同时，需提供各使用单位实际使用的服务项目（产品类型、服务内容）、数量的服务费用清单，并经过使用单位确认后由甲方结算服务费用</w:t>
      </w:r>
      <w:r>
        <w:rPr>
          <w:rFonts w:hint="eastAsia" w:ascii="宋体" w:hAnsi="宋体" w:cs="楷体"/>
          <w:bCs/>
          <w:sz w:val="24"/>
          <w:szCs w:val="24"/>
          <w:highlight w:val="none"/>
          <w:u w:val="single"/>
          <w:lang w:eastAsia="zh-CN"/>
        </w:rPr>
        <w:t>，</w:t>
      </w:r>
      <w:r>
        <w:rPr>
          <w:rFonts w:hint="eastAsia" w:ascii="宋体" w:hAnsi="宋体"/>
          <w:sz w:val="24"/>
          <w:szCs w:val="24"/>
          <w:u w:val="single"/>
          <w:lang w:val="en-US" w:eastAsia="zh-CN"/>
        </w:rPr>
        <w:t>提供履约服务承诺函（格式自拟）。</w:t>
      </w:r>
    </w:p>
    <w:p>
      <w:pPr>
        <w:snapToGrid w:val="0"/>
        <w:spacing w:line="460" w:lineRule="atLeast"/>
        <w:ind w:firstLine="442"/>
        <w:rPr>
          <w:rFonts w:hint="eastAsia" w:ascii="宋体" w:hAnsi="宋体" w:cs="楷体"/>
          <w:bCs/>
          <w:sz w:val="24"/>
          <w:szCs w:val="24"/>
        </w:rPr>
      </w:pPr>
      <w:r>
        <w:rPr>
          <w:rFonts w:hint="eastAsia" w:ascii="宋体" w:hAnsi="宋体" w:cs="楷体"/>
          <w:bCs/>
          <w:sz w:val="24"/>
          <w:szCs w:val="24"/>
        </w:rPr>
        <w:t>9</w:t>
      </w:r>
      <w:r>
        <w:rPr>
          <w:rFonts w:ascii="宋体" w:hAnsi="宋体" w:cs="楷体"/>
          <w:bCs/>
          <w:sz w:val="24"/>
          <w:szCs w:val="24"/>
        </w:rPr>
        <w:t>.2</w:t>
      </w:r>
      <w:r>
        <w:rPr>
          <w:rFonts w:hint="eastAsia" w:ascii="宋体" w:hAnsi="宋体" w:cs="楷体"/>
          <w:bCs/>
          <w:sz w:val="24"/>
          <w:szCs w:val="24"/>
        </w:rPr>
        <w:t>合同期内每</w:t>
      </w:r>
      <w:r>
        <w:rPr>
          <w:rFonts w:ascii="宋体" w:hAnsi="宋体" w:cs="楷体"/>
          <w:bCs/>
          <w:sz w:val="24"/>
          <w:szCs w:val="24"/>
        </w:rPr>
        <w:t>季度</w:t>
      </w:r>
      <w:r>
        <w:rPr>
          <w:rFonts w:hint="eastAsia" w:ascii="宋体" w:hAnsi="宋体" w:cs="楷体"/>
          <w:bCs/>
          <w:sz w:val="24"/>
          <w:szCs w:val="24"/>
        </w:rPr>
        <w:t>（</w:t>
      </w:r>
      <w:r>
        <w:rPr>
          <w:rFonts w:ascii="宋体" w:hAnsi="宋体" w:cs="楷体"/>
          <w:bCs/>
          <w:sz w:val="24"/>
          <w:szCs w:val="24"/>
        </w:rPr>
        <w:t>3月、</w:t>
      </w:r>
      <w:r>
        <w:rPr>
          <w:rFonts w:hint="eastAsia" w:ascii="宋体" w:hAnsi="宋体" w:cs="楷体"/>
          <w:bCs/>
          <w:sz w:val="24"/>
          <w:szCs w:val="24"/>
        </w:rPr>
        <w:t>6月份、</w:t>
      </w:r>
      <w:r>
        <w:rPr>
          <w:rFonts w:ascii="宋体" w:hAnsi="宋体" w:cs="楷体"/>
          <w:bCs/>
          <w:sz w:val="24"/>
          <w:szCs w:val="24"/>
        </w:rPr>
        <w:t>9月份、</w:t>
      </w:r>
      <w:r>
        <w:rPr>
          <w:rFonts w:hint="eastAsia" w:ascii="宋体" w:hAnsi="宋体" w:cs="楷体"/>
          <w:bCs/>
          <w:sz w:val="24"/>
          <w:szCs w:val="24"/>
        </w:rPr>
        <w:t>12月份）计算一次服务费，经双方核对确认，甲方财政资金到位，乙方开具相应金额符合规定的发票</w:t>
      </w:r>
      <w:r>
        <w:rPr>
          <w:rFonts w:hint="eastAsia" w:ascii="宋体" w:hAnsi="宋体" w:cs="楷体"/>
          <w:bCs/>
          <w:sz w:val="24"/>
          <w:szCs w:val="24"/>
          <w:highlight w:val="none"/>
        </w:rPr>
        <w:t>后</w:t>
      </w:r>
      <w:r>
        <w:rPr>
          <w:rFonts w:hint="eastAsia" w:ascii="宋体" w:hAnsi="宋体" w:cs="楷体"/>
          <w:bCs/>
          <w:sz w:val="24"/>
          <w:szCs w:val="24"/>
          <w:highlight w:val="none"/>
          <w:lang w:eastAsia="zh-CN"/>
        </w:rPr>
        <w:t>7</w:t>
      </w:r>
      <w:r>
        <w:rPr>
          <w:rFonts w:hint="eastAsia" w:ascii="宋体" w:hAnsi="宋体" w:cs="楷体"/>
          <w:bCs/>
          <w:sz w:val="24"/>
          <w:szCs w:val="24"/>
          <w:highlight w:val="none"/>
        </w:rPr>
        <w:t>个工作日</w:t>
      </w:r>
      <w:r>
        <w:rPr>
          <w:rFonts w:hint="eastAsia" w:ascii="宋体" w:hAnsi="宋体" w:cs="楷体"/>
          <w:bCs/>
          <w:sz w:val="24"/>
          <w:szCs w:val="24"/>
        </w:rPr>
        <w:t>内进行支付。</w:t>
      </w:r>
    </w:p>
    <w:p>
      <w:pPr>
        <w:snapToGrid w:val="0"/>
        <w:spacing w:line="460" w:lineRule="atLeast"/>
        <w:ind w:firstLine="442"/>
        <w:rPr>
          <w:rFonts w:hint="eastAsia" w:ascii="宋体" w:hAnsi="宋体" w:cs="楷体"/>
          <w:bCs/>
          <w:sz w:val="24"/>
          <w:szCs w:val="24"/>
        </w:rPr>
      </w:pPr>
      <w:r>
        <w:rPr>
          <w:rFonts w:hint="eastAsia" w:ascii="宋体" w:hAnsi="宋体" w:cs="楷体"/>
          <w:bCs/>
          <w:sz w:val="24"/>
          <w:szCs w:val="24"/>
          <w:lang w:val="en-US" w:eastAsia="zh-CN"/>
        </w:rPr>
        <w:t>9.3本项目免收履约保证金。乙方</w:t>
      </w:r>
      <w:r>
        <w:rPr>
          <w:rFonts w:hint="eastAsia" w:ascii="宋体" w:hAnsi="宋体" w:cs="楷体"/>
          <w:bCs/>
          <w:sz w:val="24"/>
          <w:szCs w:val="24"/>
        </w:rPr>
        <w:t>若为中小企业，签订合同时，</w:t>
      </w:r>
      <w:r>
        <w:rPr>
          <w:rFonts w:hint="eastAsia" w:ascii="宋体" w:hAnsi="宋体" w:cs="楷体"/>
          <w:bCs/>
          <w:sz w:val="24"/>
          <w:szCs w:val="24"/>
          <w:lang w:val="en-US" w:eastAsia="zh-CN"/>
        </w:rPr>
        <w:t>乙方</w:t>
      </w:r>
      <w:r>
        <w:rPr>
          <w:rFonts w:hint="eastAsia" w:ascii="宋体" w:hAnsi="宋体" w:cs="楷体"/>
          <w:bCs/>
          <w:sz w:val="24"/>
          <w:szCs w:val="24"/>
        </w:rPr>
        <w:t>向</w:t>
      </w:r>
      <w:r>
        <w:rPr>
          <w:rFonts w:hint="eastAsia" w:ascii="宋体" w:hAnsi="宋体" w:cs="楷体"/>
          <w:bCs/>
          <w:sz w:val="24"/>
          <w:szCs w:val="24"/>
          <w:lang w:val="en-US" w:eastAsia="zh-CN"/>
        </w:rPr>
        <w:t>甲方</w:t>
      </w:r>
      <w:r>
        <w:rPr>
          <w:rFonts w:hint="eastAsia" w:ascii="宋体" w:hAnsi="宋体" w:cs="楷体"/>
          <w:bCs/>
          <w:sz w:val="24"/>
          <w:szCs w:val="24"/>
        </w:rPr>
        <w:t>提交银行预付款保函；</w:t>
      </w:r>
      <w:r>
        <w:rPr>
          <w:rFonts w:hint="eastAsia" w:ascii="宋体" w:hAnsi="宋体" w:cs="楷体"/>
          <w:bCs/>
          <w:sz w:val="24"/>
          <w:szCs w:val="24"/>
          <w:lang w:val="en-US" w:eastAsia="zh-CN"/>
        </w:rPr>
        <w:t>甲方</w:t>
      </w:r>
      <w:r>
        <w:rPr>
          <w:rFonts w:hint="eastAsia" w:ascii="宋体" w:hAnsi="宋体" w:cs="楷体"/>
          <w:bCs/>
          <w:sz w:val="24"/>
          <w:szCs w:val="24"/>
        </w:rPr>
        <w:t>在收到银行预付款保函、合同生效以及具备实施条件后7个工作日内，向</w:t>
      </w:r>
      <w:r>
        <w:rPr>
          <w:rFonts w:hint="eastAsia" w:ascii="宋体" w:hAnsi="宋体" w:cs="楷体"/>
          <w:bCs/>
          <w:sz w:val="24"/>
          <w:szCs w:val="24"/>
          <w:lang w:val="en-US" w:eastAsia="zh-CN"/>
        </w:rPr>
        <w:t>乙方</w:t>
      </w:r>
      <w:r>
        <w:rPr>
          <w:rFonts w:hint="eastAsia" w:ascii="宋体" w:hAnsi="宋体" w:cs="楷体"/>
          <w:bCs/>
          <w:sz w:val="24"/>
          <w:szCs w:val="24"/>
        </w:rPr>
        <w:t>支付合同金额的40%作为预付款，预付款在后续合同款中作相应抵扣。在签订合同时，</w:t>
      </w:r>
      <w:r>
        <w:rPr>
          <w:rFonts w:hint="eastAsia" w:ascii="宋体" w:hAnsi="宋体" w:cs="楷体"/>
          <w:bCs/>
          <w:sz w:val="24"/>
          <w:szCs w:val="24"/>
          <w:lang w:val="en-US" w:eastAsia="zh-CN"/>
        </w:rPr>
        <w:t>乙方</w:t>
      </w:r>
      <w:r>
        <w:rPr>
          <w:rFonts w:hint="eastAsia" w:ascii="宋体" w:hAnsi="宋体" w:cs="楷体"/>
          <w:bCs/>
          <w:sz w:val="24"/>
          <w:szCs w:val="24"/>
        </w:rPr>
        <w:t>明确表示无需预付款的，可不提供预付款保函。</w:t>
      </w:r>
    </w:p>
    <w:p>
      <w:pPr>
        <w:snapToGrid w:val="0"/>
        <w:spacing w:line="460" w:lineRule="atLeast"/>
        <w:ind w:firstLine="442"/>
        <w:rPr>
          <w:rFonts w:hint="eastAsia" w:ascii="宋体" w:hAnsi="宋体" w:cs="楷体"/>
          <w:bCs/>
        </w:rPr>
      </w:pPr>
    </w:p>
    <w:p>
      <w:pPr>
        <w:jc w:val="center"/>
        <w:outlineLvl w:val="0"/>
        <w:rPr>
          <w:rFonts w:hint="eastAsia" w:ascii="黑体" w:hAnsi="黑体" w:eastAsia="黑体" w:cs="黑体"/>
          <w:b/>
          <w:bCs/>
          <w:kern w:val="0"/>
          <w:sz w:val="32"/>
          <w:szCs w:val="32"/>
        </w:rPr>
      </w:pPr>
      <w:r>
        <w:rPr>
          <w:rFonts w:hint="eastAsia" w:ascii="黑体" w:hAnsi="黑体" w:eastAsia="黑体" w:cs="黑体"/>
          <w:b/>
          <w:bCs/>
          <w:kern w:val="0"/>
          <w:sz w:val="32"/>
          <w:szCs w:val="32"/>
        </w:rPr>
        <w:t>2024年温州市市级政务云（私有云）服务内容清单和最高限价</w:t>
      </w:r>
    </w:p>
    <w:p>
      <w:pPr>
        <w:ind w:firstLine="440" w:firstLineChars="200"/>
        <w:jc w:val="right"/>
        <w:rPr>
          <w:rFonts w:hint="eastAsia" w:ascii="宋体" w:hAnsi="宋体" w:cs="宋体"/>
          <w:kern w:val="0"/>
          <w:sz w:val="22"/>
        </w:rPr>
      </w:pPr>
      <w:r>
        <w:rPr>
          <w:rFonts w:hint="eastAsia" w:ascii="宋体" w:hAnsi="宋体" w:cs="宋体"/>
          <w:kern w:val="0"/>
          <w:sz w:val="22"/>
        </w:rPr>
        <w:t>单位：(元/月)</w:t>
      </w:r>
    </w:p>
    <w:p>
      <w:pPr>
        <w:ind w:firstLine="440" w:firstLineChars="200"/>
        <w:jc w:val="right"/>
        <w:rPr>
          <w:rFonts w:hint="eastAsia" w:ascii="宋体" w:hAnsi="宋体" w:cs="宋体"/>
          <w:kern w:val="0"/>
          <w:sz w:val="22"/>
        </w:rPr>
      </w:pPr>
    </w:p>
    <w:tbl>
      <w:tblPr>
        <w:tblStyle w:val="63"/>
        <w:tblW w:w="4996" w:type="pct"/>
        <w:jc w:val="center"/>
        <w:tblLayout w:type="autofit"/>
        <w:tblCellMar>
          <w:top w:w="0" w:type="dxa"/>
          <w:left w:w="108" w:type="dxa"/>
          <w:bottom w:w="0" w:type="dxa"/>
          <w:right w:w="108" w:type="dxa"/>
        </w:tblCellMar>
      </w:tblPr>
      <w:tblGrid>
        <w:gridCol w:w="638"/>
        <w:gridCol w:w="1060"/>
        <w:gridCol w:w="778"/>
        <w:gridCol w:w="1056"/>
        <w:gridCol w:w="1896"/>
        <w:gridCol w:w="1266"/>
        <w:gridCol w:w="1214"/>
        <w:gridCol w:w="1371"/>
      </w:tblGrid>
      <w:tr>
        <w:trPr>
          <w:trHeight w:val="336"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57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服务类型</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计费项</w:t>
            </w:r>
          </w:p>
        </w:tc>
        <w:tc>
          <w:tcPr>
            <w:tcW w:w="108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规格说明</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说明</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价格</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备注</w:t>
            </w:r>
          </w:p>
        </w:tc>
      </w:tr>
      <w:tr>
        <w:tblPrEx>
          <w:tblCellMar>
            <w:top w:w="0" w:type="dxa"/>
            <w:left w:w="108" w:type="dxa"/>
            <w:bottom w:w="0" w:type="dxa"/>
            <w:right w:w="108" w:type="dxa"/>
          </w:tblCellMar>
        </w:tblPrEx>
        <w:trPr>
          <w:trHeight w:val="33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一、基础设施服务（IaaS)</w:t>
            </w:r>
          </w:p>
        </w:tc>
      </w:tr>
      <w:tr>
        <w:tblPrEx>
          <w:tblCellMar>
            <w:top w:w="0" w:type="dxa"/>
            <w:left w:w="108" w:type="dxa"/>
            <w:bottom w:w="0" w:type="dxa"/>
            <w:right w:w="108" w:type="dxa"/>
          </w:tblCellMar>
        </w:tblPrEx>
        <w:trPr>
          <w:trHeight w:val="336"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7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计算服务</w:t>
            </w:r>
          </w:p>
        </w:tc>
        <w:tc>
          <w:tcPr>
            <w:tcW w:w="66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增强型云主机/高性能数据库</w:t>
            </w: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一核</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1GB</w:t>
            </w:r>
          </w:p>
        </w:tc>
        <w:tc>
          <w:tcPr>
            <w:tcW w:w="7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CPU主频≥2.3GHz；以上云主机价格包含操作系统正版授权；40G系统盘（SATA），linux系统盘40G，Windows系统盘40G；不含数据盘的价格</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9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CPU主频≥2.3GHz；以上云主机价格包含操作系统正版授权；linux系统盘不低于20G，Windows系统盘不低于40G；不含数据盘的价格</w:t>
            </w:r>
          </w:p>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（备注：8核128GB、16核256GB、32核256GB、32核512GB仅能开通高性能数据库）</w:t>
            </w: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294</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两核</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178</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238</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352</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525</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四核</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八核</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1315</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1960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3970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十六核</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1745</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2620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3840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256GB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7957</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三十二核</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3490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5200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256GB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8830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512GB</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16030</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60"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7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存储服务</w:t>
            </w:r>
          </w:p>
        </w:tc>
        <w:tc>
          <w:tcPr>
            <w:tcW w:w="66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云主机数据盘/数据库存储</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SSD数据盘/存储</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1GB</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需以100G为单位订购</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0.7</w:t>
            </w:r>
          </w:p>
        </w:tc>
        <w:tc>
          <w:tcPr>
            <w:tcW w:w="9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820"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高效数据盘/SAS存储</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1GB</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需以100G为单位订购</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0.41</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60"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云存储</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每TeraByte (TB)字节</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100G</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对象存储OSS，需以1T为单位订购</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18.1</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二、平台服务（PaaS）</w:t>
            </w:r>
          </w:p>
        </w:tc>
      </w:tr>
      <w:tr>
        <w:tblPrEx>
          <w:tblCellMar>
            <w:top w:w="0" w:type="dxa"/>
            <w:left w:w="108" w:type="dxa"/>
            <w:bottom w:w="0" w:type="dxa"/>
            <w:right w:w="108" w:type="dxa"/>
          </w:tblCellMar>
        </w:tblPrEx>
        <w:trPr>
          <w:trHeight w:val="336"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7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数据库服务</w:t>
            </w:r>
          </w:p>
        </w:tc>
        <w:tc>
          <w:tcPr>
            <w:tcW w:w="66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云数据库</w:t>
            </w: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My SQL数据库服务（最大连接数）</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约占用内存240MB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约占用内存600MB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约占用内存1200MB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约占用内存2400MB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247</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约占用内存6000MB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620</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约占用内存12000MB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1102</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b/>
                <w:bCs/>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约占用内存24000MB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2029</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约占用内存48000MB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3940</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MS SQL Server数据库服务（最大连接数）</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约占用内存1000MB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约占用内存2000MB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183</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约占用内存4000MB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365</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约占用内存6000MB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约占用内存8000MB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732</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约占用内存12000MB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1097</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约占用内存24000MB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1736</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约占用内存48000MB</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3292</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三、云安全服务</w:t>
            </w:r>
          </w:p>
        </w:tc>
      </w:tr>
      <w:tr>
        <w:tblPrEx>
          <w:tblCellMar>
            <w:top w:w="0" w:type="dxa"/>
            <w:left w:w="108" w:type="dxa"/>
            <w:bottom w:w="0" w:type="dxa"/>
            <w:right w:w="108" w:type="dxa"/>
          </w:tblCellMar>
        </w:tblPrEx>
        <w:trPr>
          <w:trHeight w:val="1100"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云备份</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云备份</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数据备份与恢复</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1GB</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支持多种、不同方式的数据库、应用及虚拟化平台数据保护</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1.95</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按服务器整机备份，快速实现整机数据恢复，提供仿真恢复</w:t>
            </w:r>
          </w:p>
        </w:tc>
      </w:tr>
      <w:tr>
        <w:tblPrEx>
          <w:tblCellMar>
            <w:top w:w="0" w:type="dxa"/>
            <w:left w:w="108" w:type="dxa"/>
            <w:bottom w:w="0" w:type="dxa"/>
            <w:right w:w="108" w:type="dxa"/>
          </w:tblCellMar>
        </w:tblPrEx>
        <w:trPr>
          <w:trHeight w:val="820" w:hRule="atLeast"/>
          <w:jc w:val="center"/>
        </w:trPr>
        <w:tc>
          <w:tcPr>
            <w:tcW w:w="343" w:type="pct"/>
            <w:vMerge w:val="restart"/>
            <w:tcBorders>
              <w:top w:val="single" w:color="000000" w:sz="4" w:space="0"/>
              <w:left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71"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自主云安全服务</w:t>
            </w:r>
          </w:p>
        </w:tc>
        <w:tc>
          <w:tcPr>
            <w:tcW w:w="666"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自主云安全服务</w:t>
            </w: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WAF</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25M</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1个一级域名和10个二级域名（流量上限为25M）</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667</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防护流量25Mbps，HTTP最大新建连接数3000，HTTP最大并发连接数30000</w:t>
            </w:r>
          </w:p>
        </w:tc>
      </w:tr>
      <w:tr>
        <w:tblPrEx>
          <w:tblCellMar>
            <w:top w:w="0" w:type="dxa"/>
            <w:left w:w="108" w:type="dxa"/>
            <w:bottom w:w="0" w:type="dxa"/>
            <w:right w:w="108" w:type="dxa"/>
          </w:tblCellMar>
        </w:tblPrEx>
        <w:trPr>
          <w:trHeight w:val="820"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50M</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2个一级域名和20个二级域名（流量上限为50M）</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1105</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防护流量50Mbps，HTTP最大并发连接数50000，HTTP最大新建数5000</w:t>
            </w:r>
          </w:p>
        </w:tc>
      </w:tr>
      <w:tr>
        <w:tblPrEx>
          <w:tblCellMar>
            <w:top w:w="0" w:type="dxa"/>
            <w:left w:w="108" w:type="dxa"/>
            <w:bottom w:w="0" w:type="dxa"/>
            <w:right w:w="108" w:type="dxa"/>
          </w:tblCellMar>
        </w:tblPrEx>
        <w:trPr>
          <w:trHeight w:val="820"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100M</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4个一级域名和40个二级域名（流量上限为100M）</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1794</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防护流量100Mbps、HTTP最大并发数180000、HTTP最大新建数10000</w:t>
            </w:r>
          </w:p>
        </w:tc>
      </w:tr>
      <w:tr>
        <w:tblPrEx>
          <w:tblCellMar>
            <w:top w:w="0" w:type="dxa"/>
            <w:left w:w="108" w:type="dxa"/>
            <w:bottom w:w="0" w:type="dxa"/>
            <w:right w:w="108" w:type="dxa"/>
          </w:tblCellMar>
        </w:tblPrEx>
        <w:trPr>
          <w:trHeight w:val="820"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200M</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8个一级域名和80个二级域名（流量上限为200M）</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2942</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防护流量200Mbps、HTTP最大并发数300000、HTTP最大新建数30000</w:t>
            </w:r>
          </w:p>
        </w:tc>
      </w:tr>
      <w:tr>
        <w:tblPrEx>
          <w:tblCellMar>
            <w:top w:w="0" w:type="dxa"/>
            <w:left w:w="108" w:type="dxa"/>
            <w:bottom w:w="0" w:type="dxa"/>
            <w:right w:w="108" w:type="dxa"/>
          </w:tblCellMar>
        </w:tblPrEx>
        <w:trPr>
          <w:trHeight w:val="820"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500M</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4452</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防护流量500Mbps、HTTP最大并发数500000、HTTP最大新建数40000</w:t>
            </w: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主机防护</w:t>
            </w:r>
          </w:p>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（EDR）</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1台服务器</w:t>
            </w:r>
          </w:p>
        </w:tc>
        <w:tc>
          <w:tcPr>
            <w:tcW w:w="7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单价*数量计算总价</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84元/台</w:t>
            </w:r>
          </w:p>
        </w:tc>
        <w:tc>
          <w:tcPr>
            <w:tcW w:w="9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包含病毒查杀、网站后门查杀、漏洞管理、性能监控、主机防火墙、WEB应用防护、登录防护、防端口扫描等</w:t>
            </w: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10台服务器</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66元/台</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left w:val="single" w:color="000000" w:sz="4" w:space="0"/>
              <w:right w:val="single" w:color="000000" w:sz="4" w:space="0"/>
            </w:tcBorders>
            <w:noWrap/>
            <w:vAlign w:val="center"/>
          </w:tcPr>
          <w:p>
            <w:pPr>
              <w:widowControl/>
              <w:spacing w:line="240" w:lineRule="auto"/>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50台服务器</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59元/台</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left w:val="single" w:color="000000" w:sz="4" w:space="0"/>
              <w:right w:val="single" w:color="000000" w:sz="4" w:space="0"/>
            </w:tcBorders>
            <w:noWrap/>
            <w:vAlign w:val="center"/>
          </w:tcPr>
          <w:p>
            <w:pPr>
              <w:widowControl/>
              <w:spacing w:line="240" w:lineRule="auto"/>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200台服务器</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52.5元/台</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left w:val="single" w:color="000000" w:sz="4" w:space="0"/>
              <w:bottom w:val="single" w:color="000000" w:sz="4" w:space="0"/>
              <w:right w:val="single" w:color="000000" w:sz="4" w:space="0"/>
            </w:tcBorders>
            <w:noWrap/>
            <w:vAlign w:val="center"/>
          </w:tcPr>
          <w:p>
            <w:pPr>
              <w:widowControl/>
              <w:spacing w:line="240" w:lineRule="auto"/>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300台以上</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45.5元/台</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防火墙</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25M吞吐量</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668</w:t>
            </w:r>
          </w:p>
        </w:tc>
        <w:tc>
          <w:tcPr>
            <w:tcW w:w="9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应用层性能支持：200M、500M和1000M；支持静态路由，ECMP等价路由，支持RIPv1/v2，OSPFv2/v3，BGP等动态路由协议，支持多播路由协议，支持路由异常告警功能；提供基本的安全防御；含预警及报表服务。</w:t>
            </w: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50M吞吐量</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719</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100M吞吐量</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863.5</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200M吞吐量</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2289.5</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500M吞吐量</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4406</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1000M吞吐量</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8207</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日志审计</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5个日志源</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650</w:t>
            </w:r>
          </w:p>
        </w:tc>
        <w:tc>
          <w:tcPr>
            <w:tcW w:w="9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系统支持从不同设备或系统中所获得的各类日志、事件中抽取相关片段准确和完整地映射至安全事件的标准字段；对安全事件重新定级。能根据统一的安全策略，按照安全设备识别名、事件类别、事件级别等所有可能的条件及各种条件的组合对事件严重级别进行重定义；含运维及报表服务。</w:t>
            </w: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10个日志源</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734</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20个日志源</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1143</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50个日志源</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1824</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100个日志源</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2907</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200个日志源</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4147</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数据库审计</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1个数据库实例</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702</w:t>
            </w:r>
          </w:p>
        </w:tc>
        <w:tc>
          <w:tcPr>
            <w:tcW w:w="9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支持多种数据库类型的审计，支持Oracle数据库审计、SQL-Server数据库审计、DB2数据库审计、MySQL数据库审计、Informix数据库审计、达梦数据库审计、人大金仓数据库审计、postgresql数据库审计、sysbase数据库审计、cache数据库；支持白名单审计，系统使用审计白名单将非关注的内容进行过滤，不进行记录，降低了存储空间和无用信息的堆砌，白名单内容包括以下4个维度:SQL模板、业务系统、URL地址及数据库条件；支持基于SQL命令的webshell检测，提供webshell日志查询；可通过查看webshell攻击的时间、源IP、业务系统、webshell</w:t>
            </w: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2个数据库实例</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1337</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4个数据库实例</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2215</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8个数据库实例</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3107</w:t>
            </w:r>
          </w:p>
        </w:tc>
        <w:tc>
          <w:tcPr>
            <w:tcW w:w="9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460" w:hRule="atLeast"/>
          <w:jc w:val="center"/>
        </w:trPr>
        <w:tc>
          <w:tcPr>
            <w:tcW w:w="343" w:type="pct"/>
            <w:vMerge w:val="continue"/>
            <w:tcBorders>
              <w:left w:val="single" w:color="000000" w:sz="4" w:space="0"/>
              <w:right w:val="single" w:color="000000" w:sz="4" w:space="0"/>
            </w:tcBorders>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安全堡垒机</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1个资产授权</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单价*数量计算总价</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31.5</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w:t>
            </w:r>
          </w:p>
        </w:tc>
      </w:tr>
      <w:tr>
        <w:tblPrEx>
          <w:tblCellMar>
            <w:top w:w="0" w:type="dxa"/>
            <w:left w:w="108" w:type="dxa"/>
            <w:bottom w:w="0" w:type="dxa"/>
            <w:right w:w="108" w:type="dxa"/>
          </w:tblCellMar>
        </w:tblPrEx>
        <w:trPr>
          <w:trHeight w:val="560" w:hRule="atLeast"/>
          <w:jc w:val="center"/>
        </w:trPr>
        <w:tc>
          <w:tcPr>
            <w:tcW w:w="343" w:type="pct"/>
            <w:vMerge w:val="continue"/>
            <w:tcBorders>
              <w:left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Web应用防火墙</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整机租用</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8813</w:t>
            </w:r>
          </w:p>
        </w:tc>
        <w:tc>
          <w:tcPr>
            <w:tcW w:w="9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60" w:hRule="atLeast"/>
          <w:jc w:val="center"/>
        </w:trPr>
        <w:tc>
          <w:tcPr>
            <w:tcW w:w="343" w:type="pct"/>
            <w:vMerge w:val="continue"/>
            <w:tcBorders>
              <w:left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基线核查</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远程版</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1500/次</w:t>
            </w:r>
          </w:p>
        </w:tc>
        <w:tc>
          <w:tcPr>
            <w:tcW w:w="9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60" w:hRule="atLeast"/>
          <w:jc w:val="center"/>
        </w:trPr>
        <w:tc>
          <w:tcPr>
            <w:tcW w:w="343" w:type="pct"/>
            <w:vMerge w:val="continue"/>
            <w:tcBorders>
              <w:left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现场版</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2000/次</w:t>
            </w:r>
          </w:p>
        </w:tc>
        <w:tc>
          <w:tcPr>
            <w:tcW w:w="9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60" w:hRule="atLeast"/>
          <w:jc w:val="center"/>
        </w:trPr>
        <w:tc>
          <w:tcPr>
            <w:tcW w:w="343" w:type="pct"/>
            <w:vMerge w:val="continue"/>
            <w:tcBorders>
              <w:left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渗透测试</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远程版</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4500/次</w:t>
            </w:r>
          </w:p>
        </w:tc>
        <w:tc>
          <w:tcPr>
            <w:tcW w:w="9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60" w:hRule="atLeast"/>
          <w:jc w:val="center"/>
        </w:trPr>
        <w:tc>
          <w:tcPr>
            <w:tcW w:w="343"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现场版</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6000/次</w:t>
            </w:r>
          </w:p>
        </w:tc>
        <w:tc>
          <w:tcPr>
            <w:tcW w:w="9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四、云平台服务</w:t>
            </w:r>
          </w:p>
        </w:tc>
      </w:tr>
      <w:tr>
        <w:tblPrEx>
          <w:tblCellMar>
            <w:top w:w="0" w:type="dxa"/>
            <w:left w:w="108" w:type="dxa"/>
            <w:bottom w:w="0" w:type="dxa"/>
            <w:right w:w="108" w:type="dxa"/>
          </w:tblCellMar>
        </w:tblPrEx>
        <w:trPr>
          <w:trHeight w:val="336" w:hRule="atLeast"/>
          <w:jc w:val="center"/>
        </w:trPr>
        <w:tc>
          <w:tcPr>
            <w:tcW w:w="343"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71"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机柜服务</w:t>
            </w:r>
          </w:p>
        </w:tc>
        <w:tc>
          <w:tcPr>
            <w:tcW w:w="666"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托管机柜</w:t>
            </w:r>
          </w:p>
        </w:tc>
        <w:tc>
          <w:tcPr>
            <w:tcW w:w="568"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托管机柜</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3KW</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3600/月</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571" w:type="pct"/>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666" w:type="pct"/>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568" w:type="pct"/>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5KW</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5000/月</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571"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666"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568"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13KW</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12000/月</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7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网络服务</w:t>
            </w:r>
          </w:p>
        </w:tc>
        <w:tc>
          <w:tcPr>
            <w:tcW w:w="66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云网</w:t>
            </w:r>
          </w:p>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基础保障</w:t>
            </w: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链路</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互联网专线（1G）</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按年付费，125000/年</w:t>
            </w: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公安专线</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按年付费，7800/年</w:t>
            </w: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OTN专线100M</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按年付费，7200/年</w:t>
            </w: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OTN专线1000M</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按年付费，57600/年</w:t>
            </w:r>
          </w:p>
        </w:tc>
      </w:tr>
      <w:tr>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OTN专线10000M</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按年付费，172800/年</w:t>
            </w: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共享互联网出口带宽</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 Mbps</w:t>
            </w:r>
          </w:p>
        </w:tc>
        <w:tc>
          <w:tcPr>
            <w:tcW w:w="7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云平台共享互联网出口；提供配套的IP地址</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6856</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1000 Mbps</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13711</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每增加100Mbps</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1644</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独享互联网出口带宽</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10M</w:t>
            </w:r>
          </w:p>
        </w:tc>
        <w:tc>
          <w:tcPr>
            <w:tcW w:w="7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20M</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727</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50M</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1091</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100M</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2182</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200M</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3819</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336"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500M</w:t>
            </w: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9500</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747"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云负载均衡</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以1个实例为单位</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实例</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提供4层和7层负载均衡。支持包括全局负载均衡和服务器负载均衡的功能；支持轮询、加权轮询、加权最小连接、动态反馈、最快响应、最小流量、带宽比例、哈希、主备、首个可用、UDP强行负载等算法。</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639</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支持包括全局负载均衡和服务器负载均衡的功能；支持轮询、加权轮询、加权最小连接、动态反馈、最快响应、最小流量、带宽比例、哈希、主备、首个可用、UDP强行负载等算法。</w:t>
            </w:r>
          </w:p>
        </w:tc>
      </w:tr>
      <w:tr>
        <w:tblPrEx>
          <w:tblCellMar>
            <w:top w:w="0" w:type="dxa"/>
            <w:left w:w="108" w:type="dxa"/>
            <w:bottom w:w="0" w:type="dxa"/>
            <w:right w:w="108" w:type="dxa"/>
          </w:tblCellMar>
        </w:tblPrEx>
        <w:trPr>
          <w:trHeight w:val="2180"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5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平台安全服务</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态势感知</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态势感知</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每个使用单位</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color w:val="000000"/>
                <w:sz w:val="21"/>
                <w:szCs w:val="21"/>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2494</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态势感知在集中管理所有安全组件日志数据的基础上，综合运用攻击地图炮、安全拓扑等可视化技术手段，对云中资产的安全风险、攻击威胁的分布、趋势、来源进行综合的感知呈现，为总体把握安全态势提供有力支撑。</w:t>
            </w:r>
          </w:p>
        </w:tc>
      </w:tr>
      <w:tr>
        <w:trPr>
          <w:trHeight w:val="1640" w:hRule="atLeast"/>
          <w:jc w:val="center"/>
        </w:trPr>
        <w:tc>
          <w:tcPr>
            <w:tcW w:w="343"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sz w:val="21"/>
                <w:szCs w:val="21"/>
              </w:rPr>
            </w:pPr>
            <w:r>
              <w:rPr>
                <w:rFonts w:ascii="宋体" w:hAnsi="宋体" w:cs="宋体"/>
                <w:kern w:val="0"/>
                <w:sz w:val="21"/>
                <w:szCs w:val="21"/>
                <w:lang w:bidi="ar"/>
              </w:rPr>
              <w:t>4</w:t>
            </w:r>
          </w:p>
        </w:tc>
        <w:tc>
          <w:tcPr>
            <w:tcW w:w="571"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sz w:val="21"/>
                <w:szCs w:val="21"/>
              </w:rPr>
            </w:pPr>
            <w:r>
              <w:rPr>
                <w:rFonts w:hint="eastAsia" w:ascii="宋体" w:hAnsi="宋体" w:cs="宋体"/>
                <w:kern w:val="0"/>
                <w:sz w:val="21"/>
                <w:szCs w:val="21"/>
                <w:lang w:bidi="ar"/>
              </w:rPr>
              <w:t>运营服务</w:t>
            </w:r>
          </w:p>
        </w:tc>
        <w:tc>
          <w:tcPr>
            <w:tcW w:w="666"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sz w:val="21"/>
                <w:szCs w:val="21"/>
              </w:rPr>
            </w:pPr>
            <w:r>
              <w:rPr>
                <w:rFonts w:hint="eastAsia" w:ascii="宋体" w:hAnsi="宋体" w:cs="宋体"/>
                <w:kern w:val="0"/>
                <w:sz w:val="21"/>
                <w:szCs w:val="21"/>
                <w:lang w:bidi="ar"/>
              </w:rPr>
              <w:t>政务云业务支持</w:t>
            </w:r>
          </w:p>
        </w:tc>
        <w:tc>
          <w:tcPr>
            <w:tcW w:w="568"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sz w:val="21"/>
                <w:szCs w:val="21"/>
              </w:rPr>
            </w:pPr>
            <w:r>
              <w:rPr>
                <w:rFonts w:hint="eastAsia" w:ascii="宋体" w:hAnsi="宋体" w:cs="宋体"/>
                <w:kern w:val="0"/>
                <w:sz w:val="21"/>
                <w:szCs w:val="21"/>
                <w:lang w:bidi="ar"/>
              </w:rPr>
              <w:t>政务云业务支持</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rPr>
                <w:rFonts w:hint="eastAsia" w:ascii="宋体" w:hAnsi="宋体" w:cs="宋体"/>
                <w:sz w:val="21"/>
                <w:szCs w:val="21"/>
              </w:rPr>
            </w:pPr>
            <w:r>
              <w:rPr>
                <w:rFonts w:hint="eastAsia" w:ascii="宋体" w:hAnsi="宋体" w:cs="宋体"/>
                <w:sz w:val="21"/>
                <w:szCs w:val="21"/>
              </w:rPr>
              <w:t>云上应用安全服务</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提供基线核查、渗透测试服务。</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500000</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sz w:val="21"/>
                <w:szCs w:val="21"/>
              </w:rPr>
            </w:pPr>
          </w:p>
        </w:tc>
      </w:tr>
      <w:tr>
        <w:tblPrEx>
          <w:tblCellMar>
            <w:top w:w="0" w:type="dxa"/>
            <w:left w:w="108" w:type="dxa"/>
            <w:bottom w:w="0" w:type="dxa"/>
            <w:right w:w="108" w:type="dxa"/>
          </w:tblCellMar>
        </w:tblPrEx>
        <w:trPr>
          <w:trHeight w:val="1640" w:hRule="atLeast"/>
          <w:jc w:val="center"/>
        </w:trPr>
        <w:tc>
          <w:tcPr>
            <w:tcW w:w="343"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sz w:val="21"/>
                <w:szCs w:val="21"/>
              </w:rPr>
            </w:pPr>
          </w:p>
        </w:tc>
        <w:tc>
          <w:tcPr>
            <w:tcW w:w="571"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sz w:val="21"/>
                <w:szCs w:val="21"/>
              </w:rPr>
            </w:pPr>
          </w:p>
        </w:tc>
        <w:tc>
          <w:tcPr>
            <w:tcW w:w="666"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sz w:val="21"/>
                <w:szCs w:val="21"/>
              </w:rPr>
            </w:pPr>
          </w:p>
        </w:tc>
        <w:tc>
          <w:tcPr>
            <w:tcW w:w="568"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rPr>
                <w:rFonts w:hint="eastAsia" w:ascii="宋体" w:hAnsi="宋体" w:cs="宋体"/>
                <w:sz w:val="21"/>
                <w:szCs w:val="21"/>
              </w:rPr>
            </w:pPr>
            <w:r>
              <w:rPr>
                <w:rFonts w:hint="eastAsia" w:ascii="宋体" w:hAnsi="宋体" w:cs="宋体"/>
                <w:sz w:val="21"/>
                <w:szCs w:val="21"/>
              </w:rPr>
              <w:t>运营推广服务</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cs="宋体"/>
                <w:sz w:val="21"/>
                <w:szCs w:val="21"/>
              </w:rPr>
            </w:pPr>
            <w:r>
              <w:rPr>
                <w:rFonts w:hint="eastAsia" w:ascii="宋体" w:hAnsi="宋体" w:cs="宋体"/>
                <w:kern w:val="0"/>
                <w:sz w:val="21"/>
                <w:szCs w:val="21"/>
                <w:lang w:bidi="ar"/>
              </w:rPr>
              <w:t>根据市数据局管理规范，为市本级用户提供政务云业务支持，并做好云服务的应用和推广工作。</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sz w:val="21"/>
                <w:szCs w:val="21"/>
              </w:rPr>
            </w:pPr>
            <w:r>
              <w:rPr>
                <w:rFonts w:hint="eastAsia" w:ascii="宋体" w:hAnsi="宋体" w:cs="宋体"/>
                <w:kern w:val="0"/>
                <w:sz w:val="21"/>
                <w:szCs w:val="21"/>
                <w:lang w:bidi="ar"/>
              </w:rPr>
              <w:t>300000</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cs="宋体"/>
                <w:sz w:val="21"/>
                <w:szCs w:val="21"/>
              </w:rPr>
            </w:pPr>
          </w:p>
        </w:tc>
      </w:tr>
    </w:tbl>
    <w:p>
      <w:pPr>
        <w:rPr>
          <w:rFonts w:hint="eastAsia" w:ascii="宋体" w:hAnsi="宋体" w:cs="宋体"/>
          <w:kern w:val="0"/>
          <w:sz w:val="22"/>
        </w:rPr>
      </w:pPr>
    </w:p>
    <w:p>
      <w:pPr>
        <w:widowControl/>
        <w:ind w:firstLine="420" w:firstLineChars="200"/>
        <w:jc w:val="left"/>
        <w:rPr>
          <w:rFonts w:hint="eastAsia" w:ascii="宋体" w:hAnsi="宋体" w:cs="宋体"/>
          <w:bCs/>
          <w:kern w:val="0"/>
        </w:rPr>
      </w:pPr>
      <w:bookmarkStart w:id="394" w:name="_Toc10032573"/>
      <w:bookmarkStart w:id="395" w:name="_Toc47481020"/>
    </w:p>
    <w:bookmarkEnd w:id="394"/>
    <w:bookmarkEnd w:id="395"/>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第四部分   评标办法</w:t>
      </w:r>
    </w:p>
    <w:p>
      <w:pPr>
        <w:snapToGrid w:val="0"/>
        <w:spacing w:line="360" w:lineRule="auto"/>
        <w:jc w:val="center"/>
        <w:rPr>
          <w:rFonts w:ascii="宋体" w:hAnsi="宋体" w:cs="宋体"/>
          <w:b/>
          <w:color w:val="auto"/>
          <w:sz w:val="32"/>
          <w:szCs w:val="20"/>
        </w:rPr>
      </w:pPr>
      <w:r>
        <w:rPr>
          <w:rFonts w:hint="eastAsia" w:ascii="宋体" w:hAnsi="宋体" w:cs="宋体"/>
          <w:sz w:val="20"/>
          <w:szCs w:val="20"/>
          <w:shd w:val="clear" w:color="auto" w:fill="FFFFFF"/>
        </w:rPr>
        <w:t> </w:t>
      </w:r>
      <w:r>
        <w:rPr>
          <w:rFonts w:hint="eastAsia" w:ascii="宋体" w:hAnsi="宋体" w:cs="宋体"/>
          <w:b/>
          <w:color w:val="auto"/>
          <w:sz w:val="32"/>
          <w:szCs w:val="20"/>
        </w:rPr>
        <w:t>评标办法前附表</w:t>
      </w:r>
    </w:p>
    <w:tbl>
      <w:tblPr>
        <w:tblStyle w:val="64"/>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5714"/>
        <w:gridCol w:w="813"/>
        <w:gridCol w:w="10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05" w:type="dxa"/>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5714" w:type="dxa"/>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评标标准</w:t>
            </w:r>
          </w:p>
        </w:tc>
        <w:tc>
          <w:tcPr>
            <w:tcW w:w="813" w:type="dxa"/>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权重</w:t>
            </w:r>
          </w:p>
        </w:tc>
        <w:tc>
          <w:tcPr>
            <w:tcW w:w="1067" w:type="dxa"/>
            <w:vAlign w:val="center"/>
          </w:tcPr>
          <w:p>
            <w:pPr>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主观分/客观分属性</w:t>
            </w:r>
          </w:p>
        </w:tc>
        <w:tc>
          <w:tcPr>
            <w:tcW w:w="1613" w:type="dxa"/>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5714" w:type="dxa"/>
            <w:vAlign w:val="center"/>
          </w:tcPr>
          <w:p>
            <w:pPr>
              <w:keepNext w:val="0"/>
              <w:keepLines w:val="0"/>
              <w:pageBreakBefore w:val="0"/>
              <w:widowControl w:val="0"/>
              <w:numPr>
                <w:ilvl w:val="0"/>
                <w:numId w:val="0"/>
              </w:numPr>
              <w:kinsoku/>
              <w:wordWrap/>
              <w:overflowPunct/>
              <w:topLinePunct w:val="0"/>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具有GB/T19001或ISO9001质量管理体系认证证书的得2分；</w:t>
            </w:r>
          </w:p>
          <w:p>
            <w:pPr>
              <w:keepNext w:val="0"/>
              <w:keepLines w:val="0"/>
              <w:pageBreakBefore w:val="0"/>
              <w:widowControl w:val="0"/>
              <w:numPr>
                <w:ilvl w:val="0"/>
                <w:numId w:val="0"/>
              </w:numPr>
              <w:kinsoku/>
              <w:wordWrap/>
              <w:overflowPunct/>
              <w:topLinePunct w:val="0"/>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具有GB/T24001或ISO14001环境管理体系认证证书的得2分；</w:t>
            </w:r>
          </w:p>
          <w:p>
            <w:pPr>
              <w:keepNext w:val="0"/>
              <w:keepLines w:val="0"/>
              <w:pageBreakBefore w:val="0"/>
              <w:widowControl w:val="0"/>
              <w:numPr>
                <w:ilvl w:val="0"/>
                <w:numId w:val="0"/>
              </w:numPr>
              <w:kinsoku/>
              <w:wordWrap/>
              <w:overflowPunct/>
              <w:topLinePunct w:val="0"/>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具有OHSAS18001或ISO45001或GB/T45001-2020职业健康安全管理体系认证证书（认证范围必须包含云计算服务、信息系统集成、软硬件运维及安全服务所涉及的职业健康安全管理活动）的得</w:t>
            </w:r>
            <w:r>
              <w:rPr>
                <w:rFonts w:hint="eastAsia" w:ascii="宋体" w:hAnsi="宋体" w:cs="宋体"/>
                <w:sz w:val="24"/>
                <w:szCs w:val="24"/>
                <w:lang w:val="en-US" w:eastAsia="zh-CN"/>
              </w:rPr>
              <w:t>3</w:t>
            </w:r>
            <w:r>
              <w:rPr>
                <w:rFonts w:hint="eastAsia" w:ascii="宋体" w:hAnsi="宋体" w:eastAsia="宋体" w:cs="宋体"/>
                <w:sz w:val="24"/>
                <w:szCs w:val="24"/>
              </w:rPr>
              <w:t>分；</w:t>
            </w:r>
          </w:p>
          <w:p>
            <w:pPr>
              <w:keepNext w:val="0"/>
              <w:keepLines w:val="0"/>
              <w:pageBreakBefore w:val="0"/>
              <w:widowControl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具有ISO/IEC27001信息安全管理体系认证有效证书（认证范围必须包含云计算服务、信息系统集成、软硬件运维及安全服务所涉及的信息安全管理活动）的得</w:t>
            </w:r>
            <w:r>
              <w:rPr>
                <w:rFonts w:hint="eastAsia" w:ascii="宋体" w:hAnsi="宋体" w:cs="宋体"/>
                <w:sz w:val="24"/>
                <w:szCs w:val="24"/>
                <w:lang w:val="en-US" w:eastAsia="zh-CN"/>
              </w:rPr>
              <w:t>3</w:t>
            </w:r>
            <w:r>
              <w:rPr>
                <w:rFonts w:hint="eastAsia" w:ascii="宋体" w:hAnsi="宋体" w:eastAsia="宋体" w:cs="宋体"/>
                <w:sz w:val="24"/>
                <w:szCs w:val="24"/>
              </w:rPr>
              <w:t>分；</w:t>
            </w:r>
          </w:p>
          <w:p>
            <w:pPr>
              <w:pStyle w:val="23"/>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5.具有ISO22301业务连续性管理体系认证证书（认证范围必须包含云计算服务、信息系统集成、软硬件运维及安全服务）的得</w:t>
            </w:r>
            <w:r>
              <w:rPr>
                <w:rFonts w:hint="eastAsia" w:hAnsi="宋体" w:cs="宋体"/>
                <w:sz w:val="24"/>
                <w:szCs w:val="24"/>
                <w:lang w:val="en-US" w:eastAsia="zh-CN"/>
              </w:rPr>
              <w:t>3</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sz w:val="24"/>
                <w:szCs w:val="24"/>
              </w:rPr>
              <w:t>备注：若分公司参与投标，总公司具有该证书均认可，相关证书需在有效期内。</w:t>
            </w:r>
          </w:p>
        </w:tc>
        <w:tc>
          <w:tcPr>
            <w:tcW w:w="813"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分</w:t>
            </w:r>
          </w:p>
        </w:tc>
        <w:tc>
          <w:tcPr>
            <w:tcW w:w="1067"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客观分</w:t>
            </w:r>
          </w:p>
        </w:tc>
        <w:tc>
          <w:tcPr>
            <w:tcW w:w="1613" w:type="dxa"/>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5714" w:type="dxa"/>
            <w:vAlign w:val="center"/>
          </w:tcPr>
          <w:p>
            <w:pPr>
              <w:snapToGrid w:val="0"/>
              <w:rPr>
                <w:rFonts w:hint="eastAsia" w:ascii="宋体" w:hAnsi="宋体" w:eastAsia="宋体" w:cs="宋体"/>
                <w:strike/>
                <w:dstrike w:val="0"/>
                <w:color w:val="auto"/>
                <w:sz w:val="24"/>
                <w:szCs w:val="24"/>
                <w:lang w:eastAsia="zh-CN"/>
              </w:rPr>
            </w:pPr>
            <w:r>
              <w:rPr>
                <w:rFonts w:hint="eastAsia" w:ascii="宋体" w:hAnsi="宋体" w:eastAsia="宋体" w:cs="宋体"/>
                <w:color w:val="auto"/>
                <w:sz w:val="24"/>
                <w:szCs w:val="24"/>
              </w:rPr>
              <w:t>根据投标人2021年至今（以合同签订时间为准）签订的同类项目业绩,提供一个有效业绩得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分，最多可得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分。（提供合同及客户满意证明材料，缺一不可, 否则不得分</w:t>
            </w:r>
            <w:r>
              <w:rPr>
                <w:rFonts w:hint="eastAsia" w:ascii="宋体" w:hAnsi="宋体" w:cs="宋体"/>
                <w:color w:val="auto"/>
                <w:sz w:val="24"/>
                <w:szCs w:val="24"/>
                <w:lang w:eastAsia="zh-CN"/>
              </w:rPr>
              <w:t>）</w:t>
            </w:r>
          </w:p>
          <w:p>
            <w:pPr>
              <w:snapToGrid w:val="0"/>
              <w:rPr>
                <w:rFonts w:hint="eastAsia" w:ascii="宋体" w:hAnsi="宋体" w:eastAsia="宋体" w:cs="宋体"/>
                <w:color w:val="auto"/>
                <w:kern w:val="0"/>
                <w:sz w:val="24"/>
                <w:szCs w:val="24"/>
              </w:rPr>
            </w:pPr>
            <w:r>
              <w:rPr>
                <w:rFonts w:hint="eastAsia" w:ascii="宋体" w:hAnsi="宋体" w:eastAsia="宋体" w:cs="宋体"/>
                <w:color w:val="auto"/>
                <w:sz w:val="24"/>
                <w:szCs w:val="24"/>
              </w:rPr>
              <w:t>备注：续签的合同按一份合同认定。</w:t>
            </w:r>
          </w:p>
        </w:tc>
        <w:tc>
          <w:tcPr>
            <w:tcW w:w="813"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分</w:t>
            </w:r>
          </w:p>
        </w:tc>
        <w:tc>
          <w:tcPr>
            <w:tcW w:w="1067" w:type="dxa"/>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客观分</w:t>
            </w:r>
          </w:p>
        </w:tc>
        <w:tc>
          <w:tcPr>
            <w:tcW w:w="1613" w:type="dxa"/>
            <w:vAlign w:val="center"/>
          </w:tcPr>
          <w:p>
            <w:pPr>
              <w:snapToGrid w:val="0"/>
              <w:rPr>
                <w:rFonts w:hint="eastAsia" w:ascii="宋体" w:hAnsi="宋体" w:eastAsia="宋体" w:cs="宋体"/>
                <w:color w:val="auto"/>
                <w:kern w:val="0"/>
                <w:sz w:val="24"/>
                <w:szCs w:val="24"/>
              </w:rPr>
            </w:pPr>
            <w:r>
              <w:rPr>
                <w:rFonts w:hint="eastAsia" w:ascii="宋体" w:hAnsi="宋体" w:eastAsia="宋体" w:cs="宋体"/>
                <w:sz w:val="24"/>
                <w:szCs w:val="24"/>
              </w:rPr>
              <w:t>投标人2021年至今同类项目业绩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605" w:type="dxa"/>
            <w:vMerge w:val="restart"/>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5714" w:type="dxa"/>
            <w:vAlign w:val="center"/>
          </w:tcPr>
          <w:p>
            <w:pPr>
              <w:numPr>
                <w:ilvl w:val="0"/>
                <w:numId w:val="0"/>
              </w:numPr>
              <w:snapToGrid w:val="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w:t>
            </w:r>
            <w:r>
              <w:rPr>
                <w:rFonts w:hint="eastAsia" w:ascii="宋体" w:hAnsi="宋体" w:eastAsia="宋体" w:cs="宋体"/>
                <w:sz w:val="24"/>
                <w:szCs w:val="24"/>
              </w:rPr>
              <w:t>投标人自有的云平台等级测评报告中安全保护等级为</w:t>
            </w:r>
            <w:r>
              <w:rPr>
                <w:rFonts w:hint="eastAsia" w:ascii="宋体" w:hAnsi="宋体" w:eastAsia="宋体" w:cs="宋体"/>
                <w:sz w:val="24"/>
                <w:szCs w:val="24"/>
                <w:highlight w:val="none"/>
              </w:rPr>
              <w:t>第三级</w:t>
            </w:r>
            <w:r>
              <w:rPr>
                <w:rFonts w:hint="eastAsia" w:ascii="宋体" w:hAnsi="宋体" w:cs="宋体"/>
                <w:sz w:val="24"/>
                <w:szCs w:val="24"/>
                <w:highlight w:val="none"/>
                <w:lang w:val="en-US" w:eastAsia="zh-CN"/>
              </w:rPr>
              <w:t>及以上</w:t>
            </w:r>
            <w:r>
              <w:rPr>
                <w:rFonts w:hint="eastAsia" w:ascii="宋体" w:hAnsi="宋体" w:eastAsia="宋体" w:cs="宋体"/>
                <w:sz w:val="24"/>
                <w:szCs w:val="24"/>
              </w:rPr>
              <w:t>，满足要求得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color w:val="auto"/>
                <w:sz w:val="24"/>
                <w:szCs w:val="24"/>
              </w:rPr>
              <w:t>。（若分公司参与投标，总公司具有该证书均认可，相关证书需在有效期内）</w:t>
            </w:r>
          </w:p>
          <w:p>
            <w:pPr>
              <w:numPr>
                <w:ilvl w:val="0"/>
                <w:numId w:val="0"/>
              </w:numPr>
              <w:snapToGrid w:val="0"/>
              <w:rPr>
                <w:rFonts w:hint="eastAsia" w:ascii="宋体" w:hAnsi="宋体" w:eastAsia="宋体" w:cs="宋体"/>
                <w:b/>
                <w:bCs/>
                <w:sz w:val="24"/>
                <w:szCs w:val="24"/>
              </w:rPr>
            </w:pPr>
            <w:r>
              <w:rPr>
                <w:rFonts w:hint="eastAsia" w:ascii="宋体" w:hAnsi="宋体" w:cs="宋体"/>
                <w:b w:val="0"/>
                <w:bCs w:val="0"/>
                <w:kern w:val="2"/>
                <w:sz w:val="24"/>
                <w:szCs w:val="24"/>
                <w:lang w:val="en-US" w:eastAsia="zh-CN" w:bidi="ar-SA"/>
              </w:rPr>
              <w:t>（2）</w:t>
            </w:r>
            <w:r>
              <w:rPr>
                <w:rFonts w:hint="eastAsia" w:ascii="宋体" w:hAnsi="宋体" w:eastAsia="宋体" w:cs="宋体"/>
                <w:sz w:val="24"/>
                <w:szCs w:val="24"/>
              </w:rPr>
              <w:t>投标人具有云管理服务评估证书</w:t>
            </w:r>
            <w:r>
              <w:rPr>
                <w:rFonts w:hint="eastAsia" w:ascii="宋体" w:hAnsi="宋体" w:eastAsia="宋体" w:cs="宋体"/>
                <w:sz w:val="24"/>
                <w:szCs w:val="24"/>
                <w:highlight w:val="none"/>
              </w:rPr>
              <w:t>（卓越级</w:t>
            </w:r>
            <w:r>
              <w:rPr>
                <w:rFonts w:hint="eastAsia" w:ascii="宋体" w:hAnsi="宋体" w:eastAsia="宋体" w:cs="宋体"/>
                <w:sz w:val="24"/>
                <w:szCs w:val="24"/>
              </w:rPr>
              <w:t>）的得3分，（若分公司参与投标，总公司具有该证书均认可，相关证书需在有效期内）。</w:t>
            </w:r>
          </w:p>
        </w:tc>
        <w:tc>
          <w:tcPr>
            <w:tcW w:w="813" w:type="dxa"/>
            <w:vMerge w:val="restart"/>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分</w:t>
            </w:r>
          </w:p>
          <w:p>
            <w:pPr>
              <w:snapToGrid w:val="0"/>
              <w:jc w:val="center"/>
              <w:rPr>
                <w:rFonts w:hint="eastAsia" w:ascii="宋体" w:hAnsi="宋体" w:eastAsia="宋体" w:cs="宋体"/>
                <w:color w:val="auto"/>
                <w:kern w:val="0"/>
                <w:sz w:val="24"/>
                <w:szCs w:val="24"/>
                <w:lang w:val="en-US" w:eastAsia="zh-CN"/>
              </w:rPr>
            </w:pPr>
          </w:p>
        </w:tc>
        <w:tc>
          <w:tcPr>
            <w:tcW w:w="1067" w:type="dxa"/>
            <w:vMerge w:val="restart"/>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客观分</w:t>
            </w:r>
          </w:p>
        </w:tc>
        <w:tc>
          <w:tcPr>
            <w:tcW w:w="1613" w:type="dxa"/>
            <w:vMerge w:val="restart"/>
            <w:vAlign w:val="center"/>
          </w:tcPr>
          <w:p>
            <w:pPr>
              <w:snapToGrid w:val="0"/>
              <w:rPr>
                <w:rFonts w:hint="eastAsia" w:ascii="宋体" w:hAnsi="宋体" w:eastAsia="宋体" w:cs="宋体"/>
                <w:color w:val="000000"/>
                <w:kern w:val="2"/>
                <w:sz w:val="24"/>
                <w:szCs w:val="24"/>
              </w:rPr>
            </w:pPr>
            <w:r>
              <w:rPr>
                <w:rFonts w:hint="eastAsia" w:ascii="宋体" w:hAnsi="宋体" w:eastAsia="宋体" w:cs="宋体"/>
                <w:sz w:val="24"/>
                <w:szCs w:val="24"/>
              </w:rPr>
              <w:t>投标人的云平台资质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restart"/>
            <w:vAlign w:val="center"/>
          </w:tcPr>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5714" w:type="dxa"/>
            <w:vAlign w:val="center"/>
          </w:tcPr>
          <w:p>
            <w:pPr>
              <w:numPr>
                <w:ilvl w:val="0"/>
                <w:numId w:val="0"/>
              </w:numPr>
              <w:snapToGrid w:val="0"/>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投标人服务于此次项目的项目负责人具备高级信息系统项目管理师证书、一级建造师（通信与广电工程）证书</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高级网络与信息安全工程师；同时具备</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本证书得4分，具备其中</w:t>
            </w:r>
            <w:r>
              <w:rPr>
                <w:rFonts w:hint="eastAsia" w:ascii="宋体" w:hAnsi="宋体" w:cs="宋体"/>
                <w:sz w:val="24"/>
                <w:szCs w:val="24"/>
                <w:highlight w:val="none"/>
                <w:lang w:val="en-US" w:eastAsia="zh-CN"/>
              </w:rPr>
              <w:t>两本</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分，只具备一本证书或不具备证书不得分，最高得4分。</w:t>
            </w:r>
          </w:p>
        </w:tc>
        <w:tc>
          <w:tcPr>
            <w:tcW w:w="813" w:type="dxa"/>
            <w:vMerge w:val="restart"/>
            <w:vAlign w:val="center"/>
          </w:tcPr>
          <w:p>
            <w:pPr>
              <w:snapToGrid w:val="0"/>
              <w:jc w:val="both"/>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分</w:t>
            </w: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tc>
        <w:tc>
          <w:tcPr>
            <w:tcW w:w="1067" w:type="dxa"/>
            <w:vMerge w:val="restart"/>
            <w:vAlign w:val="center"/>
          </w:tcPr>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center"/>
              <w:rPr>
                <w:rFonts w:hint="eastAsia" w:ascii="宋体" w:hAnsi="宋体" w:eastAsia="宋体" w:cs="宋体"/>
                <w:color w:val="auto"/>
                <w:kern w:val="0"/>
                <w:sz w:val="24"/>
                <w:szCs w:val="24"/>
                <w:lang w:val="en-US" w:eastAsia="zh-CN"/>
              </w:rPr>
            </w:pPr>
          </w:p>
          <w:p>
            <w:pPr>
              <w:snapToGrid w:val="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客观分</w:t>
            </w:r>
          </w:p>
        </w:tc>
        <w:tc>
          <w:tcPr>
            <w:tcW w:w="1613" w:type="dxa"/>
            <w:vMerge w:val="restart"/>
            <w:vAlign w:val="center"/>
          </w:tcPr>
          <w:p>
            <w:pPr>
              <w:snapToGrid w:val="0"/>
              <w:rPr>
                <w:rFonts w:hint="eastAsia" w:ascii="宋体" w:hAnsi="宋体" w:eastAsia="宋体" w:cs="宋体"/>
                <w:color w:val="000000"/>
                <w:kern w:val="2"/>
                <w:sz w:val="24"/>
                <w:szCs w:val="24"/>
              </w:rPr>
            </w:pPr>
            <w:r>
              <w:rPr>
                <w:rFonts w:hint="eastAsia" w:ascii="宋体" w:hAnsi="宋体" w:eastAsia="宋体" w:cs="宋体"/>
                <w:sz w:val="24"/>
                <w:szCs w:val="24"/>
              </w:rPr>
              <w:t>服务人员要求(提供相关证书复印件，并同时提供在本单位2024年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sz w:val="24"/>
                <w:szCs w:val="24"/>
              </w:rPr>
              <w:t>1日至今任意一月缴费情况（个人参保证明以已到账为准、单位参保证明以养老保险参保为准）的社会险参保证明，两者缺一不可，否则不予给分。</w:t>
            </w:r>
            <w:r>
              <w:rPr>
                <w:rStyle w:val="120"/>
                <w:rFonts w:hint="eastAsia" w:ascii="宋体" w:hAnsi="宋体" w:eastAsia="宋体" w:cs="宋体"/>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continue"/>
            <w:vAlign w:val="center"/>
          </w:tcPr>
          <w:p>
            <w:pPr>
              <w:snapToGrid w:val="0"/>
              <w:jc w:val="center"/>
              <w:rPr>
                <w:rFonts w:hint="eastAsia" w:ascii="宋体" w:hAnsi="宋体" w:eastAsia="宋体" w:cs="宋体"/>
                <w:color w:val="auto"/>
                <w:kern w:val="0"/>
                <w:sz w:val="24"/>
                <w:szCs w:val="24"/>
                <w:lang w:val="en-US" w:eastAsia="zh-CN"/>
              </w:rPr>
            </w:pPr>
          </w:p>
        </w:tc>
        <w:tc>
          <w:tcPr>
            <w:tcW w:w="5714" w:type="dxa"/>
            <w:vAlign w:val="center"/>
          </w:tcPr>
          <w:p>
            <w:pPr>
              <w:numPr>
                <w:ilvl w:val="0"/>
                <w:numId w:val="0"/>
              </w:numPr>
              <w:snapToGrid w:val="0"/>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投标人服务于此次项目的技术总监具备高级系统规划与管理师</w:t>
            </w:r>
            <w:r>
              <w:rPr>
                <w:rFonts w:hint="eastAsia" w:ascii="宋体" w:hAnsi="宋体" w:cs="宋体"/>
                <w:sz w:val="24"/>
                <w:szCs w:val="24"/>
                <w:highlight w:val="none"/>
                <w:lang w:val="en-US" w:eastAsia="zh-CN"/>
              </w:rPr>
              <w:t>证书、</w:t>
            </w:r>
            <w:r>
              <w:rPr>
                <w:rFonts w:hint="eastAsia" w:ascii="宋体" w:hAnsi="宋体" w:eastAsia="宋体" w:cs="宋体"/>
                <w:sz w:val="24"/>
                <w:szCs w:val="24"/>
                <w:highlight w:val="none"/>
              </w:rPr>
              <w:t>通信工程师证书（互联网技术）、数据中心（机房）规划设计工程师（高级）证书；同时具备</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本证书得4分，具备其中</w:t>
            </w:r>
            <w:r>
              <w:rPr>
                <w:rFonts w:hint="eastAsia" w:ascii="宋体" w:hAnsi="宋体" w:cs="宋体"/>
                <w:sz w:val="24"/>
                <w:szCs w:val="24"/>
                <w:highlight w:val="none"/>
                <w:lang w:val="en-US" w:eastAsia="zh-CN"/>
              </w:rPr>
              <w:t>两本</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分，只具备一本证书或不具备证书不得分，最高得4分。</w:t>
            </w:r>
          </w:p>
        </w:tc>
        <w:tc>
          <w:tcPr>
            <w:tcW w:w="813" w:type="dxa"/>
            <w:vMerge w:val="continue"/>
            <w:vAlign w:val="center"/>
          </w:tcPr>
          <w:p>
            <w:pPr>
              <w:snapToGrid w:val="0"/>
              <w:jc w:val="center"/>
              <w:rPr>
                <w:rFonts w:hint="eastAsia" w:ascii="宋体" w:hAnsi="宋体" w:eastAsia="宋体" w:cs="宋体"/>
                <w:color w:val="auto"/>
                <w:kern w:val="0"/>
                <w:sz w:val="24"/>
                <w:szCs w:val="24"/>
                <w:lang w:val="en-US" w:eastAsia="zh-CN"/>
              </w:rPr>
            </w:pPr>
          </w:p>
        </w:tc>
        <w:tc>
          <w:tcPr>
            <w:tcW w:w="1067" w:type="dxa"/>
            <w:vMerge w:val="continue"/>
            <w:vAlign w:val="center"/>
          </w:tcPr>
          <w:p>
            <w:pPr>
              <w:snapToGrid w:val="0"/>
              <w:jc w:val="center"/>
              <w:rPr>
                <w:rFonts w:hint="eastAsia" w:ascii="宋体" w:hAnsi="宋体" w:eastAsia="宋体" w:cs="宋体"/>
                <w:color w:val="auto"/>
                <w:kern w:val="0"/>
                <w:sz w:val="24"/>
                <w:szCs w:val="24"/>
                <w:lang w:val="en-US" w:eastAsia="zh-CN"/>
              </w:rPr>
            </w:pPr>
          </w:p>
        </w:tc>
        <w:tc>
          <w:tcPr>
            <w:tcW w:w="1613" w:type="dxa"/>
            <w:vMerge w:val="continue"/>
            <w:vAlign w:val="center"/>
          </w:tcPr>
          <w:p>
            <w:pPr>
              <w:snapToGrid w:val="0"/>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605" w:type="dxa"/>
            <w:vMerge w:val="continue"/>
            <w:vAlign w:val="center"/>
          </w:tcPr>
          <w:p>
            <w:pPr>
              <w:snapToGrid w:val="0"/>
              <w:jc w:val="center"/>
              <w:rPr>
                <w:rFonts w:hint="eastAsia" w:ascii="宋体" w:hAnsi="宋体" w:eastAsia="宋体" w:cs="宋体"/>
                <w:color w:val="auto"/>
                <w:kern w:val="0"/>
                <w:sz w:val="24"/>
                <w:szCs w:val="24"/>
                <w:lang w:val="en-US" w:eastAsia="zh-CN"/>
              </w:rPr>
            </w:pPr>
          </w:p>
        </w:tc>
        <w:tc>
          <w:tcPr>
            <w:tcW w:w="5714" w:type="dxa"/>
            <w:vAlign w:val="center"/>
          </w:tcPr>
          <w:p>
            <w:pPr>
              <w:numPr>
                <w:ilvl w:val="0"/>
                <w:numId w:val="0"/>
              </w:numPr>
              <w:tabs>
                <w:tab w:val="left" w:pos="594"/>
              </w:tabs>
              <w:snapToGrid w:val="0"/>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4.3</w:t>
            </w:r>
            <w:r>
              <w:rPr>
                <w:rFonts w:hint="eastAsia" w:ascii="宋体" w:hAnsi="宋体" w:eastAsia="宋体" w:cs="宋体"/>
                <w:sz w:val="24"/>
                <w:szCs w:val="24"/>
                <w:highlight w:val="none"/>
              </w:rPr>
              <w:t>投标人服务于此次项目的安全负责人具备高级信息系统项目管理师</w:t>
            </w:r>
            <w:r>
              <w:rPr>
                <w:rFonts w:hint="eastAsia" w:ascii="宋体" w:hAnsi="宋体" w:cs="宋体"/>
                <w:sz w:val="24"/>
                <w:szCs w:val="24"/>
                <w:highlight w:val="none"/>
                <w:lang w:val="en-US" w:eastAsia="zh-CN"/>
              </w:rPr>
              <w:t>证书、</w:t>
            </w:r>
            <w:r>
              <w:rPr>
                <w:rFonts w:hint="eastAsia" w:ascii="宋体" w:hAnsi="宋体" w:eastAsia="宋体" w:cs="宋体"/>
                <w:sz w:val="24"/>
                <w:szCs w:val="24"/>
                <w:highlight w:val="none"/>
              </w:rPr>
              <w:t>中级信息安全工程师证书、中级网络工程师证</w:t>
            </w:r>
            <w:r>
              <w:rPr>
                <w:rFonts w:hint="eastAsia" w:ascii="宋体" w:hAnsi="宋体" w:cs="宋体"/>
                <w:sz w:val="24"/>
                <w:szCs w:val="24"/>
                <w:highlight w:val="none"/>
                <w:lang w:val="en-US" w:eastAsia="zh-CN"/>
              </w:rPr>
              <w:t>书</w:t>
            </w:r>
            <w:r>
              <w:rPr>
                <w:rFonts w:hint="eastAsia" w:ascii="宋体" w:hAnsi="宋体" w:eastAsia="宋体" w:cs="宋体"/>
                <w:sz w:val="24"/>
                <w:szCs w:val="24"/>
                <w:highlight w:val="none"/>
              </w:rPr>
              <w:t>、中级通信专业技术人员（传输与接入方向）</w:t>
            </w:r>
            <w:r>
              <w:rPr>
                <w:rFonts w:hint="eastAsia" w:ascii="宋体" w:hAnsi="宋体" w:cs="宋体"/>
                <w:sz w:val="24"/>
                <w:szCs w:val="24"/>
                <w:highlight w:val="none"/>
                <w:lang w:val="en-US" w:eastAsia="zh-CN"/>
              </w:rPr>
              <w:t>证书</w:t>
            </w:r>
            <w:r>
              <w:rPr>
                <w:rFonts w:hint="eastAsia" w:ascii="宋体" w:hAnsi="宋体" w:eastAsia="宋体" w:cs="宋体"/>
                <w:sz w:val="24"/>
                <w:szCs w:val="24"/>
                <w:highlight w:val="none"/>
              </w:rPr>
              <w:t>；同时具备四本证书得4分，具备其中三本得2分，具备其中两本得1分，只具备一本证书或不具备证书不得分，最高得4分。</w:t>
            </w:r>
          </w:p>
        </w:tc>
        <w:tc>
          <w:tcPr>
            <w:tcW w:w="813" w:type="dxa"/>
            <w:vMerge w:val="continue"/>
            <w:vAlign w:val="center"/>
          </w:tcPr>
          <w:p>
            <w:pPr>
              <w:snapToGrid w:val="0"/>
              <w:jc w:val="center"/>
              <w:rPr>
                <w:rFonts w:hint="eastAsia" w:ascii="宋体" w:hAnsi="宋体" w:eastAsia="宋体" w:cs="宋体"/>
                <w:color w:val="auto"/>
                <w:kern w:val="0"/>
                <w:sz w:val="24"/>
                <w:szCs w:val="24"/>
                <w:lang w:val="en-US" w:eastAsia="zh-CN"/>
              </w:rPr>
            </w:pPr>
          </w:p>
        </w:tc>
        <w:tc>
          <w:tcPr>
            <w:tcW w:w="1067" w:type="dxa"/>
            <w:vMerge w:val="continue"/>
            <w:vAlign w:val="center"/>
          </w:tcPr>
          <w:p>
            <w:pPr>
              <w:snapToGrid w:val="0"/>
              <w:jc w:val="center"/>
              <w:rPr>
                <w:rFonts w:hint="eastAsia" w:ascii="宋体" w:hAnsi="宋体" w:eastAsia="宋体" w:cs="宋体"/>
                <w:color w:val="auto"/>
                <w:kern w:val="0"/>
                <w:sz w:val="24"/>
                <w:szCs w:val="24"/>
                <w:lang w:val="en-US" w:eastAsia="zh-CN"/>
              </w:rPr>
            </w:pPr>
          </w:p>
        </w:tc>
        <w:tc>
          <w:tcPr>
            <w:tcW w:w="1613" w:type="dxa"/>
            <w:vMerge w:val="continue"/>
            <w:vAlign w:val="center"/>
          </w:tcPr>
          <w:p>
            <w:pPr>
              <w:snapToGrid w:val="0"/>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605"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5</w:t>
            </w:r>
          </w:p>
        </w:tc>
        <w:tc>
          <w:tcPr>
            <w:tcW w:w="5714" w:type="dxa"/>
            <w:vAlign w:val="center"/>
          </w:tcPr>
          <w:p>
            <w:pPr>
              <w:snapToGrid w:val="0"/>
              <w:rPr>
                <w:rFonts w:hint="default" w:ascii="宋体" w:hAnsi="宋体" w:eastAsia="宋体" w:cs="宋体"/>
                <w:sz w:val="24"/>
                <w:szCs w:val="24"/>
                <w:lang w:val="en-US" w:eastAsia="zh-CN"/>
              </w:rPr>
            </w:pPr>
            <w:r>
              <w:rPr>
                <w:rFonts w:hint="eastAsia" w:ascii="宋体" w:hAnsi="宋体" w:eastAsia="宋体" w:cs="宋体"/>
                <w:sz w:val="24"/>
                <w:szCs w:val="24"/>
              </w:rPr>
              <w:t>根据招标文件中云基础服务、云平台服务、云安全服务、云基础设施服务、云管系统等技术参数的满足程度评分</w:t>
            </w:r>
            <w:r>
              <w:rPr>
                <w:rFonts w:hint="eastAsia" w:ascii="宋体" w:hAnsi="宋体" w:cs="宋体"/>
                <w:sz w:val="24"/>
                <w:szCs w:val="24"/>
                <w:lang w:eastAsia="zh-CN"/>
              </w:rPr>
              <w:t>（</w:t>
            </w:r>
            <w:r>
              <w:rPr>
                <w:rFonts w:hint="eastAsia" w:ascii="宋体" w:hAnsi="宋体" w:cs="宋体"/>
                <w:sz w:val="24"/>
                <w:szCs w:val="24"/>
                <w:lang w:val="en-US" w:eastAsia="zh-CN"/>
              </w:rPr>
              <w:t>25分）</w:t>
            </w:r>
            <w:r>
              <w:rPr>
                <w:rFonts w:hint="eastAsia" w:ascii="宋体" w:hAnsi="宋体" w:eastAsia="宋体" w:cs="宋体"/>
                <w:sz w:val="24"/>
                <w:szCs w:val="24"/>
              </w:rPr>
              <w:t>：</w:t>
            </w:r>
          </w:p>
          <w:p>
            <w:pPr>
              <w:snapToGrid w:val="0"/>
              <w:rPr>
                <w:rFonts w:hint="eastAsia" w:ascii="宋体" w:hAnsi="宋体" w:eastAsia="宋体" w:cs="宋体"/>
                <w:sz w:val="24"/>
                <w:szCs w:val="24"/>
              </w:rPr>
            </w:pPr>
            <w:r>
              <w:rPr>
                <w:rFonts w:hint="eastAsia" w:ascii="宋体" w:hAnsi="宋体" w:eastAsia="宋体" w:cs="宋体"/>
                <w:sz w:val="24"/>
                <w:szCs w:val="24"/>
              </w:rPr>
              <w:t>1.标有“▲”且加下划线必须满足，负偏离</w:t>
            </w:r>
            <w:r>
              <w:rPr>
                <w:rFonts w:hint="eastAsia" w:ascii="宋体" w:hAnsi="宋体" w:cs="宋体"/>
                <w:sz w:val="24"/>
                <w:szCs w:val="24"/>
                <w:lang w:val="en-US" w:eastAsia="zh-CN"/>
              </w:rPr>
              <w:t>按</w:t>
            </w:r>
            <w:r>
              <w:rPr>
                <w:rFonts w:hint="eastAsia" w:ascii="宋体" w:hAnsi="宋体" w:cs="宋体"/>
                <w:color w:val="auto"/>
                <w:sz w:val="24"/>
                <w:szCs w:val="24"/>
                <w:lang w:val="en-US" w:eastAsia="zh-CN"/>
              </w:rPr>
              <w:t>无效标</w:t>
            </w:r>
            <w:r>
              <w:rPr>
                <w:rFonts w:hint="eastAsia" w:ascii="宋体" w:hAnsi="宋体" w:eastAsia="宋体" w:cs="宋体"/>
                <w:sz w:val="24"/>
                <w:szCs w:val="24"/>
              </w:rPr>
              <w:t>处理；</w:t>
            </w:r>
          </w:p>
          <w:p>
            <w:pPr>
              <w:numPr>
                <w:ilvl w:val="0"/>
                <w:numId w:val="0"/>
              </w:numPr>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2.投标产品的技术参数“★”的，每负偏离1项扣</w:t>
            </w:r>
            <w:r>
              <w:rPr>
                <w:rFonts w:hint="eastAsia" w:ascii="宋体" w:hAnsi="宋体" w:cs="宋体"/>
                <w:sz w:val="24"/>
                <w:szCs w:val="24"/>
                <w:lang w:val="en-US" w:eastAsia="zh-CN"/>
              </w:rPr>
              <w:t>2.5</w:t>
            </w:r>
            <w:r>
              <w:rPr>
                <w:rFonts w:hint="eastAsia" w:ascii="宋体" w:hAnsi="宋体" w:eastAsia="宋体" w:cs="宋体"/>
                <w:sz w:val="24"/>
                <w:szCs w:val="24"/>
              </w:rPr>
              <w:t>分，扣完为止，由评委共同认定。</w:t>
            </w:r>
          </w:p>
        </w:tc>
        <w:tc>
          <w:tcPr>
            <w:tcW w:w="813"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lang w:val="en-US" w:eastAsia="zh-CN"/>
              </w:rPr>
              <w:t>分</w:t>
            </w:r>
          </w:p>
          <w:p>
            <w:pPr>
              <w:snapToGrid w:val="0"/>
              <w:jc w:val="center"/>
              <w:rPr>
                <w:rFonts w:hint="eastAsia" w:ascii="宋体" w:hAnsi="宋体" w:eastAsia="宋体" w:cs="宋体"/>
                <w:color w:val="auto"/>
                <w:kern w:val="0"/>
                <w:sz w:val="24"/>
                <w:szCs w:val="24"/>
                <w:lang w:val="en-US" w:eastAsia="zh-CN"/>
              </w:rPr>
            </w:pPr>
          </w:p>
        </w:tc>
        <w:tc>
          <w:tcPr>
            <w:tcW w:w="1067" w:type="dxa"/>
            <w:vAlign w:val="center"/>
          </w:tcPr>
          <w:p>
            <w:pPr>
              <w:snapToGrid w:val="0"/>
              <w:jc w:val="center"/>
              <w:rPr>
                <w:rFonts w:hint="eastAsia" w:ascii="宋体" w:hAnsi="宋体" w:eastAsia="宋体" w:cs="宋体"/>
                <w:color w:val="auto"/>
                <w:kern w:val="0"/>
                <w:sz w:val="24"/>
                <w:szCs w:val="24"/>
                <w:highlight w:val="yellow"/>
                <w:lang w:val="en-US" w:eastAsia="zh-CN"/>
              </w:rPr>
            </w:pPr>
            <w:r>
              <w:rPr>
                <w:rFonts w:hint="eastAsia" w:ascii="宋体" w:hAnsi="宋体" w:cs="宋体"/>
                <w:color w:val="auto"/>
                <w:kern w:val="0"/>
                <w:sz w:val="24"/>
                <w:szCs w:val="24"/>
                <w:highlight w:val="none"/>
                <w:lang w:val="en-US" w:eastAsia="zh-CN"/>
              </w:rPr>
              <w:t>客</w:t>
            </w:r>
            <w:r>
              <w:rPr>
                <w:rFonts w:hint="eastAsia" w:ascii="宋体" w:hAnsi="宋体" w:eastAsia="宋体" w:cs="宋体"/>
                <w:color w:val="auto"/>
                <w:kern w:val="0"/>
                <w:sz w:val="24"/>
                <w:szCs w:val="24"/>
                <w:highlight w:val="none"/>
                <w:lang w:val="en-US" w:eastAsia="zh-CN"/>
              </w:rPr>
              <w:t>观分</w:t>
            </w:r>
          </w:p>
        </w:tc>
        <w:tc>
          <w:tcPr>
            <w:tcW w:w="1613" w:type="dxa"/>
            <w:vAlign w:val="center"/>
          </w:tcPr>
          <w:p>
            <w:pPr>
              <w:snapToGrid w:val="0"/>
              <w:rPr>
                <w:rFonts w:hint="eastAsia" w:ascii="宋体" w:hAnsi="宋体" w:eastAsia="宋体" w:cs="宋体"/>
                <w:color w:val="auto"/>
                <w:kern w:val="2"/>
                <w:sz w:val="24"/>
                <w:szCs w:val="24"/>
                <w:highlight w:val="yellow"/>
              </w:rPr>
            </w:pPr>
            <w:r>
              <w:rPr>
                <w:rFonts w:hint="eastAsia" w:ascii="宋体" w:hAnsi="宋体" w:eastAsia="宋体" w:cs="宋体"/>
                <w:color w:val="auto"/>
                <w:sz w:val="24"/>
                <w:szCs w:val="24"/>
                <w:highlight w:val="none"/>
              </w:rPr>
              <w:t>招标文件中云基础服务、云平台服务、云安全服务、云基础设施服务、云管系统等技术参数的满足程度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5" w:type="dxa"/>
            <w:vAlign w:val="center"/>
          </w:tcPr>
          <w:p>
            <w:pPr>
              <w:snapToGrid w:val="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5714" w:type="dxa"/>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云平台整体方案设计：考察投标人对于本项目的理解是否全面，包括政务云平台总体设计思路、技术架构，以及云平台安全保障体系技术方案的可靠性、全面性、可行性。</w:t>
            </w:r>
          </w:p>
          <w:p>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1政务云平台总体设计思路：</w:t>
            </w:r>
            <w:r>
              <w:rPr>
                <w:rFonts w:hint="eastAsia" w:ascii="宋体" w:hAnsi="宋体" w:cs="宋体"/>
                <w:sz w:val="24"/>
                <w:szCs w:val="24"/>
                <w:lang w:eastAsia="zh-CN"/>
              </w:rPr>
              <w:t>（</w:t>
            </w:r>
            <w:r>
              <w:rPr>
                <w:rFonts w:hint="eastAsia" w:ascii="宋体" w:hAnsi="宋体" w:cs="宋体"/>
                <w:sz w:val="24"/>
                <w:szCs w:val="24"/>
                <w:lang w:val="en-US" w:eastAsia="zh-CN"/>
              </w:rPr>
              <w:t>4分）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①描述全面、可行、可靠，得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②描述基本全面、合理，得2分；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③描述简单或存在缺漏的，得1分；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④无描述不得分。</w:t>
            </w:r>
          </w:p>
          <w:p>
            <w:pPr>
              <w:pStyle w:val="23"/>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s="宋体"/>
                <w:sz w:val="24"/>
                <w:szCs w:val="24"/>
                <w:lang w:val="en-US" w:eastAsia="zh-CN"/>
              </w:rPr>
            </w:pPr>
            <w:r>
              <w:rPr>
                <w:rFonts w:hint="eastAsia" w:hAnsi="宋体" w:cs="宋体"/>
                <w:sz w:val="24"/>
                <w:szCs w:val="24"/>
                <w:lang w:val="en-US" w:eastAsia="zh-CN"/>
              </w:rPr>
              <w:t>6.</w:t>
            </w:r>
            <w:r>
              <w:rPr>
                <w:rFonts w:hint="eastAsia" w:ascii="宋体" w:hAnsi="宋体" w:eastAsia="宋体" w:cs="宋体"/>
                <w:sz w:val="24"/>
                <w:szCs w:val="24"/>
              </w:rPr>
              <w:t>2政务云平台总体技术架构：</w:t>
            </w:r>
            <w:r>
              <w:rPr>
                <w:rFonts w:hint="eastAsia" w:hAnsi="宋体" w:cs="宋体"/>
                <w:sz w:val="24"/>
                <w:szCs w:val="24"/>
                <w:lang w:eastAsia="zh-CN"/>
              </w:rPr>
              <w:t>（</w:t>
            </w:r>
            <w:r>
              <w:rPr>
                <w:rFonts w:hint="eastAsia" w:hAnsi="宋体" w:cs="宋体"/>
                <w:sz w:val="24"/>
                <w:szCs w:val="24"/>
                <w:lang w:val="en-US" w:eastAsia="zh-CN"/>
              </w:rPr>
              <w:t>4分）</w:t>
            </w:r>
          </w:p>
          <w:p>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①描述全面、可行、可靠，得</w:t>
            </w:r>
            <w:r>
              <w:rPr>
                <w:rFonts w:hint="eastAsia" w:ascii="宋体" w:hAnsi="宋体" w:cs="宋体"/>
                <w:sz w:val="24"/>
                <w:szCs w:val="24"/>
                <w:lang w:val="en-US" w:eastAsia="zh-CN"/>
              </w:rPr>
              <w:t>4</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②描述基本全面、合理，得2分；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③描述简单或存在缺漏的，得1分；</w:t>
            </w:r>
          </w:p>
          <w:p>
            <w:pPr>
              <w:pStyle w:val="23"/>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④无描述不得分。</w:t>
            </w:r>
          </w:p>
          <w:p>
            <w:pPr>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3云平台安全保障体系技术方案：</w:t>
            </w:r>
            <w:r>
              <w:rPr>
                <w:rFonts w:hint="eastAsia" w:ascii="宋体" w:hAnsi="宋体" w:cs="宋体"/>
                <w:sz w:val="24"/>
                <w:szCs w:val="24"/>
                <w:lang w:eastAsia="zh-CN"/>
              </w:rPr>
              <w:t>（</w:t>
            </w:r>
            <w:r>
              <w:rPr>
                <w:rFonts w:hint="eastAsia" w:ascii="宋体" w:hAnsi="宋体" w:cs="宋体"/>
                <w:sz w:val="24"/>
                <w:szCs w:val="24"/>
                <w:lang w:val="en-US" w:eastAsia="zh-CN"/>
              </w:rPr>
              <w:t>4分）</w:t>
            </w:r>
          </w:p>
          <w:p>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①描述全面、可行、可靠，得</w:t>
            </w:r>
            <w:r>
              <w:rPr>
                <w:rFonts w:hint="eastAsia" w:ascii="宋体" w:hAnsi="宋体" w:cs="宋体"/>
                <w:sz w:val="24"/>
                <w:szCs w:val="24"/>
                <w:lang w:val="en-US" w:eastAsia="zh-CN"/>
              </w:rPr>
              <w:t>4</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②描述基本全面、合理，得2分；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③描述简单或存在缺漏的，得1分；</w:t>
            </w:r>
          </w:p>
          <w:p>
            <w:pPr>
              <w:numPr>
                <w:ilvl w:val="0"/>
                <w:numId w:val="0"/>
              </w:numPr>
              <w:snapToGrid w:val="0"/>
              <w:rPr>
                <w:rFonts w:hint="eastAsia" w:ascii="宋体" w:hAnsi="宋体" w:eastAsia="宋体" w:cs="宋体"/>
                <w:sz w:val="24"/>
                <w:szCs w:val="24"/>
              </w:rPr>
            </w:pPr>
            <w:r>
              <w:rPr>
                <w:rFonts w:hint="eastAsia" w:ascii="宋体" w:hAnsi="宋体" w:eastAsia="宋体" w:cs="宋体"/>
                <w:sz w:val="24"/>
                <w:szCs w:val="24"/>
              </w:rPr>
              <w:t>④无描述不得分。</w:t>
            </w:r>
          </w:p>
        </w:tc>
        <w:tc>
          <w:tcPr>
            <w:tcW w:w="813" w:type="dxa"/>
            <w:vAlign w:val="center"/>
          </w:tcPr>
          <w:p>
            <w:pPr>
              <w:snapToGrid w:val="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12分</w:t>
            </w:r>
          </w:p>
        </w:tc>
        <w:tc>
          <w:tcPr>
            <w:tcW w:w="1067"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云平台技术方案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5714" w:type="dxa"/>
            <w:vAlign w:val="center"/>
          </w:tcPr>
          <w:p>
            <w:pPr>
              <w:rPr>
                <w:rFonts w:hint="eastAsia" w:ascii="宋体" w:hAnsi="宋体" w:eastAsia="宋体" w:cs="宋体"/>
                <w:sz w:val="24"/>
                <w:szCs w:val="24"/>
              </w:rPr>
            </w:pPr>
            <w:r>
              <w:rPr>
                <w:rFonts w:hint="eastAsia" w:ascii="宋体" w:hAnsi="宋体" w:eastAsia="宋体" w:cs="宋体"/>
                <w:sz w:val="24"/>
                <w:szCs w:val="24"/>
              </w:rPr>
              <w:t>根据投标人提供完整</w:t>
            </w:r>
            <w:r>
              <w:rPr>
                <w:rFonts w:hint="eastAsia" w:ascii="宋体" w:hAnsi="宋体" w:eastAsia="宋体" w:cs="宋体"/>
                <w:sz w:val="24"/>
                <w:szCs w:val="24"/>
                <w:lang w:val="en-US" w:eastAsia="zh-CN"/>
              </w:rPr>
              <w:t>云平台安全</w:t>
            </w:r>
            <w:r>
              <w:rPr>
                <w:rFonts w:hint="eastAsia" w:ascii="宋体" w:hAnsi="宋体" w:eastAsia="宋体" w:cs="宋体"/>
                <w:sz w:val="24"/>
                <w:szCs w:val="24"/>
              </w:rPr>
              <w:t>方案，包含组网方案、维保方案，以及所提供方案的合理性、科学性和服务能力及条件综合评定打分：</w:t>
            </w:r>
          </w:p>
          <w:p>
            <w:pPr>
              <w:rPr>
                <w:rFonts w:hint="eastAsia" w:ascii="宋体" w:hAnsi="宋体" w:eastAsia="宋体" w:cs="宋体"/>
                <w:sz w:val="24"/>
                <w:szCs w:val="24"/>
              </w:rPr>
            </w:pPr>
            <w:r>
              <w:rPr>
                <w:rFonts w:hint="eastAsia" w:ascii="宋体" w:hAnsi="宋体" w:eastAsia="宋体" w:cs="宋体"/>
                <w:sz w:val="24"/>
                <w:szCs w:val="24"/>
              </w:rPr>
              <w:t>①描述全面、可行、可靠，得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snapToGrid w:val="0"/>
              <w:rPr>
                <w:rFonts w:hint="eastAsia" w:ascii="宋体" w:hAnsi="宋体" w:eastAsia="宋体" w:cs="宋体"/>
                <w:sz w:val="24"/>
                <w:szCs w:val="24"/>
              </w:rPr>
            </w:pPr>
            <w:r>
              <w:rPr>
                <w:rFonts w:hint="eastAsia" w:ascii="宋体" w:hAnsi="宋体" w:eastAsia="宋体" w:cs="宋体"/>
                <w:sz w:val="24"/>
                <w:szCs w:val="24"/>
              </w:rPr>
              <w:t>②描述基本全面、合理，得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napToGrid w:val="0"/>
              <w:rPr>
                <w:rFonts w:hint="eastAsia" w:ascii="宋体" w:hAnsi="宋体" w:eastAsia="宋体" w:cs="宋体"/>
                <w:sz w:val="24"/>
                <w:szCs w:val="24"/>
              </w:rPr>
            </w:pPr>
            <w:r>
              <w:rPr>
                <w:rFonts w:hint="eastAsia" w:ascii="宋体" w:hAnsi="宋体" w:eastAsia="宋体" w:cs="宋体"/>
                <w:sz w:val="24"/>
                <w:szCs w:val="24"/>
              </w:rPr>
              <w:t>③描述简单或存在缺漏的，得1分；</w:t>
            </w:r>
          </w:p>
          <w:p>
            <w:pPr>
              <w:numPr>
                <w:ilvl w:val="0"/>
                <w:numId w:val="0"/>
              </w:numPr>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④无描述不得分。</w:t>
            </w:r>
          </w:p>
        </w:tc>
        <w:tc>
          <w:tcPr>
            <w:tcW w:w="813"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5分</w:t>
            </w:r>
          </w:p>
        </w:tc>
        <w:tc>
          <w:tcPr>
            <w:tcW w:w="1067"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vAlign w:val="center"/>
          </w:tcPr>
          <w:p>
            <w:pPr>
              <w:snapToGrid w:val="0"/>
              <w:rPr>
                <w:rFonts w:hint="eastAsia" w:ascii="宋体" w:hAnsi="宋体" w:eastAsia="宋体" w:cs="宋体"/>
                <w:color w:val="000000"/>
                <w:kern w:val="2"/>
                <w:sz w:val="24"/>
                <w:szCs w:val="24"/>
              </w:rPr>
            </w:pPr>
            <w:r>
              <w:rPr>
                <w:rFonts w:hint="eastAsia" w:ascii="宋体" w:hAnsi="宋体" w:eastAsia="宋体" w:cs="宋体"/>
                <w:sz w:val="24"/>
                <w:szCs w:val="24"/>
              </w:rPr>
              <w:t>云平台安全方案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5714" w:type="dxa"/>
            <w:vAlign w:val="center"/>
          </w:tcPr>
          <w:p>
            <w:pPr>
              <w:rPr>
                <w:rFonts w:hint="eastAsia" w:ascii="宋体" w:hAnsi="宋体" w:eastAsia="宋体" w:cs="宋体"/>
                <w:sz w:val="24"/>
                <w:szCs w:val="24"/>
              </w:rPr>
            </w:pPr>
            <w:r>
              <w:rPr>
                <w:rFonts w:hint="eastAsia" w:ascii="宋体" w:hAnsi="宋体" w:eastAsia="宋体" w:cs="宋体"/>
                <w:sz w:val="24"/>
                <w:szCs w:val="24"/>
              </w:rPr>
              <w:t>机房环境及相关物理硬件是否满足招标文件相关技术指标要求，须提供相关证明材料：</w:t>
            </w:r>
          </w:p>
          <w:p>
            <w:pPr>
              <w:rPr>
                <w:rFonts w:hint="eastAsia" w:ascii="宋体" w:hAnsi="宋体" w:eastAsia="宋体" w:cs="宋体"/>
                <w:sz w:val="24"/>
                <w:szCs w:val="24"/>
              </w:rPr>
            </w:pPr>
            <w:r>
              <w:rPr>
                <w:rFonts w:hint="eastAsia" w:ascii="宋体" w:hAnsi="宋体" w:eastAsia="宋体" w:cs="宋体"/>
                <w:sz w:val="24"/>
                <w:szCs w:val="24"/>
              </w:rPr>
              <w:t>①描述全面、可行、可靠，得3分；</w:t>
            </w:r>
          </w:p>
          <w:p>
            <w:pPr>
              <w:snapToGrid w:val="0"/>
              <w:rPr>
                <w:rFonts w:hint="eastAsia" w:ascii="宋体" w:hAnsi="宋体" w:eastAsia="宋体" w:cs="宋体"/>
                <w:sz w:val="24"/>
                <w:szCs w:val="24"/>
              </w:rPr>
            </w:pPr>
            <w:r>
              <w:rPr>
                <w:rFonts w:hint="eastAsia" w:ascii="宋体" w:hAnsi="宋体" w:eastAsia="宋体" w:cs="宋体"/>
                <w:sz w:val="24"/>
                <w:szCs w:val="24"/>
              </w:rPr>
              <w:t>②描述基本全面、合理，得2分；</w:t>
            </w:r>
          </w:p>
          <w:p>
            <w:pPr>
              <w:snapToGrid w:val="0"/>
              <w:rPr>
                <w:rFonts w:hint="eastAsia" w:ascii="宋体" w:hAnsi="宋体" w:eastAsia="宋体" w:cs="宋体"/>
                <w:sz w:val="24"/>
                <w:szCs w:val="24"/>
              </w:rPr>
            </w:pPr>
            <w:r>
              <w:rPr>
                <w:rFonts w:hint="eastAsia" w:ascii="宋体" w:hAnsi="宋体" w:eastAsia="宋体" w:cs="宋体"/>
                <w:sz w:val="24"/>
                <w:szCs w:val="24"/>
              </w:rPr>
              <w:t>③描述简单或存在缺漏的，得1分；</w:t>
            </w:r>
          </w:p>
          <w:p>
            <w:pPr>
              <w:numPr>
                <w:ilvl w:val="0"/>
                <w:numId w:val="0"/>
              </w:numPr>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④无描述不得分。</w:t>
            </w:r>
          </w:p>
        </w:tc>
        <w:tc>
          <w:tcPr>
            <w:tcW w:w="813"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3分</w:t>
            </w:r>
          </w:p>
        </w:tc>
        <w:tc>
          <w:tcPr>
            <w:tcW w:w="1067"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vAlign w:val="center"/>
          </w:tcPr>
          <w:p>
            <w:pPr>
              <w:snapToGrid w:val="0"/>
              <w:rPr>
                <w:rFonts w:hint="eastAsia" w:ascii="宋体" w:hAnsi="宋体" w:eastAsia="宋体" w:cs="宋体"/>
                <w:color w:val="000000"/>
                <w:kern w:val="2"/>
                <w:sz w:val="24"/>
                <w:szCs w:val="24"/>
              </w:rPr>
            </w:pPr>
            <w:r>
              <w:rPr>
                <w:rFonts w:hint="eastAsia" w:ascii="宋体" w:hAnsi="宋体" w:eastAsia="宋体" w:cs="宋体"/>
                <w:sz w:val="24"/>
                <w:szCs w:val="24"/>
              </w:rPr>
              <w:t>机房要求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w:t>
            </w:r>
          </w:p>
        </w:tc>
        <w:tc>
          <w:tcPr>
            <w:tcW w:w="5714" w:type="dxa"/>
            <w:vAlign w:val="center"/>
          </w:tcPr>
          <w:p>
            <w:pPr>
              <w:rPr>
                <w:rFonts w:hint="eastAsia" w:ascii="宋体" w:hAnsi="宋体" w:eastAsia="宋体" w:cs="宋体"/>
                <w:sz w:val="24"/>
                <w:szCs w:val="24"/>
              </w:rPr>
            </w:pPr>
            <w:r>
              <w:rPr>
                <w:rFonts w:hint="eastAsia" w:ascii="宋体" w:hAnsi="宋体" w:eastAsia="宋体" w:cs="宋体"/>
                <w:sz w:val="24"/>
                <w:szCs w:val="24"/>
              </w:rPr>
              <w:t>根据详细的运维服务方案、运维服务报告的详细程度、服务响应时间等打分，最高的9分。</w:t>
            </w:r>
          </w:p>
          <w:p>
            <w:pPr>
              <w:rPr>
                <w:rFonts w:hint="eastAsia" w:ascii="宋体" w:hAnsi="宋体" w:eastAsia="宋体" w:cs="宋体"/>
                <w:sz w:val="24"/>
                <w:szCs w:val="24"/>
              </w:rPr>
            </w:pPr>
            <w:r>
              <w:rPr>
                <w:rFonts w:hint="eastAsia" w:ascii="宋体" w:hAnsi="宋体" w:cs="宋体"/>
                <w:sz w:val="24"/>
                <w:szCs w:val="24"/>
                <w:lang w:val="en-US" w:eastAsia="zh-CN"/>
              </w:rPr>
              <w:t>9.1</w:t>
            </w:r>
            <w:r>
              <w:rPr>
                <w:rFonts w:hint="eastAsia" w:ascii="宋体" w:hAnsi="宋体" w:eastAsia="宋体" w:cs="宋体"/>
                <w:sz w:val="24"/>
                <w:szCs w:val="24"/>
              </w:rPr>
              <w:t>运维服务方案</w:t>
            </w:r>
            <w:r>
              <w:rPr>
                <w:rFonts w:hint="eastAsia" w:ascii="宋体" w:hAnsi="宋体" w:cs="宋体"/>
                <w:sz w:val="24"/>
                <w:szCs w:val="24"/>
                <w:lang w:eastAsia="zh-CN"/>
              </w:rPr>
              <w:t>（</w:t>
            </w:r>
            <w:r>
              <w:rPr>
                <w:rFonts w:hint="eastAsia" w:ascii="宋体" w:hAnsi="宋体" w:cs="宋体"/>
                <w:sz w:val="24"/>
                <w:szCs w:val="24"/>
                <w:lang w:val="en-US" w:eastAsia="zh-CN"/>
              </w:rPr>
              <w:t>3分）</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①描述全面、可行、可靠，得3分；</w:t>
            </w:r>
          </w:p>
          <w:p>
            <w:pPr>
              <w:snapToGrid w:val="0"/>
              <w:rPr>
                <w:rFonts w:hint="eastAsia" w:ascii="宋体" w:hAnsi="宋体" w:eastAsia="宋体" w:cs="宋体"/>
                <w:sz w:val="24"/>
                <w:szCs w:val="24"/>
              </w:rPr>
            </w:pPr>
            <w:r>
              <w:rPr>
                <w:rFonts w:hint="eastAsia" w:ascii="宋体" w:hAnsi="宋体" w:eastAsia="宋体" w:cs="宋体"/>
                <w:sz w:val="24"/>
                <w:szCs w:val="24"/>
              </w:rPr>
              <w:t>②描述基本全面、合理，得2分；</w:t>
            </w:r>
          </w:p>
          <w:p>
            <w:pPr>
              <w:snapToGrid w:val="0"/>
              <w:rPr>
                <w:rFonts w:hint="eastAsia" w:ascii="宋体" w:hAnsi="宋体" w:eastAsia="宋体" w:cs="宋体"/>
                <w:sz w:val="24"/>
                <w:szCs w:val="24"/>
              </w:rPr>
            </w:pPr>
            <w:r>
              <w:rPr>
                <w:rFonts w:hint="eastAsia" w:ascii="宋体" w:hAnsi="宋体" w:eastAsia="宋体" w:cs="宋体"/>
                <w:sz w:val="24"/>
                <w:szCs w:val="24"/>
              </w:rPr>
              <w:t>③描述简单或存在缺漏的，得1分；</w:t>
            </w:r>
          </w:p>
          <w:p>
            <w:pPr>
              <w:rPr>
                <w:rFonts w:hint="eastAsia" w:ascii="宋体" w:hAnsi="宋体" w:eastAsia="宋体" w:cs="宋体"/>
                <w:sz w:val="24"/>
                <w:szCs w:val="24"/>
              </w:rPr>
            </w:pPr>
            <w:r>
              <w:rPr>
                <w:rFonts w:hint="eastAsia" w:ascii="宋体" w:hAnsi="宋体" w:eastAsia="宋体" w:cs="宋体"/>
                <w:sz w:val="24"/>
                <w:szCs w:val="24"/>
              </w:rPr>
              <w:t>④无描述不得分。</w:t>
            </w:r>
          </w:p>
          <w:p>
            <w:pPr>
              <w:rPr>
                <w:rFonts w:hint="eastAsia" w:ascii="宋体" w:hAnsi="宋体" w:eastAsia="宋体" w:cs="宋体"/>
                <w:sz w:val="24"/>
                <w:szCs w:val="24"/>
              </w:rPr>
            </w:pPr>
            <w:r>
              <w:rPr>
                <w:rFonts w:hint="eastAsia" w:ascii="宋体" w:hAnsi="宋体" w:cs="宋体"/>
                <w:sz w:val="24"/>
                <w:szCs w:val="24"/>
                <w:lang w:val="en-US" w:eastAsia="zh-CN"/>
              </w:rPr>
              <w:t>9.2</w:t>
            </w:r>
            <w:r>
              <w:rPr>
                <w:rFonts w:hint="eastAsia" w:ascii="宋体" w:hAnsi="宋体" w:eastAsia="宋体" w:cs="宋体"/>
                <w:sz w:val="24"/>
                <w:szCs w:val="24"/>
              </w:rPr>
              <w:t>运维服务报告的详细程度</w:t>
            </w:r>
            <w:r>
              <w:rPr>
                <w:rFonts w:hint="eastAsia" w:ascii="宋体" w:hAnsi="宋体" w:cs="宋体"/>
                <w:sz w:val="24"/>
                <w:szCs w:val="24"/>
                <w:lang w:eastAsia="zh-CN"/>
              </w:rPr>
              <w:t>（</w:t>
            </w:r>
            <w:r>
              <w:rPr>
                <w:rFonts w:hint="eastAsia" w:ascii="宋体" w:hAnsi="宋体" w:cs="宋体"/>
                <w:sz w:val="24"/>
                <w:szCs w:val="24"/>
                <w:lang w:val="en-US" w:eastAsia="zh-CN"/>
              </w:rPr>
              <w:t>3分）</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①描述全面、可行、可靠，得3分；</w:t>
            </w:r>
          </w:p>
          <w:p>
            <w:pPr>
              <w:snapToGrid w:val="0"/>
              <w:rPr>
                <w:rFonts w:hint="eastAsia" w:ascii="宋体" w:hAnsi="宋体" w:eastAsia="宋体" w:cs="宋体"/>
                <w:sz w:val="24"/>
                <w:szCs w:val="24"/>
              </w:rPr>
            </w:pPr>
            <w:r>
              <w:rPr>
                <w:rFonts w:hint="eastAsia" w:ascii="宋体" w:hAnsi="宋体" w:eastAsia="宋体" w:cs="宋体"/>
                <w:sz w:val="24"/>
                <w:szCs w:val="24"/>
              </w:rPr>
              <w:t>②描述基本全面、合理，得2分；</w:t>
            </w:r>
          </w:p>
          <w:p>
            <w:pPr>
              <w:snapToGrid w:val="0"/>
              <w:rPr>
                <w:rFonts w:hint="eastAsia" w:ascii="宋体" w:hAnsi="宋体" w:eastAsia="宋体" w:cs="宋体"/>
                <w:sz w:val="24"/>
                <w:szCs w:val="24"/>
              </w:rPr>
            </w:pPr>
            <w:r>
              <w:rPr>
                <w:rFonts w:hint="eastAsia" w:ascii="宋体" w:hAnsi="宋体" w:eastAsia="宋体" w:cs="宋体"/>
                <w:sz w:val="24"/>
                <w:szCs w:val="24"/>
              </w:rPr>
              <w:t>③描述简单或存在缺漏的，得1分；</w:t>
            </w:r>
          </w:p>
          <w:p>
            <w:pPr>
              <w:rPr>
                <w:rFonts w:hint="eastAsia" w:ascii="宋体" w:hAnsi="宋体" w:eastAsia="宋体" w:cs="宋体"/>
                <w:sz w:val="24"/>
                <w:szCs w:val="24"/>
              </w:rPr>
            </w:pPr>
            <w:r>
              <w:rPr>
                <w:rFonts w:hint="eastAsia" w:ascii="宋体" w:hAnsi="宋体" w:eastAsia="宋体" w:cs="宋体"/>
                <w:sz w:val="24"/>
                <w:szCs w:val="24"/>
              </w:rPr>
              <w:t>④无描述不得分。</w:t>
            </w:r>
          </w:p>
          <w:p>
            <w:pPr>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3服务响应时间</w:t>
            </w:r>
            <w:r>
              <w:rPr>
                <w:rFonts w:hint="eastAsia" w:ascii="宋体" w:hAnsi="宋体" w:cs="宋体"/>
                <w:sz w:val="24"/>
                <w:szCs w:val="24"/>
                <w:lang w:eastAsia="zh-CN"/>
              </w:rPr>
              <w:t>（</w:t>
            </w:r>
            <w:r>
              <w:rPr>
                <w:rFonts w:hint="eastAsia" w:ascii="宋体" w:hAnsi="宋体" w:cs="宋体"/>
                <w:sz w:val="24"/>
                <w:szCs w:val="24"/>
                <w:lang w:val="en-US" w:eastAsia="zh-CN"/>
              </w:rPr>
              <w:t>3分）</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①描述全面、可行、可靠，得3分；</w:t>
            </w:r>
          </w:p>
          <w:p>
            <w:pPr>
              <w:snapToGrid w:val="0"/>
              <w:rPr>
                <w:rFonts w:hint="eastAsia" w:ascii="宋体" w:hAnsi="宋体" w:eastAsia="宋体" w:cs="宋体"/>
                <w:sz w:val="24"/>
                <w:szCs w:val="24"/>
              </w:rPr>
            </w:pPr>
            <w:r>
              <w:rPr>
                <w:rFonts w:hint="eastAsia" w:ascii="宋体" w:hAnsi="宋体" w:eastAsia="宋体" w:cs="宋体"/>
                <w:sz w:val="24"/>
                <w:szCs w:val="24"/>
              </w:rPr>
              <w:t>②描述基本全面、合理，得2分；</w:t>
            </w:r>
          </w:p>
          <w:p>
            <w:pPr>
              <w:snapToGrid w:val="0"/>
              <w:rPr>
                <w:rFonts w:hint="eastAsia" w:ascii="宋体" w:hAnsi="宋体" w:eastAsia="宋体" w:cs="宋体"/>
                <w:sz w:val="24"/>
                <w:szCs w:val="24"/>
              </w:rPr>
            </w:pPr>
            <w:r>
              <w:rPr>
                <w:rFonts w:hint="eastAsia" w:ascii="宋体" w:hAnsi="宋体" w:eastAsia="宋体" w:cs="宋体"/>
                <w:sz w:val="24"/>
                <w:szCs w:val="24"/>
              </w:rPr>
              <w:t>③描述简单或存在缺漏的，得1分；</w:t>
            </w:r>
          </w:p>
          <w:p>
            <w:pPr>
              <w:numPr>
                <w:ilvl w:val="0"/>
                <w:numId w:val="0"/>
              </w:numPr>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④无描述不得分。</w:t>
            </w:r>
          </w:p>
        </w:tc>
        <w:tc>
          <w:tcPr>
            <w:tcW w:w="813"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9分</w:t>
            </w:r>
          </w:p>
        </w:tc>
        <w:tc>
          <w:tcPr>
            <w:tcW w:w="1067"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vAlign w:val="center"/>
          </w:tcPr>
          <w:p>
            <w:pPr>
              <w:snapToGrid w:val="0"/>
              <w:rPr>
                <w:rFonts w:hint="eastAsia" w:ascii="宋体" w:hAnsi="宋体" w:eastAsia="宋体" w:cs="宋体"/>
                <w:color w:val="000000"/>
                <w:kern w:val="2"/>
                <w:sz w:val="24"/>
                <w:szCs w:val="24"/>
              </w:rPr>
            </w:pPr>
            <w:r>
              <w:rPr>
                <w:rFonts w:hint="eastAsia" w:ascii="宋体" w:hAnsi="宋体" w:eastAsia="宋体" w:cs="宋体"/>
                <w:sz w:val="24"/>
                <w:szCs w:val="24"/>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snapToGrid w:val="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5714" w:type="dxa"/>
            <w:vAlign w:val="center"/>
          </w:tcPr>
          <w:p>
            <w:pPr>
              <w:snapToGrid w:val="0"/>
              <w:spacing w:line="240" w:lineRule="auto"/>
              <w:ind w:right="3" w:rightChars="0"/>
              <w:jc w:val="left"/>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的培训方案设计是否合理、培训内容是否全面、培训方式是否灵活等内容由评委打分。</w:t>
            </w:r>
          </w:p>
          <w:p>
            <w:pPr>
              <w:snapToGrid w:val="0"/>
              <w:spacing w:line="240" w:lineRule="auto"/>
              <w:ind w:right="3"/>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1）培训方案考虑周全，周密详实，具有很强的可操作性，得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snapToGrid w:val="0"/>
              <w:spacing w:line="240" w:lineRule="auto"/>
              <w:ind w:right="3"/>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2）培训方案考虑略有欠缺，有一定的可操作性，得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snapToGrid w:val="0"/>
              <w:spacing w:line="240" w:lineRule="auto"/>
              <w:ind w:right="3"/>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3）培训方案较为简单，得1分；</w:t>
            </w:r>
          </w:p>
          <w:p>
            <w:pPr>
              <w:numPr>
                <w:ilvl w:val="0"/>
                <w:numId w:val="0"/>
              </w:numPr>
              <w:snapToGrid w:val="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4）未提交相应方案，得0分。</w:t>
            </w:r>
          </w:p>
        </w:tc>
        <w:tc>
          <w:tcPr>
            <w:tcW w:w="813"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分</w:t>
            </w:r>
          </w:p>
        </w:tc>
        <w:tc>
          <w:tcPr>
            <w:tcW w:w="1067" w:type="dxa"/>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vAlign w:val="center"/>
          </w:tcPr>
          <w:p>
            <w:pPr>
              <w:snapToGri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报价评审</w:t>
            </w:r>
          </w:p>
        </w:tc>
        <w:tc>
          <w:tcPr>
            <w:tcW w:w="5714" w:type="dxa"/>
            <w:vAlign w:val="center"/>
          </w:tcPr>
          <w:p>
            <w:pPr>
              <w:spacing w:line="360" w:lineRule="auto"/>
              <w:jc w:val="both"/>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有效投标报</w:t>
            </w:r>
            <w:r>
              <w:rPr>
                <w:rFonts w:hint="eastAsia" w:ascii="宋体" w:hAnsi="宋体" w:eastAsia="宋体" w:cs="宋体"/>
                <w:b w:val="0"/>
                <w:bCs w:val="0"/>
                <w:color w:val="auto"/>
                <w:sz w:val="24"/>
                <w:szCs w:val="24"/>
                <w:highlight w:val="none"/>
              </w:rPr>
              <w:t>价</w:t>
            </w:r>
            <w:r>
              <w:rPr>
                <w:rFonts w:hint="eastAsia" w:ascii="宋体" w:hAnsi="宋体" w:eastAsia="宋体" w:cs="宋体"/>
                <w:b w:val="0"/>
                <w:bCs w:val="0"/>
                <w:color w:val="auto"/>
                <w:sz w:val="24"/>
                <w:szCs w:val="24"/>
                <w:highlight w:val="none"/>
                <w:lang w:val="zh-CN"/>
              </w:rPr>
              <w:t>（即最高限价的统一折扣）</w:t>
            </w:r>
            <w:r>
              <w:rPr>
                <w:rFonts w:hint="eastAsia" w:ascii="宋体" w:hAnsi="宋体" w:eastAsia="宋体" w:cs="宋体"/>
                <w:b w:val="0"/>
                <w:bCs w:val="0"/>
                <w:color w:val="auto"/>
                <w:sz w:val="24"/>
                <w:szCs w:val="24"/>
              </w:rPr>
              <w:t>的最低价作为评标基准价，其最低报价为满分；按［投标报价得分=（评标基准价/投标报价）*权重］的计算公式计算。</w:t>
            </w:r>
          </w:p>
          <w:p>
            <w:pPr>
              <w:snapToGrid w:val="0"/>
              <w:spacing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评标过程中，不得去掉报价中的最高报价和最低报价。</w:t>
            </w:r>
          </w:p>
          <w:p>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rPr>
              <w:t>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%的扣除，用扣除后的价格参加评审。</w:t>
            </w:r>
          </w:p>
        </w:tc>
        <w:tc>
          <w:tcPr>
            <w:tcW w:w="813" w:type="dxa"/>
            <w:vAlign w:val="center"/>
          </w:tcPr>
          <w:p>
            <w:pPr>
              <w:jc w:val="center"/>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067" w:type="dxa"/>
            <w:vAlign w:val="center"/>
          </w:tcPr>
          <w:p>
            <w:pPr>
              <w:jc w:val="center"/>
              <w:outlineLvl w:val="0"/>
              <w:rPr>
                <w:rFonts w:hint="eastAsia" w:ascii="宋体" w:hAnsi="宋体" w:eastAsia="宋体" w:cs="宋体"/>
                <w:color w:val="auto"/>
                <w:kern w:val="0"/>
                <w:sz w:val="24"/>
                <w:szCs w:val="24"/>
              </w:rPr>
            </w:pPr>
          </w:p>
        </w:tc>
        <w:tc>
          <w:tcPr>
            <w:tcW w:w="1613" w:type="dxa"/>
            <w:vAlign w:val="center"/>
          </w:tcPr>
          <w:p>
            <w:pPr>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w:t>
      </w: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kern w:val="0"/>
          <w:sz w:val="24"/>
          <w:lang w:eastAsia="zh-CN"/>
        </w:rPr>
        <w:t>，</w:t>
      </w:r>
      <w:r>
        <w:rPr>
          <w:rFonts w:hint="eastAsia" w:ascii="宋体" w:hAnsi="宋体" w:cs="宋体"/>
          <w:kern w:val="0"/>
          <w:sz w:val="24"/>
          <w:lang w:val="en-US" w:eastAsia="zh-CN"/>
        </w:rPr>
        <w:t>推荐2名中标候选人。</w:t>
      </w:r>
      <w:r>
        <w:rPr>
          <w:rFonts w:hint="eastAsia" w:ascii="宋体" w:hAnsi="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lang w:val="en-US" w:eastAsia="zh-CN"/>
        </w:rPr>
        <w:t>如果投标人拒绝或逾期回复，评标委员会将对其作出不利的评审。</w:t>
      </w:r>
      <w:r>
        <w:rPr>
          <w:rFonts w:hint="eastAsia" w:ascii="宋体" w:hAnsi="宋体" w:cs="宋体"/>
          <w:kern w:val="0"/>
          <w:szCs w:val="24"/>
        </w:rPr>
        <w:t>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rPr>
          <w:rFonts w:hint="eastAsia" w:cs="宋体"/>
        </w:rPr>
      </w:pPr>
    </w:p>
    <w:bookmarkEnd w:id="26"/>
    <w:p>
      <w:pPr>
        <w:widowControl/>
        <w:adjustRightInd/>
        <w:jc w:val="center"/>
        <w:rPr>
          <w:rFonts w:hint="eastAsia" w:ascii="宋体" w:hAnsi="宋体" w:cs="宋体"/>
          <w:b/>
          <w:sz w:val="36"/>
          <w:szCs w:val="20"/>
        </w:rPr>
      </w:pPr>
      <w:bookmarkStart w:id="396" w:name="第五部分"/>
      <w:bookmarkStart w:id="397" w:name="_Toc86217003"/>
    </w:p>
    <w:p>
      <w:pPr>
        <w:rPr>
          <w:rFonts w:hint="eastAsia" w:ascii="宋体" w:hAnsi="宋体" w:cs="宋体"/>
          <w:b/>
          <w:sz w:val="36"/>
          <w:szCs w:val="20"/>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sz w:val="24"/>
          <w:szCs w:val="24"/>
        </w:rPr>
      </w:pP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本条款为甲乙双方必须遵守的基本条款，甲乙双方也可根据实际情况另签合同条款，正式合同以双方签字盖章的文本为准。</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甲    方： 温州市数据局</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乙    方：</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依据《中华人民共和国合同法》及相关法律法规的规定，甲乙双方现就乙方提供政务云服务事宜，经协商达成一致，签订本协议并共同遵守。</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398" w:name="_Toc49116620"/>
      <w:r>
        <w:rPr>
          <w:rFonts w:hint="eastAsia" w:ascii="宋体" w:hAnsi="宋体" w:cs="宋体"/>
          <w:sz w:val="24"/>
          <w:szCs w:val="24"/>
        </w:rPr>
        <w:t>第一条 总则</w:t>
      </w:r>
      <w:bookmarkEnd w:id="398"/>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1.1 乙方按照本协议的规定向甲方提供系列云产品及云业务服务（以下简称“ 本服务”）,确保服务安全及时可用，并对相关产品和服务使用情况进行登记管理。</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1.2对乙方提供的各项服务，除甲方直接使用外，甲方负责对市本级各机关、事业单位使用的产品和服务进行管理并结算。</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399" w:name="_Toc49116621"/>
      <w:r>
        <w:rPr>
          <w:rFonts w:hint="eastAsia" w:ascii="宋体" w:hAnsi="宋体" w:cs="宋体"/>
          <w:sz w:val="24"/>
          <w:szCs w:val="24"/>
        </w:rPr>
        <w:t>第二条 服务内容</w:t>
      </w:r>
      <w:bookmarkEnd w:id="399"/>
      <w:r>
        <w:rPr>
          <w:rFonts w:hint="eastAsia" w:ascii="宋体" w:hAnsi="宋体" w:cs="宋体"/>
          <w:sz w:val="24"/>
          <w:szCs w:val="24"/>
        </w:rPr>
        <w:t xml:space="preserve"> </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2.1本服务主要包括乙方基于云计算资源、云存储资源、智能云网络、互联网接入等所提供的云主机、云存储、云加速等服务内容。协议项下本服务的具体内容，以使用单位申请，并经甲方确认由乙方实际向其提供的服务为准。</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2.2乙方在政务云平台提供操作系统（如微软、Linux等）等软件服务时，乙方保证该软件的提供和使用不违反知识产权相关法律规定的要求。但乙方并不是相关软件的技术提供或服务方，不承担由于相关软件所导致的一切技术问题及由此引发的责任或损失。</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2.3乙方为用户提供7天*24小时技术故障服务。</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0" w:name="_Toc49116622"/>
      <w:r>
        <w:rPr>
          <w:rFonts w:hint="eastAsia" w:ascii="宋体" w:hAnsi="宋体" w:cs="宋体"/>
          <w:sz w:val="24"/>
          <w:szCs w:val="24"/>
        </w:rPr>
        <w:t>第三条费用及支付</w:t>
      </w:r>
      <w:bookmarkEnd w:id="400"/>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3.1各使用单位所使用的服务，按照实际使用的服务项目（产品类型）、数量和约定的单价计算服务费，乙方提供的详细云服务内容和单价见附件1，由乙方按月提供账单，甲方负责对接各使用单位进行账单确认。</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楷体"/>
          <w:bCs/>
          <w:sz w:val="24"/>
          <w:szCs w:val="24"/>
        </w:rPr>
      </w:pPr>
      <w:r>
        <w:rPr>
          <w:rFonts w:hint="eastAsia" w:ascii="宋体" w:hAnsi="宋体" w:cs="宋体"/>
          <w:sz w:val="24"/>
          <w:szCs w:val="24"/>
        </w:rPr>
        <w:t>3.2付款方式：</w:t>
      </w:r>
      <w:r>
        <w:rPr>
          <w:rFonts w:hint="eastAsia" w:ascii="宋体" w:hAnsi="宋体" w:cs="楷体"/>
          <w:bCs/>
          <w:sz w:val="24"/>
          <w:szCs w:val="24"/>
        </w:rPr>
        <w:t>合同期内每季度（3月、6月份、9月份、12月份）计算一次服务费，经双方核对确认，乙方出具发票后7个工作日内支付当次服务费。</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楷体"/>
          <w:bCs/>
          <w:sz w:val="24"/>
          <w:szCs w:val="24"/>
        </w:rPr>
      </w:pPr>
      <w:r>
        <w:rPr>
          <w:rFonts w:hint="eastAsia" w:ascii="宋体" w:hAnsi="宋体" w:cs="楷体"/>
          <w:bCs/>
          <w:sz w:val="24"/>
          <w:szCs w:val="24"/>
          <w:lang w:val="en-US" w:eastAsia="zh-CN"/>
        </w:rPr>
        <w:t>乙方</w:t>
      </w:r>
      <w:r>
        <w:rPr>
          <w:rFonts w:hint="eastAsia" w:ascii="宋体" w:hAnsi="宋体" w:cs="楷体"/>
          <w:bCs/>
          <w:sz w:val="24"/>
          <w:szCs w:val="24"/>
        </w:rPr>
        <w:t>若为中小企业，签订合同时，</w:t>
      </w:r>
      <w:r>
        <w:rPr>
          <w:rFonts w:hint="eastAsia" w:ascii="宋体" w:hAnsi="宋体" w:cs="楷体"/>
          <w:bCs/>
          <w:sz w:val="24"/>
          <w:szCs w:val="24"/>
          <w:lang w:val="en-US" w:eastAsia="zh-CN"/>
        </w:rPr>
        <w:t>乙方</w:t>
      </w:r>
      <w:r>
        <w:rPr>
          <w:rFonts w:hint="eastAsia" w:ascii="宋体" w:hAnsi="宋体" w:cs="楷体"/>
          <w:bCs/>
          <w:sz w:val="24"/>
          <w:szCs w:val="24"/>
        </w:rPr>
        <w:t>向</w:t>
      </w:r>
      <w:r>
        <w:rPr>
          <w:rFonts w:hint="eastAsia" w:ascii="宋体" w:hAnsi="宋体" w:cs="楷体"/>
          <w:bCs/>
          <w:sz w:val="24"/>
          <w:szCs w:val="24"/>
          <w:lang w:val="en-US" w:eastAsia="zh-CN"/>
        </w:rPr>
        <w:t>甲方</w:t>
      </w:r>
      <w:r>
        <w:rPr>
          <w:rFonts w:hint="eastAsia" w:ascii="宋体" w:hAnsi="宋体" w:cs="楷体"/>
          <w:bCs/>
          <w:sz w:val="24"/>
          <w:szCs w:val="24"/>
        </w:rPr>
        <w:t>提交银行预付款保函；</w:t>
      </w:r>
      <w:r>
        <w:rPr>
          <w:rFonts w:hint="eastAsia" w:ascii="宋体" w:hAnsi="宋体" w:cs="楷体"/>
          <w:bCs/>
          <w:sz w:val="24"/>
          <w:szCs w:val="24"/>
          <w:lang w:val="en-US" w:eastAsia="zh-CN"/>
        </w:rPr>
        <w:t>甲方</w:t>
      </w:r>
      <w:r>
        <w:rPr>
          <w:rFonts w:hint="eastAsia" w:ascii="宋体" w:hAnsi="宋体" w:cs="楷体"/>
          <w:bCs/>
          <w:sz w:val="24"/>
          <w:szCs w:val="24"/>
        </w:rPr>
        <w:t>在收到银行预付款保函、合同生效以及具备实施条件后7个工作日内，向</w:t>
      </w:r>
      <w:r>
        <w:rPr>
          <w:rFonts w:hint="eastAsia" w:ascii="宋体" w:hAnsi="宋体" w:cs="楷体"/>
          <w:bCs/>
          <w:sz w:val="24"/>
          <w:szCs w:val="24"/>
          <w:lang w:val="en-US" w:eastAsia="zh-CN"/>
        </w:rPr>
        <w:t>乙方</w:t>
      </w:r>
      <w:r>
        <w:rPr>
          <w:rFonts w:hint="eastAsia" w:ascii="宋体" w:hAnsi="宋体" w:cs="楷体"/>
          <w:bCs/>
          <w:sz w:val="24"/>
          <w:szCs w:val="24"/>
        </w:rPr>
        <w:t>支付合同金额的40%作为预付款，预付款在后续合同款中作相应抵扣。在签订合同时，</w:t>
      </w:r>
      <w:r>
        <w:rPr>
          <w:rFonts w:hint="eastAsia" w:ascii="宋体" w:hAnsi="宋体" w:cs="楷体"/>
          <w:bCs/>
          <w:sz w:val="24"/>
          <w:szCs w:val="24"/>
          <w:lang w:val="en-US" w:eastAsia="zh-CN"/>
        </w:rPr>
        <w:t>乙方</w:t>
      </w:r>
      <w:r>
        <w:rPr>
          <w:rFonts w:hint="eastAsia" w:ascii="宋体" w:hAnsi="宋体" w:cs="楷体"/>
          <w:bCs/>
          <w:sz w:val="24"/>
          <w:szCs w:val="24"/>
        </w:rPr>
        <w:t>明确表示无需预付款的，可不提供预付款保函。</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3.3甲方如对应支付费用有异议且经双方确认核对确有错误的，乙方应予以调整。除由甲方授权乙方进行直接管理的内容外，对未经甲方审核确认，由乙方单方面开通的服务内容，甲方不予支付。</w:t>
      </w:r>
    </w:p>
    <w:p>
      <w:pPr>
        <w:keepNext w:val="0"/>
        <w:keepLines w:val="0"/>
        <w:pageBreakBefore w:val="0"/>
        <w:widowControl/>
        <w:kinsoku/>
        <w:wordWrap/>
        <w:overflowPunct/>
        <w:topLinePunct w:val="0"/>
        <w:autoSpaceDE/>
        <w:autoSpaceDN/>
        <w:bidi w:val="0"/>
        <w:snapToGrid/>
        <w:spacing w:line="360" w:lineRule="auto"/>
        <w:ind w:firstLine="484" w:firstLineChars="202"/>
        <w:jc w:val="left"/>
        <w:textAlignment w:val="auto"/>
        <w:rPr>
          <w:rFonts w:hint="eastAsia" w:ascii="宋体" w:hAnsi="宋体" w:cs="宋体"/>
          <w:sz w:val="24"/>
          <w:szCs w:val="24"/>
        </w:rPr>
      </w:pPr>
      <w:r>
        <w:rPr>
          <w:rFonts w:hint="eastAsia" w:ascii="宋体" w:hAnsi="宋体" w:cs="宋体"/>
          <w:sz w:val="24"/>
          <w:szCs w:val="24"/>
        </w:rPr>
        <w:t>乙方账号信息如下：</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开户行： </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银行地址： </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户名： </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账号：</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纳税人识别号：</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1" w:name="_Toc49116623"/>
      <w:r>
        <w:rPr>
          <w:rFonts w:hint="eastAsia" w:ascii="宋体" w:hAnsi="宋体" w:cs="宋体"/>
          <w:sz w:val="24"/>
          <w:szCs w:val="24"/>
        </w:rPr>
        <w:t>第四条 资质保证及使用规则</w:t>
      </w:r>
      <w:bookmarkEnd w:id="401"/>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4.1甲方保证各使用单位提供信息与文件的真实、完整、准确、合法、有效，并承担相应的法律责任。</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4.2各使用单位使用本服务开展互联网信息服务等相关业务的，应保证于本协议签订时及本协议有效期内持续具备开展该业务所需的全部资质及/或履行相关手续，并应根据乙方要求签订相关安全责任协议书并严格遵守在该等文件中的承诺。</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4.3各使用单位应按照本协议约定向乙方提交上述资质证明文件、资料的原件，并提交复印件并加盖甲方公章，供乙方留存。各使用单位保证所提供资料的真实、完整、准确、合法、有效。</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4.4在本协议有效期内，如甲方上述主体资格、资质证明文件所记载内容出现变更，甲方应在完成变更后尽快向乙方提供最新的文件。</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4.5各使用单位使用本协议项下云业务服务从事非经营性互联网信息服务的，须严格遵循《非经营性互联网备案管理办法》等规定。承诺并确认：各使用单位及其最终用户所提交的所有备案信息真实、完整、合法、有效，当提供的备案信息发生变化时应及时到备案系统中提交更新信息，如因未及时更新而导致备案信息不准确，导致服务被行业主管部门关闭，乙方不承担任何责任。</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4.6如各使用单位违反在本合同及附件中任一项保证的，包括但不限于在本合同签订时不具备开展业务所需的全部资质许可、履行相关手续，或在本合同有效期内丧失全部或部分资质许可的，如被政府管理部门暂停或关闭服务，使用单位应当承担违约责任，并赔偿乙方的相应损失，乙方不承担任何责任。</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4.7各使用单位承诺，不得通过转让、出售、无偿使用或其他任何方式许可甲方之外的任何第三人使用本协议项下云业务服务。否则，乙方有权终止本协议，并追究甲方相应责任。</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4.8各使用单位负责其服务的账号和密码的保密和使用安全，如因各使用单位原因导致账号或密码泄露或为他人获取的，各使用单位自行承担损失和责任。各使用单位发现其账号或密码被他人非法使用或有使用异常的情况的，应及时根据乙方公布的处理方式通知乙方，并有权通知乙方采取措施暂停该账号的登录和使用。乙方在收到甲方要求采取措施暂停其账号登录和使用的通知后，应当要求各使用单位提供并核实与其注册身份信息相一致的个人或单位有效身份信息。乙方核实各使用单位所提供的个人或单位有效身份信息与所注册的身份信息相一致的，应当及时采取措施暂停各使用单位账号的登录和使用。各使用单位没有提供其个人或单位有效身份证件或者各使用单位提供的个人或单位有效身份证件与所注册的身份信息不一致的，乙方有权拒绝各使用单位前述请求，由此造成的损失由各使用单位自行承担。</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2" w:name="_Toc49116624"/>
      <w:r>
        <w:rPr>
          <w:rFonts w:hint="eastAsia" w:ascii="宋体" w:hAnsi="宋体" w:cs="宋体"/>
          <w:sz w:val="24"/>
          <w:szCs w:val="24"/>
        </w:rPr>
        <w:t>第五条 数据私密性、数据知情权和数据可审查性</w:t>
      </w:r>
      <w:bookmarkEnd w:id="402"/>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5.1乙方承诺各使用单位的数据互相隔离，不可互访。</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5.2乙方不会删除各使用单位数据，也不会将各使用单位数据、个人信息等泄露给任何第三方，除非政府监管部门监管审计需要。各使用单位所有数据不会存在国外数据中心或用于国外业务或数据分析。</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5.3乙方数据中心遵守国家法律合法建设，遵守中华人民共和国法律。</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5.4乙方承诺各使用单位在必要的条件下，由于合规或是安全取证调查等原因，可以提供相关的信息。乙方承诺遵守国家相应的法律法规，配合政府监管部门的监管审查。提供的相关信息包括关键组件运行日志、运维人员操作记录等。</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3" w:name="_Toc49116625"/>
      <w:r>
        <w:rPr>
          <w:rFonts w:hint="eastAsia" w:ascii="宋体" w:hAnsi="宋体" w:cs="宋体"/>
          <w:sz w:val="24"/>
          <w:szCs w:val="24"/>
        </w:rPr>
        <w:t>第六条 甲方的权利和义务</w:t>
      </w:r>
      <w:bookmarkEnd w:id="403"/>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6.1甲方使用本协议项下云业务服务的，必须遵守《中华人民共和国电信条例》、《中华人民共和国计算机信息网络国际联网暂行规定》和其他有关法律、法规或相关规定，不得存在任何违法违规行为，不得侵犯乙方以及任何第三方的合法权益。</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6.1.1除遵从本协议其他条款及附件要求外，甲方使用本服务所发布、传输或存储的信息内容不得存在以下任一情形，且不得为他人发布、传输或存储该类信息内容提供任何便利（包括但不限于设置URL、链接等）：</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（1）违反国家规定的政治宣传和/或新闻信息；涉及国家秘密和/或安全的信息。</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（2）涉及封建迷信、淫秽色情、赌博、暴力、恐怖的信息内容和教唆犯罪的内容。</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（3）违反国家民族政策和宗教政策的信息内容。</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（4）博彩有奖、赌博游戏、“私服”、“外挂”等非法互联网出版活动。</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（5）侮辱或者诽谤他人，侵害他人所有权或知识产权等合法权益。</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（6）其它有损于社会秩序、社会治安、社会公共道德，违反法律法规强制性规定，或侵害他人合法权益的信息内容。</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6.1.2甲方不得有任何危害或可能危害云业务服务相关平台及网络安全和信息安全的行为，包括但不限于：</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（1）对云业务服务相关平台的功能或者存储、处理、传输的数据和应用程序进行删除或者修改。</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（2）利用网络及系统从事窃取或者破坏他人信息、损害他人合法权益的活动。</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（3）故意制作、复制、传播计算机病毒或者以其他方式攻击他人服务。</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（4）进行钓鱼、黑客、网络诈骗等非法行为，网站或空间中含有或涉嫌散播病毒、木马、恶意代码等，或通过虚拟主机对其他网站、主机进行涉嫌攻击行为如扫描、嗅探、ARP欺骗、DOS等。</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（5）危害电信网络安全和信息安全的其他行为。</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6.1.3若甲方存在上述6.1.1～6.1.2条约定的任一情形的，乙方有权按相关规定暂停或终止提供云业务服务，保存有关记录，并向政府主管部门报告，由此引起的一切后果和责任由甲方负责。同时，乙方有权终止本协议，并不承担任何责任。</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6.2本服务使用过程中，对于甲方自行提供并使用的软件，甲方应保证该等软件的合法性和不侵权。如任何第三方主张甲方所使用软件侵犯其所有权或者知识产权等合法权益，甲方应负责解决，并赔偿乙方就此而承担的一切费用和损失。</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6.3甲方承担自身服务、业务平台所引起的一切后果。如因甲方使用云业务服务中所涉行为或内容不合法或侵权而导致乙方承担责任或对乙方造成损失的，甲方应负责解决，并赔偿乙方由此遭受的全部损失；同时乙方有权终止本协议。</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6.4在本协议有效期内，甲方对由乙方分配的IP地址具有使用权，且不可以任何方式转由他人使用。甲方不得私自使用乙方未分配给甲方的IP地址。甲方不再使用本服务时，则相关IP地址使用权由乙方收回。</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6.5对于甲方使用云业务服务过程中所涉自身信息和资料、数据（包括但不限于商业机密等）、最终用户及其他相关主体的信息和资料、数据等，甲方负责保密，并自行承担由此产生的一切后果和责任。</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4" w:name="_Toc49116626"/>
      <w:r>
        <w:rPr>
          <w:rFonts w:hint="eastAsia" w:ascii="宋体" w:hAnsi="宋体" w:cs="宋体"/>
          <w:sz w:val="24"/>
          <w:szCs w:val="24"/>
        </w:rPr>
        <w:t>第七条 乙方的权利和义务</w:t>
      </w:r>
      <w:bookmarkEnd w:id="404"/>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7.1乙方负责按照本协议约定的条件提供云业务服务及相关的支撑服务。</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7.2乙方将消除甲方非人为操作所出现的云计算资源、云存储资源、互联网接入故障，但因甲方原因和/或不可抗力以及非乙方控制范围之内的事项除外。</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5" w:name="_Toc49116627"/>
      <w:r>
        <w:rPr>
          <w:rFonts w:hint="eastAsia" w:ascii="宋体" w:hAnsi="宋体" w:cs="宋体"/>
          <w:sz w:val="24"/>
          <w:szCs w:val="24"/>
        </w:rPr>
        <w:t>第八条 服务的变更、中断或终止</w:t>
      </w:r>
      <w:bookmarkEnd w:id="405"/>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8.1乙方因技术进步或国家法律、政策变动等原因可对云业务服务的服务内容、业务功能、操作方法等做出调整，但调整时应按本协议约定提前公告甲方并提供相应解决方案。</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8.2如因系统维护或升级的需要而暂停云业务服务的，乙方将尽可能事先以公告方式通知甲方等用户。</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8.3乙方依据本协议约定暂停向甲方提供本协议项下云业务服务的，应当通知甲方并告知暂停期间，暂停期间届满乙方应当及时恢复对甲方的服务。其中，非乙方原因造成的服务暂停，暂停期间甲方仍需正常付费。</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8.4除法定或双方另行约定外，自本协议期满或因任何原因导致本协议提前终止之日起的7日内（注：云存储服务为30日内），乙方应继续存储甲方数据。逾期乙方将不再保留甲方数据，甲方需自行承担其数据被销毁后引发的一切后果。</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6" w:name="_Toc49116628"/>
      <w:r>
        <w:rPr>
          <w:rFonts w:hint="eastAsia" w:ascii="宋体" w:hAnsi="宋体" w:cs="宋体"/>
          <w:sz w:val="24"/>
          <w:szCs w:val="24"/>
        </w:rPr>
        <w:t>第九条 违约责任</w:t>
      </w:r>
      <w:bookmarkEnd w:id="406"/>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9.1双方应共同遵守本协议条款及相应附件规定，如一方违约给对方造成损失的，违约方应赔偿守约方的损失。</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9.2甲方逾期付费的，除向乙方补缴欠费外，每逾期1日应按照所欠金额的千分之三向乙方支付违约金。</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9.3鉴于计算机、互联网的特殊性，下述情况不属于乙方违约：</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9.3.1. 乙方在进行服务器配置、维护时，需要短时间中断服务；</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9.3.2. 由于Internet上的通路阻塞造成甲方网站访问速度下降。</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9.4如果因乙方自身及其控制范围内原因造成甲方不能按约定正常使用本服务的，包括云计算资源、云存储资源、互联网接入故障，乙方以小时为单位向甲方赔偿，即连续达1小时不能正常提供服务的，延长一小时的服务期（以此类推）。如果因乙方原因造成甲方连续72小时不能按约定正常使用服务的，甲方有权终止云业务服务，并要求乙方进行赔偿。</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9.5在任何情况下，乙方依据本协议向甲方承担的违约赔偿责任总额不得超过向甲方收取的违约所涉及服务已支付之[壹]月服务费用。</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9.6无论本协议其他条款是否有相反约定，乙方对因本协议项下违约行为而导致的甲方可得利益损失、商业信誉损失以及数据丢失或损坏等其他损失不承担责任。</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7" w:name="_Toc49116629"/>
      <w:r>
        <w:rPr>
          <w:rFonts w:hint="eastAsia" w:ascii="宋体" w:hAnsi="宋体" w:cs="宋体"/>
          <w:sz w:val="24"/>
          <w:szCs w:val="24"/>
        </w:rPr>
        <w:t>第十条 保密</w:t>
      </w:r>
      <w:bookmarkEnd w:id="407"/>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10.1未经对方书面许可，任何一方不得向第三方提供或者披露因本协议的签订和履行而得知的与对方业务有关的资料和信息，法律另有规定或本协议另有约定的除外。乙方向其关联公司提供或披露与甲方业务有关的资料和信息的，不受此限。</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10.2保密责任不因本协议的无效、提前终止、解除或不具操作性而失效。</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8" w:name="_Toc49116630"/>
      <w:r>
        <w:rPr>
          <w:rFonts w:hint="eastAsia" w:ascii="宋体" w:hAnsi="宋体" w:cs="宋体"/>
          <w:sz w:val="24"/>
          <w:szCs w:val="24"/>
        </w:rPr>
        <w:t>第十一条 不可抗力及免责</w:t>
      </w:r>
      <w:bookmarkEnd w:id="408"/>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11.1如由于战争、骚乱、恐怖主义、自然灾害、国家法律法规或规章变动、网络安全、网络无法覆盖、电力故障、通信线路被人为破坏、黑客攻击、计算机病毒侵入或发作，导致协议双方或一方无法继续履行协议时，受影响方不承担违约责任，但应尽快书面通知对方，并协商适当延长协议的期限。在影响消除后，受影响方应及时通知对方，本协议继续执行。</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11.2如政府管理部门提出要求的，乙方将暂停或终止提供相应服务，且不承担任何责任。</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09" w:name="_Toc49116631"/>
      <w:r>
        <w:rPr>
          <w:rFonts w:hint="eastAsia" w:ascii="宋体" w:hAnsi="宋体" w:cs="宋体"/>
          <w:sz w:val="24"/>
          <w:szCs w:val="24"/>
        </w:rPr>
        <w:t>第十二条 法律适用和争议解决</w:t>
      </w:r>
      <w:bookmarkEnd w:id="409"/>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12.1本协议及其附件的解释和争议解决适用中华人民共和国法律。</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12.2所有因本协议引起的或与本协议有关的任何争议将通过双方友好协商解决。如果双方不能通过友好协商解决争议，则任何一方均可采取下述第[2]种争议解决方式：</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（1）将该争议提交温州市仲裁委员会，按照申请仲裁时该会的仲裁规则进行仲裁。仲裁在温州市进行。仲裁语言为中文。仲裁裁决是终局的，对双方均有约束力。仲裁费用由败诉方承担。</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（2）向合同签署所在地有管辖权的人民法院起诉。</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12.3仲裁或诉讼进行过程中，双方将继续履行本协议未涉仲裁或诉讼的其它部分。</w:t>
      </w:r>
    </w:p>
    <w:p>
      <w:pPr>
        <w:keepNext w:val="0"/>
        <w:keepLines w:val="0"/>
        <w:pageBreakBefore w:val="0"/>
        <w:widowControl/>
        <w:kinsoku/>
        <w:wordWrap/>
        <w:overflowPunct/>
        <w:topLinePunct w:val="0"/>
        <w:autoSpaceDE/>
        <w:autoSpaceDN/>
        <w:bidi w:val="0"/>
        <w:snapToGrid/>
        <w:spacing w:line="360" w:lineRule="auto"/>
        <w:jc w:val="left"/>
        <w:textAlignment w:val="auto"/>
        <w:outlineLvl w:val="0"/>
        <w:rPr>
          <w:rFonts w:hint="eastAsia" w:ascii="宋体" w:hAnsi="宋体" w:cs="宋体"/>
          <w:sz w:val="24"/>
          <w:szCs w:val="24"/>
        </w:rPr>
      </w:pPr>
      <w:bookmarkStart w:id="410" w:name="_Toc49116632"/>
      <w:r>
        <w:rPr>
          <w:rFonts w:hint="eastAsia" w:ascii="宋体" w:hAnsi="宋体" w:cs="宋体"/>
          <w:sz w:val="24"/>
          <w:szCs w:val="24"/>
        </w:rPr>
        <w:t>第十三条 协议生效及其他</w:t>
      </w:r>
      <w:bookmarkEnd w:id="410"/>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13.1本协议有效期一年，自合同签订之日起至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13.2本协议一式[肆]份，协议双方各执[贰]份，具有同等法律效力。</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13.3双方同意，附件为本协议不可分割的部分，本协议连同其附件将构成甲方和乙方之间有关本服务的全部约定，并取代任何双方之前就与本协议有关事项达成的约定。若附件与协议正文有任何冲突，以协议正文为准。</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13.4如果本协议的任何条款在任何时候被确定为不合法、无效或不可强制执行时，本协议的其它条款的效力和履行应不受影响。</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13.5附件为本合同不可分割的部分。若附件与合同正文有任何冲突，以合同正文为准。</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13.6如果本协议的任何条款在任何时候变成不合法、无效或不可强制执行而不从根本上影响本协议的效力时，本协议的其他条款不受影响。</w:t>
      </w:r>
    </w:p>
    <w:p>
      <w:pPr>
        <w:keepNext w:val="0"/>
        <w:keepLines w:val="0"/>
        <w:pageBreakBefore w:val="0"/>
        <w:widowControl/>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000000"/>
          <w:sz w:val="24"/>
          <w:szCs w:val="24"/>
        </w:rPr>
      </w:pPr>
      <w:r>
        <w:rPr>
          <w:rFonts w:hint="eastAsia" w:ascii="宋体" w:hAnsi="宋体" w:cs="宋体"/>
          <w:b/>
          <w:bCs/>
          <w:color w:val="000000"/>
          <w:sz w:val="24"/>
          <w:szCs w:val="24"/>
        </w:rPr>
        <w:t>附：温州市政务云服务内容清单和折扣后的优惠单价</w:t>
      </w:r>
    </w:p>
    <w:p>
      <w:pPr>
        <w:keepNext w:val="0"/>
        <w:keepLines w:val="0"/>
        <w:pageBreakBefore w:val="0"/>
        <w:kinsoku/>
        <w:wordWrap/>
        <w:overflowPunct/>
        <w:topLinePunct w:val="0"/>
        <w:autoSpaceDE/>
        <w:autoSpaceDN/>
        <w:bidi w:val="0"/>
        <w:snapToGrid/>
        <w:spacing w:line="360" w:lineRule="auto"/>
        <w:textAlignment w:val="auto"/>
        <w:rPr>
          <w:sz w:val="24"/>
          <w:szCs w:val="24"/>
        </w:rPr>
      </w:pPr>
    </w:p>
    <w:p>
      <w:pPr>
        <w:keepNext w:val="0"/>
        <w:keepLines w:val="0"/>
        <w:pageBreakBefore w:val="0"/>
        <w:widowControl w:val="0"/>
        <w:tabs>
          <w:tab w:val="left" w:pos="720"/>
        </w:tabs>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rPr>
        <w:t>买方：（印章）                        卖方：（印章）</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rPr>
        <w:t>全权代表:（签字）                    全权代表:（签字）</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rPr>
        <w:t>地址：                               地址：</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rPr>
        <w:t>邮政编码：                           邮政编码：</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rPr>
        <w:t>电话：                               电话：</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rPr>
        <w:t>传真：                               传真：</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rPr>
        <w:t>开户银行：                           开户银行：</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rPr>
        <w:t>帐号：                               帐号：</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napToGrid w:val="0"/>
          <w:kern w:val="0"/>
          <w:sz w:val="24"/>
          <w:szCs w:val="24"/>
        </w:rPr>
      </w:pPr>
      <w:r>
        <w:rPr>
          <w:rFonts w:hint="eastAsia" w:ascii="宋体" w:hAnsi="宋体" w:cs="宋体"/>
          <w:sz w:val="24"/>
          <w:szCs w:val="24"/>
        </w:rPr>
        <w:t>签约时间：  年   月   日</w:t>
      </w: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u w:val="single"/>
          <w:lang w:eastAsia="zh-CN"/>
        </w:rPr>
        <w:t>温州市数据局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u w:val="single"/>
          <w:lang w:eastAsia="zh-CN"/>
        </w:rPr>
        <w:t>温州市政务云（私有云）服务采购项目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Z-GB202407220010ZLC</w:t>
      </w:r>
      <w:r>
        <w:rPr>
          <w:rFonts w:hint="eastAsia" w:ascii="宋体" w:hAnsi="宋体" w:cs="宋体"/>
          <w:color w:val="auto"/>
          <w:sz w:val="24"/>
        </w:rPr>
        <w:t>】政</w:t>
      </w:r>
      <w:r>
        <w:rPr>
          <w:rFonts w:hint="eastAsia" w:ascii="宋体" w:hAnsi="宋体" w:cs="宋体"/>
          <w:sz w:val="24"/>
        </w:rPr>
        <w:t>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三</w:t>
      </w:r>
      <w:r>
        <w:rPr>
          <w:rFonts w:hint="eastAsia" w:ascii="宋体" w:hAnsi="宋体" w:cs="宋体"/>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四</w:t>
      </w:r>
      <w:r>
        <w:rPr>
          <w:rFonts w:hint="eastAsia" w:ascii="宋体" w:hAnsi="宋体" w:cs="宋体"/>
          <w:sz w:val="24"/>
        </w:rPr>
        <w:t>）不存在以下情况：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
      <w:pPr>
        <w:snapToGrid w:val="0"/>
        <w:spacing w:line="360" w:lineRule="auto"/>
        <w:ind w:right="480" w:firstLine="360" w:firstLineChars="200"/>
        <w:jc w:val="left"/>
        <w:rPr>
          <w:rFonts w:ascii="宋体" w:hAnsi="宋体" w:cs="宋体"/>
          <w:b/>
          <w:color w:val="auto"/>
          <w:kern w:val="0"/>
          <w:sz w:val="18"/>
          <w:szCs w:val="18"/>
        </w:rPr>
      </w:pPr>
      <w:r>
        <w:rPr>
          <w:rFonts w:hint="eastAsia" w:cs="仿宋_GB2312" w:asciiTheme="minorEastAsia" w:hAnsiTheme="minorEastAsia" w:eastAsiaTheme="minorEastAsia"/>
          <w:color w:val="auto"/>
          <w:sz w:val="18"/>
          <w:szCs w:val="18"/>
        </w:rPr>
        <w:t>注：根据《</w:t>
      </w:r>
      <w:r>
        <w:rPr>
          <w:rFonts w:cs="仿宋_GB2312" w:asciiTheme="minorEastAsia" w:hAnsiTheme="minorEastAsia" w:eastAsiaTheme="minorEastAsia"/>
          <w:color w:val="auto"/>
          <w:sz w:val="18"/>
          <w:szCs w:val="18"/>
        </w:rPr>
        <w:t>关于规范政府采购供应商资格设定及资格审查的通知</w:t>
      </w:r>
      <w:r>
        <w:rPr>
          <w:rFonts w:hint="eastAsia" w:cs="仿宋_GB2312" w:asciiTheme="minorEastAsia" w:hAnsiTheme="minorEastAsia" w:eastAsiaTheme="minorEastAsia"/>
          <w:color w:val="auto"/>
          <w:sz w:val="18"/>
          <w:szCs w:val="18"/>
        </w:rPr>
        <w:t>》（</w:t>
      </w:r>
      <w:r>
        <w:rPr>
          <w:rFonts w:cs="仿宋_GB2312" w:asciiTheme="minorEastAsia" w:hAnsiTheme="minorEastAsia" w:eastAsiaTheme="minorEastAsia"/>
          <w:color w:val="auto"/>
          <w:sz w:val="18"/>
          <w:szCs w:val="18"/>
        </w:rPr>
        <w:t>浙财采监[2013]24号</w:t>
      </w:r>
      <w:r>
        <w:rPr>
          <w:rFonts w:hint="eastAsia" w:cs="仿宋_GB2312" w:asciiTheme="minorEastAsia" w:hAnsiTheme="minorEastAsia" w:eastAsiaTheme="minorEastAsia"/>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firstLine="480" w:firstLineChars="200"/>
        <w:rPr>
          <w:rFonts w:cs="仿宋" w:asciiTheme="minorEastAsia" w:hAnsiTheme="minorEastAsia"/>
          <w:color w:val="auto"/>
        </w:rPr>
      </w:pP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8</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认为需要的其他文件资料或说明</w:t>
      </w:r>
      <w:r>
        <w:rPr>
          <w:rFonts w:hint="eastAsia" w:cs="仿宋" w:asciiTheme="minorEastAsia" w:hAnsiTheme="minorEastAsia"/>
          <w:color w:val="auto"/>
          <w:sz w:val="24"/>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u w:val="single"/>
          <w:lang w:eastAsia="zh-CN"/>
        </w:rPr>
        <w:t>温州市数据局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温州市政务云（私有云）服务采购项目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Z-GB202407220010ZLC</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11" w:name="_Hlk101257010"/>
      <w:r>
        <w:rPr>
          <w:rFonts w:hint="eastAsia" w:ascii="宋体" w:hAnsi="宋体" w:cs="宋体"/>
          <w:color w:val="auto"/>
          <w:sz w:val="24"/>
        </w:rPr>
        <w:t>（如果有)</w:t>
      </w:r>
      <w:bookmarkEnd w:id="411"/>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pStyle w:val="23"/>
        <w:ind w:firstLine="960" w:firstLineChars="400"/>
        <w:rPr>
          <w:rFonts w:hint="default" w:eastAsia="宋体"/>
          <w:lang w:val="en-US" w:eastAsia="zh-CN"/>
        </w:rPr>
      </w:pPr>
      <w:r>
        <w:rPr>
          <w:rFonts w:hint="eastAsia" w:hAnsi="宋体" w:cs="宋体"/>
          <w:color w:val="auto"/>
          <w:sz w:val="24"/>
          <w:lang w:val="en-US" w:eastAsia="zh-CN"/>
        </w:rPr>
        <w:t>2.2.8认为需要的其他文件资料或说明；</w:t>
      </w:r>
    </w:p>
    <w:p>
      <w:pPr>
        <w:snapToGrid w:val="0"/>
        <w:spacing w:line="360" w:lineRule="auto"/>
        <w:ind w:left="420" w:leftChars="200" w:firstLine="480" w:firstLineChars="200"/>
        <w:rPr>
          <w:rFonts w:hint="default" w:eastAsia="宋体"/>
          <w:lang w:val="en-US" w:eastAsia="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温州市数据局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温州市政务云（私有云）服务采购项目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Z-GB202407220010ZLC</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温州市数据局</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温州市政务云（私有云）服务采购项目</w:t>
      </w:r>
      <w:r>
        <w:rPr>
          <w:rFonts w:hint="eastAsia" w:ascii="宋体" w:hAnsi="宋体" w:cs="宋体"/>
          <w:color w:val="auto"/>
          <w:sz w:val="24"/>
        </w:rPr>
        <w:t>【招标编号：</w:t>
      </w:r>
      <w:r>
        <w:rPr>
          <w:rFonts w:hint="eastAsia" w:ascii="宋体" w:hAnsi="宋体" w:cs="宋体"/>
          <w:color w:val="auto"/>
          <w:sz w:val="24"/>
          <w:lang w:eastAsia="zh-CN"/>
        </w:rPr>
        <w:t>Z-GB202407220010ZLC</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pStyle w:val="2"/>
        <w:rPr>
          <w:rFonts w:ascii="宋体" w:hAnsi="宋体" w:cs="宋体"/>
          <w:color w:val="auto"/>
          <w:kern w:val="0"/>
          <w:sz w:val="24"/>
        </w:rPr>
      </w:pPr>
    </w:p>
    <w:p>
      <w:pPr>
        <w:rPr>
          <w:rFonts w:ascii="宋体" w:hAnsi="宋体" w:cs="宋体"/>
          <w:color w:val="auto"/>
          <w:kern w:val="0"/>
          <w:sz w:val="24"/>
        </w:rPr>
      </w:pPr>
    </w:p>
    <w:p>
      <w:pPr>
        <w:pStyle w:val="2"/>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65" w:type="dxa"/>
          </w:tcPr>
          <w:p>
            <w:pPr>
              <w:spacing w:line="360" w:lineRule="auto"/>
              <w:rPr>
                <w:rFonts w:ascii="宋体" w:hAnsi="宋体" w:cs="宋体"/>
                <w:sz w:val="24"/>
              </w:rPr>
            </w:pPr>
            <w:r>
              <w:rPr>
                <w:rFonts w:hint="eastAsia" w:ascii="宋体" w:hAnsi="宋体" w:cs="宋体"/>
                <w:sz w:val="24"/>
              </w:rPr>
              <w:t>投标文件按照招标文件要求需签署、盖章的（</w:t>
            </w:r>
            <w:r>
              <w:rPr>
                <w:rFonts w:hint="eastAsia" w:ascii="宋体" w:hAnsi="宋体" w:cs="宋体"/>
                <w:sz w:val="24"/>
                <w:lang w:val="en-US" w:eastAsia="zh-CN"/>
              </w:rPr>
              <w:t>如</w:t>
            </w:r>
            <w:r>
              <w:rPr>
                <w:rFonts w:hint="eastAsia" w:ascii="宋体" w:hAnsi="宋体" w:cs="宋体"/>
                <w:sz w:val="24"/>
              </w:rPr>
              <w:t>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w:t>
            </w:r>
            <w:r>
              <w:rPr>
                <w:rFonts w:hint="eastAsia" w:ascii="宋体" w:hAnsi="宋体" w:cs="宋体"/>
                <w:sz w:val="24"/>
                <w:lang w:val="en-US" w:eastAsia="zh-CN"/>
              </w:rPr>
              <w:t>等</w:t>
            </w:r>
            <w:r>
              <w:rPr>
                <w:rFonts w:hint="eastAsia" w:ascii="宋体" w:hAnsi="宋体" w:cs="宋体"/>
                <w:sz w:val="24"/>
              </w:rPr>
              <w:t>）</w:t>
            </w:r>
          </w:p>
        </w:tc>
        <w:tc>
          <w:tcPr>
            <w:tcW w:w="3677" w:type="dxa"/>
            <w:vAlign w:val="center"/>
          </w:tcPr>
          <w:p>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投标标的清单等</w:t>
            </w:r>
            <w:r>
              <w:rPr>
                <w:rFonts w:hint="eastAsia" w:ascii="宋体" w:hAnsi="宋体" w:cs="宋体"/>
                <w:sz w:val="24"/>
              </w:rPr>
              <w:t>是否均已签署、盖章）</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65"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65" w:type="dxa"/>
          </w:tcPr>
          <w:p>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投标文件满足招标文件第三部分采购需求参数里的其它实质性要求（如有）。</w:t>
            </w:r>
          </w:p>
        </w:tc>
        <w:tc>
          <w:tcPr>
            <w:tcW w:w="3677" w:type="dxa"/>
            <w:vAlign w:val="center"/>
          </w:tcPr>
          <w:p>
            <w:pPr>
              <w:rPr>
                <w:rFonts w:ascii="宋体" w:hAnsi="宋体" w:cs="宋体"/>
                <w:color w:val="auto"/>
                <w:sz w:val="24"/>
              </w:rPr>
            </w:pPr>
            <w:r>
              <w:rPr>
                <w:rFonts w:hint="eastAsia" w:ascii="宋体" w:hAnsi="宋体" w:cs="宋体"/>
                <w:color w:val="auto"/>
                <w:kern w:val="0"/>
                <w:sz w:val="24"/>
              </w:rPr>
              <w:t>提供招标文件需求参数里的其它实质性要求相应的材料（“▲且加下线部分”系指实质性要求条款，招标文件无其它实质性要求的，无需提供）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lang w:val="en-US" w:eastAsia="zh-CN"/>
        </w:rPr>
      </w:pPr>
      <w:r>
        <w:rPr>
          <w:rFonts w:hint="eastAsia" w:ascii="宋体" w:hAnsi="宋体" w:cs="宋体"/>
          <w:b/>
          <w:sz w:val="24"/>
        </w:rPr>
        <w:t>（按招标文件第四部分评标办法前附表中“投标文件中评标标准相应的商务技术资料目录”提供资料。）</w:t>
      </w:r>
      <w:r>
        <w:rPr>
          <w:rFonts w:hint="eastAsia" w:ascii="宋体" w:hAnsi="宋体" w:cs="宋体"/>
          <w:b/>
          <w:color w:val="auto"/>
          <w:sz w:val="24"/>
          <w:lang w:eastAsia="zh-CN"/>
        </w:rPr>
        <w:t>【</w:t>
      </w:r>
      <w:r>
        <w:rPr>
          <w:rFonts w:hint="eastAsia" w:ascii="宋体" w:hAnsi="宋体" w:cs="宋体"/>
          <w:b/>
          <w:color w:val="auto"/>
          <w:sz w:val="24"/>
          <w:lang w:val="en-US" w:eastAsia="zh-CN"/>
        </w:rPr>
        <w:t>格式自拟</w:t>
      </w:r>
      <w:r>
        <w:rPr>
          <w:rFonts w:hint="eastAsia" w:ascii="宋体" w:hAnsi="宋体" w:cs="宋体"/>
          <w:b/>
          <w:color w:val="auto"/>
          <w:sz w:val="24"/>
          <w:lang w:eastAsia="zh-CN"/>
        </w:rPr>
        <w:t>】</w:t>
      </w:r>
      <w:r>
        <w:rPr>
          <w:rFonts w:hint="eastAsia" w:ascii="宋体" w:hAnsi="宋体" w:cs="宋体"/>
          <w:b/>
          <w:sz w:val="24"/>
          <w:lang w:val="en-US" w:eastAsia="zh-CN"/>
        </w:rPr>
        <w:t xml:space="preserve">  </w:t>
      </w:r>
    </w:p>
    <w:p>
      <w:pPr>
        <w:snapToGrid w:val="0"/>
        <w:spacing w:line="360" w:lineRule="auto"/>
        <w:jc w:val="left"/>
        <w:rPr>
          <w:rFonts w:hint="eastAsia" w:ascii="宋体" w:hAnsi="宋体" w:cs="宋体"/>
          <w:b/>
          <w:sz w:val="24"/>
          <w:lang w:val="en-US" w:eastAsia="zh-CN"/>
        </w:rPr>
      </w:pPr>
    </w:p>
    <w:p>
      <w:pPr>
        <w:snapToGrid w:val="0"/>
        <w:spacing w:line="360" w:lineRule="auto"/>
        <w:jc w:val="left"/>
        <w:rPr>
          <w:rFonts w:hint="eastAsia" w:ascii="宋体" w:hAnsi="宋体" w:cs="宋体"/>
          <w:b/>
          <w:sz w:val="24"/>
          <w:lang w:val="en-US" w:eastAsia="zh-CN"/>
        </w:rPr>
      </w:pPr>
      <w:r>
        <w:rPr>
          <w:rFonts w:hint="eastAsia" w:ascii="宋体" w:hAnsi="宋体" w:cs="宋体"/>
          <w:b/>
          <w:sz w:val="24"/>
          <w:lang w:val="en-US" w:eastAsia="zh-CN"/>
        </w:rPr>
        <w:t xml:space="preserve"> </w:t>
      </w:r>
    </w:p>
    <w:p>
      <w:pPr>
        <w:pStyle w:val="2"/>
        <w:rPr>
          <w:rFonts w:hint="eastAsia" w:ascii="宋体" w:hAnsi="宋体" w:cs="宋体"/>
          <w:b/>
          <w:sz w:val="24"/>
          <w:lang w:val="en-US" w:eastAsia="zh-CN"/>
        </w:rPr>
      </w:pPr>
    </w:p>
    <w:p>
      <w:pPr>
        <w:rPr>
          <w:rFonts w:hint="eastAsia" w:ascii="宋体" w:hAnsi="宋体" w:cs="宋体"/>
          <w:b/>
          <w:sz w:val="24"/>
          <w:lang w:val="en-US" w:eastAsia="zh-CN"/>
        </w:rPr>
      </w:pPr>
    </w:p>
    <w:p>
      <w:pPr>
        <w:pStyle w:val="2"/>
        <w:rPr>
          <w:rFonts w:hint="eastAsia" w:ascii="宋体" w:hAnsi="宋体" w:cs="宋体"/>
          <w:b/>
          <w:sz w:val="24"/>
          <w:lang w:val="en-US" w:eastAsia="zh-CN"/>
        </w:rPr>
      </w:pPr>
    </w:p>
    <w:p>
      <w:pPr>
        <w:rPr>
          <w:rFonts w:hint="eastAsia" w:ascii="宋体" w:hAnsi="宋体" w:cs="宋体"/>
          <w:b/>
          <w:sz w:val="24"/>
          <w:lang w:val="en-US" w:eastAsia="zh-CN"/>
        </w:rPr>
      </w:pPr>
    </w:p>
    <w:p>
      <w:pPr>
        <w:pStyle w:val="2"/>
        <w:rPr>
          <w:rFonts w:hint="eastAsia"/>
          <w:lang w:val="en-US" w:eastAsia="zh-CN"/>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576"/>
        <w:jc w:val="center"/>
        <w:rPr>
          <w:rFonts w:hint="eastAsia" w:ascii="宋体" w:hAnsi="宋体" w:cs="宋体"/>
          <w:kern w:val="0"/>
          <w:sz w:val="24"/>
          <w:lang w:val="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jc w:val="center"/>
        <w:rPr>
          <w:rFonts w:ascii="宋体" w:hAnsi="宋体" w:cs="宋体"/>
          <w:b/>
          <w:kern w:val="0"/>
          <w:sz w:val="32"/>
          <w:szCs w:val="32"/>
        </w:rPr>
      </w:pPr>
    </w:p>
    <w:p>
      <w:pPr>
        <w:pStyle w:val="2"/>
        <w:rPr>
          <w:rFonts w:ascii="宋体" w:hAnsi="宋体" w:cs="宋体"/>
          <w:b/>
          <w:kern w:val="0"/>
          <w:sz w:val="32"/>
          <w:szCs w:val="32"/>
        </w:rPr>
      </w:pPr>
    </w:p>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numPr>
          <w:ilvl w:val="0"/>
          <w:numId w:val="9"/>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w:t>
      </w:r>
      <w:r>
        <w:rPr>
          <w:rFonts w:hint="eastAsia" w:ascii="楷体" w:hAnsi="楷体" w:eastAsia="楷体" w:cs="Arial"/>
          <w:color w:val="auto"/>
          <w:sz w:val="24"/>
          <w:u w:val="single"/>
          <w:lang w:eastAsia="zh-CN"/>
        </w:rPr>
        <w:t>（</w:t>
      </w:r>
      <w:r>
        <w:rPr>
          <w:rFonts w:hint="eastAsia" w:ascii="楷体" w:hAnsi="楷体" w:eastAsia="楷体" w:cs="Arial"/>
          <w:color w:val="auto"/>
          <w:sz w:val="24"/>
          <w:u w:val="single"/>
          <w:lang w:val="en-US" w:eastAsia="zh-CN"/>
        </w:rPr>
        <w:t>必须提供</w:t>
      </w:r>
      <w:r>
        <w:rPr>
          <w:rFonts w:hint="eastAsia" w:ascii="楷体" w:hAnsi="楷体" w:eastAsia="楷体" w:cs="Arial"/>
          <w:color w:val="auto"/>
          <w:sz w:val="24"/>
          <w:u w:val="single"/>
          <w:lang w:eastAsia="zh-CN"/>
        </w:rPr>
        <w:t>）</w:t>
      </w:r>
    </w:p>
    <w:p>
      <w:pPr>
        <w:numPr>
          <w:ilvl w:val="0"/>
          <w:numId w:val="9"/>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hAnsi="宋体" w:cs="宋体"/>
          <w:b/>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pPr>
        <w:ind w:firstLine="1911" w:firstLineChars="595"/>
        <w:rPr>
          <w:rFonts w:ascii="宋体" w:hAnsi="宋体" w:cs="宋体"/>
          <w:b/>
          <w:bCs/>
          <w:color w:val="auto"/>
          <w:sz w:val="32"/>
          <w:szCs w:val="32"/>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pStyle w:val="23"/>
        <w:rPr>
          <w:rFonts w:ascii="宋体" w:hAnsi="宋体" w:cs="宋体"/>
          <w:b/>
          <w:bCs/>
          <w:sz w:val="24"/>
        </w:rPr>
      </w:pPr>
    </w:p>
    <w:p>
      <w:pPr>
        <w:pStyle w:val="24"/>
      </w:pPr>
    </w:p>
    <w:p>
      <w:pPr>
        <w:ind w:firstLine="1911" w:firstLineChars="595"/>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八、认为需要的其他文件资料或说明</w:t>
      </w:r>
    </w:p>
    <w:p>
      <w:pPr>
        <w:jc w:val="center"/>
        <w:rPr>
          <w:rFonts w:hint="default" w:cs="仿宋" w:asciiTheme="minorEastAsia" w:hAnsiTheme="minorEastAsia" w:eastAsiaTheme="minorEastAsia"/>
          <w:b w:val="0"/>
          <w:bCs w:val="0"/>
          <w:color w:val="auto"/>
          <w:sz w:val="24"/>
          <w:lang w:val="en-US" w:eastAsia="zh-CN"/>
        </w:rPr>
      </w:pPr>
      <w:r>
        <w:rPr>
          <w:rFonts w:hint="eastAsia" w:cs="仿宋" w:asciiTheme="minorEastAsia" w:hAnsiTheme="minorEastAsia"/>
          <w:b w:val="0"/>
          <w:bCs w:val="0"/>
          <w:color w:val="auto"/>
          <w:sz w:val="24"/>
          <w:lang w:val="en-US" w:eastAsia="zh-CN"/>
        </w:rPr>
        <w:t>（由投标人根据采购需求自行编制）</w:t>
      </w:r>
    </w:p>
    <w:p>
      <w:pPr>
        <w:ind w:firstLine="1911" w:firstLineChars="595"/>
        <w:rPr>
          <w:rFonts w:hint="eastAsia" w:cs="仿宋" w:asciiTheme="minorEastAsia" w:hAnsiTheme="minorEastAsia"/>
          <w:b/>
          <w:color w:val="auto"/>
          <w:kern w:val="0"/>
          <w:sz w:val="32"/>
          <w:szCs w:val="32"/>
        </w:rPr>
      </w:pPr>
    </w:p>
    <w:p>
      <w:pPr>
        <w:ind w:firstLine="5520" w:firstLineChars="2300"/>
        <w:rPr>
          <w:rFonts w:hint="eastAsia" w:cs="仿宋" w:asciiTheme="minorEastAsia" w:hAnsiTheme="minorEastAsia"/>
          <w:b/>
          <w:color w:val="auto"/>
          <w:kern w:val="0"/>
          <w:sz w:val="32"/>
          <w:szCs w:val="32"/>
        </w:rPr>
      </w:pPr>
      <w:r>
        <w:rPr>
          <w:rFonts w:hint="eastAsia" w:ascii="宋体" w:hAnsi="宋体" w:cs="宋体"/>
          <w:color w:val="auto"/>
          <w:kern w:val="0"/>
          <w:sz w:val="24"/>
          <w:lang w:val="en-US" w:eastAsia="zh-CN"/>
        </w:rPr>
        <w:t>投标人</w:t>
      </w:r>
      <w:r>
        <w:rPr>
          <w:rFonts w:hint="eastAsia" w:ascii="宋体" w:hAnsi="宋体" w:cs="宋体"/>
          <w:color w:val="auto"/>
          <w:kern w:val="0"/>
          <w:sz w:val="24"/>
          <w:lang w:val="zh-CN"/>
        </w:rPr>
        <w:t>名称(电子签名)：</w:t>
      </w:r>
    </w:p>
    <w:p>
      <w:pPr>
        <w:ind w:firstLine="5743" w:firstLineChars="2393"/>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lang w:val="zh-CN"/>
        </w:rPr>
      </w:pPr>
    </w:p>
    <w:p>
      <w:pPr>
        <w:rPr>
          <w:rFonts w:hint="eastAsia" w:ascii="宋体" w:hAnsi="宋体" w:cs="宋体"/>
          <w:color w:val="auto"/>
          <w:kern w:val="0"/>
          <w:sz w:val="24"/>
          <w:lang w:val="zh-CN"/>
        </w:rPr>
      </w:pPr>
    </w:p>
    <w:p>
      <w:pPr>
        <w:ind w:firstLine="1911" w:firstLineChars="595"/>
        <w:rPr>
          <w:rFonts w:hint="eastAsia" w:ascii="宋体" w:hAnsi="宋体" w:cs="宋体"/>
          <w:b/>
          <w:kern w:val="0"/>
          <w:sz w:val="32"/>
          <w:szCs w:val="32"/>
          <w:lang w:val="en-US" w:eastAsia="zh-CN"/>
        </w:rPr>
      </w:pPr>
    </w:p>
    <w:p>
      <w:pPr>
        <w:ind w:firstLine="1911" w:firstLineChars="595"/>
        <w:rPr>
          <w:rFonts w:ascii="宋体" w:hAnsi="宋体" w:cs="宋体"/>
          <w:b/>
          <w:kern w:val="0"/>
          <w:sz w:val="32"/>
          <w:szCs w:val="32"/>
        </w:rPr>
      </w:pPr>
      <w:r>
        <w:rPr>
          <w:rFonts w:hint="eastAsia" w:ascii="宋体" w:hAnsi="宋体" w:cs="宋体"/>
          <w:b/>
          <w:kern w:val="0"/>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温州市数据局</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b/>
          <w:bCs/>
          <w:sz w:val="24"/>
        </w:rPr>
      </w:pPr>
      <w:r>
        <w:rPr>
          <w:rFonts w:hint="eastAsia" w:ascii="宋体" w:hAnsi="宋体" w:cs="宋体"/>
          <w:sz w:val="24"/>
        </w:rPr>
        <w:t>注：按本格式和要求提供。</w:t>
      </w:r>
    </w:p>
    <w:p>
      <w:pPr>
        <w:rPr>
          <w:rFonts w:ascii="宋体" w:hAnsi="宋体" w:cs="宋体"/>
          <w:b/>
          <w:bCs/>
          <w:sz w:val="24"/>
        </w:rPr>
      </w:pPr>
    </w:p>
    <w:p>
      <w:pPr>
        <w:pStyle w:val="2"/>
        <w:rPr>
          <w:rFonts w:ascii="宋体" w:hAnsi="宋体" w:cs="宋体"/>
          <w:b/>
          <w:bCs/>
          <w:sz w:val="24"/>
        </w:rPr>
      </w:pPr>
    </w:p>
    <w:p>
      <w:pPr>
        <w:rPr>
          <w:rFonts w:ascii="宋体" w:hAnsi="宋体" w:cs="宋体"/>
          <w:b/>
          <w:bCs/>
          <w:sz w:val="24"/>
        </w:rPr>
      </w:pPr>
    </w:p>
    <w:p>
      <w:pPr>
        <w:pStyle w:val="2"/>
        <w:rPr>
          <w:rFonts w:ascii="宋体" w:hAnsi="宋体" w:cs="宋体"/>
          <w:b/>
          <w:bCs/>
          <w:sz w:val="24"/>
        </w:rPr>
      </w:pPr>
    </w:p>
    <w:p>
      <w:pPr>
        <w:rPr>
          <w:rFonts w:ascii="宋体" w:hAnsi="宋体" w:cs="宋体"/>
          <w:b/>
          <w:bCs/>
          <w:sz w:val="24"/>
        </w:rPr>
      </w:pPr>
    </w:p>
    <w:p>
      <w:pPr>
        <w:pStyle w:val="2"/>
      </w:pPr>
    </w:p>
    <w:p>
      <w:pPr>
        <w:pStyle w:val="23"/>
        <w:rPr>
          <w:rFonts w:ascii="宋体" w:hAnsi="宋体" w:cs="宋体"/>
          <w:b/>
          <w:bCs/>
          <w:sz w:val="24"/>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0000FF"/>
          <w:kern w:val="2"/>
          <w:sz w:val="32"/>
          <w:szCs w:val="32"/>
          <w:highlight w:val="none"/>
        </w:rPr>
        <w:t>一</w:t>
      </w:r>
      <w:r>
        <w:rPr>
          <w:rFonts w:hint="eastAsia" w:ascii="宋体" w:hAnsi="宋体" w:eastAsia="宋体" w:cs="宋体"/>
          <w:color w:val="auto"/>
          <w:kern w:val="2"/>
          <w:sz w:val="32"/>
          <w:szCs w:val="32"/>
          <w:highlight w:val="none"/>
        </w:rPr>
        <w:t>、开标一览表（报价表）</w:t>
      </w:r>
    </w:p>
    <w:p>
      <w:pPr>
        <w:snapToGrid w:val="0"/>
        <w:spacing w:line="360" w:lineRule="auto"/>
        <w:rPr>
          <w:rFonts w:hint="eastAsia" w:ascii="宋体" w:hAnsi="宋体" w:cs="宋体"/>
          <w:sz w:val="24"/>
          <w:highlight w:val="none"/>
          <w:u w:val="single"/>
        </w:rPr>
      </w:pPr>
      <w:r>
        <w:rPr>
          <w:rFonts w:hint="eastAsia" w:ascii="宋体" w:hAnsi="宋体" w:cs="宋体"/>
          <w:color w:val="auto"/>
          <w:sz w:val="24"/>
          <w:u w:val="single"/>
          <w:lang w:eastAsia="zh-CN"/>
        </w:rPr>
        <w:t>温州市数据局、</w:t>
      </w:r>
      <w:r>
        <w:rPr>
          <w:rFonts w:hint="eastAsia" w:ascii="宋体" w:hAnsi="宋体" w:cs="宋体"/>
          <w:sz w:val="24"/>
          <w:highlight w:val="none"/>
          <w:u w:val="single"/>
        </w:rPr>
        <w:t>温州市政务服务管理中心（温州市政府采购中心）：</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温州市政务云（私有云）服务采购项目</w:t>
      </w:r>
      <w:r>
        <w:rPr>
          <w:rFonts w:hint="eastAsia" w:ascii="宋体" w:hAnsi="宋体" w:cs="宋体"/>
          <w:color w:val="auto"/>
          <w:kern w:val="0"/>
          <w:sz w:val="24"/>
          <w:highlight w:val="none"/>
          <w:u w:val="single"/>
          <w:lang w:val="zh-CN"/>
        </w:rPr>
        <w:t>【招标编号：</w:t>
      </w:r>
      <w:r>
        <w:rPr>
          <w:rFonts w:hint="eastAsia" w:ascii="宋体" w:hAnsi="宋体" w:cs="宋体"/>
          <w:color w:val="auto"/>
          <w:sz w:val="24"/>
          <w:u w:val="single"/>
          <w:lang w:eastAsia="zh-CN"/>
        </w:rPr>
        <w:t>Z-GB202407220010ZLC</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612"/>
        <w:gridCol w:w="2016"/>
        <w:gridCol w:w="2722"/>
        <w:gridCol w:w="2530"/>
        <w:gridCol w:w="237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306"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55"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694" w:type="pct"/>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937"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871"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816"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819" w:type="pct"/>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6"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5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u w:val="none"/>
                <w:lang w:val="en-US" w:eastAsia="zh-CN"/>
              </w:rPr>
              <w:t>温州市政务云（私有云）服务采购项目</w:t>
            </w:r>
          </w:p>
        </w:tc>
        <w:tc>
          <w:tcPr>
            <w:tcW w:w="694"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依据本项目招标文件服务范围</w:t>
            </w:r>
          </w:p>
        </w:tc>
        <w:tc>
          <w:tcPr>
            <w:tcW w:w="937" w:type="pct"/>
            <w:vAlign w:val="center"/>
          </w:tcPr>
          <w:p>
            <w:pPr>
              <w:snapToGrid w:val="0"/>
              <w:spacing w:line="360" w:lineRule="auto"/>
              <w:jc w:val="center"/>
              <w:rPr>
                <w:rFonts w:ascii="宋体" w:hAnsi="宋体" w:cs="宋体"/>
                <w:color w:val="auto"/>
                <w:sz w:val="24"/>
                <w:highlight w:val="none"/>
              </w:rPr>
            </w:pPr>
          </w:p>
        </w:tc>
        <w:tc>
          <w:tcPr>
            <w:tcW w:w="871" w:type="pct"/>
            <w:vAlign w:val="center"/>
          </w:tcPr>
          <w:p>
            <w:pPr>
              <w:snapToGrid w:val="0"/>
              <w:spacing w:line="360" w:lineRule="auto"/>
              <w:jc w:val="center"/>
              <w:rPr>
                <w:rFonts w:ascii="宋体" w:hAnsi="宋体" w:cs="宋体"/>
                <w:color w:val="auto"/>
                <w:sz w:val="24"/>
                <w:highlight w:val="none"/>
              </w:rPr>
            </w:pPr>
          </w:p>
        </w:tc>
        <w:tc>
          <w:tcPr>
            <w:tcW w:w="816" w:type="pct"/>
            <w:vAlign w:val="center"/>
          </w:tcPr>
          <w:p>
            <w:pPr>
              <w:spacing w:line="360" w:lineRule="auto"/>
              <w:jc w:val="center"/>
              <w:rPr>
                <w:rFonts w:ascii="宋体" w:hAnsi="宋体" w:cs="宋体"/>
                <w:color w:val="auto"/>
                <w:sz w:val="24"/>
                <w:highlight w:val="none"/>
              </w:rPr>
            </w:pPr>
          </w:p>
        </w:tc>
        <w:tc>
          <w:tcPr>
            <w:tcW w:w="819" w:type="pct"/>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2492" w:type="pct"/>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最高限价的统一折扣</w:t>
            </w:r>
          </w:p>
        </w:tc>
        <w:tc>
          <w:tcPr>
            <w:tcW w:w="2507" w:type="pct"/>
            <w:gridSpan w:val="3"/>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10"/>
        </w:num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480" w:firstLineChars="200"/>
        <w:jc w:val="left"/>
        <w:rPr>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投标报价为最高限价的统一折扣，以百分数表示。采购人将根据公式：“最高限价×投标报价（最高限价的统一折扣）=支付金额”核算实际支付金额。如：某产品最高限价为100元，投标报价：</w:t>
      </w:r>
      <w:r>
        <w:rPr>
          <w:rFonts w:hint="eastAsia" w:ascii="宋体" w:hAnsi="宋体" w:eastAsia="宋体" w:cs="宋体"/>
          <w:color w:val="auto"/>
          <w:kern w:val="0"/>
          <w:sz w:val="24"/>
          <w:highlight w:val="none"/>
          <w:lang w:val="zh-CN"/>
        </w:rPr>
        <w:softHyphen/>
      </w:r>
      <w:r>
        <w:rPr>
          <w:rFonts w:hint="eastAsia" w:ascii="宋体" w:hAnsi="宋体" w:eastAsia="宋体" w:cs="宋体"/>
          <w:color w:val="auto"/>
          <w:kern w:val="0"/>
          <w:sz w:val="24"/>
          <w:highlight w:val="none"/>
          <w:lang w:val="zh-CN"/>
        </w:rPr>
        <w:softHyphen/>
      </w:r>
      <w:r>
        <w:rPr>
          <w:rFonts w:hint="eastAsia" w:ascii="宋体" w:hAnsi="宋体" w:eastAsia="宋体" w:cs="宋体"/>
          <w:color w:val="auto"/>
          <w:kern w:val="0"/>
          <w:sz w:val="24"/>
          <w:highlight w:val="none"/>
          <w:lang w:val="zh-CN"/>
        </w:rPr>
        <w:t>最高限价的统一折扣为80%，则在采购人在支付时实际支付金额为：最高限价100×投标报价（最高限价的统一折扣）80%=80（元）。以投标人所投最高限价的“统一折扣”进行价格分计算。</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76"/>
        <w:jc w:val="center"/>
        <w:rPr>
          <w:rFonts w:hint="eastAsia" w:ascii="宋体" w:hAnsi="宋体" w:cs="宋体"/>
          <w:color w:val="0070C0"/>
          <w:kern w:val="0"/>
          <w:sz w:val="24"/>
          <w:lang w:val="en-US" w:eastAsia="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0070C0"/>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12" w:name="OLE_LINK14"/>
      <w:bookmarkStart w:id="413" w:name="OLE_LINK13"/>
      <w:r>
        <w:rPr>
          <w:rFonts w:hint="eastAsia" w:ascii="宋体" w:hAnsi="宋体" w:cs="宋体"/>
          <w:b/>
          <w:spacing w:val="6"/>
          <w:sz w:val="32"/>
          <w:szCs w:val="32"/>
        </w:rPr>
        <w:t>残疾人福利性单位声明函</w:t>
      </w:r>
    </w:p>
    <w:bookmarkEnd w:id="412"/>
    <w:bookmarkEnd w:id="41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w:t>
      </w:r>
      <w:r>
        <w:rPr>
          <w:rFonts w:hint="eastAsia" w:ascii="宋体" w:hAnsi="宋体" w:cs="宋体"/>
          <w:color w:val="auto"/>
          <w:sz w:val="24"/>
          <w:u w:val="single"/>
          <w:lang w:val="en-US" w:eastAsia="zh-CN"/>
        </w:rPr>
        <w:t xml:space="preserve">             </w:t>
      </w:r>
      <w:r>
        <w:rPr>
          <w:rFonts w:hint="eastAsia" w:ascii="宋体" w:hAnsi="宋体" w:cs="宋体"/>
          <w:color w:val="auto"/>
          <w:sz w:val="24"/>
          <w:u w:val="none"/>
        </w:rPr>
        <w:t>项</w:t>
      </w:r>
      <w:r>
        <w:rPr>
          <w:rFonts w:hint="eastAsia" w:ascii="宋体" w:hAnsi="宋体" w:cs="宋体"/>
          <w:color w:val="auto"/>
          <w:sz w:val="24"/>
        </w:rPr>
        <w:t>目采</w:t>
      </w:r>
      <w:r>
        <w:rPr>
          <w:rFonts w:hint="eastAsia" w:ascii="宋体" w:hAnsi="宋体" w:cs="宋体"/>
          <w:sz w:val="24"/>
        </w:rPr>
        <w:t>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hint="eastAsia"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2"/>
      </w:pPr>
    </w:p>
    <w:p/>
    <w:p>
      <w:pPr>
        <w:pStyle w:val="2"/>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温州市数据局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温州市政务云（私有云）服务采购项目</w:t>
      </w:r>
      <w:r>
        <w:rPr>
          <w:rFonts w:hint="eastAsia" w:ascii="宋体" w:hAnsi="宋体" w:cs="宋体"/>
          <w:color w:val="auto"/>
          <w:sz w:val="24"/>
        </w:rPr>
        <w:t>【招标编号：</w:t>
      </w:r>
      <w:r>
        <w:rPr>
          <w:rFonts w:hint="eastAsia" w:ascii="宋体" w:hAnsi="宋体" w:cs="宋体"/>
          <w:color w:val="auto"/>
          <w:sz w:val="24"/>
          <w:lang w:eastAsia="zh-CN"/>
        </w:rPr>
        <w:t>Z-GB202407220010ZLC</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我方所使用的“XX专用章”与法定名称章具有同等的法律效力，对使用“XX</w:t>
      </w:r>
      <w:r>
        <w:rPr>
          <w:rFonts w:hint="eastAsia" w:ascii="宋体" w:hAnsi="宋体" w:cs="宋体"/>
          <w:sz w:val="24"/>
        </w:rPr>
        <w:t xml:space="preserve">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温州市政务云（私有云）服务采购项目</w:t>
      </w:r>
      <w:r>
        <w:rPr>
          <w:rFonts w:hint="eastAsia" w:ascii="宋体" w:hAnsi="宋体" w:cs="宋体"/>
          <w:color w:val="auto"/>
          <w:sz w:val="24"/>
        </w:rPr>
        <w:t>【招标编号：</w:t>
      </w:r>
      <w:r>
        <w:rPr>
          <w:rFonts w:hint="eastAsia" w:ascii="宋体" w:hAnsi="宋体" w:cs="宋体"/>
          <w:color w:val="auto"/>
          <w:sz w:val="24"/>
          <w:lang w:eastAsia="zh-CN"/>
        </w:rPr>
        <w:t>Z-GB202407220010ZLC</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pPr>
    </w:p>
    <w:p>
      <w:pPr>
        <w:autoSpaceDE w:val="0"/>
        <w:autoSpaceDN w:val="0"/>
        <w:jc w:val="center"/>
        <w:rPr>
          <w:rFonts w:ascii="宋体" w:hAnsi="宋体" w:cs="宋体"/>
          <w:b/>
          <w:spacing w:val="6"/>
          <w:sz w:val="32"/>
          <w:szCs w:val="32"/>
        </w:rPr>
      </w:pPr>
    </w:p>
    <w:p>
      <w:pPr>
        <w:pStyle w:val="2"/>
        <w:rPr>
          <w:rFonts w:ascii="宋体" w:hAnsi="宋体" w:cs="宋体"/>
          <w:b/>
          <w:spacing w:val="6"/>
          <w:sz w:val="32"/>
          <w:szCs w:val="32"/>
        </w:rPr>
      </w:pPr>
    </w:p>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lang w:eastAsia="zh-CN"/>
        </w:rPr>
        <w:t>温州市政务云（私有云）服务采购项目</w:t>
      </w:r>
      <w:r>
        <w:rPr>
          <w:rFonts w:hint="eastAsia" w:ascii="宋体" w:hAnsi="宋体" w:cs="宋体"/>
          <w:color w:val="auto"/>
          <w:sz w:val="24"/>
        </w:rPr>
        <w:t>【招标编号：</w:t>
      </w:r>
      <w:r>
        <w:rPr>
          <w:rFonts w:hint="eastAsia" w:ascii="宋体" w:hAnsi="宋体" w:cs="宋体"/>
          <w:color w:val="auto"/>
          <w:sz w:val="24"/>
          <w:lang w:eastAsia="zh-CN"/>
        </w:rPr>
        <w:t>Z-GB202407220010ZLC</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pPr>
    </w:p>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温州市数据局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温州市政务云（私有云）服务采购项目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highlight w:val="none"/>
          <w:u w:val="single"/>
          <w:lang w:val="en-US" w:eastAsia="zh-CN"/>
        </w:rPr>
        <w:t xml:space="preserve">  政务云平台服务</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single"/>
          <w:lang w:val="en-US" w:eastAsia="zh-CN"/>
        </w:rPr>
        <w:t xml:space="preserve"> </w:t>
      </w:r>
      <w:r>
        <w:rPr>
          <w:rFonts w:hint="eastAsia" w:ascii="宋体" w:hAnsi="宋体"/>
          <w:color w:val="auto"/>
          <w:sz w:val="24"/>
          <w:highlight w:val="none"/>
          <w:u w:val="single"/>
          <w:lang w:val="en-US" w:eastAsia="zh-CN"/>
        </w:rPr>
        <w:t>软件和信息技术服务业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方正小标宋_GBK">
    <w:altName w:val="微软雅黑"/>
    <w:panose1 w:val="02000000000000000000"/>
    <w:charset w:val="86"/>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7" w:name="_Toc131845147"/>
    <w:bookmarkStart w:id="418" w:name="_Toc36110187"/>
    <w:bookmarkStart w:id="419" w:name="_Toc91899912"/>
    <w:bookmarkStart w:id="420" w:name="_Toc164085800"/>
    <w:r>
      <w:rPr>
        <w:rFonts w:hint="eastAsia" w:ascii="仿宋_GB2312" w:eastAsia="仿宋_GB2312"/>
        <w:kern w:val="0"/>
        <w:szCs w:val="21"/>
      </w:rPr>
      <w:t xml:space="preserve"> 页</w:t>
    </w:r>
    <w:bookmarkEnd w:id="417"/>
    <w:bookmarkEnd w:id="418"/>
    <w:bookmarkEnd w:id="419"/>
    <w:bookmarkEnd w:id="42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rPr>
        <w:rFonts w:hint="eastAsia"/>
        <w:lang w:val="en-US" w:eastAsia="zh-CN"/>
      </w:rPr>
      <w:t>温</w:t>
    </w:r>
    <w:r>
      <w:t>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lang w:val="en-US" w:eastAsia="zh-CN"/>
      </w:rPr>
      <w:t>温</w:t>
    </w:r>
    <w:r>
      <w:t>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CBA18723"/>
    <w:multiLevelType w:val="singleLevel"/>
    <w:tmpl w:val="CBA18723"/>
    <w:lvl w:ilvl="0" w:tentative="0">
      <w:start w:val="1"/>
      <w:numFmt w:val="decimal"/>
      <w:suff w:val="nothing"/>
      <w:lvlText w:val="%1、"/>
      <w:lvlJc w:val="left"/>
    </w:lvl>
  </w:abstractNum>
  <w:abstractNum w:abstractNumId="2">
    <w:nsid w:val="F6720CDC"/>
    <w:multiLevelType w:val="singleLevel"/>
    <w:tmpl w:val="F6720CDC"/>
    <w:lvl w:ilvl="0" w:tentative="0">
      <w:start w:val="5"/>
      <w:numFmt w:val="decimal"/>
      <w:suff w:val="space"/>
      <w:lvlText w:val="%1."/>
      <w:lvlJc w:val="left"/>
    </w:lvl>
  </w:abstractNum>
  <w:abstractNum w:abstractNumId="3">
    <w:nsid w:val="00000011"/>
    <w:multiLevelType w:val="multilevel"/>
    <w:tmpl w:val="00000011"/>
    <w:lvl w:ilvl="0" w:tentative="0">
      <w:start w:val="1"/>
      <w:numFmt w:val="decimal"/>
      <w:lvlText w:val="%1."/>
      <w:lvlJc w:val="left"/>
      <w:pPr>
        <w:tabs>
          <w:tab w:val="left" w:pos="862"/>
        </w:tabs>
        <w:ind w:left="862" w:hanging="420"/>
      </w:pPr>
    </w:lvl>
    <w:lvl w:ilvl="1" w:tentative="0">
      <w:start w:val="1"/>
      <w:numFmt w:val="decimal"/>
      <w:lvlText w:val="%2）"/>
      <w:lvlJc w:val="left"/>
      <w:pPr>
        <w:tabs>
          <w:tab w:val="left" w:pos="1282"/>
        </w:tabs>
        <w:ind w:left="1282" w:hanging="420"/>
      </w:pPr>
      <w:rPr>
        <w:rFonts w:hint="default"/>
      </w:rPr>
    </w:lvl>
    <w:lvl w:ilvl="2" w:tentative="0">
      <w:start w:val="1"/>
      <w:numFmt w:val="decimal"/>
      <w:lvlText w:val="%3、"/>
      <w:lvlJc w:val="left"/>
      <w:pPr>
        <w:tabs>
          <w:tab w:val="left" w:pos="1642"/>
        </w:tabs>
        <w:ind w:left="1642" w:hanging="360"/>
      </w:pPr>
      <w:rPr>
        <w:rFonts w:hint="default"/>
      </w:rPr>
    </w:lvl>
    <w:lvl w:ilvl="3" w:tentative="0">
      <w:start w:val="1"/>
      <w:numFmt w:val="decimal"/>
      <w:lvlText w:val="%4."/>
      <w:lvlJc w:val="left"/>
      <w:pPr>
        <w:tabs>
          <w:tab w:val="left" w:pos="2122"/>
        </w:tabs>
        <w:ind w:left="2122" w:hanging="420"/>
      </w:pPr>
    </w:lvl>
    <w:lvl w:ilvl="4" w:tentative="0">
      <w:start w:val="1"/>
      <w:numFmt w:val="lowerLetter"/>
      <w:lvlText w:val="%5)"/>
      <w:lvlJc w:val="left"/>
      <w:pPr>
        <w:tabs>
          <w:tab w:val="left" w:pos="2542"/>
        </w:tabs>
        <w:ind w:left="2542" w:hanging="420"/>
      </w:pPr>
    </w:lvl>
    <w:lvl w:ilvl="5" w:tentative="0">
      <w:start w:val="1"/>
      <w:numFmt w:val="lowerRoman"/>
      <w:lvlText w:val="%6."/>
      <w:lvlJc w:val="right"/>
      <w:pPr>
        <w:tabs>
          <w:tab w:val="left" w:pos="2962"/>
        </w:tabs>
        <w:ind w:left="2962" w:hanging="420"/>
      </w:pPr>
    </w:lvl>
    <w:lvl w:ilvl="6" w:tentative="0">
      <w:start w:val="1"/>
      <w:numFmt w:val="decimal"/>
      <w:lvlText w:val="%7."/>
      <w:lvlJc w:val="left"/>
      <w:pPr>
        <w:tabs>
          <w:tab w:val="left" w:pos="3382"/>
        </w:tabs>
        <w:ind w:left="3382" w:hanging="420"/>
      </w:pPr>
    </w:lvl>
    <w:lvl w:ilvl="7" w:tentative="0">
      <w:start w:val="1"/>
      <w:numFmt w:val="lowerLetter"/>
      <w:lvlText w:val="%8)"/>
      <w:lvlJc w:val="left"/>
      <w:pPr>
        <w:tabs>
          <w:tab w:val="left" w:pos="3802"/>
        </w:tabs>
        <w:ind w:left="3802" w:hanging="420"/>
      </w:pPr>
    </w:lvl>
    <w:lvl w:ilvl="8" w:tentative="0">
      <w:start w:val="1"/>
      <w:numFmt w:val="lowerRoman"/>
      <w:lvlText w:val="%9."/>
      <w:lvlJc w:val="right"/>
      <w:pPr>
        <w:tabs>
          <w:tab w:val="left" w:pos="4222"/>
        </w:tabs>
        <w:ind w:left="4222" w:hanging="420"/>
      </w:pPr>
    </w:lvl>
  </w:abstractNum>
  <w:abstractNum w:abstractNumId="4">
    <w:nsid w:val="00000012"/>
    <w:multiLevelType w:val="multilevel"/>
    <w:tmpl w:val="00000012"/>
    <w:lvl w:ilvl="0" w:tentative="0">
      <w:start w:val="1"/>
      <w:numFmt w:val="decimal"/>
      <w:lvlText w:val="%1）"/>
      <w:lvlJc w:val="left"/>
      <w:pPr>
        <w:tabs>
          <w:tab w:val="left" w:pos="1282"/>
        </w:tabs>
        <w:ind w:left="128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4"/>
    <w:multiLevelType w:val="multilevel"/>
    <w:tmpl w:val="00000014"/>
    <w:lvl w:ilvl="0" w:tentative="0">
      <w:start w:val="1"/>
      <w:numFmt w:val="lowerLetter"/>
      <w:lvlText w:val="%1)"/>
      <w:lvlJc w:val="left"/>
      <w:pPr>
        <w:ind w:left="1282" w:hanging="420"/>
      </w:pPr>
    </w:lvl>
    <w:lvl w:ilvl="1" w:tentative="0">
      <w:start w:val="1"/>
      <w:numFmt w:val="lowerLetter"/>
      <w:lvlText w:val="%2)"/>
      <w:lvlJc w:val="left"/>
      <w:pPr>
        <w:ind w:left="1702" w:hanging="420"/>
      </w:pPr>
    </w:lvl>
    <w:lvl w:ilvl="2" w:tentative="0">
      <w:start w:val="1"/>
      <w:numFmt w:val="lowerRoman"/>
      <w:lvlText w:val="%3."/>
      <w:lvlJc w:val="right"/>
      <w:pPr>
        <w:ind w:left="2122" w:hanging="420"/>
      </w:pPr>
    </w:lvl>
    <w:lvl w:ilvl="3" w:tentative="0">
      <w:start w:val="1"/>
      <w:numFmt w:val="decimal"/>
      <w:lvlText w:val="%4."/>
      <w:lvlJc w:val="left"/>
      <w:pPr>
        <w:ind w:left="2542" w:hanging="420"/>
      </w:pPr>
    </w:lvl>
    <w:lvl w:ilvl="4" w:tentative="0">
      <w:start w:val="1"/>
      <w:numFmt w:val="lowerLetter"/>
      <w:lvlText w:val="%5)"/>
      <w:lvlJc w:val="left"/>
      <w:pPr>
        <w:ind w:left="2962" w:hanging="420"/>
      </w:pPr>
    </w:lvl>
    <w:lvl w:ilvl="5" w:tentative="0">
      <w:start w:val="1"/>
      <w:numFmt w:val="lowerRoman"/>
      <w:lvlText w:val="%6."/>
      <w:lvlJc w:val="right"/>
      <w:pPr>
        <w:ind w:left="3382" w:hanging="420"/>
      </w:pPr>
    </w:lvl>
    <w:lvl w:ilvl="6" w:tentative="0">
      <w:start w:val="1"/>
      <w:numFmt w:val="decimal"/>
      <w:lvlText w:val="%7."/>
      <w:lvlJc w:val="left"/>
      <w:pPr>
        <w:ind w:left="3802" w:hanging="420"/>
      </w:pPr>
    </w:lvl>
    <w:lvl w:ilvl="7" w:tentative="0">
      <w:start w:val="1"/>
      <w:numFmt w:val="lowerLetter"/>
      <w:lvlText w:val="%8)"/>
      <w:lvlJc w:val="left"/>
      <w:pPr>
        <w:ind w:left="4222" w:hanging="420"/>
      </w:pPr>
    </w:lvl>
    <w:lvl w:ilvl="8" w:tentative="0">
      <w:start w:val="1"/>
      <w:numFmt w:val="lowerRoman"/>
      <w:lvlText w:val="%9."/>
      <w:lvlJc w:val="right"/>
      <w:pPr>
        <w:ind w:left="4642" w:hanging="420"/>
      </w:pPr>
    </w:lvl>
  </w:abstractNum>
  <w:abstractNum w:abstractNumId="7">
    <w:nsid w:val="00000016"/>
    <w:multiLevelType w:val="multilevel"/>
    <w:tmpl w:val="00000016"/>
    <w:lvl w:ilvl="0" w:tentative="0">
      <w:start w:val="1"/>
      <w:numFmt w:val="decimal"/>
      <w:lvlText w:val="%1."/>
      <w:lvlJc w:val="left"/>
      <w:pPr>
        <w:tabs>
          <w:tab w:val="left" w:pos="862"/>
        </w:tabs>
        <w:ind w:left="-2" w:hanging="420"/>
      </w:pPr>
    </w:lvl>
    <w:lvl w:ilvl="1" w:tentative="0">
      <w:start w:val="1"/>
      <w:numFmt w:val="decimal"/>
      <w:lvlText w:val="%2)"/>
      <w:lvlJc w:val="left"/>
      <w:pPr>
        <w:tabs>
          <w:tab w:val="left" w:pos="1282"/>
        </w:tabs>
        <w:ind w:left="-24" w:hanging="420"/>
      </w:pPr>
      <w:rPr>
        <w:rFonts w:hint="eastAsia"/>
      </w:rPr>
    </w:lvl>
    <w:lvl w:ilvl="2" w:tentative="0">
      <w:start w:val="1"/>
      <w:numFmt w:val="decimal"/>
      <w:lvlText w:val="%3、"/>
      <w:lvlJc w:val="left"/>
      <w:pPr>
        <w:tabs>
          <w:tab w:val="left" w:pos="1642"/>
        </w:tabs>
        <w:ind w:left="778" w:hanging="360"/>
      </w:pPr>
      <w:rPr>
        <w:rFonts w:hint="default"/>
      </w:rPr>
    </w:lvl>
    <w:lvl w:ilvl="3" w:tentative="0">
      <w:start w:val="1"/>
      <w:numFmt w:val="decimal"/>
      <w:lvlText w:val="%4."/>
      <w:lvlJc w:val="left"/>
      <w:pPr>
        <w:tabs>
          <w:tab w:val="left" w:pos="2122"/>
        </w:tabs>
        <w:ind w:left="1258" w:hanging="420"/>
      </w:pPr>
    </w:lvl>
    <w:lvl w:ilvl="4" w:tentative="0">
      <w:start w:val="1"/>
      <w:numFmt w:val="lowerLetter"/>
      <w:lvlText w:val="%5)"/>
      <w:lvlJc w:val="left"/>
      <w:pPr>
        <w:tabs>
          <w:tab w:val="left" w:pos="2542"/>
        </w:tabs>
        <w:ind w:left="1678" w:hanging="420"/>
      </w:pPr>
    </w:lvl>
    <w:lvl w:ilvl="5" w:tentative="0">
      <w:start w:val="1"/>
      <w:numFmt w:val="lowerRoman"/>
      <w:lvlText w:val="%6."/>
      <w:lvlJc w:val="right"/>
      <w:pPr>
        <w:tabs>
          <w:tab w:val="left" w:pos="2962"/>
        </w:tabs>
        <w:ind w:left="2098" w:hanging="420"/>
      </w:pPr>
    </w:lvl>
    <w:lvl w:ilvl="6" w:tentative="0">
      <w:start w:val="1"/>
      <w:numFmt w:val="decimal"/>
      <w:lvlText w:val="%7."/>
      <w:lvlJc w:val="left"/>
      <w:pPr>
        <w:tabs>
          <w:tab w:val="left" w:pos="3382"/>
        </w:tabs>
        <w:ind w:left="2518" w:hanging="420"/>
      </w:pPr>
    </w:lvl>
    <w:lvl w:ilvl="7" w:tentative="0">
      <w:start w:val="1"/>
      <w:numFmt w:val="lowerLetter"/>
      <w:lvlText w:val="%8)"/>
      <w:lvlJc w:val="left"/>
      <w:pPr>
        <w:tabs>
          <w:tab w:val="left" w:pos="3802"/>
        </w:tabs>
        <w:ind w:left="2938" w:hanging="420"/>
      </w:pPr>
    </w:lvl>
    <w:lvl w:ilvl="8" w:tentative="0">
      <w:start w:val="1"/>
      <w:numFmt w:val="lowerRoman"/>
      <w:lvlText w:val="%9."/>
      <w:lvlJc w:val="right"/>
      <w:pPr>
        <w:tabs>
          <w:tab w:val="left" w:pos="4222"/>
        </w:tabs>
        <w:ind w:left="3358" w:hanging="420"/>
      </w:pPr>
    </w:lvl>
  </w:abstractNum>
  <w:abstractNum w:abstractNumId="8">
    <w:nsid w:val="00000017"/>
    <w:multiLevelType w:val="multilevel"/>
    <w:tmpl w:val="00000017"/>
    <w:lvl w:ilvl="0" w:tentative="0">
      <w:start w:val="1"/>
      <w:numFmt w:val="decimal"/>
      <w:lvlText w:val="%1）"/>
      <w:lvlJc w:val="left"/>
      <w:pPr>
        <w:tabs>
          <w:tab w:val="left" w:pos="1282"/>
        </w:tabs>
        <w:ind w:left="128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9C31724"/>
    <w:multiLevelType w:val="singleLevel"/>
    <w:tmpl w:val="19C31724"/>
    <w:lvl w:ilvl="0" w:tentative="0">
      <w:start w:val="3"/>
      <w:numFmt w:val="chineseCounting"/>
      <w:suff w:val="space"/>
      <w:lvlText w:val="第%1部分"/>
      <w:lvlJc w:val="left"/>
      <w:rPr>
        <w:rFonts w:hint="eastAsia"/>
      </w:rPr>
    </w:lvl>
  </w:abstractNum>
  <w:num w:numId="1">
    <w:abstractNumId w:val="2"/>
  </w:num>
  <w:num w:numId="2">
    <w:abstractNumId w:val="9"/>
  </w:num>
  <w:num w:numId="3">
    <w:abstractNumId w:val="7"/>
  </w:num>
  <w:num w:numId="4">
    <w:abstractNumId w:val="3"/>
  </w:num>
  <w:num w:numId="5">
    <w:abstractNumId w:val="8"/>
  </w:num>
  <w:num w:numId="6">
    <w:abstractNumId w:val="4"/>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ZTI5NTgyNWMwNmQwYjY0NDY1NmU4OGQyYzAyZ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F6449"/>
    <w:rsid w:val="01236AFB"/>
    <w:rsid w:val="019F7441"/>
    <w:rsid w:val="01B37585"/>
    <w:rsid w:val="01D55165"/>
    <w:rsid w:val="01DF6BF8"/>
    <w:rsid w:val="01EC2C57"/>
    <w:rsid w:val="02553E70"/>
    <w:rsid w:val="025D6925"/>
    <w:rsid w:val="025F0711"/>
    <w:rsid w:val="026B2E25"/>
    <w:rsid w:val="02824D4D"/>
    <w:rsid w:val="02DC4B10"/>
    <w:rsid w:val="02DD76CE"/>
    <w:rsid w:val="02F36323"/>
    <w:rsid w:val="02F5619C"/>
    <w:rsid w:val="0326446A"/>
    <w:rsid w:val="032D5555"/>
    <w:rsid w:val="036634D2"/>
    <w:rsid w:val="03955F9D"/>
    <w:rsid w:val="039C1AF5"/>
    <w:rsid w:val="03C501B0"/>
    <w:rsid w:val="03D80B6A"/>
    <w:rsid w:val="03DD35E4"/>
    <w:rsid w:val="040212FF"/>
    <w:rsid w:val="04076900"/>
    <w:rsid w:val="041A5A3B"/>
    <w:rsid w:val="042311BA"/>
    <w:rsid w:val="042B157A"/>
    <w:rsid w:val="048F763B"/>
    <w:rsid w:val="049F330E"/>
    <w:rsid w:val="04AA775C"/>
    <w:rsid w:val="04AF1889"/>
    <w:rsid w:val="04F66F48"/>
    <w:rsid w:val="05251E14"/>
    <w:rsid w:val="05524BBD"/>
    <w:rsid w:val="05A16594"/>
    <w:rsid w:val="05A7762D"/>
    <w:rsid w:val="05BF0A4B"/>
    <w:rsid w:val="060E5941"/>
    <w:rsid w:val="06110FAF"/>
    <w:rsid w:val="06467ABB"/>
    <w:rsid w:val="06493CA7"/>
    <w:rsid w:val="065A6178"/>
    <w:rsid w:val="066F1CF3"/>
    <w:rsid w:val="06930BB8"/>
    <w:rsid w:val="06A84E8F"/>
    <w:rsid w:val="06D13045"/>
    <w:rsid w:val="07081A72"/>
    <w:rsid w:val="07245D42"/>
    <w:rsid w:val="07264C62"/>
    <w:rsid w:val="0779354C"/>
    <w:rsid w:val="07A2551F"/>
    <w:rsid w:val="08061376"/>
    <w:rsid w:val="08452D77"/>
    <w:rsid w:val="086401F8"/>
    <w:rsid w:val="08751CAA"/>
    <w:rsid w:val="087E4C40"/>
    <w:rsid w:val="08A871D0"/>
    <w:rsid w:val="08D66AD6"/>
    <w:rsid w:val="08DA33A3"/>
    <w:rsid w:val="08E80F13"/>
    <w:rsid w:val="08F4511A"/>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3E7710"/>
    <w:rsid w:val="0A5B7E63"/>
    <w:rsid w:val="0AA374A5"/>
    <w:rsid w:val="0AAB7649"/>
    <w:rsid w:val="0ABC5606"/>
    <w:rsid w:val="0ADD086F"/>
    <w:rsid w:val="0B30404E"/>
    <w:rsid w:val="0B4C6C14"/>
    <w:rsid w:val="0B547599"/>
    <w:rsid w:val="0B631A88"/>
    <w:rsid w:val="0B683D45"/>
    <w:rsid w:val="0B7F3F11"/>
    <w:rsid w:val="0B884417"/>
    <w:rsid w:val="0BC2290B"/>
    <w:rsid w:val="0BF6188C"/>
    <w:rsid w:val="0BF73C91"/>
    <w:rsid w:val="0C061668"/>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D5AF7"/>
    <w:rsid w:val="0FBF3FD2"/>
    <w:rsid w:val="0FBF7FF3"/>
    <w:rsid w:val="10646583"/>
    <w:rsid w:val="107D4B15"/>
    <w:rsid w:val="108A3C80"/>
    <w:rsid w:val="10994FCC"/>
    <w:rsid w:val="10C26171"/>
    <w:rsid w:val="10F33360"/>
    <w:rsid w:val="10FC16EA"/>
    <w:rsid w:val="110714FE"/>
    <w:rsid w:val="110F1D40"/>
    <w:rsid w:val="11266F33"/>
    <w:rsid w:val="118963A1"/>
    <w:rsid w:val="11911898"/>
    <w:rsid w:val="11C6522A"/>
    <w:rsid w:val="11E104CC"/>
    <w:rsid w:val="11E20309"/>
    <w:rsid w:val="12255233"/>
    <w:rsid w:val="12530213"/>
    <w:rsid w:val="127723A9"/>
    <w:rsid w:val="12862074"/>
    <w:rsid w:val="12883966"/>
    <w:rsid w:val="129E45B4"/>
    <w:rsid w:val="12AA5159"/>
    <w:rsid w:val="12D81596"/>
    <w:rsid w:val="13072A44"/>
    <w:rsid w:val="135F4BE2"/>
    <w:rsid w:val="139B1A0A"/>
    <w:rsid w:val="139D25C7"/>
    <w:rsid w:val="13BD7D7A"/>
    <w:rsid w:val="13BF3CE4"/>
    <w:rsid w:val="141008D8"/>
    <w:rsid w:val="14125FE6"/>
    <w:rsid w:val="1453550E"/>
    <w:rsid w:val="146D271E"/>
    <w:rsid w:val="14982588"/>
    <w:rsid w:val="149A5AD9"/>
    <w:rsid w:val="14A7619D"/>
    <w:rsid w:val="14D546E3"/>
    <w:rsid w:val="150536C3"/>
    <w:rsid w:val="150C1963"/>
    <w:rsid w:val="1513490A"/>
    <w:rsid w:val="151447A0"/>
    <w:rsid w:val="152C17F5"/>
    <w:rsid w:val="154A6454"/>
    <w:rsid w:val="15762120"/>
    <w:rsid w:val="1588105E"/>
    <w:rsid w:val="15CE7AB6"/>
    <w:rsid w:val="15F52BE0"/>
    <w:rsid w:val="16A6065A"/>
    <w:rsid w:val="16A8729C"/>
    <w:rsid w:val="16AA70FC"/>
    <w:rsid w:val="16B33777"/>
    <w:rsid w:val="16BC70A7"/>
    <w:rsid w:val="16C6339E"/>
    <w:rsid w:val="16DD17AC"/>
    <w:rsid w:val="171A7F67"/>
    <w:rsid w:val="172F2D79"/>
    <w:rsid w:val="17557BEF"/>
    <w:rsid w:val="17746F1A"/>
    <w:rsid w:val="17D349C1"/>
    <w:rsid w:val="1830729E"/>
    <w:rsid w:val="1870062C"/>
    <w:rsid w:val="18817102"/>
    <w:rsid w:val="18830A15"/>
    <w:rsid w:val="18852B28"/>
    <w:rsid w:val="188B5321"/>
    <w:rsid w:val="19274F20"/>
    <w:rsid w:val="197E485A"/>
    <w:rsid w:val="19932372"/>
    <w:rsid w:val="19A20DD5"/>
    <w:rsid w:val="19A56B09"/>
    <w:rsid w:val="19AE03F1"/>
    <w:rsid w:val="19E77BBE"/>
    <w:rsid w:val="1A071A03"/>
    <w:rsid w:val="1A1F16AE"/>
    <w:rsid w:val="1A3B5C77"/>
    <w:rsid w:val="1A984BAD"/>
    <w:rsid w:val="1AA77C2A"/>
    <w:rsid w:val="1AAA3B81"/>
    <w:rsid w:val="1AB8220E"/>
    <w:rsid w:val="1AE4166C"/>
    <w:rsid w:val="1AF06CFB"/>
    <w:rsid w:val="1AF11B8D"/>
    <w:rsid w:val="1B11359C"/>
    <w:rsid w:val="1B2A271F"/>
    <w:rsid w:val="1B530544"/>
    <w:rsid w:val="1B713184"/>
    <w:rsid w:val="1BA209CF"/>
    <w:rsid w:val="1BB4777D"/>
    <w:rsid w:val="1BD75AB8"/>
    <w:rsid w:val="1C0459C2"/>
    <w:rsid w:val="1C1B3B4A"/>
    <w:rsid w:val="1C293A60"/>
    <w:rsid w:val="1C88086E"/>
    <w:rsid w:val="1D266CE1"/>
    <w:rsid w:val="1D3963AF"/>
    <w:rsid w:val="1D6A673C"/>
    <w:rsid w:val="1D9247AE"/>
    <w:rsid w:val="1DB567EC"/>
    <w:rsid w:val="1DF51A98"/>
    <w:rsid w:val="1E33266D"/>
    <w:rsid w:val="1E3D060F"/>
    <w:rsid w:val="1E3F7D2E"/>
    <w:rsid w:val="1E4134E4"/>
    <w:rsid w:val="1E5062B3"/>
    <w:rsid w:val="1E523514"/>
    <w:rsid w:val="1E6B60D4"/>
    <w:rsid w:val="1E714A66"/>
    <w:rsid w:val="1E802593"/>
    <w:rsid w:val="1E8B6156"/>
    <w:rsid w:val="1EA703CC"/>
    <w:rsid w:val="1EB7330C"/>
    <w:rsid w:val="1F0A0FF3"/>
    <w:rsid w:val="1F5771FF"/>
    <w:rsid w:val="1FD52DD5"/>
    <w:rsid w:val="1FE868A9"/>
    <w:rsid w:val="1FF72119"/>
    <w:rsid w:val="20034907"/>
    <w:rsid w:val="200B1AFB"/>
    <w:rsid w:val="20173E4B"/>
    <w:rsid w:val="204E48BC"/>
    <w:rsid w:val="208921B3"/>
    <w:rsid w:val="20973DEB"/>
    <w:rsid w:val="20B26522"/>
    <w:rsid w:val="20B44310"/>
    <w:rsid w:val="20F152C6"/>
    <w:rsid w:val="20F271DB"/>
    <w:rsid w:val="211116EB"/>
    <w:rsid w:val="216133FC"/>
    <w:rsid w:val="21D56769"/>
    <w:rsid w:val="21E52EF3"/>
    <w:rsid w:val="21E542A5"/>
    <w:rsid w:val="21FB5D7B"/>
    <w:rsid w:val="22015E94"/>
    <w:rsid w:val="220B1C3D"/>
    <w:rsid w:val="221D1D20"/>
    <w:rsid w:val="221E3573"/>
    <w:rsid w:val="22334A87"/>
    <w:rsid w:val="22877B28"/>
    <w:rsid w:val="229971DE"/>
    <w:rsid w:val="22B00EEF"/>
    <w:rsid w:val="22BD4158"/>
    <w:rsid w:val="22BE6801"/>
    <w:rsid w:val="233500BF"/>
    <w:rsid w:val="23377FF7"/>
    <w:rsid w:val="235D387D"/>
    <w:rsid w:val="236B425F"/>
    <w:rsid w:val="23836192"/>
    <w:rsid w:val="23901F29"/>
    <w:rsid w:val="23953985"/>
    <w:rsid w:val="239C0061"/>
    <w:rsid w:val="23B908A4"/>
    <w:rsid w:val="23E51E7E"/>
    <w:rsid w:val="23E95BEF"/>
    <w:rsid w:val="23FD0064"/>
    <w:rsid w:val="23FD4471"/>
    <w:rsid w:val="24422776"/>
    <w:rsid w:val="245375B0"/>
    <w:rsid w:val="245466C9"/>
    <w:rsid w:val="24642C0A"/>
    <w:rsid w:val="24B22173"/>
    <w:rsid w:val="24B95AD9"/>
    <w:rsid w:val="24BE24DA"/>
    <w:rsid w:val="24CF5825"/>
    <w:rsid w:val="24D176C1"/>
    <w:rsid w:val="24D663E6"/>
    <w:rsid w:val="24D77F2B"/>
    <w:rsid w:val="25316BD9"/>
    <w:rsid w:val="258B00E2"/>
    <w:rsid w:val="25A917A6"/>
    <w:rsid w:val="25BE27CC"/>
    <w:rsid w:val="25F74A5C"/>
    <w:rsid w:val="2628662C"/>
    <w:rsid w:val="262D45DE"/>
    <w:rsid w:val="262D4B53"/>
    <w:rsid w:val="2663515E"/>
    <w:rsid w:val="26871DC8"/>
    <w:rsid w:val="26A53EF9"/>
    <w:rsid w:val="26A94201"/>
    <w:rsid w:val="26AC274F"/>
    <w:rsid w:val="26CE6E53"/>
    <w:rsid w:val="26CF00EA"/>
    <w:rsid w:val="27044A29"/>
    <w:rsid w:val="271D34C8"/>
    <w:rsid w:val="276142BF"/>
    <w:rsid w:val="27783712"/>
    <w:rsid w:val="27907362"/>
    <w:rsid w:val="281A5BEF"/>
    <w:rsid w:val="28270801"/>
    <w:rsid w:val="28333E1D"/>
    <w:rsid w:val="28454BD6"/>
    <w:rsid w:val="28455253"/>
    <w:rsid w:val="28551971"/>
    <w:rsid w:val="285B1C53"/>
    <w:rsid w:val="289F7086"/>
    <w:rsid w:val="28BC4F05"/>
    <w:rsid w:val="28C32028"/>
    <w:rsid w:val="28CC490F"/>
    <w:rsid w:val="28DE40AA"/>
    <w:rsid w:val="28ED350C"/>
    <w:rsid w:val="29345E77"/>
    <w:rsid w:val="294C65AD"/>
    <w:rsid w:val="29806583"/>
    <w:rsid w:val="298B3C4C"/>
    <w:rsid w:val="29B478C8"/>
    <w:rsid w:val="29C1292B"/>
    <w:rsid w:val="29F26D24"/>
    <w:rsid w:val="2A0113CF"/>
    <w:rsid w:val="2A15033F"/>
    <w:rsid w:val="2A1662C1"/>
    <w:rsid w:val="2A1C7367"/>
    <w:rsid w:val="2A2815FA"/>
    <w:rsid w:val="2A2C5AA9"/>
    <w:rsid w:val="2A5F6506"/>
    <w:rsid w:val="2A6D6092"/>
    <w:rsid w:val="2A745637"/>
    <w:rsid w:val="2A7D76B4"/>
    <w:rsid w:val="2B0360B6"/>
    <w:rsid w:val="2B437463"/>
    <w:rsid w:val="2B5B4BB7"/>
    <w:rsid w:val="2B6B0823"/>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DF8692E"/>
    <w:rsid w:val="2E0220AF"/>
    <w:rsid w:val="2E2C1379"/>
    <w:rsid w:val="2E4B082A"/>
    <w:rsid w:val="2E5D4E86"/>
    <w:rsid w:val="2E5D790B"/>
    <w:rsid w:val="2E9A3C18"/>
    <w:rsid w:val="2EBB0FEE"/>
    <w:rsid w:val="2EC63002"/>
    <w:rsid w:val="2F0A6B38"/>
    <w:rsid w:val="2F946CCB"/>
    <w:rsid w:val="2FD25781"/>
    <w:rsid w:val="2FDC745C"/>
    <w:rsid w:val="2FFD7934"/>
    <w:rsid w:val="30404479"/>
    <w:rsid w:val="30733ACD"/>
    <w:rsid w:val="308C3862"/>
    <w:rsid w:val="309379D8"/>
    <w:rsid w:val="30A270F7"/>
    <w:rsid w:val="30AC36C4"/>
    <w:rsid w:val="30C250A7"/>
    <w:rsid w:val="30DF1478"/>
    <w:rsid w:val="30EC586F"/>
    <w:rsid w:val="314550B7"/>
    <w:rsid w:val="319C6071"/>
    <w:rsid w:val="31AC537E"/>
    <w:rsid w:val="31E3679B"/>
    <w:rsid w:val="31E732FD"/>
    <w:rsid w:val="32517576"/>
    <w:rsid w:val="32BE5C2C"/>
    <w:rsid w:val="32FB6478"/>
    <w:rsid w:val="33263B3F"/>
    <w:rsid w:val="333866C9"/>
    <w:rsid w:val="336963EB"/>
    <w:rsid w:val="33816EEB"/>
    <w:rsid w:val="33EB55CD"/>
    <w:rsid w:val="33EC4C02"/>
    <w:rsid w:val="340D2360"/>
    <w:rsid w:val="3410665D"/>
    <w:rsid w:val="34211214"/>
    <w:rsid w:val="342E63AB"/>
    <w:rsid w:val="34682754"/>
    <w:rsid w:val="34950E68"/>
    <w:rsid w:val="34986E94"/>
    <w:rsid w:val="34AF62C9"/>
    <w:rsid w:val="34CB4388"/>
    <w:rsid w:val="34FA6E12"/>
    <w:rsid w:val="354D7158"/>
    <w:rsid w:val="358D5588"/>
    <w:rsid w:val="35D72B5B"/>
    <w:rsid w:val="36293391"/>
    <w:rsid w:val="363A3B40"/>
    <w:rsid w:val="365302AE"/>
    <w:rsid w:val="365661C3"/>
    <w:rsid w:val="36607A0A"/>
    <w:rsid w:val="36624980"/>
    <w:rsid w:val="36641762"/>
    <w:rsid w:val="366E227C"/>
    <w:rsid w:val="366F2E0D"/>
    <w:rsid w:val="367B6A5C"/>
    <w:rsid w:val="368822BC"/>
    <w:rsid w:val="36A34173"/>
    <w:rsid w:val="36A74ADA"/>
    <w:rsid w:val="36AD60D5"/>
    <w:rsid w:val="36B224F9"/>
    <w:rsid w:val="36EC0CC9"/>
    <w:rsid w:val="373F410B"/>
    <w:rsid w:val="37E05230"/>
    <w:rsid w:val="37EE7094"/>
    <w:rsid w:val="38296C89"/>
    <w:rsid w:val="383002EB"/>
    <w:rsid w:val="38586797"/>
    <w:rsid w:val="38BC0149"/>
    <w:rsid w:val="38C3379F"/>
    <w:rsid w:val="38D87D1C"/>
    <w:rsid w:val="38F54FCB"/>
    <w:rsid w:val="392A5B99"/>
    <w:rsid w:val="394052BB"/>
    <w:rsid w:val="39636459"/>
    <w:rsid w:val="396B7F6C"/>
    <w:rsid w:val="39B417A9"/>
    <w:rsid w:val="39E5622F"/>
    <w:rsid w:val="39FC5695"/>
    <w:rsid w:val="39FF1A66"/>
    <w:rsid w:val="3A006D8E"/>
    <w:rsid w:val="3A3651E5"/>
    <w:rsid w:val="3A744481"/>
    <w:rsid w:val="3A8C7BEF"/>
    <w:rsid w:val="3A906246"/>
    <w:rsid w:val="3B2349B7"/>
    <w:rsid w:val="3B4B78B4"/>
    <w:rsid w:val="3B616CFF"/>
    <w:rsid w:val="3B6259F6"/>
    <w:rsid w:val="3B726DE6"/>
    <w:rsid w:val="3B976654"/>
    <w:rsid w:val="3BA31A2F"/>
    <w:rsid w:val="3BB50D82"/>
    <w:rsid w:val="3BC01EFC"/>
    <w:rsid w:val="3BCA786A"/>
    <w:rsid w:val="3BD31E2F"/>
    <w:rsid w:val="3BE15905"/>
    <w:rsid w:val="3BF15831"/>
    <w:rsid w:val="3C0E6CB3"/>
    <w:rsid w:val="3C105946"/>
    <w:rsid w:val="3C471448"/>
    <w:rsid w:val="3C5F759A"/>
    <w:rsid w:val="3C6C525A"/>
    <w:rsid w:val="3C795882"/>
    <w:rsid w:val="3C91759F"/>
    <w:rsid w:val="3CCE23CB"/>
    <w:rsid w:val="3CD17D17"/>
    <w:rsid w:val="3D17507E"/>
    <w:rsid w:val="3D3C7F39"/>
    <w:rsid w:val="3D3F7EF9"/>
    <w:rsid w:val="3D440F09"/>
    <w:rsid w:val="3D4504A0"/>
    <w:rsid w:val="3D8734BB"/>
    <w:rsid w:val="3D9A11D4"/>
    <w:rsid w:val="3DA16D89"/>
    <w:rsid w:val="3DA364BE"/>
    <w:rsid w:val="3DC93312"/>
    <w:rsid w:val="3DE041CB"/>
    <w:rsid w:val="3DE24475"/>
    <w:rsid w:val="3E0D48F6"/>
    <w:rsid w:val="3E1868B4"/>
    <w:rsid w:val="3E377251"/>
    <w:rsid w:val="3E42664B"/>
    <w:rsid w:val="3E5A7334"/>
    <w:rsid w:val="3E6E17A8"/>
    <w:rsid w:val="3E7B5D6B"/>
    <w:rsid w:val="3E843E66"/>
    <w:rsid w:val="3E8F51FE"/>
    <w:rsid w:val="3E926F87"/>
    <w:rsid w:val="3E9A59DE"/>
    <w:rsid w:val="3EAF4836"/>
    <w:rsid w:val="3EC33DFA"/>
    <w:rsid w:val="3EE403B5"/>
    <w:rsid w:val="3F060E16"/>
    <w:rsid w:val="3F085D0A"/>
    <w:rsid w:val="3F1D1096"/>
    <w:rsid w:val="3F1F06F0"/>
    <w:rsid w:val="3F2F0234"/>
    <w:rsid w:val="3F6363FE"/>
    <w:rsid w:val="3F756B8F"/>
    <w:rsid w:val="3F95482B"/>
    <w:rsid w:val="3FA75BB4"/>
    <w:rsid w:val="3FD93128"/>
    <w:rsid w:val="4019356B"/>
    <w:rsid w:val="40592157"/>
    <w:rsid w:val="406E1CAE"/>
    <w:rsid w:val="407C7681"/>
    <w:rsid w:val="40A0133A"/>
    <w:rsid w:val="40C31A53"/>
    <w:rsid w:val="40FF545D"/>
    <w:rsid w:val="410067C8"/>
    <w:rsid w:val="41235903"/>
    <w:rsid w:val="418F0D2A"/>
    <w:rsid w:val="4192537E"/>
    <w:rsid w:val="41D01505"/>
    <w:rsid w:val="41E85F56"/>
    <w:rsid w:val="42474939"/>
    <w:rsid w:val="424C3C57"/>
    <w:rsid w:val="42613FF3"/>
    <w:rsid w:val="42660D96"/>
    <w:rsid w:val="428667D2"/>
    <w:rsid w:val="42CD1CE0"/>
    <w:rsid w:val="42E1381E"/>
    <w:rsid w:val="42ED6459"/>
    <w:rsid w:val="42FE58DD"/>
    <w:rsid w:val="43174B3D"/>
    <w:rsid w:val="434B790E"/>
    <w:rsid w:val="4360274F"/>
    <w:rsid w:val="43897C45"/>
    <w:rsid w:val="43977AB6"/>
    <w:rsid w:val="43A3342B"/>
    <w:rsid w:val="43B241D8"/>
    <w:rsid w:val="43C77C27"/>
    <w:rsid w:val="43DE09EE"/>
    <w:rsid w:val="44002FAD"/>
    <w:rsid w:val="440D714B"/>
    <w:rsid w:val="443F4C9C"/>
    <w:rsid w:val="4447410E"/>
    <w:rsid w:val="449101DD"/>
    <w:rsid w:val="44DE1391"/>
    <w:rsid w:val="451B225C"/>
    <w:rsid w:val="452410C9"/>
    <w:rsid w:val="45317DFB"/>
    <w:rsid w:val="456D3CE4"/>
    <w:rsid w:val="4579042C"/>
    <w:rsid w:val="457F0571"/>
    <w:rsid w:val="45851176"/>
    <w:rsid w:val="45C63B94"/>
    <w:rsid w:val="45C71987"/>
    <w:rsid w:val="460E7DA5"/>
    <w:rsid w:val="46276812"/>
    <w:rsid w:val="46422483"/>
    <w:rsid w:val="4659254A"/>
    <w:rsid w:val="465B0637"/>
    <w:rsid w:val="465E3F0D"/>
    <w:rsid w:val="466A16E6"/>
    <w:rsid w:val="46893F2B"/>
    <w:rsid w:val="46922B69"/>
    <w:rsid w:val="46A958A0"/>
    <w:rsid w:val="46C4686E"/>
    <w:rsid w:val="477B778F"/>
    <w:rsid w:val="478203EC"/>
    <w:rsid w:val="47A3297B"/>
    <w:rsid w:val="47B025FA"/>
    <w:rsid w:val="47D66DB2"/>
    <w:rsid w:val="4809698F"/>
    <w:rsid w:val="4811697D"/>
    <w:rsid w:val="484E4ED5"/>
    <w:rsid w:val="487A3E25"/>
    <w:rsid w:val="488B5503"/>
    <w:rsid w:val="48937E21"/>
    <w:rsid w:val="489A0361"/>
    <w:rsid w:val="48AB6C03"/>
    <w:rsid w:val="48B94FF3"/>
    <w:rsid w:val="48C97DB4"/>
    <w:rsid w:val="48E37AAB"/>
    <w:rsid w:val="48FD4B4C"/>
    <w:rsid w:val="490A68E0"/>
    <w:rsid w:val="491055FE"/>
    <w:rsid w:val="495F5B3E"/>
    <w:rsid w:val="496455DB"/>
    <w:rsid w:val="496F77D7"/>
    <w:rsid w:val="497654FD"/>
    <w:rsid w:val="49B64211"/>
    <w:rsid w:val="49E56AF9"/>
    <w:rsid w:val="49F6167F"/>
    <w:rsid w:val="4A064FA0"/>
    <w:rsid w:val="4A16615C"/>
    <w:rsid w:val="4A4424D7"/>
    <w:rsid w:val="4AB82D0F"/>
    <w:rsid w:val="4AEB7664"/>
    <w:rsid w:val="4AFD7C19"/>
    <w:rsid w:val="4B0567D1"/>
    <w:rsid w:val="4B236AAE"/>
    <w:rsid w:val="4B4E75D6"/>
    <w:rsid w:val="4B707271"/>
    <w:rsid w:val="4B9739F7"/>
    <w:rsid w:val="4BEE2503"/>
    <w:rsid w:val="4C245A30"/>
    <w:rsid w:val="4CB6685F"/>
    <w:rsid w:val="4CC26482"/>
    <w:rsid w:val="4CC367FE"/>
    <w:rsid w:val="4CF83054"/>
    <w:rsid w:val="4D077F3C"/>
    <w:rsid w:val="4D123355"/>
    <w:rsid w:val="4D2A3B31"/>
    <w:rsid w:val="4D312C52"/>
    <w:rsid w:val="4D905305"/>
    <w:rsid w:val="4D964A72"/>
    <w:rsid w:val="4D9C1254"/>
    <w:rsid w:val="4E335276"/>
    <w:rsid w:val="4E793892"/>
    <w:rsid w:val="4E800872"/>
    <w:rsid w:val="4EA001D2"/>
    <w:rsid w:val="4EA20185"/>
    <w:rsid w:val="4EC569ED"/>
    <w:rsid w:val="4ED50EA1"/>
    <w:rsid w:val="4EEC050C"/>
    <w:rsid w:val="4F104EC3"/>
    <w:rsid w:val="4F47354A"/>
    <w:rsid w:val="4F911C54"/>
    <w:rsid w:val="4FD16107"/>
    <w:rsid w:val="4FE117CF"/>
    <w:rsid w:val="4FE625E0"/>
    <w:rsid w:val="50195B4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71136"/>
    <w:rsid w:val="51A86090"/>
    <w:rsid w:val="51B7396D"/>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7158E"/>
    <w:rsid w:val="53BD2A35"/>
    <w:rsid w:val="53E30641"/>
    <w:rsid w:val="53E62FDC"/>
    <w:rsid w:val="54013861"/>
    <w:rsid w:val="540B6EFF"/>
    <w:rsid w:val="541E3F20"/>
    <w:rsid w:val="54283410"/>
    <w:rsid w:val="54364D22"/>
    <w:rsid w:val="54487265"/>
    <w:rsid w:val="544D6070"/>
    <w:rsid w:val="54605E1E"/>
    <w:rsid w:val="54B06C1B"/>
    <w:rsid w:val="54B3506A"/>
    <w:rsid w:val="54CA0D16"/>
    <w:rsid w:val="54D95B2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B671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32C47"/>
    <w:rsid w:val="586A1498"/>
    <w:rsid w:val="58871230"/>
    <w:rsid w:val="58917D2F"/>
    <w:rsid w:val="5894085C"/>
    <w:rsid w:val="58951E10"/>
    <w:rsid w:val="58AE4F0C"/>
    <w:rsid w:val="58B85899"/>
    <w:rsid w:val="58E363A9"/>
    <w:rsid w:val="58FF7C2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F7397"/>
    <w:rsid w:val="5C02690E"/>
    <w:rsid w:val="5C196DA7"/>
    <w:rsid w:val="5C2A048C"/>
    <w:rsid w:val="5C80234E"/>
    <w:rsid w:val="5C8A680C"/>
    <w:rsid w:val="5D0C4701"/>
    <w:rsid w:val="5D0F0395"/>
    <w:rsid w:val="5D221076"/>
    <w:rsid w:val="5D397964"/>
    <w:rsid w:val="5D5A391C"/>
    <w:rsid w:val="5D5F10C0"/>
    <w:rsid w:val="5D891B7B"/>
    <w:rsid w:val="5D9F67A1"/>
    <w:rsid w:val="5DAD38EE"/>
    <w:rsid w:val="5E006862"/>
    <w:rsid w:val="5E0207B9"/>
    <w:rsid w:val="5E1834A1"/>
    <w:rsid w:val="5E261785"/>
    <w:rsid w:val="5E4A7017"/>
    <w:rsid w:val="5E552BBA"/>
    <w:rsid w:val="5E611C10"/>
    <w:rsid w:val="5E7A0F3F"/>
    <w:rsid w:val="5EF32A72"/>
    <w:rsid w:val="5EFC7377"/>
    <w:rsid w:val="5F06174D"/>
    <w:rsid w:val="5F193986"/>
    <w:rsid w:val="5F21102F"/>
    <w:rsid w:val="5F3A3602"/>
    <w:rsid w:val="5F45733B"/>
    <w:rsid w:val="5F6277C6"/>
    <w:rsid w:val="5F6D0B1D"/>
    <w:rsid w:val="5F726B2F"/>
    <w:rsid w:val="5F8D0B82"/>
    <w:rsid w:val="5FAD6053"/>
    <w:rsid w:val="5FCC5339"/>
    <w:rsid w:val="5FDF5BB3"/>
    <w:rsid w:val="5FE34A5B"/>
    <w:rsid w:val="5FF43B9A"/>
    <w:rsid w:val="5FFE1E36"/>
    <w:rsid w:val="60232584"/>
    <w:rsid w:val="60493394"/>
    <w:rsid w:val="607330CE"/>
    <w:rsid w:val="60825176"/>
    <w:rsid w:val="609F2AC4"/>
    <w:rsid w:val="60FA2EE8"/>
    <w:rsid w:val="61054A27"/>
    <w:rsid w:val="610658C8"/>
    <w:rsid w:val="610A52BC"/>
    <w:rsid w:val="611D2366"/>
    <w:rsid w:val="612C22EC"/>
    <w:rsid w:val="61421856"/>
    <w:rsid w:val="615227C4"/>
    <w:rsid w:val="61654E3F"/>
    <w:rsid w:val="6182292A"/>
    <w:rsid w:val="619F7F92"/>
    <w:rsid w:val="61F94C26"/>
    <w:rsid w:val="62000E56"/>
    <w:rsid w:val="624F3E49"/>
    <w:rsid w:val="62632286"/>
    <w:rsid w:val="62885958"/>
    <w:rsid w:val="62F40B65"/>
    <w:rsid w:val="62F57AED"/>
    <w:rsid w:val="62FC2CFE"/>
    <w:rsid w:val="63024505"/>
    <w:rsid w:val="635600A5"/>
    <w:rsid w:val="635B1DB5"/>
    <w:rsid w:val="63711FED"/>
    <w:rsid w:val="63880DDC"/>
    <w:rsid w:val="638D750D"/>
    <w:rsid w:val="63A577D2"/>
    <w:rsid w:val="63AC6CC0"/>
    <w:rsid w:val="63FE229B"/>
    <w:rsid w:val="64055776"/>
    <w:rsid w:val="64240056"/>
    <w:rsid w:val="643E143A"/>
    <w:rsid w:val="64491666"/>
    <w:rsid w:val="64625357"/>
    <w:rsid w:val="648B6EEF"/>
    <w:rsid w:val="64C158BF"/>
    <w:rsid w:val="64CE2EAA"/>
    <w:rsid w:val="653C3090"/>
    <w:rsid w:val="65854376"/>
    <w:rsid w:val="65856625"/>
    <w:rsid w:val="658767BE"/>
    <w:rsid w:val="65892531"/>
    <w:rsid w:val="66195831"/>
    <w:rsid w:val="66234782"/>
    <w:rsid w:val="662E75B1"/>
    <w:rsid w:val="66342C2E"/>
    <w:rsid w:val="663E784C"/>
    <w:rsid w:val="668B6A45"/>
    <w:rsid w:val="67011F07"/>
    <w:rsid w:val="672F3F24"/>
    <w:rsid w:val="673E055F"/>
    <w:rsid w:val="67551CE3"/>
    <w:rsid w:val="67A22552"/>
    <w:rsid w:val="67B22DCC"/>
    <w:rsid w:val="67B361D3"/>
    <w:rsid w:val="67BE71AA"/>
    <w:rsid w:val="67C04916"/>
    <w:rsid w:val="67D90273"/>
    <w:rsid w:val="67DE5875"/>
    <w:rsid w:val="67E55852"/>
    <w:rsid w:val="67EB1AB4"/>
    <w:rsid w:val="67FA1285"/>
    <w:rsid w:val="680430A7"/>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F5205"/>
    <w:rsid w:val="69CC2BFF"/>
    <w:rsid w:val="69FD55B8"/>
    <w:rsid w:val="6A03535A"/>
    <w:rsid w:val="6A0B1C62"/>
    <w:rsid w:val="6A222EC4"/>
    <w:rsid w:val="6A2406C8"/>
    <w:rsid w:val="6AB50151"/>
    <w:rsid w:val="6ADD77AA"/>
    <w:rsid w:val="6ADE0BD1"/>
    <w:rsid w:val="6AE96859"/>
    <w:rsid w:val="6B147746"/>
    <w:rsid w:val="6B156107"/>
    <w:rsid w:val="6B24787C"/>
    <w:rsid w:val="6B573233"/>
    <w:rsid w:val="6B5B6274"/>
    <w:rsid w:val="6B793D2A"/>
    <w:rsid w:val="6B935D53"/>
    <w:rsid w:val="6BDC3C14"/>
    <w:rsid w:val="6C196F71"/>
    <w:rsid w:val="6C226FCB"/>
    <w:rsid w:val="6C243CF9"/>
    <w:rsid w:val="6C31226F"/>
    <w:rsid w:val="6C552F0B"/>
    <w:rsid w:val="6C8C67B7"/>
    <w:rsid w:val="6C9D744C"/>
    <w:rsid w:val="6D167928"/>
    <w:rsid w:val="6D26299B"/>
    <w:rsid w:val="6D402BFE"/>
    <w:rsid w:val="6D4772EC"/>
    <w:rsid w:val="6D4B5595"/>
    <w:rsid w:val="6D78223D"/>
    <w:rsid w:val="6D9078AF"/>
    <w:rsid w:val="6D9A0452"/>
    <w:rsid w:val="6DAA3FEF"/>
    <w:rsid w:val="6DC0172B"/>
    <w:rsid w:val="6DCB690C"/>
    <w:rsid w:val="6DD41A5B"/>
    <w:rsid w:val="6DF43C2E"/>
    <w:rsid w:val="6DF51CA3"/>
    <w:rsid w:val="6E136A15"/>
    <w:rsid w:val="6E3E08F3"/>
    <w:rsid w:val="6E8335BD"/>
    <w:rsid w:val="6E8E12EF"/>
    <w:rsid w:val="6E972936"/>
    <w:rsid w:val="6ED446C5"/>
    <w:rsid w:val="6F1752F5"/>
    <w:rsid w:val="6F2A7D94"/>
    <w:rsid w:val="6F8331F1"/>
    <w:rsid w:val="6FAE1A09"/>
    <w:rsid w:val="6FBA736C"/>
    <w:rsid w:val="6FD75BF8"/>
    <w:rsid w:val="707723D0"/>
    <w:rsid w:val="70F5661B"/>
    <w:rsid w:val="710D0D73"/>
    <w:rsid w:val="71360107"/>
    <w:rsid w:val="713B688E"/>
    <w:rsid w:val="71D43752"/>
    <w:rsid w:val="71F1796A"/>
    <w:rsid w:val="720C127E"/>
    <w:rsid w:val="72154626"/>
    <w:rsid w:val="72262B5D"/>
    <w:rsid w:val="72283FF7"/>
    <w:rsid w:val="722E7212"/>
    <w:rsid w:val="723A0474"/>
    <w:rsid w:val="724D3D0E"/>
    <w:rsid w:val="725923E4"/>
    <w:rsid w:val="72864BF7"/>
    <w:rsid w:val="729023FC"/>
    <w:rsid w:val="72CA3148"/>
    <w:rsid w:val="72D373ED"/>
    <w:rsid w:val="7395391F"/>
    <w:rsid w:val="73BA35A2"/>
    <w:rsid w:val="73C0646E"/>
    <w:rsid w:val="742222F5"/>
    <w:rsid w:val="74476126"/>
    <w:rsid w:val="74706664"/>
    <w:rsid w:val="747F3682"/>
    <w:rsid w:val="749C4185"/>
    <w:rsid w:val="74B83EDD"/>
    <w:rsid w:val="74E928C1"/>
    <w:rsid w:val="75067759"/>
    <w:rsid w:val="752E6DCD"/>
    <w:rsid w:val="7551380D"/>
    <w:rsid w:val="75600BE5"/>
    <w:rsid w:val="7564475C"/>
    <w:rsid w:val="7583797F"/>
    <w:rsid w:val="75D20F1D"/>
    <w:rsid w:val="75DA2C18"/>
    <w:rsid w:val="75F54412"/>
    <w:rsid w:val="761D08E0"/>
    <w:rsid w:val="765D347C"/>
    <w:rsid w:val="766E5940"/>
    <w:rsid w:val="76826699"/>
    <w:rsid w:val="76C87133"/>
    <w:rsid w:val="76CD08D5"/>
    <w:rsid w:val="76DB4B92"/>
    <w:rsid w:val="76FD013A"/>
    <w:rsid w:val="77052AA4"/>
    <w:rsid w:val="77136511"/>
    <w:rsid w:val="77340A39"/>
    <w:rsid w:val="77351FD0"/>
    <w:rsid w:val="77472422"/>
    <w:rsid w:val="77516237"/>
    <w:rsid w:val="777F31F2"/>
    <w:rsid w:val="77D1700D"/>
    <w:rsid w:val="77D97B0E"/>
    <w:rsid w:val="77EC04CC"/>
    <w:rsid w:val="78233908"/>
    <w:rsid w:val="78775729"/>
    <w:rsid w:val="78A42DB0"/>
    <w:rsid w:val="78A656AB"/>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E27E8B"/>
    <w:rsid w:val="79F850CE"/>
    <w:rsid w:val="79FD443C"/>
    <w:rsid w:val="7A1D1975"/>
    <w:rsid w:val="7A3E5150"/>
    <w:rsid w:val="7A4670D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7D4F8D"/>
    <w:rsid w:val="7BD51939"/>
    <w:rsid w:val="7BEE0103"/>
    <w:rsid w:val="7C0A0FE4"/>
    <w:rsid w:val="7C254906"/>
    <w:rsid w:val="7C581EF8"/>
    <w:rsid w:val="7C590818"/>
    <w:rsid w:val="7C7C10F6"/>
    <w:rsid w:val="7C853BEA"/>
    <w:rsid w:val="7C881368"/>
    <w:rsid w:val="7CE27788"/>
    <w:rsid w:val="7D0C32F1"/>
    <w:rsid w:val="7D0F408D"/>
    <w:rsid w:val="7D3B07A8"/>
    <w:rsid w:val="7D491C6C"/>
    <w:rsid w:val="7D5429C0"/>
    <w:rsid w:val="7D573B18"/>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pPr>
      <w:tabs>
        <w:tab w:val="right" w:leader="dot" w:pos="8268"/>
      </w:tabs>
    </w:pPr>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54"/>
    <w:link w:val="373"/>
    <w:qFormat/>
    <w:uiPriority w:val="0"/>
    <w:pPr>
      <w:tabs>
        <w:tab w:val="right" w:leader="dot" w:pos="8268"/>
      </w:tabs>
      <w:spacing w:line="360" w:lineRule="auto"/>
      <w:ind w:firstLine="420"/>
    </w:pPr>
    <w:rPr>
      <w:sz w:val="24"/>
      <w:szCs w:val="20"/>
    </w:rPr>
  </w:style>
  <w:style w:type="paragraph" w:customStyle="1" w:styleId="54">
    <w:name w:val="正文1"/>
    <w:basedOn w:val="33"/>
    <w:qFormat/>
    <w:uiPriority w:val="0"/>
    <w:pPr>
      <w:ind w:left="0" w:leftChars="0" w:firstLine="480" w:firstLineChars="200"/>
    </w:pPr>
    <w:rPr>
      <w:rFonts w:ascii="仿宋_GB2312" w:hAnsi="Courier New" w:eastAsia="仿宋_GB2312"/>
      <w:kern w:val="28"/>
      <w:sz w:val="24"/>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Plain Text"/>
    <w:basedOn w:val="1"/>
    <w:qFormat/>
    <w:uiPriority w:val="0"/>
    <w:rPr>
      <w:rFonts w:ascii="宋体" w:hAnsi="Courier New" w:cs="Times New Roman"/>
      <w:kern w:val="0"/>
      <w:sz w:val="20"/>
      <w:szCs w:val="20"/>
    </w:rPr>
  </w:style>
  <w:style w:type="paragraph" w:customStyle="1" w:styleId="963">
    <w:name w:val="标题 21"/>
    <w:basedOn w:val="54"/>
    <w:next w:val="54"/>
    <w:qFormat/>
    <w:uiPriority w:val="0"/>
    <w:pPr>
      <w:keepNext/>
      <w:keepLines/>
      <w:spacing w:line="408" w:lineRule="auto"/>
      <w:outlineLvl w:val="1"/>
    </w:pPr>
    <w:rPr>
      <w:rFonts w:ascii="Arial" w:hAnsi="Arial" w:eastAsia="黑体"/>
      <w:b/>
      <w:bCs/>
      <w:sz w:val="32"/>
      <w:szCs w:val="32"/>
    </w:rPr>
  </w:style>
  <w:style w:type="paragraph" w:customStyle="1" w:styleId="964">
    <w:name w:val="BodyText1I"/>
    <w:basedOn w:val="965"/>
    <w:qFormat/>
    <w:uiPriority w:val="0"/>
    <w:pPr>
      <w:spacing w:after="120"/>
      <w:ind w:firstLine="420" w:firstLineChars="100"/>
    </w:pPr>
    <w:rPr>
      <w:rFonts w:ascii="长城仿宋" w:hAnsi="长城仿宋" w:eastAsia="等线"/>
    </w:rPr>
  </w:style>
  <w:style w:type="paragraph" w:customStyle="1" w:styleId="965">
    <w:name w:val="BodyText"/>
    <w:basedOn w:val="1"/>
    <w:qFormat/>
    <w:uiPriority w:val="0"/>
    <w:pPr>
      <w:spacing w:after="120"/>
    </w:pPr>
    <w:rPr>
      <w:rFonts w:ascii="长城仿宋" w:hAnsi="长城仿宋" w:eastAsia="等线"/>
      <w:kern w:val="2"/>
    </w:rPr>
  </w:style>
  <w:style w:type="paragraph" w:customStyle="1" w:styleId="966">
    <w:name w:val="纯文本3"/>
    <w:basedOn w:val="1"/>
    <w:qFormat/>
    <w:uiPriority w:val="0"/>
    <w:pPr>
      <w:adjustRightInd w:val="0"/>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48337</Words>
  <Characters>50857</Characters>
  <Lines>281</Lines>
  <Paragraphs>79</Paragraphs>
  <TotalTime>27</TotalTime>
  <ScaleCrop>false</ScaleCrop>
  <LinksUpToDate>false</LinksUpToDate>
  <CharactersWithSpaces>56963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123</cp:lastModifiedBy>
  <cp:lastPrinted>2024-07-19T08:28:00Z</cp:lastPrinted>
  <dcterms:modified xsi:type="dcterms:W3CDTF">2024-07-23T02:09:57Z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4BE63754013D4F6F8DF0DF0D98D4DF73_13</vt:lpwstr>
  </property>
</Properties>
</file>